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C8F" w:rsidRPr="00273DE8" w:rsidRDefault="00000C8F" w:rsidP="00B2497A">
      <w:pPr>
        <w:pStyle w:val="Heading3"/>
        <w:numPr>
          <w:ilvl w:val="2"/>
          <w:numId w:val="3"/>
        </w:numPr>
      </w:pPr>
      <w:bookmarkStart w:id="0" w:name="_Ref406678047"/>
      <w:bookmarkStart w:id="1" w:name="_Toc411593551"/>
      <w:r w:rsidRPr="00273DE8">
        <w:t>Residential Furnace Tune-Up</w:t>
      </w:r>
      <w:bookmarkEnd w:id="0"/>
      <w:bookmarkEnd w:id="1"/>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Description</w:t>
      </w:r>
    </w:p>
    <w:p w:rsidR="00000C8F" w:rsidRPr="00273DE8" w:rsidRDefault="00000C8F" w:rsidP="00000C8F">
      <w:pPr>
        <w:spacing w:after="240"/>
        <w:rPr>
          <w:rFonts w:ascii="Calibri" w:hAnsi="Calibri"/>
          <w:b/>
          <w:iCs/>
        </w:rPr>
      </w:pPr>
      <w:r w:rsidRPr="00273DE8">
        <w:rPr>
          <w:rFonts w:ascii="Calibri" w:hAnsi="Calibri"/>
        </w:rPr>
        <w:t>This measure is for a natural gas Residential furnace that provides space heating.  The tune-up will improve furnace performance by inspecting, cleaning and adjusting the furnace and appurtenances for correct and efficient operation.  Additional savings maybe realized through a complete system tune-up.</w:t>
      </w:r>
    </w:p>
    <w:p w:rsidR="00000C8F" w:rsidRPr="00273DE8" w:rsidRDefault="00000C8F" w:rsidP="00000C8F">
      <w:pPr>
        <w:spacing w:after="240"/>
        <w:rPr>
          <w:rFonts w:ascii="Calibri" w:hAnsi="Calibri"/>
        </w:rPr>
      </w:pPr>
      <w:r w:rsidRPr="00273DE8">
        <w:rPr>
          <w:rFonts w:ascii="Calibri" w:hAnsi="Calibri"/>
        </w:rPr>
        <w:t xml:space="preserve">This measure was developed to be applicable to the following program types: Residential.  </w:t>
      </w:r>
    </w:p>
    <w:p w:rsidR="00000C8F" w:rsidRPr="00273DE8" w:rsidRDefault="00000C8F" w:rsidP="00000C8F">
      <w:pPr>
        <w:spacing w:after="240"/>
        <w:rPr>
          <w:rFonts w:ascii="Calibri" w:hAnsi="Calibri"/>
        </w:rPr>
      </w:pPr>
      <w:r w:rsidRPr="00273DE8">
        <w:rPr>
          <w:rFonts w:ascii="Calibri" w:hAnsi="Calibri"/>
        </w:rPr>
        <w:t>If applied to other program types, the measure savings should be verified.</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Definition of Efficient Equipment</w:t>
      </w:r>
    </w:p>
    <w:p w:rsidR="00000C8F" w:rsidRPr="00273DE8" w:rsidRDefault="00000C8F" w:rsidP="00000C8F">
      <w:pPr>
        <w:spacing w:after="240"/>
        <w:rPr>
          <w:rFonts w:ascii="Calibri" w:hAnsi="Calibri"/>
        </w:rPr>
      </w:pPr>
      <w:r w:rsidRPr="00273DE8">
        <w:rPr>
          <w:rFonts w:ascii="Calibri" w:hAnsi="Calibri"/>
        </w:rPr>
        <w:t>To qualify for this measure an approved technician must complete the tune-up requirements</w:t>
      </w:r>
      <w:r w:rsidRPr="00273DE8">
        <w:rPr>
          <w:rFonts w:ascii="Arial" w:hAnsi="Arial"/>
          <w:vertAlign w:val="superscript"/>
        </w:rPr>
        <w:footnoteReference w:id="1"/>
      </w:r>
      <w:r w:rsidRPr="00273DE8">
        <w:rPr>
          <w:rFonts w:ascii="Calibri" w:hAnsi="Calibri"/>
        </w:rPr>
        <w:t xml:space="preserve"> listed below:</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Measure combustion efficiency using an electronic flue gas analyzer</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and clean blower assembly and components per manufacturer’s recommendations</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Where applicable Lubricate motor and inspect and replace fan belt if required</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Inspect for gas leaks</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Clean burner per manufacturer’s recommendations and adjust as needed</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 xml:space="preserve">Check ignition system and safety systems and clean and adjust as needed </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and clean heat exchanger per manufacturer’s recommendations</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Inspect exhaust/flue for proper attachment and operation</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Inspect control box, wiring and controls for proper connections and performance</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air filter and clean or replace per manufacturer’s</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Inspect duct work connected to furnace for leaks or blockages</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Measure temperature rise and adjust flow as needed</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for correct line and load volts/amps</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Check thermostat operation is per manufacturer’s recommendations(if adjustments made, refer to ‘Residential Programmable Thermostat’ measure for savings estimate)</w:t>
      </w:r>
    </w:p>
    <w:p w:rsidR="00000C8F" w:rsidRPr="00273DE8" w:rsidRDefault="00000C8F" w:rsidP="00000C8F">
      <w:pPr>
        <w:widowControl/>
        <w:numPr>
          <w:ilvl w:val="0"/>
          <w:numId w:val="2"/>
        </w:numPr>
        <w:autoSpaceDE w:val="0"/>
        <w:autoSpaceDN w:val="0"/>
        <w:adjustRightInd w:val="0"/>
        <w:spacing w:after="240"/>
        <w:contextualSpacing/>
        <w:jc w:val="left"/>
        <w:rPr>
          <w:rFonts w:ascii="Calibri" w:hAnsi="Calibri" w:cs="Calibri"/>
          <w:szCs w:val="20"/>
        </w:rPr>
      </w:pPr>
      <w:r w:rsidRPr="00273DE8">
        <w:rPr>
          <w:rFonts w:ascii="Calibri" w:hAnsi="Calibri" w:cs="Calibri"/>
          <w:szCs w:val="20"/>
        </w:rPr>
        <w:t>Perform Carbon Monoxide test and adjust heating system until results are within standard industry acceptable limits</w:t>
      </w:r>
    </w:p>
    <w:p w:rsidR="00000C8F" w:rsidRPr="00273DE8" w:rsidRDefault="00000C8F" w:rsidP="00000C8F">
      <w:pPr>
        <w:spacing w:after="240"/>
        <w:rPr>
          <w:rFonts w:ascii="Calibri" w:hAnsi="Calibri"/>
        </w:rPr>
      </w:pP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Definition of Baseline Equipment</w:t>
      </w:r>
    </w:p>
    <w:p w:rsidR="00000C8F" w:rsidRPr="00273DE8" w:rsidRDefault="00000C8F" w:rsidP="00000C8F">
      <w:pPr>
        <w:spacing w:after="240"/>
        <w:rPr>
          <w:rFonts w:ascii="Calibri" w:hAnsi="Calibri"/>
        </w:rPr>
      </w:pPr>
      <w:r w:rsidRPr="00273DE8">
        <w:rPr>
          <w:rFonts w:ascii="Calibri" w:hAnsi="Calibri"/>
        </w:rPr>
        <w:t>The baseline is furnace assumed not to have had a tune-up in the past 2 years.</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Deemed Lifetime of Efficient Equipment</w:t>
      </w:r>
    </w:p>
    <w:p w:rsidR="00000C8F" w:rsidRPr="00273DE8" w:rsidRDefault="00000C8F" w:rsidP="00000C8F">
      <w:pPr>
        <w:spacing w:after="240"/>
        <w:rPr>
          <w:rFonts w:ascii="Calibri" w:hAnsi="Calibri"/>
        </w:rPr>
      </w:pPr>
      <w:r w:rsidRPr="00273DE8">
        <w:rPr>
          <w:rFonts w:ascii="Calibri" w:hAnsi="Calibri"/>
        </w:rPr>
        <w:t>The measure life for the tune up is 2 years.</w:t>
      </w:r>
      <w:r w:rsidRPr="00273DE8">
        <w:rPr>
          <w:rFonts w:ascii="Arial" w:hAnsi="Arial"/>
          <w:vertAlign w:val="superscript"/>
        </w:rPr>
        <w:footnoteReference w:id="2"/>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 xml:space="preserve">Deemed Measure Cost </w:t>
      </w:r>
    </w:p>
    <w:p w:rsidR="00000C8F" w:rsidRPr="00273DE8" w:rsidRDefault="00000C8F" w:rsidP="00000C8F">
      <w:pPr>
        <w:spacing w:after="240"/>
        <w:rPr>
          <w:rFonts w:ascii="Calibri" w:hAnsi="Calibri"/>
        </w:rPr>
      </w:pPr>
      <w:r w:rsidRPr="00273DE8">
        <w:rPr>
          <w:rFonts w:ascii="Calibri" w:hAnsi="Calibri"/>
        </w:rPr>
        <w:t>The incremental cost for this measure should be the actual cost of tune up.</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lastRenderedPageBreak/>
        <w:t>Deemed O&amp;M Cost Adjustments</w:t>
      </w:r>
    </w:p>
    <w:p w:rsidR="00000C8F" w:rsidRPr="00273DE8" w:rsidRDefault="00000C8F" w:rsidP="00000C8F">
      <w:pPr>
        <w:spacing w:after="240"/>
        <w:rPr>
          <w:rFonts w:ascii="Calibri" w:hAnsi="Calibri"/>
        </w:rPr>
      </w:pPr>
      <w:r w:rsidRPr="00273DE8">
        <w:rPr>
          <w:rFonts w:ascii="Calibri" w:hAnsi="Calibri"/>
        </w:rPr>
        <w:t>There are no expected O&amp;M savings associated with this measure.</w:t>
      </w:r>
    </w:p>
    <w:p w:rsidR="00000C8F" w:rsidRPr="00273DE8" w:rsidRDefault="00000C8F" w:rsidP="00000C8F">
      <w:pPr>
        <w:keepNext/>
        <w:keepLines/>
        <w:spacing w:before="200" w:after="240" w:line="276" w:lineRule="auto"/>
        <w:outlineLvl w:val="5"/>
        <w:rPr>
          <w:rFonts w:ascii="Calibri" w:hAnsi="Calibri"/>
          <w:b/>
          <w:smallCaps/>
        </w:rPr>
      </w:pPr>
      <w:proofErr w:type="spellStart"/>
      <w:r w:rsidRPr="00273DE8">
        <w:rPr>
          <w:rFonts w:ascii="Calibri" w:hAnsi="Calibri"/>
          <w:b/>
          <w:smallCaps/>
        </w:rPr>
        <w:t>Loadshape</w:t>
      </w:r>
      <w:proofErr w:type="spellEnd"/>
    </w:p>
    <w:p w:rsidR="00000C8F" w:rsidRPr="00273DE8" w:rsidRDefault="00000C8F" w:rsidP="00000C8F">
      <w:pPr>
        <w:spacing w:after="240"/>
        <w:rPr>
          <w:rFonts w:ascii="Calibri" w:hAnsi="Calibri"/>
        </w:rPr>
      </w:pPr>
      <w:proofErr w:type="spellStart"/>
      <w:r w:rsidRPr="00273DE8">
        <w:rPr>
          <w:rFonts w:ascii="Calibri" w:hAnsi="Calibri"/>
        </w:rPr>
        <w:t>Loadshape</w:t>
      </w:r>
      <w:proofErr w:type="spellEnd"/>
      <w:r w:rsidRPr="00273DE8">
        <w:rPr>
          <w:rFonts w:ascii="Calibri" w:hAnsi="Calibri"/>
        </w:rPr>
        <w:t xml:space="preserve"> R09 - Residential Electric Space Heat </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Coincidence Factor</w:t>
      </w:r>
    </w:p>
    <w:p w:rsidR="00000C8F" w:rsidRPr="00273DE8" w:rsidRDefault="00000C8F" w:rsidP="00000C8F">
      <w:pPr>
        <w:spacing w:after="240"/>
        <w:rPr>
          <w:rFonts w:ascii="Calibri" w:hAnsi="Calibri"/>
        </w:rPr>
      </w:pPr>
      <w:r w:rsidRPr="00273DE8">
        <w:rPr>
          <w:rFonts w:ascii="Calibri" w:hAnsi="Calibri"/>
        </w:rPr>
        <w:t>N/A</w:t>
      </w:r>
    </w:p>
    <w:p w:rsidR="00000C8F" w:rsidRPr="00273DE8" w:rsidRDefault="00000C8F" w:rsidP="00000C8F">
      <w:pPr>
        <w:spacing w:after="240"/>
        <w:rPr>
          <w:rFonts w:ascii="Calibri" w:hAnsi="Calibri"/>
        </w:rPr>
      </w:pPr>
    </w:p>
    <w:p w:rsidR="00000C8F" w:rsidRPr="00273DE8" w:rsidRDefault="00000C8F" w:rsidP="00000C8F">
      <w:pPr>
        <w:pBdr>
          <w:top w:val="double" w:sz="4" w:space="1" w:color="auto"/>
          <w:bottom w:val="double" w:sz="4" w:space="1" w:color="auto"/>
        </w:pBdr>
        <w:spacing w:after="240"/>
        <w:jc w:val="center"/>
        <w:rPr>
          <w:rFonts w:ascii="Calibri" w:hAnsi="Calibri" w:cs="Calibri"/>
          <w:b/>
          <w:szCs w:val="20"/>
        </w:rPr>
      </w:pPr>
      <w:r w:rsidRPr="00273DE8">
        <w:rPr>
          <w:rFonts w:ascii="Calibri" w:hAnsi="Calibri" w:cs="Calibri"/>
          <w:b/>
          <w:szCs w:val="20"/>
        </w:rPr>
        <w:t>Algorithms</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 xml:space="preserve">Calculation of Energy Savings </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Electric Energy Savings</w:t>
      </w:r>
    </w:p>
    <w:p w:rsidR="00000C8F" w:rsidRPr="00273DE8" w:rsidRDefault="00000C8F" w:rsidP="00000C8F">
      <w:pPr>
        <w:spacing w:after="240"/>
        <w:ind w:left="720" w:firstLine="720"/>
        <w:rPr>
          <w:rFonts w:ascii="Calibri" w:hAnsi="Calibri" w:cs="Calibri"/>
        </w:rPr>
      </w:pPr>
      <w:proofErr w:type="spellStart"/>
      <w:r w:rsidRPr="00273DE8">
        <w:rPr>
          <w:rFonts w:ascii="Calibri" w:hAnsi="Calibri" w:cs="Calibri"/>
        </w:rPr>
        <w:t>ΔkWh</w:t>
      </w:r>
      <w:proofErr w:type="spellEnd"/>
      <w:r w:rsidRPr="00273DE8">
        <w:rPr>
          <w:rFonts w:ascii="Calibri" w:hAnsi="Calibri" w:cs="Calibri"/>
        </w:rPr>
        <w:tab/>
      </w:r>
      <w:r w:rsidRPr="00273DE8">
        <w:rPr>
          <w:rFonts w:ascii="Calibri" w:hAnsi="Calibri" w:cs="Calibri"/>
        </w:rPr>
        <w:tab/>
        <w:t xml:space="preserve">= </w:t>
      </w:r>
      <w:proofErr w:type="spellStart"/>
      <w:r w:rsidRPr="00273DE8">
        <w:rPr>
          <w:rFonts w:ascii="Calibri" w:hAnsi="Calibri" w:cs="Calibri"/>
        </w:rPr>
        <w:t>ΔTherms</w:t>
      </w:r>
      <w:proofErr w:type="spellEnd"/>
      <w:r w:rsidRPr="00273DE8">
        <w:rPr>
          <w:rFonts w:ascii="Calibri" w:hAnsi="Calibri" w:cs="Calibri"/>
        </w:rPr>
        <w:t xml:space="preserve"> * </w:t>
      </w:r>
      <w:r w:rsidRPr="00273DE8">
        <w:rPr>
          <w:rFonts w:ascii="Calibri" w:hAnsi="Calibri" w:cs="Calibri"/>
          <w:noProof/>
        </w:rPr>
        <w:t>F</w:t>
      </w:r>
      <w:r w:rsidRPr="00273DE8">
        <w:rPr>
          <w:rFonts w:ascii="Calibri" w:hAnsi="Calibri" w:cs="Calibri"/>
          <w:noProof/>
          <w:vertAlign w:val="subscript"/>
        </w:rPr>
        <w:t xml:space="preserve">e </w:t>
      </w:r>
      <w:r w:rsidRPr="00273DE8">
        <w:rPr>
          <w:rFonts w:ascii="Calibri" w:hAnsi="Calibri" w:cs="Calibri"/>
        </w:rPr>
        <w:t>* 29.3</w:t>
      </w:r>
    </w:p>
    <w:p w:rsidR="00000C8F" w:rsidRPr="00273DE8" w:rsidRDefault="00000C8F" w:rsidP="00000C8F">
      <w:pPr>
        <w:widowControl/>
        <w:jc w:val="left"/>
        <w:rPr>
          <w:rFonts w:ascii="Calibri" w:hAnsi="Calibri" w:cs="Calibri"/>
        </w:rPr>
      </w:pPr>
      <w:r w:rsidRPr="00273DE8">
        <w:rPr>
          <w:rFonts w:ascii="Calibri" w:hAnsi="Calibri" w:cs="Calibri"/>
        </w:rPr>
        <w:t>Where:</w:t>
      </w:r>
    </w:p>
    <w:p w:rsidR="00000C8F" w:rsidRPr="00273DE8" w:rsidRDefault="00000C8F" w:rsidP="00000C8F">
      <w:pPr>
        <w:spacing w:after="240"/>
        <w:ind w:left="1440" w:hanging="720"/>
        <w:rPr>
          <w:rFonts w:ascii="Calibri" w:hAnsi="Calibri" w:cs="Calibri"/>
        </w:rPr>
      </w:pPr>
      <w:proofErr w:type="spellStart"/>
      <w:r w:rsidRPr="00273DE8">
        <w:rPr>
          <w:rFonts w:ascii="Calibri" w:hAnsi="Calibri" w:cs="Calibri"/>
        </w:rPr>
        <w:t>ΔTherms</w:t>
      </w:r>
      <w:proofErr w:type="spellEnd"/>
      <w:r w:rsidRPr="00273DE8">
        <w:rPr>
          <w:rFonts w:ascii="Calibri" w:hAnsi="Calibri" w:cs="Calibri"/>
        </w:rPr>
        <w:t xml:space="preserve"> </w:t>
      </w:r>
      <w:r w:rsidRPr="00273DE8">
        <w:rPr>
          <w:rFonts w:ascii="Calibri" w:hAnsi="Calibri" w:cs="Calibri"/>
        </w:rPr>
        <w:tab/>
        <w:t>= as calculated below</w:t>
      </w:r>
    </w:p>
    <w:p w:rsidR="00000C8F" w:rsidRPr="00273DE8" w:rsidRDefault="00000C8F" w:rsidP="00000C8F">
      <w:pPr>
        <w:spacing w:after="240"/>
        <w:ind w:left="1440" w:hanging="720"/>
        <w:rPr>
          <w:rFonts w:ascii="Calibri" w:hAnsi="Calibri" w:cs="Calibri"/>
          <w:noProof/>
        </w:rPr>
      </w:pPr>
      <w:r w:rsidRPr="00273DE8">
        <w:rPr>
          <w:rFonts w:ascii="Calibri" w:hAnsi="Calibri" w:cs="Calibri"/>
          <w:noProof/>
        </w:rPr>
        <w:t>F</w:t>
      </w:r>
      <w:r w:rsidRPr="00273DE8">
        <w:rPr>
          <w:rFonts w:ascii="Calibri" w:hAnsi="Calibri" w:cs="Calibri"/>
          <w:noProof/>
          <w:vertAlign w:val="subscript"/>
        </w:rPr>
        <w:t>e</w:t>
      </w:r>
      <w:r w:rsidRPr="00273DE8">
        <w:rPr>
          <w:rFonts w:ascii="Calibri" w:hAnsi="Calibri" w:cs="Calibri"/>
          <w:noProof/>
          <w:vertAlign w:val="subscript"/>
        </w:rPr>
        <w:tab/>
      </w:r>
      <w:r w:rsidRPr="00273DE8">
        <w:rPr>
          <w:rFonts w:ascii="Calibri" w:hAnsi="Calibri" w:cs="Calibri"/>
          <w:noProof/>
          <w:vertAlign w:val="subscript"/>
        </w:rPr>
        <w:tab/>
      </w:r>
      <w:r w:rsidRPr="00273DE8">
        <w:rPr>
          <w:rFonts w:ascii="Calibri" w:hAnsi="Calibri" w:cs="Calibri"/>
          <w:noProof/>
        </w:rPr>
        <w:t>= Furnace Fan energy consumption as a percentage of annual fuel consumption</w:t>
      </w:r>
    </w:p>
    <w:p w:rsidR="00000C8F" w:rsidRPr="00273DE8" w:rsidRDefault="00000C8F" w:rsidP="00000C8F">
      <w:pPr>
        <w:spacing w:after="240"/>
        <w:ind w:left="1440" w:hanging="720"/>
        <w:rPr>
          <w:rFonts w:ascii="Calibri" w:hAnsi="Calibri" w:cs="Calibri"/>
          <w:noProof/>
        </w:rPr>
      </w:pPr>
      <w:r w:rsidRPr="00273DE8">
        <w:rPr>
          <w:rFonts w:ascii="Calibri" w:hAnsi="Calibri" w:cs="Calibri"/>
          <w:noProof/>
        </w:rPr>
        <w:tab/>
      </w:r>
      <w:r w:rsidRPr="00273DE8">
        <w:rPr>
          <w:rFonts w:ascii="Calibri" w:hAnsi="Calibri" w:cs="Calibri"/>
          <w:noProof/>
        </w:rPr>
        <w:tab/>
        <w:t>= 3.14%</w:t>
      </w:r>
      <w:r w:rsidRPr="00273DE8">
        <w:rPr>
          <w:rFonts w:ascii="Arial" w:hAnsi="Arial" w:cs="Calibri"/>
          <w:noProof/>
          <w:vertAlign w:val="superscript"/>
        </w:rPr>
        <w:footnoteReference w:id="3"/>
      </w:r>
    </w:p>
    <w:p w:rsidR="00000C8F" w:rsidRPr="00273DE8" w:rsidRDefault="00000C8F" w:rsidP="00000C8F">
      <w:pPr>
        <w:spacing w:after="240"/>
        <w:ind w:firstLine="720"/>
        <w:rPr>
          <w:rFonts w:ascii="Calibri" w:hAnsi="Calibri"/>
          <w:noProof/>
        </w:rPr>
      </w:pPr>
      <w:r w:rsidRPr="00273DE8">
        <w:rPr>
          <w:rFonts w:ascii="Calibri" w:hAnsi="Calibri"/>
          <w:noProof/>
        </w:rPr>
        <w:t>29.3</w:t>
      </w:r>
      <w:r w:rsidRPr="00273DE8">
        <w:rPr>
          <w:rFonts w:ascii="Calibri" w:hAnsi="Calibri"/>
          <w:noProof/>
        </w:rPr>
        <w:tab/>
      </w:r>
      <w:r w:rsidRPr="00273DE8">
        <w:rPr>
          <w:rFonts w:ascii="Calibri" w:hAnsi="Calibri"/>
          <w:noProof/>
        </w:rPr>
        <w:tab/>
        <w:t>= kWh per therm</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Summer Coincident Peak Demand Savings</w:t>
      </w:r>
    </w:p>
    <w:p w:rsidR="00000C8F" w:rsidRDefault="00000C8F" w:rsidP="00000C8F">
      <w:pPr>
        <w:spacing w:after="240"/>
        <w:rPr>
          <w:rFonts w:ascii="Calibri" w:hAnsi="Calibri"/>
        </w:rPr>
      </w:pPr>
      <w:r w:rsidRPr="00273DE8">
        <w:rPr>
          <w:rFonts w:ascii="Calibri" w:hAnsi="Calibri"/>
        </w:rPr>
        <w:t>N/A</w:t>
      </w:r>
    </w:p>
    <w:p w:rsidR="00000C8F" w:rsidRPr="00273DE8" w:rsidRDefault="00000C8F" w:rsidP="00000C8F">
      <w:pPr>
        <w:spacing w:after="240"/>
        <w:rPr>
          <w:rFonts w:ascii="Calibri" w:hAnsi="Calibri"/>
        </w:rPr>
      </w:pP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Natural Gas Savings</w:t>
      </w:r>
    </w:p>
    <w:p w:rsidR="00000C8F" w:rsidRPr="00273DE8" w:rsidRDefault="00000C8F" w:rsidP="00000C8F">
      <w:pPr>
        <w:spacing w:after="240"/>
        <w:ind w:left="720" w:firstLine="720"/>
        <w:rPr>
          <w:rFonts w:ascii="Calibri" w:hAnsi="Calibri"/>
        </w:rPr>
      </w:pPr>
      <w:proofErr w:type="spellStart"/>
      <w:r w:rsidRPr="00273DE8">
        <w:rPr>
          <w:rFonts w:ascii="Calibri" w:hAnsi="Calibri"/>
        </w:rPr>
        <w:t>Δtherms</w:t>
      </w:r>
      <w:proofErr w:type="spellEnd"/>
      <w:r w:rsidRPr="00273DE8">
        <w:rPr>
          <w:rFonts w:ascii="Calibri" w:hAnsi="Calibri"/>
        </w:rPr>
        <w:tab/>
      </w:r>
      <w:r w:rsidRPr="00273DE8">
        <w:rPr>
          <w:rFonts w:ascii="Calibri" w:hAnsi="Calibri"/>
        </w:rPr>
        <w:tab/>
      </w:r>
      <w:proofErr w:type="gramStart"/>
      <w:r w:rsidRPr="00273DE8">
        <w:rPr>
          <w:rFonts w:ascii="Calibri" w:hAnsi="Calibri"/>
        </w:rPr>
        <w:t>=(</w:t>
      </w:r>
      <w:proofErr w:type="gramEnd"/>
      <w:r w:rsidRPr="00273DE8">
        <w:rPr>
          <w:rFonts w:ascii="Calibri" w:hAnsi="Calibri"/>
        </w:rPr>
        <w:t xml:space="preserve"> </w:t>
      </w:r>
      <w:proofErr w:type="spellStart"/>
      <w:r w:rsidRPr="00273DE8">
        <w:rPr>
          <w:rFonts w:ascii="Calibri" w:hAnsi="Calibri"/>
        </w:rPr>
        <w:t>Gas_Furnace_Heating_Load</w:t>
      </w:r>
      <w:proofErr w:type="spellEnd"/>
      <w:r w:rsidRPr="00273DE8">
        <w:rPr>
          <w:rFonts w:ascii="Calibri" w:hAnsi="Calibri"/>
        </w:rPr>
        <w:t xml:space="preserve"> *HF * (1/ </w:t>
      </w:r>
      <w:proofErr w:type="spellStart"/>
      <w:r w:rsidRPr="00273DE8">
        <w:rPr>
          <w:rFonts w:ascii="Calibri" w:hAnsi="Calibri"/>
        </w:rPr>
        <w:t>Effbefore</w:t>
      </w:r>
      <w:proofErr w:type="spellEnd"/>
      <w:r w:rsidRPr="00273DE8">
        <w:rPr>
          <w:rFonts w:ascii="Calibri" w:hAnsi="Calibri"/>
        </w:rPr>
        <w:t xml:space="preserve"> – 1/ (</w:t>
      </w:r>
      <w:proofErr w:type="spellStart"/>
      <w:r w:rsidRPr="00273DE8">
        <w:rPr>
          <w:rFonts w:ascii="Calibri" w:hAnsi="Calibri"/>
        </w:rPr>
        <w:t>Effbefore</w:t>
      </w:r>
      <w:proofErr w:type="spellEnd"/>
      <w:r w:rsidRPr="00273DE8">
        <w:rPr>
          <w:rFonts w:ascii="Calibri" w:hAnsi="Calibri"/>
        </w:rPr>
        <w:t xml:space="preserve"> + </w:t>
      </w:r>
      <w:proofErr w:type="spellStart"/>
      <w:r w:rsidRPr="00273DE8">
        <w:rPr>
          <w:rFonts w:ascii="Calibri" w:hAnsi="Calibri"/>
        </w:rPr>
        <w:t>Ei</w:t>
      </w:r>
      <w:proofErr w:type="spellEnd"/>
      <w:r w:rsidRPr="00273DE8">
        <w:rPr>
          <w:rFonts w:ascii="Calibri" w:hAnsi="Calibri"/>
        </w:rPr>
        <w:t xml:space="preserve">))) </w:t>
      </w:r>
    </w:p>
    <w:p w:rsidR="00000C8F" w:rsidRPr="00273DE8" w:rsidRDefault="00000C8F" w:rsidP="00000C8F">
      <w:pPr>
        <w:rPr>
          <w:rFonts w:ascii="Calibri" w:hAnsi="Calibri"/>
        </w:rPr>
      </w:pPr>
      <w:r w:rsidRPr="00273DE8">
        <w:rPr>
          <w:rFonts w:ascii="Calibri" w:hAnsi="Calibri"/>
        </w:rPr>
        <w:t>Where:</w:t>
      </w:r>
    </w:p>
    <w:p w:rsidR="00000C8F" w:rsidRPr="00273DE8" w:rsidRDefault="00000C8F" w:rsidP="00000C8F">
      <w:pPr>
        <w:spacing w:after="240"/>
        <w:ind w:left="2160" w:hanging="1440"/>
        <w:rPr>
          <w:rFonts w:ascii="Calibri" w:hAnsi="Calibri"/>
        </w:rPr>
      </w:pPr>
      <w:proofErr w:type="spellStart"/>
      <w:r w:rsidRPr="00273DE8">
        <w:rPr>
          <w:rFonts w:ascii="Calibri" w:hAnsi="Calibri"/>
        </w:rPr>
        <w:t>Gas_Furnace_Heating_Load</w:t>
      </w:r>
      <w:proofErr w:type="spellEnd"/>
      <w:r w:rsidRPr="00273DE8">
        <w:rPr>
          <w:rFonts w:ascii="Calibri" w:hAnsi="Calibri"/>
        </w:rPr>
        <w:tab/>
        <w:t>= Estimate of annual household heating load</w:t>
      </w:r>
      <w:r w:rsidRPr="00273DE8">
        <w:rPr>
          <w:rFonts w:ascii="Arial" w:hAnsi="Arial"/>
          <w:vertAlign w:val="superscript"/>
        </w:rPr>
        <w:footnoteReference w:id="4"/>
      </w:r>
      <w:r w:rsidRPr="00273DE8">
        <w:rPr>
          <w:rFonts w:ascii="Calibri" w:hAnsi="Calibri"/>
        </w:rPr>
        <w:t xml:space="preserve"> for gas furnace heated </w:t>
      </w:r>
      <w:r w:rsidRPr="00273DE8">
        <w:rPr>
          <w:rFonts w:ascii="Calibri" w:hAnsi="Calibri"/>
        </w:rPr>
        <w:lastRenderedPageBreak/>
        <w:t>single-family homes. If location is unknown, assume the average below</w:t>
      </w:r>
      <w:r w:rsidRPr="00273DE8">
        <w:rPr>
          <w:rFonts w:ascii="Arial" w:hAnsi="Arial"/>
          <w:vertAlign w:val="superscript"/>
        </w:rPr>
        <w:footnoteReference w:id="5"/>
      </w:r>
      <w:r w:rsidRPr="00273DE8">
        <w:rPr>
          <w:rFonts w:ascii="Calibri" w:hAnsi="Calibri"/>
        </w:rPr>
        <w:t>.</w:t>
      </w:r>
    </w:p>
    <w:p w:rsidR="00000C8F" w:rsidRPr="00273DE8" w:rsidRDefault="00000C8F" w:rsidP="00000C8F">
      <w:pPr>
        <w:spacing w:after="240"/>
        <w:ind w:left="2160"/>
        <w:rPr>
          <w:rFonts w:ascii="Calibri" w:hAnsi="Calibri"/>
        </w:rPr>
      </w:pPr>
      <w:r w:rsidRPr="00273DE8">
        <w:rPr>
          <w:rFonts w:ascii="Calibri" w:hAnsi="Calibri"/>
        </w:rPr>
        <w:t>= Actual if informed by site-specific load calculations, ACCA Manual J or equivalent</w:t>
      </w:r>
      <w:r w:rsidRPr="00273DE8">
        <w:rPr>
          <w:rFonts w:ascii="Arial" w:hAnsi="Arial"/>
          <w:vertAlign w:val="superscript"/>
        </w:rPr>
        <w:footnoteReference w:id="6"/>
      </w:r>
      <w:r w:rsidRPr="00273DE8">
        <w:rPr>
          <w:rFonts w:ascii="Calibri" w:hAnsi="Calibri"/>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4"/>
        <w:gridCol w:w="2840"/>
      </w:tblGrid>
      <w:tr w:rsidR="00000C8F" w:rsidRPr="00273DE8" w:rsidTr="003E06AB">
        <w:trPr>
          <w:trHeight w:val="223"/>
          <w:jc w:val="center"/>
        </w:trPr>
        <w:tc>
          <w:tcPr>
            <w:tcW w:w="2004" w:type="dxa"/>
            <w:shd w:val="clear" w:color="auto" w:fill="A6A6A6" w:themeFill="background1" w:themeFillShade="A6"/>
          </w:tcPr>
          <w:p w:rsidR="00000C8F" w:rsidRPr="00273DE8" w:rsidRDefault="00000C8F" w:rsidP="003E06AB">
            <w:pPr>
              <w:widowControl/>
              <w:autoSpaceDE w:val="0"/>
              <w:autoSpaceDN w:val="0"/>
              <w:adjustRightInd w:val="0"/>
              <w:jc w:val="center"/>
              <w:rPr>
                <w:rFonts w:ascii="Calibri" w:eastAsia="Calibri" w:hAnsi="Calibri" w:cs="Calibri"/>
                <w:color w:val="FFFFFF"/>
                <w:szCs w:val="20"/>
              </w:rPr>
            </w:pPr>
            <w:r w:rsidRPr="00273DE8">
              <w:rPr>
                <w:rFonts w:ascii="Calibri" w:eastAsia="Calibri" w:hAnsi="Calibri" w:cs="Calibri"/>
                <w:b/>
                <w:bCs/>
                <w:color w:val="FFFFFF"/>
                <w:szCs w:val="20"/>
              </w:rPr>
              <w:t>Climate Zone</w:t>
            </w:r>
          </w:p>
          <w:p w:rsidR="00000C8F" w:rsidRPr="00273DE8" w:rsidRDefault="00000C8F" w:rsidP="003E06AB">
            <w:pPr>
              <w:widowControl/>
              <w:autoSpaceDE w:val="0"/>
              <w:autoSpaceDN w:val="0"/>
              <w:adjustRightInd w:val="0"/>
              <w:jc w:val="center"/>
              <w:rPr>
                <w:rFonts w:ascii="Calibri" w:eastAsia="Calibri" w:hAnsi="Calibri" w:cs="Calibri"/>
                <w:color w:val="FFFFFF"/>
                <w:szCs w:val="20"/>
              </w:rPr>
            </w:pPr>
            <w:r w:rsidRPr="00273DE8">
              <w:rPr>
                <w:rFonts w:ascii="Calibri" w:eastAsia="Calibri" w:hAnsi="Calibri" w:cs="Calibri"/>
                <w:b/>
                <w:bCs/>
                <w:color w:val="FFFFFF"/>
                <w:szCs w:val="20"/>
              </w:rPr>
              <w:t>(City based upon)</w:t>
            </w:r>
          </w:p>
        </w:tc>
        <w:tc>
          <w:tcPr>
            <w:tcW w:w="2840" w:type="dxa"/>
            <w:shd w:val="clear" w:color="auto" w:fill="A6A6A6" w:themeFill="background1" w:themeFillShade="A6"/>
          </w:tcPr>
          <w:p w:rsidR="00000C8F" w:rsidRPr="00273DE8" w:rsidRDefault="00000C8F" w:rsidP="003E06AB">
            <w:pPr>
              <w:widowControl/>
              <w:autoSpaceDE w:val="0"/>
              <w:autoSpaceDN w:val="0"/>
              <w:adjustRightInd w:val="0"/>
              <w:jc w:val="center"/>
              <w:rPr>
                <w:rFonts w:ascii="Calibri" w:eastAsia="Calibri" w:hAnsi="Calibri" w:cs="Calibri"/>
                <w:color w:val="FFFFFF"/>
                <w:szCs w:val="20"/>
              </w:rPr>
            </w:pPr>
            <w:proofErr w:type="spellStart"/>
            <w:r w:rsidRPr="00273DE8">
              <w:rPr>
                <w:rFonts w:ascii="Calibri" w:eastAsia="Calibri" w:hAnsi="Calibri" w:cs="Calibri"/>
                <w:b/>
                <w:bCs/>
                <w:color w:val="FFFFFF"/>
                <w:szCs w:val="20"/>
              </w:rPr>
              <w:t>Gas_Furnace_Heating_Load</w:t>
            </w:r>
            <w:proofErr w:type="spellEnd"/>
            <w:r w:rsidRPr="00273DE8">
              <w:rPr>
                <w:rFonts w:ascii="Calibri" w:eastAsia="Calibri" w:hAnsi="Calibri" w:cs="Calibri"/>
                <w:b/>
                <w:bCs/>
                <w:color w:val="FFFFFF"/>
                <w:szCs w:val="20"/>
              </w:rPr>
              <w:t xml:space="preserve"> (therms)</w:t>
            </w:r>
          </w:p>
        </w:tc>
      </w:tr>
      <w:tr w:rsidR="00000C8F" w:rsidRPr="00273DE8" w:rsidTr="003E06AB">
        <w:trPr>
          <w:trHeight w:val="97"/>
          <w:jc w:val="center"/>
        </w:trPr>
        <w:tc>
          <w:tcPr>
            <w:tcW w:w="2004"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1 (Rockford) </w:t>
            </w:r>
          </w:p>
        </w:tc>
        <w:tc>
          <w:tcPr>
            <w:tcW w:w="2840"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873</w:t>
            </w:r>
          </w:p>
        </w:tc>
      </w:tr>
      <w:tr w:rsidR="00000C8F" w:rsidRPr="00273DE8" w:rsidTr="003E06AB">
        <w:trPr>
          <w:trHeight w:val="97"/>
          <w:jc w:val="center"/>
        </w:trPr>
        <w:tc>
          <w:tcPr>
            <w:tcW w:w="2004"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2 (Chicago) </w:t>
            </w:r>
          </w:p>
        </w:tc>
        <w:tc>
          <w:tcPr>
            <w:tcW w:w="2840"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834</w:t>
            </w:r>
          </w:p>
        </w:tc>
      </w:tr>
      <w:tr w:rsidR="00000C8F" w:rsidRPr="00273DE8" w:rsidTr="003E06AB">
        <w:trPr>
          <w:trHeight w:val="97"/>
          <w:jc w:val="center"/>
        </w:trPr>
        <w:tc>
          <w:tcPr>
            <w:tcW w:w="2004"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3 (Springfield) </w:t>
            </w:r>
          </w:p>
        </w:tc>
        <w:tc>
          <w:tcPr>
            <w:tcW w:w="2840"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714</w:t>
            </w:r>
          </w:p>
        </w:tc>
      </w:tr>
      <w:tr w:rsidR="00000C8F" w:rsidRPr="00273DE8" w:rsidTr="003E06AB">
        <w:trPr>
          <w:trHeight w:val="97"/>
          <w:jc w:val="center"/>
        </w:trPr>
        <w:tc>
          <w:tcPr>
            <w:tcW w:w="2004"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4 (Belleville) </w:t>
            </w:r>
          </w:p>
        </w:tc>
        <w:tc>
          <w:tcPr>
            <w:tcW w:w="2840"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551</w:t>
            </w:r>
          </w:p>
        </w:tc>
      </w:tr>
      <w:tr w:rsidR="00000C8F" w:rsidRPr="00273DE8" w:rsidTr="003E06AB">
        <w:trPr>
          <w:trHeight w:val="70"/>
          <w:jc w:val="center"/>
        </w:trPr>
        <w:tc>
          <w:tcPr>
            <w:tcW w:w="2004"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5 (Marion) </w:t>
            </w:r>
          </w:p>
        </w:tc>
        <w:tc>
          <w:tcPr>
            <w:tcW w:w="2840"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561</w:t>
            </w:r>
          </w:p>
        </w:tc>
      </w:tr>
      <w:tr w:rsidR="00000C8F" w:rsidRPr="00273DE8" w:rsidTr="003E06AB">
        <w:trPr>
          <w:trHeight w:val="97"/>
          <w:jc w:val="center"/>
        </w:trPr>
        <w:tc>
          <w:tcPr>
            <w:tcW w:w="2004"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Average </w:t>
            </w:r>
          </w:p>
        </w:tc>
        <w:tc>
          <w:tcPr>
            <w:tcW w:w="2840"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793</w:t>
            </w:r>
          </w:p>
        </w:tc>
      </w:tr>
    </w:tbl>
    <w:p w:rsidR="00000C8F" w:rsidRPr="00273DE8" w:rsidRDefault="00000C8F" w:rsidP="00000C8F">
      <w:pPr>
        <w:spacing w:after="240"/>
        <w:ind w:left="2880"/>
        <w:rPr>
          <w:rFonts w:ascii="Calibri" w:hAnsi="Calibri"/>
        </w:rPr>
      </w:pPr>
    </w:p>
    <w:p w:rsidR="00000C8F" w:rsidRPr="00273DE8" w:rsidRDefault="00000C8F" w:rsidP="00000C8F">
      <w:pPr>
        <w:spacing w:after="240"/>
        <w:ind w:firstLine="720"/>
        <w:rPr>
          <w:rFonts w:ascii="Calibri" w:hAnsi="Calibri"/>
        </w:rPr>
      </w:pPr>
      <w:r w:rsidRPr="00273DE8">
        <w:rPr>
          <w:rFonts w:ascii="Calibri" w:hAnsi="Calibri"/>
          <w:szCs w:val="20"/>
        </w:rPr>
        <w:t xml:space="preserve">HF </w:t>
      </w:r>
      <w:r w:rsidRPr="00273DE8">
        <w:rPr>
          <w:rFonts w:ascii="Calibri" w:hAnsi="Calibri"/>
          <w:szCs w:val="20"/>
        </w:rPr>
        <w:tab/>
      </w:r>
      <w:r w:rsidRPr="00273DE8">
        <w:rPr>
          <w:rFonts w:ascii="Calibri" w:hAnsi="Calibri"/>
          <w:szCs w:val="20"/>
        </w:rPr>
        <w:tab/>
        <w:t>= Household factor, to adjust heating consumption for non-single-family households.</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3"/>
        <w:gridCol w:w="1623"/>
      </w:tblGrid>
      <w:tr w:rsidR="00000C8F" w:rsidRPr="00273DE8" w:rsidTr="003E06AB">
        <w:trPr>
          <w:trHeight w:val="99"/>
          <w:jc w:val="center"/>
        </w:trPr>
        <w:tc>
          <w:tcPr>
            <w:tcW w:w="1623" w:type="dxa"/>
            <w:shd w:val="clear" w:color="auto" w:fill="A6A6A6" w:themeFill="background1" w:themeFillShade="A6"/>
          </w:tcPr>
          <w:p w:rsidR="00000C8F" w:rsidRPr="00273DE8" w:rsidRDefault="00000C8F" w:rsidP="003E06AB">
            <w:pPr>
              <w:widowControl/>
              <w:autoSpaceDE w:val="0"/>
              <w:autoSpaceDN w:val="0"/>
              <w:adjustRightInd w:val="0"/>
              <w:jc w:val="left"/>
              <w:rPr>
                <w:rFonts w:ascii="Calibri" w:eastAsia="Calibri" w:hAnsi="Calibri" w:cs="Calibri"/>
                <w:color w:val="FFFFFF"/>
                <w:szCs w:val="20"/>
              </w:rPr>
            </w:pPr>
            <w:r w:rsidRPr="00273DE8">
              <w:rPr>
                <w:rFonts w:ascii="Calibri" w:eastAsia="Calibri" w:hAnsi="Calibri" w:cs="Calibri"/>
                <w:b/>
                <w:bCs/>
                <w:color w:val="FFFFFF"/>
                <w:szCs w:val="20"/>
              </w:rPr>
              <w:t xml:space="preserve">Household Type </w:t>
            </w:r>
          </w:p>
        </w:tc>
        <w:tc>
          <w:tcPr>
            <w:tcW w:w="1623" w:type="dxa"/>
            <w:shd w:val="clear" w:color="auto" w:fill="A6A6A6" w:themeFill="background1" w:themeFillShade="A6"/>
          </w:tcPr>
          <w:p w:rsidR="00000C8F" w:rsidRPr="00273DE8" w:rsidRDefault="00000C8F" w:rsidP="003E06AB">
            <w:pPr>
              <w:widowControl/>
              <w:autoSpaceDE w:val="0"/>
              <w:autoSpaceDN w:val="0"/>
              <w:adjustRightInd w:val="0"/>
              <w:jc w:val="center"/>
              <w:rPr>
                <w:rFonts w:ascii="Calibri" w:eastAsia="Calibri" w:hAnsi="Calibri" w:cs="Calibri"/>
                <w:color w:val="FFFFFF"/>
                <w:szCs w:val="20"/>
              </w:rPr>
            </w:pPr>
            <w:r w:rsidRPr="00273DE8">
              <w:rPr>
                <w:rFonts w:ascii="Calibri" w:eastAsia="Calibri" w:hAnsi="Calibri" w:cs="Calibri"/>
                <w:b/>
                <w:bCs/>
                <w:color w:val="FFFFFF"/>
                <w:szCs w:val="20"/>
              </w:rPr>
              <w:t>HF</w:t>
            </w:r>
          </w:p>
        </w:tc>
      </w:tr>
      <w:tr w:rsidR="00000C8F" w:rsidRPr="00273DE8" w:rsidTr="003E06AB">
        <w:trPr>
          <w:trHeight w:val="99"/>
          <w:jc w:val="center"/>
        </w:trPr>
        <w:tc>
          <w:tcPr>
            <w:tcW w:w="1623"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Single-Family </w:t>
            </w:r>
          </w:p>
        </w:tc>
        <w:tc>
          <w:tcPr>
            <w:tcW w:w="1623"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100%</w:t>
            </w:r>
          </w:p>
        </w:tc>
      </w:tr>
      <w:tr w:rsidR="00000C8F" w:rsidRPr="00273DE8" w:rsidTr="003E06AB">
        <w:trPr>
          <w:trHeight w:val="123"/>
          <w:jc w:val="center"/>
        </w:trPr>
        <w:tc>
          <w:tcPr>
            <w:tcW w:w="1623"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Multi-Family </w:t>
            </w:r>
          </w:p>
        </w:tc>
        <w:tc>
          <w:tcPr>
            <w:tcW w:w="1623"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65%</w:t>
            </w:r>
            <w:r w:rsidRPr="00273DE8">
              <w:rPr>
                <w:rFonts w:ascii="Arial" w:eastAsia="Calibri" w:hAnsi="Arial"/>
                <w:color w:val="000000"/>
                <w:szCs w:val="20"/>
                <w:vertAlign w:val="superscript"/>
              </w:rPr>
              <w:footnoteReference w:id="7"/>
            </w:r>
          </w:p>
        </w:tc>
      </w:tr>
      <w:tr w:rsidR="00000C8F" w:rsidRPr="00273DE8" w:rsidTr="003E06AB">
        <w:trPr>
          <w:trHeight w:val="123"/>
          <w:jc w:val="center"/>
        </w:trPr>
        <w:tc>
          <w:tcPr>
            <w:tcW w:w="1623" w:type="dxa"/>
          </w:tcPr>
          <w:p w:rsidR="00000C8F" w:rsidRPr="00273DE8" w:rsidRDefault="00000C8F" w:rsidP="003E06AB">
            <w:pPr>
              <w:widowControl/>
              <w:autoSpaceDE w:val="0"/>
              <w:autoSpaceDN w:val="0"/>
              <w:adjustRightInd w:val="0"/>
              <w:jc w:val="left"/>
              <w:rPr>
                <w:rFonts w:ascii="Calibri" w:eastAsia="Calibri" w:hAnsi="Calibri" w:cs="Calibri"/>
                <w:color w:val="000000"/>
                <w:szCs w:val="20"/>
              </w:rPr>
            </w:pPr>
            <w:r w:rsidRPr="00273DE8">
              <w:rPr>
                <w:rFonts w:ascii="Calibri" w:eastAsia="Calibri" w:hAnsi="Calibri" w:cs="Calibri"/>
                <w:color w:val="000000"/>
                <w:szCs w:val="20"/>
              </w:rPr>
              <w:t xml:space="preserve">Actual </w:t>
            </w:r>
          </w:p>
        </w:tc>
        <w:tc>
          <w:tcPr>
            <w:tcW w:w="1623" w:type="dxa"/>
          </w:tcPr>
          <w:p w:rsidR="00000C8F" w:rsidRPr="00273DE8" w:rsidRDefault="00000C8F" w:rsidP="003E06AB">
            <w:pPr>
              <w:widowControl/>
              <w:autoSpaceDE w:val="0"/>
              <w:autoSpaceDN w:val="0"/>
              <w:adjustRightInd w:val="0"/>
              <w:jc w:val="center"/>
              <w:rPr>
                <w:rFonts w:ascii="Calibri" w:eastAsia="Calibri" w:hAnsi="Calibri" w:cs="Calibri"/>
                <w:color w:val="000000"/>
                <w:szCs w:val="20"/>
              </w:rPr>
            </w:pPr>
            <w:r w:rsidRPr="00273DE8">
              <w:rPr>
                <w:rFonts w:ascii="Calibri" w:eastAsia="Calibri" w:hAnsi="Calibri" w:cs="Calibri"/>
                <w:color w:val="000000"/>
                <w:szCs w:val="20"/>
              </w:rPr>
              <w:t>Custom</w:t>
            </w:r>
            <w:r w:rsidRPr="00273DE8">
              <w:rPr>
                <w:rFonts w:ascii="Arial" w:eastAsia="Calibri" w:hAnsi="Arial"/>
                <w:color w:val="000000"/>
                <w:szCs w:val="20"/>
                <w:vertAlign w:val="superscript"/>
              </w:rPr>
              <w:footnoteReference w:id="8"/>
            </w:r>
          </w:p>
        </w:tc>
      </w:tr>
    </w:tbl>
    <w:p w:rsidR="00000C8F" w:rsidRPr="00273DE8" w:rsidRDefault="00000C8F" w:rsidP="00000C8F">
      <w:pPr>
        <w:spacing w:after="240"/>
        <w:ind w:left="1440" w:firstLine="720"/>
        <w:rPr>
          <w:rFonts w:ascii="Calibri" w:hAnsi="Calibri"/>
        </w:rPr>
      </w:pPr>
    </w:p>
    <w:p w:rsidR="00000C8F" w:rsidRPr="00273DE8" w:rsidRDefault="00000C8F" w:rsidP="00000C8F">
      <w:pPr>
        <w:spacing w:after="240"/>
        <w:ind w:firstLine="720"/>
        <w:rPr>
          <w:rFonts w:ascii="Calibri" w:hAnsi="Calibri"/>
        </w:rPr>
      </w:pPr>
      <w:proofErr w:type="spellStart"/>
      <w:r w:rsidRPr="00273DE8">
        <w:rPr>
          <w:rFonts w:ascii="Calibri" w:hAnsi="Calibri"/>
        </w:rPr>
        <w:t>Effbefore</w:t>
      </w:r>
      <w:proofErr w:type="spellEnd"/>
      <w:r w:rsidRPr="00273DE8">
        <w:rPr>
          <w:rFonts w:ascii="Calibri" w:hAnsi="Calibri"/>
        </w:rPr>
        <w:tab/>
        <w:t xml:space="preserve">= Efficiency of the furnace before the tune-up </w:t>
      </w:r>
    </w:p>
    <w:p w:rsidR="00000C8F" w:rsidRDefault="00000C8F" w:rsidP="00000C8F">
      <w:pPr>
        <w:spacing w:after="240"/>
        <w:ind w:left="1440" w:firstLine="720"/>
        <w:rPr>
          <w:ins w:id="2" w:author="Samuel Dent" w:date="2015-11-18T10:12:00Z"/>
          <w:rFonts w:ascii="Calibri" w:hAnsi="Calibri"/>
        </w:rPr>
      </w:pPr>
      <w:r w:rsidRPr="00273DE8">
        <w:rPr>
          <w:rFonts w:ascii="Calibri" w:hAnsi="Calibri"/>
        </w:rPr>
        <w:t xml:space="preserve">= Actual </w:t>
      </w:r>
    </w:p>
    <w:p w:rsidR="00B2497A" w:rsidRPr="00B2497A" w:rsidRDefault="00B2497A" w:rsidP="00B2497A">
      <w:pPr>
        <w:ind w:left="1440"/>
        <w:rPr>
          <w:ins w:id="3" w:author="Samuel Dent" w:date="2015-11-18T10:12:00Z"/>
          <w:i/>
          <w:iCs/>
        </w:rPr>
      </w:pPr>
      <w:ins w:id="4" w:author="Samuel Dent" w:date="2015-11-18T10:12:00Z">
        <w:r w:rsidRPr="00B2497A">
          <w:rPr>
            <w:i/>
            <w:iCs/>
          </w:rPr>
          <w:t>Note: Contractors should select a mid-level firing rate that appropriately represents the average building operating condition over the course of the heating season and take readings at a consistent firing rate for pre and post tune-up.</w:t>
        </w:r>
      </w:ins>
    </w:p>
    <w:p w:rsidR="00B2497A" w:rsidRPr="00273DE8" w:rsidDel="00B2497A" w:rsidRDefault="00B2497A" w:rsidP="00000C8F">
      <w:pPr>
        <w:spacing w:after="240"/>
        <w:ind w:left="1440" w:firstLine="720"/>
        <w:rPr>
          <w:del w:id="5" w:author="Samuel Dent" w:date="2015-11-18T10:12:00Z"/>
          <w:rFonts w:ascii="Calibri" w:hAnsi="Calibri"/>
        </w:rPr>
      </w:pPr>
    </w:p>
    <w:p w:rsidR="00000C8F" w:rsidRPr="00273DE8" w:rsidRDefault="00000C8F" w:rsidP="00000C8F">
      <w:pPr>
        <w:spacing w:after="240"/>
        <w:ind w:firstLine="720"/>
        <w:rPr>
          <w:rFonts w:ascii="Calibri" w:hAnsi="Calibri"/>
        </w:rPr>
      </w:pPr>
      <w:r w:rsidRPr="00273DE8">
        <w:rPr>
          <w:rFonts w:ascii="Calibri" w:hAnsi="Calibri"/>
        </w:rPr>
        <w:t xml:space="preserve">EI </w:t>
      </w:r>
      <w:r w:rsidRPr="00273DE8">
        <w:rPr>
          <w:rFonts w:ascii="Calibri" w:hAnsi="Calibri"/>
        </w:rPr>
        <w:tab/>
      </w:r>
      <w:r w:rsidRPr="00273DE8">
        <w:rPr>
          <w:rFonts w:ascii="Calibri" w:hAnsi="Calibri"/>
        </w:rPr>
        <w:tab/>
        <w:t>= Efficiency Improvement of the furnace tune-up measure</w:t>
      </w:r>
    </w:p>
    <w:p w:rsidR="00000C8F" w:rsidRPr="00273DE8" w:rsidRDefault="00000C8F" w:rsidP="00000C8F">
      <w:pPr>
        <w:spacing w:after="240"/>
        <w:ind w:left="1440" w:firstLine="720"/>
        <w:rPr>
          <w:rFonts w:ascii="Calibri" w:hAnsi="Calibri"/>
        </w:rPr>
      </w:pPr>
      <w:r w:rsidRPr="00273DE8">
        <w:rPr>
          <w:rFonts w:ascii="Calibri" w:hAnsi="Calibri"/>
        </w:rPr>
        <w:t xml:space="preserve">= Actual </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lastRenderedPageBreak/>
        <w:t xml:space="preserve">Water Impact Descriptions and Calculation  </w:t>
      </w:r>
    </w:p>
    <w:p w:rsidR="00000C8F" w:rsidRPr="00273DE8" w:rsidRDefault="00000C8F" w:rsidP="00000C8F">
      <w:pPr>
        <w:spacing w:after="240"/>
        <w:rPr>
          <w:rFonts w:ascii="Calibri" w:hAnsi="Calibri"/>
        </w:rPr>
      </w:pPr>
      <w:r w:rsidRPr="00273DE8">
        <w:rPr>
          <w:rFonts w:ascii="Calibri" w:hAnsi="Calibri"/>
        </w:rPr>
        <w:t>N/A</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Deemed O&amp;M Cost Adjustment Calculation</w:t>
      </w:r>
    </w:p>
    <w:p w:rsidR="00000C8F" w:rsidRPr="00273DE8" w:rsidRDefault="00000C8F" w:rsidP="00000C8F">
      <w:pPr>
        <w:spacing w:after="240"/>
        <w:rPr>
          <w:rFonts w:ascii="Calibri" w:hAnsi="Calibri"/>
        </w:rPr>
      </w:pPr>
      <w:r w:rsidRPr="00273DE8">
        <w:rPr>
          <w:rFonts w:ascii="Calibri" w:hAnsi="Calibri"/>
        </w:rPr>
        <w:t>N/A</w:t>
      </w:r>
    </w:p>
    <w:p w:rsidR="00000C8F" w:rsidRPr="00273DE8" w:rsidRDefault="00000C8F" w:rsidP="00000C8F">
      <w:pPr>
        <w:keepNext/>
        <w:keepLines/>
        <w:spacing w:before="200" w:after="240" w:line="276" w:lineRule="auto"/>
        <w:outlineLvl w:val="5"/>
        <w:rPr>
          <w:rFonts w:ascii="Calibri" w:hAnsi="Calibri"/>
          <w:b/>
          <w:smallCaps/>
        </w:rPr>
      </w:pPr>
      <w:r w:rsidRPr="00273DE8">
        <w:rPr>
          <w:rFonts w:ascii="Calibri" w:hAnsi="Calibri"/>
          <w:b/>
          <w:smallCaps/>
        </w:rPr>
        <w:t>O&amp;M Cost Adjustment Calculation</w:t>
      </w:r>
    </w:p>
    <w:p w:rsidR="00000C8F" w:rsidRPr="00273DE8" w:rsidRDefault="00000C8F" w:rsidP="00000C8F">
      <w:pPr>
        <w:spacing w:after="240"/>
        <w:rPr>
          <w:rFonts w:ascii="Calibri" w:hAnsi="Calibri"/>
        </w:rPr>
      </w:pPr>
      <w:r w:rsidRPr="00273DE8">
        <w:rPr>
          <w:rFonts w:ascii="Calibri" w:hAnsi="Calibri"/>
        </w:rPr>
        <w:t>N/A</w:t>
      </w:r>
    </w:p>
    <w:p w:rsidR="00000C8F" w:rsidDel="00732963" w:rsidRDefault="00000C8F" w:rsidP="00000C8F">
      <w:pPr>
        <w:keepNext/>
        <w:keepLines/>
        <w:spacing w:before="200" w:after="240" w:line="276" w:lineRule="auto"/>
        <w:jc w:val="left"/>
        <w:outlineLvl w:val="5"/>
        <w:rPr>
          <w:del w:id="6" w:author="Samuel Dent" w:date="2015-11-18T10:13:00Z"/>
          <w:rFonts w:ascii="Calibri" w:hAnsi="Calibri"/>
          <w:b/>
          <w:smallCaps/>
        </w:rPr>
        <w:sectPr w:rsidR="00000C8F" w:rsidDel="00732963" w:rsidSect="00B64B6A">
          <w:headerReference w:type="default" r:id="rId8"/>
          <w:pgSz w:w="12240" w:h="15840" w:code="1"/>
          <w:pgMar w:top="1440" w:right="1440" w:bottom="1440" w:left="1440" w:header="720" w:footer="720" w:gutter="0"/>
          <w:cols w:space="720"/>
          <w:docGrid w:linePitch="360"/>
        </w:sectPr>
      </w:pPr>
      <w:r w:rsidRPr="00273DE8">
        <w:rPr>
          <w:rFonts w:ascii="Calibri" w:hAnsi="Calibri"/>
          <w:b/>
          <w:smallCaps/>
        </w:rPr>
        <w:t>Measure Code: RS-HVC-FTUN-</w:t>
      </w:r>
      <w:del w:id="7" w:author="Samuel Dent" w:date="2015-11-18T10:12:00Z">
        <w:r w:rsidRPr="00273DE8" w:rsidDel="00B2497A">
          <w:rPr>
            <w:rFonts w:ascii="Calibri" w:hAnsi="Calibri"/>
            <w:b/>
            <w:smallCaps/>
          </w:rPr>
          <w:delText>V01</w:delText>
        </w:r>
      </w:del>
      <w:ins w:id="8" w:author="Samuel Dent" w:date="2015-11-18T10:12:00Z">
        <w:r w:rsidR="00B2497A" w:rsidRPr="00273DE8">
          <w:rPr>
            <w:rFonts w:ascii="Calibri" w:hAnsi="Calibri"/>
            <w:b/>
            <w:smallCaps/>
          </w:rPr>
          <w:t>V0</w:t>
        </w:r>
        <w:r w:rsidR="00B2497A">
          <w:rPr>
            <w:rFonts w:ascii="Calibri" w:hAnsi="Calibri"/>
            <w:b/>
            <w:smallCaps/>
          </w:rPr>
          <w:t>2</w:t>
        </w:r>
      </w:ins>
      <w:r w:rsidRPr="00273DE8">
        <w:rPr>
          <w:rFonts w:ascii="Calibri" w:hAnsi="Calibri"/>
          <w:b/>
          <w:smallCaps/>
        </w:rPr>
        <w:t>-</w:t>
      </w:r>
      <w:del w:id="9" w:author="Samuel Dent" w:date="2015-11-18T10:12:00Z">
        <w:r w:rsidRPr="00273DE8" w:rsidDel="00B2497A">
          <w:rPr>
            <w:rFonts w:ascii="Calibri" w:hAnsi="Calibri"/>
            <w:b/>
            <w:smallCaps/>
          </w:rPr>
          <w:delText>150601</w:delText>
        </w:r>
      </w:del>
      <w:ins w:id="10" w:author="Samuel Dent" w:date="2015-11-18T10:12:00Z">
        <w:r w:rsidR="00B2497A" w:rsidRPr="00273DE8">
          <w:rPr>
            <w:rFonts w:ascii="Calibri" w:hAnsi="Calibri"/>
            <w:b/>
            <w:smallCaps/>
          </w:rPr>
          <w:t>1</w:t>
        </w:r>
        <w:r w:rsidR="00B2497A">
          <w:rPr>
            <w:rFonts w:ascii="Calibri" w:hAnsi="Calibri"/>
            <w:b/>
            <w:smallCaps/>
          </w:rPr>
          <w:t>6</w:t>
        </w:r>
        <w:r w:rsidR="00B2497A" w:rsidRPr="00273DE8">
          <w:rPr>
            <w:rFonts w:ascii="Calibri" w:hAnsi="Calibri"/>
            <w:b/>
            <w:smallCaps/>
          </w:rPr>
          <w:t>0601</w:t>
        </w:r>
      </w:ins>
    </w:p>
    <w:p w:rsidR="00D5281E" w:rsidRDefault="00D5281E" w:rsidP="00732963">
      <w:pPr>
        <w:keepNext/>
        <w:keepLines/>
        <w:spacing w:before="200" w:after="240" w:line="276" w:lineRule="auto"/>
        <w:jc w:val="left"/>
        <w:outlineLvl w:val="5"/>
        <w:pPrChange w:id="11" w:author="Samuel Dent" w:date="2015-11-18T10:13:00Z">
          <w:pPr/>
        </w:pPrChange>
      </w:pPr>
      <w:bookmarkStart w:id="12" w:name="_GoBack"/>
      <w:bookmarkEnd w:id="12"/>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C8F" w:rsidRDefault="00000C8F" w:rsidP="00000C8F">
      <w:pPr>
        <w:spacing w:after="0"/>
      </w:pPr>
      <w:r>
        <w:separator/>
      </w:r>
    </w:p>
  </w:endnote>
  <w:endnote w:type="continuationSeparator" w:id="0">
    <w:p w:rsidR="00000C8F" w:rsidRDefault="00000C8F" w:rsidP="00000C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C8F" w:rsidRDefault="00000C8F" w:rsidP="00000C8F">
      <w:pPr>
        <w:spacing w:after="0"/>
      </w:pPr>
      <w:r>
        <w:separator/>
      </w:r>
    </w:p>
  </w:footnote>
  <w:footnote w:type="continuationSeparator" w:id="0">
    <w:p w:rsidR="00000C8F" w:rsidRDefault="00000C8F" w:rsidP="00000C8F">
      <w:pPr>
        <w:spacing w:after="0"/>
      </w:pPr>
      <w:r>
        <w:continuationSeparator/>
      </w:r>
    </w:p>
  </w:footnote>
  <w:footnote w:id="1">
    <w:p w:rsidR="00000C8F" w:rsidRPr="009C362B" w:rsidRDefault="00000C8F" w:rsidP="00000C8F">
      <w:pPr>
        <w:pStyle w:val="Footnote"/>
        <w:rPr>
          <w:szCs w:val="18"/>
        </w:rPr>
      </w:pPr>
      <w:r w:rsidRPr="009C362B">
        <w:rPr>
          <w:rStyle w:val="FootnoteReference"/>
          <w:szCs w:val="18"/>
        </w:rPr>
        <w:footnoteRef/>
      </w:r>
      <w:r w:rsidRPr="009C362B">
        <w:rPr>
          <w:szCs w:val="18"/>
        </w:rPr>
        <w:t xml:space="preserve"> American Standard Maintenance for Indoor Units: http://www.americanstandardair.com/owner-support/maintenance.html</w:t>
      </w:r>
    </w:p>
  </w:footnote>
  <w:footnote w:id="2">
    <w:p w:rsidR="00000C8F" w:rsidRPr="009C362B" w:rsidRDefault="00000C8F" w:rsidP="00000C8F">
      <w:pPr>
        <w:pStyle w:val="Footnote"/>
        <w:rPr>
          <w:color w:val="FF0000"/>
          <w:szCs w:val="18"/>
        </w:rPr>
      </w:pPr>
      <w:r w:rsidRPr="009C362B">
        <w:rPr>
          <w:rStyle w:val="FootnoteReference"/>
          <w:szCs w:val="18"/>
        </w:rPr>
        <w:footnoteRef/>
      </w:r>
      <w:r w:rsidRPr="009C362B">
        <w:rPr>
          <w:szCs w:val="18"/>
        </w:rPr>
        <w:t>Act on Energy Commercial Technical Reference Manual No. 2010-4, 9.2.3 Gas Forced-Air Furnace Tune-up.</w:t>
      </w:r>
    </w:p>
  </w:footnote>
  <w:footnote w:id="3">
    <w:p w:rsidR="00000C8F" w:rsidRPr="009C362B" w:rsidRDefault="00000C8F" w:rsidP="00000C8F">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w:t>
      </w:r>
      <w:proofErr w:type="spellStart"/>
      <w:r w:rsidRPr="009C362B">
        <w:rPr>
          <w:szCs w:val="18"/>
        </w:rPr>
        <w:t>Ef</w:t>
      </w:r>
      <w:proofErr w:type="spellEnd"/>
      <w:r w:rsidRPr="009C362B">
        <w:rPr>
          <w:szCs w:val="18"/>
        </w:rPr>
        <w:t xml:space="preserve"> in </w:t>
      </w:r>
      <w:proofErr w:type="spellStart"/>
      <w:r w:rsidRPr="009C362B">
        <w:rPr>
          <w:szCs w:val="18"/>
        </w:rPr>
        <w:t>MMBtu</w:t>
      </w:r>
      <w:proofErr w:type="spellEnd"/>
      <w:r w:rsidRPr="009C362B">
        <w:rPr>
          <w:szCs w:val="18"/>
        </w:rPr>
        <w:t>/</w:t>
      </w:r>
      <w:proofErr w:type="spellStart"/>
      <w:r w:rsidRPr="009C362B">
        <w:rPr>
          <w:szCs w:val="18"/>
        </w:rPr>
        <w:t>yr</w:t>
      </w:r>
      <w:proofErr w:type="spellEnd"/>
      <w:r w:rsidRPr="009C362B">
        <w:rPr>
          <w:szCs w:val="18"/>
        </w:rPr>
        <w:t xml:space="preserve">) and </w:t>
      </w:r>
      <w:proofErr w:type="spellStart"/>
      <w:r w:rsidRPr="009C362B">
        <w:rPr>
          <w:szCs w:val="18"/>
        </w:rPr>
        <w:t>Eae</w:t>
      </w:r>
      <w:proofErr w:type="spellEnd"/>
      <w:r w:rsidRPr="009C362B">
        <w:rPr>
          <w:szCs w:val="18"/>
        </w:rPr>
        <w:t xml:space="preserve"> (kWh/</w:t>
      </w:r>
      <w:proofErr w:type="spellStart"/>
      <w:r w:rsidRPr="009C362B">
        <w:rPr>
          <w:szCs w:val="18"/>
        </w:rPr>
        <w:t>yr</w:t>
      </w:r>
      <w:proofErr w:type="spellEnd"/>
      <w:r w:rsidRPr="009C362B">
        <w:rPr>
          <w:szCs w:val="18"/>
        </w:rPr>
        <w:t>).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4">
    <w:p w:rsidR="00000C8F" w:rsidRPr="009C362B" w:rsidRDefault="00000C8F" w:rsidP="00000C8F">
      <w:pPr>
        <w:pStyle w:val="Footnote"/>
        <w:rPr>
          <w:szCs w:val="18"/>
        </w:rPr>
      </w:pPr>
      <w:r w:rsidRPr="009C362B">
        <w:rPr>
          <w:rStyle w:val="FootnoteReference"/>
          <w:szCs w:val="18"/>
        </w:rPr>
        <w:footnoteRef/>
      </w:r>
      <w:r w:rsidRPr="009C362B">
        <w:rPr>
          <w:szCs w:val="18"/>
        </w:rPr>
        <w:t xml:space="preserve">Heating load is used to describe the household heating need, which is equal to (gas consumption * AFUE ) </w:t>
      </w:r>
    </w:p>
  </w:footnote>
  <w:footnote w:id="5">
    <w:p w:rsidR="00000C8F" w:rsidRPr="009C362B" w:rsidRDefault="00000C8F" w:rsidP="00000C8F">
      <w:pPr>
        <w:pStyle w:val="Footnote"/>
        <w:rPr>
          <w:szCs w:val="18"/>
        </w:rPr>
      </w:pPr>
      <w:r w:rsidRPr="009C362B">
        <w:rPr>
          <w:rStyle w:val="FootnoteReference"/>
          <w:szCs w:val="18"/>
        </w:rPr>
        <w:footnoteRef/>
      </w:r>
      <w:r w:rsidRPr="009C362B">
        <w:rPr>
          <w:szCs w:val="18"/>
        </w:rPr>
        <w:t xml:space="preserve"> Values are based on household heating consumption values and inferred average AFUE results from Table 2-1, Energy Efficiency / Demand Response </w:t>
      </w:r>
      <w:proofErr w:type="spellStart"/>
      <w:r w:rsidRPr="009C362B">
        <w:rPr>
          <w:szCs w:val="18"/>
        </w:rPr>
        <w:t>Nicor</w:t>
      </w:r>
      <w:proofErr w:type="spellEnd"/>
      <w:r w:rsidRPr="009C362B">
        <w:rPr>
          <w:szCs w:val="18"/>
        </w:rPr>
        <w:t xml:space="preserve"> Gas Plan Year 1 (6/1/2011-5/31/2012) Research Report: Furnace Metering Study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6">
    <w:p w:rsidR="00000C8F" w:rsidRPr="009C362B" w:rsidRDefault="00000C8F" w:rsidP="00000C8F">
      <w:pPr>
        <w:pStyle w:val="Footnote"/>
        <w:rPr>
          <w:szCs w:val="18"/>
        </w:rPr>
      </w:pPr>
      <w:r w:rsidRPr="009C362B">
        <w:rPr>
          <w:rStyle w:val="FootnoteReference"/>
          <w:szCs w:val="18"/>
        </w:rPr>
        <w:footnoteRef/>
      </w:r>
      <w:r w:rsidRPr="009C362B">
        <w:rPr>
          <w:szCs w:val="18"/>
        </w:rPr>
        <w:t xml:space="preserve"> The Air Conditioning Contractors of America Manual J, Residential Load Calculation 8th Edition produces equipment sizing loads for Single Family, Multi-single, and Condominiums using input characteristics of the home.</w:t>
      </w:r>
    </w:p>
  </w:footnote>
  <w:footnote w:id="7">
    <w:p w:rsidR="00000C8F" w:rsidRPr="009C362B" w:rsidRDefault="00000C8F" w:rsidP="00000C8F">
      <w:pPr>
        <w:pStyle w:val="Footnote"/>
        <w:rPr>
          <w:szCs w:val="18"/>
        </w:rPr>
      </w:pPr>
      <w:r w:rsidRPr="009C362B">
        <w:rPr>
          <w:rStyle w:val="FootnoteReference"/>
          <w:szCs w:val="18"/>
        </w:rPr>
        <w:footnoteRef/>
      </w:r>
      <w:r w:rsidRPr="009C362B">
        <w:rPr>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w:t>
      </w:r>
    </w:p>
  </w:footnote>
  <w:footnote w:id="8">
    <w:p w:rsidR="00000C8F" w:rsidRPr="009C362B" w:rsidRDefault="00000C8F" w:rsidP="00000C8F">
      <w:pPr>
        <w:pStyle w:val="Footnote"/>
        <w:rPr>
          <w:szCs w:val="18"/>
        </w:rPr>
      </w:pPr>
      <w:r w:rsidRPr="009C362B">
        <w:rPr>
          <w:rStyle w:val="FootnoteReference"/>
          <w:szCs w:val="18"/>
        </w:rPr>
        <w:footnoteRef/>
      </w:r>
      <w:r w:rsidRPr="009C362B">
        <w:rPr>
          <w:szCs w:val="18"/>
        </w:rPr>
        <w:t xml:space="preserve"> Program-specific household factors may be utilized on the basis of sufficiently validated program evaluations.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C8F" w:rsidRPr="004A7427" w:rsidRDefault="00000C8F" w:rsidP="00645A06">
    <w:pPr>
      <w:pStyle w:val="HeaderIL"/>
    </w:pPr>
    <w:r w:rsidRPr="005D746C">
      <w:t xml:space="preserve">Illinois Statewide Technical Reference Manual - </w:t>
    </w:r>
    <w:r>
      <w:fldChar w:fldCharType="begin"/>
    </w:r>
    <w:r>
      <w:instrText xml:space="preserve"> REF _Ref406678047 \r \h </w:instrText>
    </w:r>
    <w:r>
      <w:fldChar w:fldCharType="separate"/>
    </w:r>
    <w:r>
      <w:t>5.3.13</w:t>
    </w:r>
    <w:r>
      <w:fldChar w:fldCharType="end"/>
    </w:r>
    <w:r>
      <w:t xml:space="preserve"> </w:t>
    </w:r>
    <w:r w:rsidRPr="009C362B">
      <w:rPr>
        <w:sz w:val="18"/>
      </w:rPr>
      <w:fldChar w:fldCharType="begin"/>
    </w:r>
    <w:r w:rsidRPr="009C362B">
      <w:rPr>
        <w:sz w:val="18"/>
      </w:rPr>
      <w:instrText xml:space="preserve"> REF _Ref406678047 \h </w:instrText>
    </w:r>
    <w:r>
      <w:rPr>
        <w:sz w:val="18"/>
      </w:rPr>
      <w:instrText xml:space="preserve"> \* MERGEFORMAT </w:instrText>
    </w:r>
    <w:r w:rsidRPr="009C362B">
      <w:rPr>
        <w:sz w:val="18"/>
      </w:rPr>
    </w:r>
    <w:r w:rsidRPr="009C362B">
      <w:rPr>
        <w:sz w:val="18"/>
      </w:rPr>
      <w:fldChar w:fldCharType="separate"/>
    </w:r>
    <w:r w:rsidRPr="00F679EC">
      <w:rPr>
        <w:rFonts w:ascii="Calibri" w:hAnsi="Calibri"/>
        <w:bCs/>
        <w:sz w:val="22"/>
        <w:szCs w:val="24"/>
      </w:rPr>
      <w:t>Residential Furnace Tune-Up</w:t>
    </w:r>
    <w:r w:rsidRPr="009C362B">
      <w:rPr>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2F3F4F"/>
    <w:multiLevelType w:val="multilevel"/>
    <w:tmpl w:val="E8826B78"/>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C8F"/>
    <w:rsid w:val="00000C8F"/>
    <w:rsid w:val="00732963"/>
    <w:rsid w:val="00B2497A"/>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C8F"/>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00C8F"/>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00C8F"/>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00C8F"/>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00C8F"/>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00C8F"/>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00C8F"/>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00C8F"/>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00C8F"/>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00C8F"/>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00C8F"/>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00C8F"/>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00C8F"/>
    <w:rPr>
      <w:rFonts w:ascii="Calibri" w:eastAsiaTheme="minorEastAsia" w:hAnsi="Calibri" w:cs="Arial"/>
      <w:bCs/>
      <w:i/>
      <w:noProof/>
    </w:rPr>
  </w:style>
  <w:style w:type="character" w:customStyle="1" w:styleId="Heading5Char">
    <w:name w:val="Heading 5 Char"/>
    <w:basedOn w:val="DefaultParagraphFont"/>
    <w:link w:val="Heading5"/>
    <w:uiPriority w:val="99"/>
    <w:rsid w:val="00000C8F"/>
    <w:rPr>
      <w:rFonts w:ascii="Calibri" w:eastAsia="Times New Roman" w:hAnsi="Calibri" w:cs="Times New Roman"/>
      <w:sz w:val="20"/>
    </w:rPr>
  </w:style>
  <w:style w:type="character" w:customStyle="1" w:styleId="Heading7Char">
    <w:name w:val="Heading 7 Char"/>
    <w:basedOn w:val="DefaultParagraphFont"/>
    <w:link w:val="Heading7"/>
    <w:uiPriority w:val="99"/>
    <w:rsid w:val="00000C8F"/>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00C8F"/>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00C8F"/>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000C8F"/>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000C8F"/>
    <w:rPr>
      <w:rFonts w:ascii="Arial" w:hAnsi="Arial" w:cs="Times New Roman"/>
      <w:sz w:val="20"/>
      <w:vertAlign w:val="superscript"/>
    </w:rPr>
  </w:style>
  <w:style w:type="character" w:customStyle="1" w:styleId="FootnoteChar">
    <w:name w:val="Footnote Char"/>
    <w:basedOn w:val="DefaultParagraphFont"/>
    <w:link w:val="Footnote"/>
    <w:rsid w:val="00000C8F"/>
    <w:rPr>
      <w:rFonts w:eastAsiaTheme="minorEastAsia" w:cstheme="minorHAnsi"/>
      <w:sz w:val="18"/>
      <w:szCs w:val="20"/>
    </w:rPr>
  </w:style>
  <w:style w:type="paragraph" w:customStyle="1" w:styleId="HeaderIL">
    <w:name w:val="Header IL"/>
    <w:basedOn w:val="Header"/>
    <w:link w:val="HeaderILChar"/>
    <w:qFormat/>
    <w:rsid w:val="00000C8F"/>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000C8F"/>
    <w:rPr>
      <w:rFonts w:eastAsia="Times New Roman" w:cs="Times New Roman"/>
      <w:sz w:val="20"/>
    </w:rPr>
  </w:style>
  <w:style w:type="paragraph" w:customStyle="1" w:styleId="Footnote">
    <w:name w:val="Footnote"/>
    <w:basedOn w:val="FootnoteText"/>
    <w:link w:val="FootnoteChar"/>
    <w:autoRedefine/>
    <w:qFormat/>
    <w:rsid w:val="00000C8F"/>
    <w:pPr>
      <w:jc w:val="left"/>
    </w:pPr>
    <w:rPr>
      <w:rFonts w:eastAsiaTheme="minorEastAsia" w:cstheme="minorHAnsi"/>
      <w:sz w:val="18"/>
    </w:rPr>
  </w:style>
  <w:style w:type="paragraph" w:styleId="Header">
    <w:name w:val="header"/>
    <w:basedOn w:val="Normal"/>
    <w:link w:val="HeaderChar"/>
    <w:uiPriority w:val="99"/>
    <w:semiHidden/>
    <w:unhideWhenUsed/>
    <w:rsid w:val="00000C8F"/>
    <w:pPr>
      <w:tabs>
        <w:tab w:val="center" w:pos="4680"/>
        <w:tab w:val="right" w:pos="9360"/>
      </w:tabs>
      <w:spacing w:after="0"/>
    </w:pPr>
  </w:style>
  <w:style w:type="character" w:customStyle="1" w:styleId="HeaderChar">
    <w:name w:val="Header Char"/>
    <w:basedOn w:val="DefaultParagraphFont"/>
    <w:link w:val="Header"/>
    <w:uiPriority w:val="99"/>
    <w:semiHidden/>
    <w:rsid w:val="00000C8F"/>
    <w:rPr>
      <w:rFonts w:eastAsia="Times New Roman" w:cs="Times New Roman"/>
      <w:sz w:val="20"/>
    </w:rPr>
  </w:style>
  <w:style w:type="paragraph" w:styleId="FootnoteText">
    <w:name w:val="footnote text"/>
    <w:basedOn w:val="Normal"/>
    <w:link w:val="FootnoteTextChar"/>
    <w:uiPriority w:val="99"/>
    <w:semiHidden/>
    <w:unhideWhenUsed/>
    <w:rsid w:val="00000C8F"/>
    <w:pPr>
      <w:spacing w:after="0"/>
    </w:pPr>
    <w:rPr>
      <w:szCs w:val="20"/>
    </w:rPr>
  </w:style>
  <w:style w:type="character" w:customStyle="1" w:styleId="FootnoteTextChar">
    <w:name w:val="Footnote Text Char"/>
    <w:basedOn w:val="DefaultParagraphFont"/>
    <w:link w:val="FootnoteText"/>
    <w:uiPriority w:val="99"/>
    <w:semiHidden/>
    <w:rsid w:val="00000C8F"/>
    <w:rPr>
      <w:rFonts w:eastAsia="Times New Roman" w:cs="Times New Roman"/>
      <w:sz w:val="20"/>
      <w:szCs w:val="20"/>
    </w:rPr>
  </w:style>
  <w:style w:type="paragraph" w:styleId="BalloonText">
    <w:name w:val="Balloon Text"/>
    <w:basedOn w:val="Normal"/>
    <w:link w:val="BalloonTextChar"/>
    <w:uiPriority w:val="99"/>
    <w:semiHidden/>
    <w:unhideWhenUsed/>
    <w:rsid w:val="00B249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97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C8F"/>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00C8F"/>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00C8F"/>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00C8F"/>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00C8F"/>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00C8F"/>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00C8F"/>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00C8F"/>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00C8F"/>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00C8F"/>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00C8F"/>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00C8F"/>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00C8F"/>
    <w:rPr>
      <w:rFonts w:ascii="Calibri" w:eastAsiaTheme="minorEastAsia" w:hAnsi="Calibri" w:cs="Arial"/>
      <w:bCs/>
      <w:i/>
      <w:noProof/>
    </w:rPr>
  </w:style>
  <w:style w:type="character" w:customStyle="1" w:styleId="Heading5Char">
    <w:name w:val="Heading 5 Char"/>
    <w:basedOn w:val="DefaultParagraphFont"/>
    <w:link w:val="Heading5"/>
    <w:uiPriority w:val="99"/>
    <w:rsid w:val="00000C8F"/>
    <w:rPr>
      <w:rFonts w:ascii="Calibri" w:eastAsia="Times New Roman" w:hAnsi="Calibri" w:cs="Times New Roman"/>
      <w:sz w:val="20"/>
    </w:rPr>
  </w:style>
  <w:style w:type="character" w:customStyle="1" w:styleId="Heading7Char">
    <w:name w:val="Heading 7 Char"/>
    <w:basedOn w:val="DefaultParagraphFont"/>
    <w:link w:val="Heading7"/>
    <w:uiPriority w:val="99"/>
    <w:rsid w:val="00000C8F"/>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00C8F"/>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00C8F"/>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000C8F"/>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000C8F"/>
    <w:rPr>
      <w:rFonts w:ascii="Arial" w:hAnsi="Arial" w:cs="Times New Roman"/>
      <w:sz w:val="20"/>
      <w:vertAlign w:val="superscript"/>
    </w:rPr>
  </w:style>
  <w:style w:type="character" w:customStyle="1" w:styleId="FootnoteChar">
    <w:name w:val="Footnote Char"/>
    <w:basedOn w:val="DefaultParagraphFont"/>
    <w:link w:val="Footnote"/>
    <w:rsid w:val="00000C8F"/>
    <w:rPr>
      <w:rFonts w:eastAsiaTheme="minorEastAsia" w:cstheme="minorHAnsi"/>
      <w:sz w:val="18"/>
      <w:szCs w:val="20"/>
    </w:rPr>
  </w:style>
  <w:style w:type="paragraph" w:customStyle="1" w:styleId="HeaderIL">
    <w:name w:val="Header IL"/>
    <w:basedOn w:val="Header"/>
    <w:link w:val="HeaderILChar"/>
    <w:qFormat/>
    <w:rsid w:val="00000C8F"/>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000C8F"/>
    <w:rPr>
      <w:rFonts w:eastAsia="Times New Roman" w:cs="Times New Roman"/>
      <w:sz w:val="20"/>
    </w:rPr>
  </w:style>
  <w:style w:type="paragraph" w:customStyle="1" w:styleId="Footnote">
    <w:name w:val="Footnote"/>
    <w:basedOn w:val="FootnoteText"/>
    <w:link w:val="FootnoteChar"/>
    <w:autoRedefine/>
    <w:qFormat/>
    <w:rsid w:val="00000C8F"/>
    <w:pPr>
      <w:jc w:val="left"/>
    </w:pPr>
    <w:rPr>
      <w:rFonts w:eastAsiaTheme="minorEastAsia" w:cstheme="minorHAnsi"/>
      <w:sz w:val="18"/>
    </w:rPr>
  </w:style>
  <w:style w:type="paragraph" w:styleId="Header">
    <w:name w:val="header"/>
    <w:basedOn w:val="Normal"/>
    <w:link w:val="HeaderChar"/>
    <w:uiPriority w:val="99"/>
    <w:semiHidden/>
    <w:unhideWhenUsed/>
    <w:rsid w:val="00000C8F"/>
    <w:pPr>
      <w:tabs>
        <w:tab w:val="center" w:pos="4680"/>
        <w:tab w:val="right" w:pos="9360"/>
      </w:tabs>
      <w:spacing w:after="0"/>
    </w:pPr>
  </w:style>
  <w:style w:type="character" w:customStyle="1" w:styleId="HeaderChar">
    <w:name w:val="Header Char"/>
    <w:basedOn w:val="DefaultParagraphFont"/>
    <w:link w:val="Header"/>
    <w:uiPriority w:val="99"/>
    <w:semiHidden/>
    <w:rsid w:val="00000C8F"/>
    <w:rPr>
      <w:rFonts w:eastAsia="Times New Roman" w:cs="Times New Roman"/>
      <w:sz w:val="20"/>
    </w:rPr>
  </w:style>
  <w:style w:type="paragraph" w:styleId="FootnoteText">
    <w:name w:val="footnote text"/>
    <w:basedOn w:val="Normal"/>
    <w:link w:val="FootnoteTextChar"/>
    <w:uiPriority w:val="99"/>
    <w:semiHidden/>
    <w:unhideWhenUsed/>
    <w:rsid w:val="00000C8F"/>
    <w:pPr>
      <w:spacing w:after="0"/>
    </w:pPr>
    <w:rPr>
      <w:szCs w:val="20"/>
    </w:rPr>
  </w:style>
  <w:style w:type="character" w:customStyle="1" w:styleId="FootnoteTextChar">
    <w:name w:val="Footnote Text Char"/>
    <w:basedOn w:val="DefaultParagraphFont"/>
    <w:link w:val="FootnoteText"/>
    <w:uiPriority w:val="99"/>
    <w:semiHidden/>
    <w:rsid w:val="00000C8F"/>
    <w:rPr>
      <w:rFonts w:eastAsia="Times New Roman" w:cs="Times New Roman"/>
      <w:sz w:val="20"/>
      <w:szCs w:val="20"/>
    </w:rPr>
  </w:style>
  <w:style w:type="paragraph" w:styleId="BalloonText">
    <w:name w:val="Balloon Text"/>
    <w:basedOn w:val="Normal"/>
    <w:link w:val="BalloonTextChar"/>
    <w:uiPriority w:val="99"/>
    <w:semiHidden/>
    <w:unhideWhenUsed/>
    <w:rsid w:val="00B249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97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DF2AA825</Template>
  <TotalTime>2</TotalTime>
  <Pages>4</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2015-11-18T14:36:00Z</dcterms:created>
  <dcterms:modified xsi:type="dcterms:W3CDTF">2015-11-18T15:13:00Z</dcterms:modified>
</cp:coreProperties>
</file>