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655" w:rsidRPr="00150655" w:rsidRDefault="00150655" w:rsidP="00150655">
      <w:pPr>
        <w:widowControl w:val="0"/>
        <w:numPr>
          <w:ilvl w:val="2"/>
          <w:numId w:val="0"/>
        </w:numPr>
        <w:spacing w:after="120"/>
        <w:ind w:left="720" w:right="-2880" w:hanging="720"/>
        <w:outlineLvl w:val="2"/>
        <w:rPr>
          <w:rFonts w:ascii="Calibri" w:eastAsiaTheme="minorEastAsia" w:hAnsi="Calibri" w:cs="Times New Roman"/>
          <w:bCs/>
          <w:sz w:val="24"/>
          <w:szCs w:val="24"/>
        </w:rPr>
      </w:pPr>
      <w:bookmarkStart w:id="0" w:name="_Ref375198420"/>
      <w:bookmarkStart w:id="1" w:name="_Toc411593504"/>
      <w:r>
        <w:rPr>
          <w:rFonts w:ascii="Calibri" w:eastAsiaTheme="minorEastAsia" w:hAnsi="Calibri" w:cs="Times New Roman"/>
          <w:bCs/>
          <w:sz w:val="24"/>
          <w:szCs w:val="24"/>
        </w:rPr>
        <w:t>4.5.13</w:t>
      </w:r>
      <w:r>
        <w:rPr>
          <w:rFonts w:ascii="Calibri" w:eastAsiaTheme="minorEastAsia" w:hAnsi="Calibri" w:cs="Times New Roman"/>
          <w:bCs/>
          <w:sz w:val="24"/>
          <w:szCs w:val="24"/>
        </w:rPr>
        <w:tab/>
      </w:r>
      <w:r w:rsidRPr="00150655">
        <w:rPr>
          <w:rFonts w:ascii="Calibri" w:eastAsiaTheme="minorEastAsia" w:hAnsi="Calibri" w:cs="Times New Roman"/>
          <w:bCs/>
          <w:sz w:val="24"/>
          <w:szCs w:val="24"/>
        </w:rPr>
        <w:t>Occupancy Controlled Bi-Level Lighting Fixtures</w:t>
      </w:r>
      <w:bookmarkEnd w:id="0"/>
      <w:bookmarkEnd w:id="1"/>
    </w:p>
    <w:p w:rsidR="00150655" w:rsidRPr="00150655" w:rsidRDefault="00150655" w:rsidP="00150655">
      <w:pPr>
        <w:keepNext/>
        <w:keepLines/>
        <w:widowControl w:val="0"/>
        <w:tabs>
          <w:tab w:val="left" w:pos="5040"/>
        </w:tabs>
        <w:spacing w:before="200" w:after="120"/>
        <w:outlineLvl w:val="5"/>
        <w:rPr>
          <w:rFonts w:eastAsia="Times New Roman" w:cs="Calibri"/>
          <w:b/>
          <w:smallCaps/>
        </w:rPr>
      </w:pPr>
      <w:r w:rsidRPr="00150655">
        <w:rPr>
          <w:rFonts w:eastAsia="Times New Roman" w:cs="Calibri"/>
          <w:b/>
          <w:smallCaps/>
        </w:rPr>
        <w:t xml:space="preserve">Description </w:t>
      </w:r>
    </w:p>
    <w:p w:rsidR="00150655" w:rsidRPr="00150655" w:rsidRDefault="00150655" w:rsidP="00150655">
      <w:pPr>
        <w:widowControl w:val="0"/>
        <w:spacing w:after="120" w:line="240" w:lineRule="auto"/>
        <w:jc w:val="both"/>
        <w:rPr>
          <w:rFonts w:eastAsia="Times New Roman" w:cs="Times New Roman"/>
          <w:sz w:val="20"/>
        </w:rPr>
      </w:pPr>
      <w:r w:rsidRPr="00150655">
        <w:rPr>
          <w:rFonts w:eastAsia="Times New Roman" w:cs="Times New Roman"/>
          <w:sz w:val="20"/>
        </w:rPr>
        <w:t>This measure relates to replacing existing uncontrolled continuous lighting fixtures with new bi-level lighting fixtures. This measure can only relate to replacement in an existing building, since multi-level switching is required in the Commercial new construction building energy code (IECC 2012</w:t>
      </w:r>
      <w:ins w:id="2" w:author="April Desclos" w:date="2015-11-02T16:18:00Z">
        <w:r w:rsidR="000B4EC9">
          <w:rPr>
            <w:rFonts w:eastAsia="Times New Roman" w:cs="Times New Roman"/>
            <w:sz w:val="20"/>
          </w:rPr>
          <w:t>/2015</w:t>
        </w:r>
      </w:ins>
      <w:r w:rsidRPr="00150655">
        <w:rPr>
          <w:rFonts w:eastAsia="Times New Roman" w:cs="Times New Roman"/>
          <w:sz w:val="20"/>
        </w:rPr>
        <w:t>).</w:t>
      </w:r>
    </w:p>
    <w:p w:rsidR="00150655" w:rsidRPr="00150655" w:rsidRDefault="00150655" w:rsidP="00150655">
      <w:pPr>
        <w:spacing w:after="120" w:line="240" w:lineRule="auto"/>
        <w:rPr>
          <w:rFonts w:ascii="Calibri" w:eastAsia="Times New Roman" w:hAnsi="Calibri" w:cs="Calibri"/>
          <w:sz w:val="20"/>
          <w:szCs w:val="20"/>
        </w:rPr>
      </w:pPr>
      <w:r w:rsidRPr="00150655">
        <w:rPr>
          <w:rFonts w:ascii="Calibri" w:eastAsia="Times New Roman" w:hAnsi="Calibri" w:cs="Calibri"/>
          <w:sz w:val="20"/>
          <w:szCs w:val="20"/>
        </w:rPr>
        <w:t xml:space="preserve">This measure was developed to be applicable to the following program types: RF.  </w:t>
      </w:r>
    </w:p>
    <w:p w:rsidR="00150655" w:rsidRPr="00150655" w:rsidRDefault="00150655" w:rsidP="00150655">
      <w:pPr>
        <w:spacing w:after="120" w:line="240" w:lineRule="auto"/>
        <w:rPr>
          <w:rFonts w:ascii="Calibri" w:eastAsia="Times New Roman" w:hAnsi="Calibri" w:cs="Calibri"/>
          <w:sz w:val="20"/>
          <w:szCs w:val="20"/>
        </w:rPr>
      </w:pPr>
      <w:r w:rsidRPr="00150655">
        <w:rPr>
          <w:rFonts w:ascii="Calibri" w:eastAsia="Times New Roman" w:hAnsi="Calibri" w:cs="Calibri"/>
          <w:sz w:val="20"/>
          <w:szCs w:val="20"/>
        </w:rPr>
        <w:t>If applied to other program types, the measure savings should be verified.</w:t>
      </w:r>
    </w:p>
    <w:p w:rsidR="00150655" w:rsidRPr="00150655" w:rsidRDefault="00150655" w:rsidP="00150655">
      <w:pPr>
        <w:keepNext/>
        <w:keepLines/>
        <w:widowControl w:val="0"/>
        <w:tabs>
          <w:tab w:val="left" w:pos="5040"/>
        </w:tabs>
        <w:spacing w:before="200" w:after="120"/>
        <w:outlineLvl w:val="5"/>
        <w:rPr>
          <w:rFonts w:eastAsia="Times New Roman" w:cs="Calibri"/>
          <w:b/>
          <w:smallCaps/>
        </w:rPr>
      </w:pPr>
      <w:r w:rsidRPr="00150655">
        <w:rPr>
          <w:rFonts w:eastAsia="Times New Roman" w:cs="Calibri"/>
          <w:b/>
          <w:smallCaps/>
        </w:rPr>
        <w:t xml:space="preserve">Definition of Efficient Equipment </w:t>
      </w:r>
    </w:p>
    <w:p w:rsidR="00150655" w:rsidRPr="00150655" w:rsidRDefault="00150655" w:rsidP="00150655">
      <w:pPr>
        <w:widowControl w:val="0"/>
        <w:spacing w:after="120" w:line="240" w:lineRule="auto"/>
        <w:jc w:val="both"/>
        <w:rPr>
          <w:rFonts w:eastAsia="Times New Roman" w:cs="Times New Roman"/>
          <w:sz w:val="20"/>
        </w:rPr>
      </w:pPr>
      <w:r w:rsidRPr="00150655">
        <w:rPr>
          <w:rFonts w:eastAsia="Times New Roman" w:cs="Times New Roman"/>
          <w:sz w:val="20"/>
        </w:rPr>
        <w:t xml:space="preserve">In order for this characterization to apply, the efficient system is assumed to be </w:t>
      </w:r>
      <w:proofErr w:type="gramStart"/>
      <w:r w:rsidRPr="00150655">
        <w:rPr>
          <w:rFonts w:eastAsia="Times New Roman" w:cs="Times New Roman"/>
          <w:sz w:val="20"/>
        </w:rPr>
        <w:t>an occupancy</w:t>
      </w:r>
      <w:proofErr w:type="gramEnd"/>
      <w:r w:rsidRPr="00150655">
        <w:rPr>
          <w:rFonts w:eastAsia="Times New Roman" w:cs="Times New Roman"/>
          <w:sz w:val="20"/>
        </w:rPr>
        <w:t xml:space="preserve"> controlled lighting fixture that reduces light level during unoccupied periods.</w:t>
      </w:r>
    </w:p>
    <w:p w:rsidR="00150655" w:rsidRPr="00150655" w:rsidRDefault="00150655" w:rsidP="00150655">
      <w:pPr>
        <w:keepNext/>
        <w:keepLines/>
        <w:widowControl w:val="0"/>
        <w:tabs>
          <w:tab w:val="left" w:pos="5040"/>
        </w:tabs>
        <w:spacing w:before="200" w:after="120"/>
        <w:outlineLvl w:val="5"/>
        <w:rPr>
          <w:rFonts w:eastAsia="Times New Roman" w:cs="Calibri"/>
          <w:b/>
          <w:smallCaps/>
        </w:rPr>
      </w:pPr>
      <w:r w:rsidRPr="00150655">
        <w:rPr>
          <w:rFonts w:eastAsia="Times New Roman" w:cs="Calibri"/>
          <w:b/>
          <w:smallCaps/>
        </w:rPr>
        <w:t>Definition of Baseline Equipment</w:t>
      </w:r>
    </w:p>
    <w:p w:rsidR="00150655" w:rsidRPr="00150655" w:rsidRDefault="00150655" w:rsidP="00150655">
      <w:pPr>
        <w:widowControl w:val="0"/>
        <w:spacing w:after="120" w:line="240" w:lineRule="auto"/>
        <w:jc w:val="both"/>
        <w:rPr>
          <w:rFonts w:eastAsia="Times New Roman" w:cs="Times New Roman"/>
          <w:sz w:val="20"/>
        </w:rPr>
      </w:pPr>
      <w:r w:rsidRPr="00150655">
        <w:rPr>
          <w:rFonts w:eastAsia="Times New Roman" w:cs="Times New Roman"/>
          <w:sz w:val="20"/>
        </w:rPr>
        <w:t>The baseline equipment is assumed to be an uncontrolled lighting system on continuously, e.g. in stairwells and corridors for health and safety reasons.</w:t>
      </w:r>
    </w:p>
    <w:p w:rsidR="00150655" w:rsidRPr="00150655" w:rsidRDefault="00150655" w:rsidP="00150655">
      <w:pPr>
        <w:keepNext/>
        <w:keepLines/>
        <w:widowControl w:val="0"/>
        <w:tabs>
          <w:tab w:val="left" w:pos="5040"/>
        </w:tabs>
        <w:spacing w:before="200" w:after="120"/>
        <w:outlineLvl w:val="5"/>
        <w:rPr>
          <w:rFonts w:eastAsia="Times New Roman" w:cs="Calibri"/>
          <w:b/>
          <w:smallCaps/>
        </w:rPr>
      </w:pPr>
      <w:r w:rsidRPr="00150655">
        <w:rPr>
          <w:rFonts w:eastAsia="Times New Roman" w:cs="Calibri"/>
          <w:b/>
          <w:smallCaps/>
        </w:rPr>
        <w:t xml:space="preserve">Deemed Lifetime of Efficient Equipment </w:t>
      </w:r>
    </w:p>
    <w:p w:rsidR="00150655" w:rsidRPr="00150655" w:rsidRDefault="00150655" w:rsidP="00150655">
      <w:pPr>
        <w:widowControl w:val="0"/>
        <w:spacing w:after="120" w:line="240" w:lineRule="auto"/>
        <w:jc w:val="both"/>
        <w:rPr>
          <w:rFonts w:eastAsia="Times New Roman" w:cs="Times New Roman"/>
          <w:b/>
          <w:iCs/>
          <w:sz w:val="20"/>
        </w:rPr>
      </w:pPr>
      <w:r w:rsidRPr="00150655">
        <w:rPr>
          <w:rFonts w:eastAsia="Times New Roman" w:cs="Times New Roman"/>
          <w:sz w:val="20"/>
        </w:rPr>
        <w:t>The expected measure life for all lighting controls is assumed to be 8 years</w:t>
      </w:r>
      <w:r w:rsidRPr="00150655">
        <w:rPr>
          <w:rFonts w:ascii="Arial" w:eastAsiaTheme="majorEastAsia" w:hAnsi="Arial" w:cs="Times New Roman"/>
          <w:sz w:val="20"/>
          <w:vertAlign w:val="superscript"/>
        </w:rPr>
        <w:footnoteReference w:id="1"/>
      </w:r>
      <w:r w:rsidRPr="00150655">
        <w:rPr>
          <w:rFonts w:eastAsia="Times New Roman" w:cs="Times New Roman"/>
          <w:sz w:val="20"/>
        </w:rPr>
        <w:t xml:space="preserve">. </w:t>
      </w:r>
    </w:p>
    <w:p w:rsidR="00150655" w:rsidRPr="00150655" w:rsidRDefault="00150655" w:rsidP="00150655">
      <w:pPr>
        <w:keepNext/>
        <w:keepLines/>
        <w:widowControl w:val="0"/>
        <w:tabs>
          <w:tab w:val="left" w:pos="5040"/>
        </w:tabs>
        <w:spacing w:before="200" w:after="120"/>
        <w:outlineLvl w:val="5"/>
        <w:rPr>
          <w:rFonts w:eastAsia="Times New Roman" w:cs="Calibri"/>
          <w:b/>
          <w:smallCaps/>
        </w:rPr>
      </w:pPr>
      <w:r w:rsidRPr="00150655">
        <w:rPr>
          <w:rFonts w:eastAsia="Times New Roman" w:cs="Calibri"/>
          <w:b/>
          <w:smallCaps/>
        </w:rPr>
        <w:t xml:space="preserve">Deemed Measure Cost </w:t>
      </w:r>
    </w:p>
    <w:p w:rsidR="00150655" w:rsidRPr="00150655" w:rsidRDefault="00150655" w:rsidP="00150655">
      <w:pPr>
        <w:widowControl w:val="0"/>
        <w:spacing w:after="120" w:line="240" w:lineRule="auto"/>
        <w:jc w:val="both"/>
        <w:rPr>
          <w:rFonts w:eastAsia="Times New Roman" w:cs="Times New Roman"/>
          <w:sz w:val="20"/>
        </w:rPr>
      </w:pPr>
      <w:r w:rsidRPr="00150655">
        <w:rPr>
          <w:rFonts w:eastAsia="Times New Roman" w:cs="Times New Roman"/>
          <w:sz w:val="20"/>
        </w:rPr>
        <w:t>When available, the actual cost of the measure shall be used.  When not available, the assumed measure cost is $274</w:t>
      </w:r>
      <w:r w:rsidRPr="00150655">
        <w:rPr>
          <w:rFonts w:ascii="Arial" w:eastAsiaTheme="majorEastAsia" w:hAnsi="Arial" w:cs="Times New Roman"/>
          <w:sz w:val="20"/>
          <w:vertAlign w:val="superscript"/>
        </w:rPr>
        <w:footnoteReference w:id="2"/>
      </w:r>
      <w:r w:rsidRPr="00150655">
        <w:rPr>
          <w:rFonts w:eastAsia="Times New Roman" w:cs="Times New Roman"/>
          <w:sz w:val="20"/>
        </w:rPr>
        <w:t xml:space="preserve">. </w:t>
      </w:r>
    </w:p>
    <w:p w:rsidR="00150655" w:rsidRPr="00150655" w:rsidRDefault="00150655" w:rsidP="00150655">
      <w:pPr>
        <w:keepNext/>
        <w:keepLines/>
        <w:widowControl w:val="0"/>
        <w:tabs>
          <w:tab w:val="left" w:pos="5040"/>
        </w:tabs>
        <w:spacing w:before="200" w:after="120"/>
        <w:outlineLvl w:val="5"/>
        <w:rPr>
          <w:rFonts w:eastAsia="Times New Roman" w:cs="Calibri"/>
          <w:b/>
          <w:smallCaps/>
        </w:rPr>
      </w:pPr>
      <w:proofErr w:type="spellStart"/>
      <w:r w:rsidRPr="00150655">
        <w:rPr>
          <w:rFonts w:eastAsia="Times New Roman" w:cs="Calibri"/>
          <w:b/>
          <w:smallCaps/>
        </w:rPr>
        <w:t>Loadshape</w:t>
      </w:r>
      <w:proofErr w:type="spellEnd"/>
    </w:p>
    <w:tbl>
      <w:tblPr>
        <w:tblW w:w="8120" w:type="dxa"/>
        <w:tblInd w:w="93" w:type="dxa"/>
        <w:tblLook w:val="04A0" w:firstRow="1" w:lastRow="0" w:firstColumn="1" w:lastColumn="0" w:noHBand="0" w:noVBand="1"/>
      </w:tblPr>
      <w:tblGrid>
        <w:gridCol w:w="8120"/>
      </w:tblGrid>
      <w:tr w:rsidR="00150655" w:rsidRPr="00150655" w:rsidTr="00EF462C">
        <w:trPr>
          <w:trHeight w:val="300"/>
        </w:trPr>
        <w:tc>
          <w:tcPr>
            <w:tcW w:w="8120" w:type="dxa"/>
            <w:tcBorders>
              <w:top w:val="nil"/>
              <w:left w:val="nil"/>
              <w:bottom w:val="nil"/>
              <w:right w:val="nil"/>
            </w:tcBorders>
            <w:shd w:val="clear" w:color="auto" w:fill="auto"/>
            <w:noWrap/>
            <w:vAlign w:val="center"/>
            <w:hideMark/>
          </w:tcPr>
          <w:p w:rsidR="00150655" w:rsidRPr="00150655" w:rsidRDefault="00150655" w:rsidP="00150655">
            <w:pPr>
              <w:spacing w:after="120" w:line="240" w:lineRule="auto"/>
              <w:rPr>
                <w:rFonts w:ascii="Calibri" w:eastAsia="Times New Roman" w:hAnsi="Calibri" w:cs="Calibri"/>
                <w:color w:val="000000"/>
                <w:sz w:val="20"/>
                <w:szCs w:val="20"/>
              </w:rPr>
            </w:pPr>
            <w:proofErr w:type="spellStart"/>
            <w:r w:rsidRPr="00150655">
              <w:rPr>
                <w:rFonts w:ascii="Calibri" w:eastAsia="Times New Roman" w:hAnsi="Calibri" w:cs="Calibri"/>
                <w:color w:val="000000"/>
                <w:sz w:val="20"/>
                <w:szCs w:val="20"/>
              </w:rPr>
              <w:t>Loadshape</w:t>
            </w:r>
            <w:proofErr w:type="spellEnd"/>
            <w:r w:rsidRPr="00150655">
              <w:rPr>
                <w:rFonts w:ascii="Calibri" w:eastAsia="Times New Roman" w:hAnsi="Calibri" w:cs="Calibri"/>
                <w:color w:val="000000"/>
                <w:sz w:val="20"/>
                <w:szCs w:val="20"/>
              </w:rPr>
              <w:t xml:space="preserve"> C06 - Commercial Indoor Lighting</w:t>
            </w:r>
          </w:p>
        </w:tc>
      </w:tr>
      <w:tr w:rsidR="00150655" w:rsidRPr="00150655" w:rsidTr="00EF462C">
        <w:trPr>
          <w:trHeight w:val="300"/>
        </w:trPr>
        <w:tc>
          <w:tcPr>
            <w:tcW w:w="8120" w:type="dxa"/>
            <w:tcBorders>
              <w:top w:val="nil"/>
              <w:left w:val="nil"/>
              <w:bottom w:val="nil"/>
              <w:right w:val="nil"/>
            </w:tcBorders>
            <w:shd w:val="clear" w:color="auto" w:fill="auto"/>
            <w:noWrap/>
            <w:vAlign w:val="center"/>
            <w:hideMark/>
          </w:tcPr>
          <w:p w:rsidR="00150655" w:rsidRPr="00150655" w:rsidRDefault="00150655" w:rsidP="00150655">
            <w:pPr>
              <w:spacing w:after="120" w:line="240" w:lineRule="auto"/>
              <w:rPr>
                <w:rFonts w:ascii="Calibri" w:eastAsia="Times New Roman" w:hAnsi="Calibri" w:cs="Calibri"/>
                <w:color w:val="000000"/>
                <w:sz w:val="20"/>
                <w:szCs w:val="20"/>
              </w:rPr>
            </w:pPr>
            <w:proofErr w:type="spellStart"/>
            <w:r w:rsidRPr="00150655">
              <w:rPr>
                <w:rFonts w:ascii="Calibri" w:eastAsia="Times New Roman" w:hAnsi="Calibri" w:cs="Calibri"/>
                <w:color w:val="000000"/>
                <w:sz w:val="20"/>
                <w:szCs w:val="20"/>
              </w:rPr>
              <w:t>Loadshape</w:t>
            </w:r>
            <w:proofErr w:type="spellEnd"/>
            <w:r w:rsidRPr="00150655">
              <w:rPr>
                <w:rFonts w:ascii="Calibri" w:eastAsia="Times New Roman" w:hAnsi="Calibri" w:cs="Calibri"/>
                <w:color w:val="000000"/>
                <w:sz w:val="20"/>
                <w:szCs w:val="20"/>
              </w:rPr>
              <w:t xml:space="preserve"> C07 - Grocery/Conv. Store Indoor Lighting</w:t>
            </w:r>
          </w:p>
        </w:tc>
      </w:tr>
      <w:tr w:rsidR="00150655" w:rsidRPr="00150655" w:rsidTr="00EF462C">
        <w:trPr>
          <w:trHeight w:val="300"/>
        </w:trPr>
        <w:tc>
          <w:tcPr>
            <w:tcW w:w="8120" w:type="dxa"/>
            <w:tcBorders>
              <w:top w:val="nil"/>
              <w:left w:val="nil"/>
              <w:bottom w:val="nil"/>
              <w:right w:val="nil"/>
            </w:tcBorders>
            <w:shd w:val="clear" w:color="auto" w:fill="auto"/>
            <w:noWrap/>
            <w:vAlign w:val="center"/>
            <w:hideMark/>
          </w:tcPr>
          <w:p w:rsidR="00150655" w:rsidRPr="00150655" w:rsidRDefault="00150655" w:rsidP="00150655">
            <w:pPr>
              <w:spacing w:after="120" w:line="240" w:lineRule="auto"/>
              <w:rPr>
                <w:rFonts w:ascii="Calibri" w:eastAsia="Times New Roman" w:hAnsi="Calibri" w:cs="Calibri"/>
                <w:color w:val="000000"/>
                <w:sz w:val="20"/>
                <w:szCs w:val="20"/>
              </w:rPr>
            </w:pPr>
            <w:proofErr w:type="spellStart"/>
            <w:r w:rsidRPr="00150655">
              <w:rPr>
                <w:rFonts w:ascii="Calibri" w:eastAsia="Times New Roman" w:hAnsi="Calibri" w:cs="Calibri"/>
                <w:color w:val="000000"/>
                <w:sz w:val="20"/>
                <w:szCs w:val="20"/>
              </w:rPr>
              <w:t>Loadshape</w:t>
            </w:r>
            <w:proofErr w:type="spellEnd"/>
            <w:r w:rsidRPr="00150655">
              <w:rPr>
                <w:rFonts w:ascii="Calibri" w:eastAsia="Times New Roman" w:hAnsi="Calibri" w:cs="Calibri"/>
                <w:color w:val="000000"/>
                <w:sz w:val="20"/>
                <w:szCs w:val="20"/>
              </w:rPr>
              <w:t xml:space="preserve"> C08 - Hospital Indoor Lighting</w:t>
            </w:r>
          </w:p>
        </w:tc>
      </w:tr>
      <w:tr w:rsidR="00150655" w:rsidRPr="00150655" w:rsidTr="00EF462C">
        <w:trPr>
          <w:trHeight w:val="300"/>
        </w:trPr>
        <w:tc>
          <w:tcPr>
            <w:tcW w:w="8120" w:type="dxa"/>
            <w:tcBorders>
              <w:top w:val="nil"/>
              <w:left w:val="nil"/>
              <w:bottom w:val="nil"/>
              <w:right w:val="nil"/>
            </w:tcBorders>
            <w:shd w:val="clear" w:color="auto" w:fill="auto"/>
            <w:noWrap/>
            <w:vAlign w:val="center"/>
            <w:hideMark/>
          </w:tcPr>
          <w:p w:rsidR="00150655" w:rsidRPr="00150655" w:rsidRDefault="00150655" w:rsidP="00150655">
            <w:pPr>
              <w:spacing w:after="120" w:line="240" w:lineRule="auto"/>
              <w:rPr>
                <w:rFonts w:ascii="Calibri" w:eastAsia="Times New Roman" w:hAnsi="Calibri" w:cs="Calibri"/>
                <w:color w:val="000000"/>
                <w:sz w:val="20"/>
                <w:szCs w:val="20"/>
              </w:rPr>
            </w:pPr>
            <w:proofErr w:type="spellStart"/>
            <w:r w:rsidRPr="00150655">
              <w:rPr>
                <w:rFonts w:ascii="Calibri" w:eastAsia="Times New Roman" w:hAnsi="Calibri" w:cs="Calibri"/>
                <w:color w:val="000000"/>
                <w:sz w:val="20"/>
                <w:szCs w:val="20"/>
              </w:rPr>
              <w:t>Loadshape</w:t>
            </w:r>
            <w:proofErr w:type="spellEnd"/>
            <w:r w:rsidRPr="00150655">
              <w:rPr>
                <w:rFonts w:ascii="Calibri" w:eastAsia="Times New Roman" w:hAnsi="Calibri" w:cs="Calibri"/>
                <w:color w:val="000000"/>
                <w:sz w:val="20"/>
                <w:szCs w:val="20"/>
              </w:rPr>
              <w:t xml:space="preserve"> C09 - Office Indoor Lighting</w:t>
            </w:r>
          </w:p>
        </w:tc>
      </w:tr>
      <w:tr w:rsidR="00150655" w:rsidRPr="00150655" w:rsidTr="00EF462C">
        <w:trPr>
          <w:trHeight w:val="300"/>
        </w:trPr>
        <w:tc>
          <w:tcPr>
            <w:tcW w:w="8120" w:type="dxa"/>
            <w:tcBorders>
              <w:top w:val="nil"/>
              <w:left w:val="nil"/>
              <w:bottom w:val="nil"/>
              <w:right w:val="nil"/>
            </w:tcBorders>
            <w:shd w:val="clear" w:color="auto" w:fill="auto"/>
            <w:noWrap/>
            <w:vAlign w:val="center"/>
            <w:hideMark/>
          </w:tcPr>
          <w:p w:rsidR="00150655" w:rsidRPr="00150655" w:rsidRDefault="00150655" w:rsidP="00150655">
            <w:pPr>
              <w:spacing w:after="120" w:line="240" w:lineRule="auto"/>
              <w:rPr>
                <w:rFonts w:ascii="Calibri" w:eastAsia="Times New Roman" w:hAnsi="Calibri" w:cs="Calibri"/>
                <w:color w:val="000000"/>
                <w:sz w:val="20"/>
                <w:szCs w:val="20"/>
              </w:rPr>
            </w:pPr>
            <w:proofErr w:type="spellStart"/>
            <w:r w:rsidRPr="00150655">
              <w:rPr>
                <w:rFonts w:ascii="Calibri" w:eastAsia="Times New Roman" w:hAnsi="Calibri" w:cs="Calibri"/>
                <w:color w:val="000000"/>
                <w:sz w:val="20"/>
                <w:szCs w:val="20"/>
              </w:rPr>
              <w:t>Loadshape</w:t>
            </w:r>
            <w:proofErr w:type="spellEnd"/>
            <w:r w:rsidRPr="00150655">
              <w:rPr>
                <w:rFonts w:ascii="Calibri" w:eastAsia="Times New Roman" w:hAnsi="Calibri" w:cs="Calibri"/>
                <w:color w:val="000000"/>
                <w:sz w:val="20"/>
                <w:szCs w:val="20"/>
              </w:rPr>
              <w:t xml:space="preserve"> C10 - Restaurant Indoor Lighting</w:t>
            </w:r>
          </w:p>
        </w:tc>
      </w:tr>
      <w:tr w:rsidR="00150655" w:rsidRPr="00150655" w:rsidTr="00EF462C">
        <w:trPr>
          <w:trHeight w:val="300"/>
        </w:trPr>
        <w:tc>
          <w:tcPr>
            <w:tcW w:w="8120" w:type="dxa"/>
            <w:tcBorders>
              <w:top w:val="nil"/>
              <w:left w:val="nil"/>
              <w:bottom w:val="nil"/>
              <w:right w:val="nil"/>
            </w:tcBorders>
            <w:shd w:val="clear" w:color="auto" w:fill="auto"/>
            <w:noWrap/>
            <w:vAlign w:val="center"/>
            <w:hideMark/>
          </w:tcPr>
          <w:p w:rsidR="00150655" w:rsidRPr="00150655" w:rsidRDefault="00150655" w:rsidP="00150655">
            <w:pPr>
              <w:spacing w:after="120" w:line="240" w:lineRule="auto"/>
              <w:rPr>
                <w:rFonts w:ascii="Calibri" w:eastAsia="Times New Roman" w:hAnsi="Calibri" w:cs="Calibri"/>
                <w:color w:val="000000"/>
                <w:sz w:val="20"/>
                <w:szCs w:val="20"/>
              </w:rPr>
            </w:pPr>
            <w:proofErr w:type="spellStart"/>
            <w:r w:rsidRPr="00150655">
              <w:rPr>
                <w:rFonts w:ascii="Calibri" w:eastAsia="Times New Roman" w:hAnsi="Calibri" w:cs="Calibri"/>
                <w:color w:val="000000"/>
                <w:sz w:val="20"/>
                <w:szCs w:val="20"/>
              </w:rPr>
              <w:t>Loadshape</w:t>
            </w:r>
            <w:proofErr w:type="spellEnd"/>
            <w:r w:rsidRPr="00150655">
              <w:rPr>
                <w:rFonts w:ascii="Calibri" w:eastAsia="Times New Roman" w:hAnsi="Calibri" w:cs="Calibri"/>
                <w:color w:val="000000"/>
                <w:sz w:val="20"/>
                <w:szCs w:val="20"/>
              </w:rPr>
              <w:t xml:space="preserve"> C11 - Retail Indoor Lighting</w:t>
            </w:r>
          </w:p>
        </w:tc>
      </w:tr>
      <w:tr w:rsidR="00150655" w:rsidRPr="00150655" w:rsidTr="00EF462C">
        <w:trPr>
          <w:trHeight w:val="300"/>
        </w:trPr>
        <w:tc>
          <w:tcPr>
            <w:tcW w:w="8120" w:type="dxa"/>
            <w:tcBorders>
              <w:top w:val="nil"/>
              <w:left w:val="nil"/>
              <w:bottom w:val="nil"/>
              <w:right w:val="nil"/>
            </w:tcBorders>
            <w:shd w:val="clear" w:color="auto" w:fill="auto"/>
            <w:noWrap/>
            <w:vAlign w:val="center"/>
            <w:hideMark/>
          </w:tcPr>
          <w:p w:rsidR="00150655" w:rsidRPr="00150655" w:rsidRDefault="00150655" w:rsidP="00150655">
            <w:pPr>
              <w:spacing w:after="120" w:line="240" w:lineRule="auto"/>
              <w:rPr>
                <w:rFonts w:ascii="Calibri" w:eastAsia="Times New Roman" w:hAnsi="Calibri" w:cs="Calibri"/>
                <w:color w:val="000000"/>
                <w:sz w:val="20"/>
                <w:szCs w:val="20"/>
              </w:rPr>
            </w:pPr>
            <w:proofErr w:type="spellStart"/>
            <w:r w:rsidRPr="00150655">
              <w:rPr>
                <w:rFonts w:ascii="Calibri" w:eastAsia="Times New Roman" w:hAnsi="Calibri" w:cs="Calibri"/>
                <w:color w:val="000000"/>
                <w:sz w:val="20"/>
                <w:szCs w:val="20"/>
              </w:rPr>
              <w:t>Loadshape</w:t>
            </w:r>
            <w:proofErr w:type="spellEnd"/>
            <w:r w:rsidRPr="00150655">
              <w:rPr>
                <w:rFonts w:ascii="Calibri" w:eastAsia="Times New Roman" w:hAnsi="Calibri" w:cs="Calibri"/>
                <w:color w:val="000000"/>
                <w:sz w:val="20"/>
                <w:szCs w:val="20"/>
              </w:rPr>
              <w:t xml:space="preserve"> C12 - Warehouse Indoor Lighting</w:t>
            </w:r>
          </w:p>
        </w:tc>
      </w:tr>
      <w:tr w:rsidR="00150655" w:rsidRPr="00150655" w:rsidTr="00EF462C">
        <w:trPr>
          <w:trHeight w:val="300"/>
        </w:trPr>
        <w:tc>
          <w:tcPr>
            <w:tcW w:w="8120" w:type="dxa"/>
            <w:tcBorders>
              <w:top w:val="nil"/>
              <w:left w:val="nil"/>
              <w:bottom w:val="nil"/>
              <w:right w:val="nil"/>
            </w:tcBorders>
            <w:shd w:val="clear" w:color="auto" w:fill="auto"/>
            <w:noWrap/>
            <w:vAlign w:val="center"/>
            <w:hideMark/>
          </w:tcPr>
          <w:p w:rsidR="00150655" w:rsidRPr="00150655" w:rsidRDefault="00150655" w:rsidP="00150655">
            <w:pPr>
              <w:spacing w:after="120" w:line="240" w:lineRule="auto"/>
              <w:rPr>
                <w:rFonts w:ascii="Calibri" w:eastAsia="Times New Roman" w:hAnsi="Calibri" w:cs="Calibri"/>
                <w:color w:val="000000"/>
                <w:sz w:val="20"/>
                <w:szCs w:val="20"/>
              </w:rPr>
            </w:pPr>
            <w:proofErr w:type="spellStart"/>
            <w:r w:rsidRPr="00150655">
              <w:rPr>
                <w:rFonts w:ascii="Calibri" w:eastAsia="Times New Roman" w:hAnsi="Calibri" w:cs="Calibri"/>
                <w:color w:val="000000"/>
                <w:sz w:val="20"/>
                <w:szCs w:val="20"/>
              </w:rPr>
              <w:t>Loadshape</w:t>
            </w:r>
            <w:proofErr w:type="spellEnd"/>
            <w:r w:rsidRPr="00150655">
              <w:rPr>
                <w:rFonts w:ascii="Calibri" w:eastAsia="Times New Roman" w:hAnsi="Calibri" w:cs="Calibri"/>
                <w:color w:val="000000"/>
                <w:sz w:val="20"/>
                <w:szCs w:val="20"/>
              </w:rPr>
              <w:t xml:space="preserve"> C13 - K-12 School Indoor Lighting</w:t>
            </w:r>
          </w:p>
        </w:tc>
      </w:tr>
      <w:tr w:rsidR="00150655" w:rsidRPr="00150655" w:rsidTr="00EF462C">
        <w:trPr>
          <w:trHeight w:val="300"/>
        </w:trPr>
        <w:tc>
          <w:tcPr>
            <w:tcW w:w="8120" w:type="dxa"/>
            <w:tcBorders>
              <w:top w:val="nil"/>
              <w:left w:val="nil"/>
              <w:bottom w:val="nil"/>
              <w:right w:val="nil"/>
            </w:tcBorders>
            <w:shd w:val="clear" w:color="auto" w:fill="auto"/>
            <w:noWrap/>
            <w:vAlign w:val="center"/>
            <w:hideMark/>
          </w:tcPr>
          <w:p w:rsidR="00150655" w:rsidRPr="00150655" w:rsidRDefault="00150655" w:rsidP="00150655">
            <w:pPr>
              <w:spacing w:after="120" w:line="240" w:lineRule="auto"/>
              <w:rPr>
                <w:rFonts w:ascii="Calibri" w:eastAsia="Times New Roman" w:hAnsi="Calibri" w:cs="Calibri"/>
                <w:color w:val="000000"/>
                <w:sz w:val="20"/>
                <w:szCs w:val="20"/>
              </w:rPr>
            </w:pPr>
            <w:proofErr w:type="spellStart"/>
            <w:r w:rsidRPr="00150655">
              <w:rPr>
                <w:rFonts w:ascii="Calibri" w:eastAsia="Times New Roman" w:hAnsi="Calibri" w:cs="Calibri"/>
                <w:color w:val="000000"/>
                <w:sz w:val="20"/>
                <w:szCs w:val="20"/>
              </w:rPr>
              <w:t>Loadshape</w:t>
            </w:r>
            <w:proofErr w:type="spellEnd"/>
            <w:r w:rsidRPr="00150655">
              <w:rPr>
                <w:rFonts w:ascii="Calibri" w:eastAsia="Times New Roman" w:hAnsi="Calibri" w:cs="Calibri"/>
                <w:color w:val="000000"/>
                <w:sz w:val="20"/>
                <w:szCs w:val="20"/>
              </w:rPr>
              <w:t xml:space="preserve"> C14 - </w:t>
            </w:r>
            <w:proofErr w:type="spellStart"/>
            <w:r w:rsidRPr="00150655">
              <w:rPr>
                <w:rFonts w:ascii="Calibri" w:eastAsia="Times New Roman" w:hAnsi="Calibri" w:cs="Calibri"/>
                <w:color w:val="000000"/>
                <w:sz w:val="20"/>
                <w:szCs w:val="20"/>
              </w:rPr>
              <w:t>Indust</w:t>
            </w:r>
            <w:proofErr w:type="spellEnd"/>
            <w:r w:rsidRPr="00150655">
              <w:rPr>
                <w:rFonts w:ascii="Calibri" w:eastAsia="Times New Roman" w:hAnsi="Calibri" w:cs="Calibri"/>
                <w:color w:val="000000"/>
                <w:sz w:val="20"/>
                <w:szCs w:val="20"/>
              </w:rPr>
              <w:t>. 1-shift (8/5) (e.g., comp. air, lights)</w:t>
            </w:r>
          </w:p>
        </w:tc>
      </w:tr>
      <w:tr w:rsidR="00150655" w:rsidRPr="00150655" w:rsidTr="00EF462C">
        <w:trPr>
          <w:trHeight w:val="300"/>
        </w:trPr>
        <w:tc>
          <w:tcPr>
            <w:tcW w:w="8120" w:type="dxa"/>
            <w:tcBorders>
              <w:top w:val="nil"/>
              <w:left w:val="nil"/>
              <w:bottom w:val="nil"/>
              <w:right w:val="nil"/>
            </w:tcBorders>
            <w:shd w:val="clear" w:color="auto" w:fill="auto"/>
            <w:noWrap/>
            <w:vAlign w:val="center"/>
            <w:hideMark/>
          </w:tcPr>
          <w:p w:rsidR="00150655" w:rsidRPr="00150655" w:rsidRDefault="00150655" w:rsidP="00150655">
            <w:pPr>
              <w:spacing w:after="120" w:line="240" w:lineRule="auto"/>
              <w:rPr>
                <w:rFonts w:ascii="Calibri" w:eastAsia="Times New Roman" w:hAnsi="Calibri" w:cs="Calibri"/>
                <w:color w:val="000000"/>
                <w:sz w:val="20"/>
                <w:szCs w:val="20"/>
              </w:rPr>
            </w:pPr>
            <w:proofErr w:type="spellStart"/>
            <w:r w:rsidRPr="00150655">
              <w:rPr>
                <w:rFonts w:ascii="Calibri" w:eastAsia="Times New Roman" w:hAnsi="Calibri" w:cs="Calibri"/>
                <w:color w:val="000000"/>
                <w:sz w:val="20"/>
                <w:szCs w:val="20"/>
              </w:rPr>
              <w:t>Loadshape</w:t>
            </w:r>
            <w:proofErr w:type="spellEnd"/>
            <w:r w:rsidRPr="00150655">
              <w:rPr>
                <w:rFonts w:ascii="Calibri" w:eastAsia="Times New Roman" w:hAnsi="Calibri" w:cs="Calibri"/>
                <w:color w:val="000000"/>
                <w:sz w:val="20"/>
                <w:szCs w:val="20"/>
              </w:rPr>
              <w:t xml:space="preserve"> C15 - </w:t>
            </w:r>
            <w:proofErr w:type="spellStart"/>
            <w:r w:rsidRPr="00150655">
              <w:rPr>
                <w:rFonts w:ascii="Calibri" w:eastAsia="Times New Roman" w:hAnsi="Calibri" w:cs="Calibri"/>
                <w:color w:val="000000"/>
                <w:sz w:val="20"/>
                <w:szCs w:val="20"/>
              </w:rPr>
              <w:t>Indust</w:t>
            </w:r>
            <w:proofErr w:type="spellEnd"/>
            <w:r w:rsidRPr="00150655">
              <w:rPr>
                <w:rFonts w:ascii="Calibri" w:eastAsia="Times New Roman" w:hAnsi="Calibri" w:cs="Calibri"/>
                <w:color w:val="000000"/>
                <w:sz w:val="20"/>
                <w:szCs w:val="20"/>
              </w:rPr>
              <w:t>. 2-shift (16/5) (e.g., comp. air, lights)</w:t>
            </w:r>
          </w:p>
        </w:tc>
      </w:tr>
      <w:tr w:rsidR="00150655" w:rsidRPr="00150655" w:rsidTr="00EF462C">
        <w:trPr>
          <w:trHeight w:val="300"/>
        </w:trPr>
        <w:tc>
          <w:tcPr>
            <w:tcW w:w="8120" w:type="dxa"/>
            <w:tcBorders>
              <w:top w:val="nil"/>
              <w:left w:val="nil"/>
              <w:bottom w:val="nil"/>
              <w:right w:val="nil"/>
            </w:tcBorders>
            <w:shd w:val="clear" w:color="auto" w:fill="auto"/>
            <w:noWrap/>
            <w:vAlign w:val="center"/>
            <w:hideMark/>
          </w:tcPr>
          <w:p w:rsidR="00150655" w:rsidRPr="00150655" w:rsidRDefault="00150655" w:rsidP="00150655">
            <w:pPr>
              <w:spacing w:after="120" w:line="240" w:lineRule="auto"/>
              <w:rPr>
                <w:rFonts w:ascii="Calibri" w:eastAsia="Times New Roman" w:hAnsi="Calibri" w:cs="Calibri"/>
                <w:color w:val="000000"/>
                <w:sz w:val="20"/>
                <w:szCs w:val="20"/>
              </w:rPr>
            </w:pPr>
            <w:proofErr w:type="spellStart"/>
            <w:r w:rsidRPr="00150655">
              <w:rPr>
                <w:rFonts w:ascii="Calibri" w:eastAsia="Times New Roman" w:hAnsi="Calibri" w:cs="Calibri"/>
                <w:color w:val="000000"/>
                <w:sz w:val="20"/>
                <w:szCs w:val="20"/>
              </w:rPr>
              <w:t>Loadshape</w:t>
            </w:r>
            <w:proofErr w:type="spellEnd"/>
            <w:r w:rsidRPr="00150655">
              <w:rPr>
                <w:rFonts w:ascii="Calibri" w:eastAsia="Times New Roman" w:hAnsi="Calibri" w:cs="Calibri"/>
                <w:color w:val="000000"/>
                <w:sz w:val="20"/>
                <w:szCs w:val="20"/>
              </w:rPr>
              <w:t xml:space="preserve"> C16 - </w:t>
            </w:r>
            <w:proofErr w:type="spellStart"/>
            <w:r w:rsidRPr="00150655">
              <w:rPr>
                <w:rFonts w:ascii="Calibri" w:eastAsia="Times New Roman" w:hAnsi="Calibri" w:cs="Calibri"/>
                <w:color w:val="000000"/>
                <w:sz w:val="20"/>
                <w:szCs w:val="20"/>
              </w:rPr>
              <w:t>Indust</w:t>
            </w:r>
            <w:proofErr w:type="spellEnd"/>
            <w:r w:rsidRPr="00150655">
              <w:rPr>
                <w:rFonts w:ascii="Calibri" w:eastAsia="Times New Roman" w:hAnsi="Calibri" w:cs="Calibri"/>
                <w:color w:val="000000"/>
                <w:sz w:val="20"/>
                <w:szCs w:val="20"/>
              </w:rPr>
              <w:t>. 3-shift (24/5) (e.g., comp. air, lights)</w:t>
            </w:r>
          </w:p>
        </w:tc>
      </w:tr>
      <w:tr w:rsidR="00150655" w:rsidRPr="00150655" w:rsidTr="00EF462C">
        <w:trPr>
          <w:trHeight w:val="300"/>
        </w:trPr>
        <w:tc>
          <w:tcPr>
            <w:tcW w:w="8120" w:type="dxa"/>
            <w:tcBorders>
              <w:top w:val="nil"/>
              <w:left w:val="nil"/>
              <w:bottom w:val="nil"/>
              <w:right w:val="nil"/>
            </w:tcBorders>
            <w:shd w:val="clear" w:color="auto" w:fill="auto"/>
            <w:noWrap/>
            <w:vAlign w:val="center"/>
            <w:hideMark/>
          </w:tcPr>
          <w:p w:rsidR="00150655" w:rsidRPr="00150655" w:rsidRDefault="00150655" w:rsidP="00150655">
            <w:pPr>
              <w:spacing w:after="120" w:line="240" w:lineRule="auto"/>
              <w:rPr>
                <w:rFonts w:ascii="Calibri" w:eastAsia="Times New Roman" w:hAnsi="Calibri" w:cs="Calibri"/>
                <w:color w:val="000000"/>
                <w:sz w:val="20"/>
                <w:szCs w:val="20"/>
              </w:rPr>
            </w:pPr>
            <w:proofErr w:type="spellStart"/>
            <w:r w:rsidRPr="00150655">
              <w:rPr>
                <w:rFonts w:ascii="Calibri" w:eastAsia="Times New Roman" w:hAnsi="Calibri" w:cs="Calibri"/>
                <w:color w:val="000000"/>
                <w:sz w:val="20"/>
                <w:szCs w:val="20"/>
              </w:rPr>
              <w:t>Loadshape</w:t>
            </w:r>
            <w:proofErr w:type="spellEnd"/>
            <w:r w:rsidRPr="00150655">
              <w:rPr>
                <w:rFonts w:ascii="Calibri" w:eastAsia="Times New Roman" w:hAnsi="Calibri" w:cs="Calibri"/>
                <w:color w:val="000000"/>
                <w:sz w:val="20"/>
                <w:szCs w:val="20"/>
              </w:rPr>
              <w:t xml:space="preserve"> C17 - </w:t>
            </w:r>
            <w:proofErr w:type="spellStart"/>
            <w:r w:rsidRPr="00150655">
              <w:rPr>
                <w:rFonts w:ascii="Calibri" w:eastAsia="Times New Roman" w:hAnsi="Calibri" w:cs="Calibri"/>
                <w:color w:val="000000"/>
                <w:sz w:val="20"/>
                <w:szCs w:val="20"/>
              </w:rPr>
              <w:t>Indust</w:t>
            </w:r>
            <w:proofErr w:type="spellEnd"/>
            <w:r w:rsidRPr="00150655">
              <w:rPr>
                <w:rFonts w:ascii="Calibri" w:eastAsia="Times New Roman" w:hAnsi="Calibri" w:cs="Calibri"/>
                <w:color w:val="000000"/>
                <w:sz w:val="20"/>
                <w:szCs w:val="20"/>
              </w:rPr>
              <w:t>. 4-shift (24/7) (e.g., comp. air, lights)</w:t>
            </w:r>
          </w:p>
        </w:tc>
      </w:tr>
      <w:tr w:rsidR="00150655" w:rsidRPr="00150655" w:rsidTr="00EF462C">
        <w:trPr>
          <w:trHeight w:val="300"/>
        </w:trPr>
        <w:tc>
          <w:tcPr>
            <w:tcW w:w="8120" w:type="dxa"/>
            <w:tcBorders>
              <w:top w:val="nil"/>
              <w:left w:val="nil"/>
              <w:bottom w:val="nil"/>
              <w:right w:val="nil"/>
            </w:tcBorders>
            <w:shd w:val="clear" w:color="auto" w:fill="auto"/>
            <w:noWrap/>
            <w:vAlign w:val="center"/>
            <w:hideMark/>
          </w:tcPr>
          <w:p w:rsidR="00150655" w:rsidRPr="00150655" w:rsidRDefault="00150655" w:rsidP="00150655">
            <w:pPr>
              <w:spacing w:after="120" w:line="240" w:lineRule="auto"/>
              <w:rPr>
                <w:rFonts w:ascii="Calibri" w:eastAsia="Times New Roman" w:hAnsi="Calibri" w:cs="Calibri"/>
                <w:color w:val="000000"/>
                <w:sz w:val="20"/>
                <w:szCs w:val="20"/>
              </w:rPr>
            </w:pPr>
            <w:proofErr w:type="spellStart"/>
            <w:r w:rsidRPr="00150655">
              <w:rPr>
                <w:rFonts w:ascii="Calibri" w:eastAsia="Times New Roman" w:hAnsi="Calibri" w:cs="Calibri"/>
                <w:color w:val="000000"/>
                <w:sz w:val="20"/>
                <w:szCs w:val="20"/>
              </w:rPr>
              <w:lastRenderedPageBreak/>
              <w:t>Loadshape</w:t>
            </w:r>
            <w:proofErr w:type="spellEnd"/>
            <w:r w:rsidRPr="00150655">
              <w:rPr>
                <w:rFonts w:ascii="Calibri" w:eastAsia="Times New Roman" w:hAnsi="Calibri" w:cs="Calibri"/>
                <w:color w:val="000000"/>
                <w:sz w:val="20"/>
                <w:szCs w:val="20"/>
              </w:rPr>
              <w:t xml:space="preserve"> C18 - Industrial Indoor Lighting</w:t>
            </w:r>
          </w:p>
        </w:tc>
      </w:tr>
      <w:tr w:rsidR="00150655" w:rsidRPr="00150655" w:rsidTr="00EF462C">
        <w:trPr>
          <w:trHeight w:val="300"/>
        </w:trPr>
        <w:tc>
          <w:tcPr>
            <w:tcW w:w="8120" w:type="dxa"/>
            <w:tcBorders>
              <w:top w:val="nil"/>
              <w:left w:val="nil"/>
              <w:bottom w:val="nil"/>
              <w:right w:val="nil"/>
            </w:tcBorders>
            <w:shd w:val="clear" w:color="auto" w:fill="auto"/>
            <w:noWrap/>
            <w:vAlign w:val="center"/>
            <w:hideMark/>
          </w:tcPr>
          <w:p w:rsidR="00150655" w:rsidRPr="00150655" w:rsidRDefault="00150655" w:rsidP="00150655">
            <w:pPr>
              <w:spacing w:after="120" w:line="240" w:lineRule="auto"/>
              <w:rPr>
                <w:rFonts w:ascii="Calibri" w:eastAsia="Times New Roman" w:hAnsi="Calibri" w:cs="Calibri"/>
                <w:color w:val="000000"/>
                <w:sz w:val="20"/>
                <w:szCs w:val="20"/>
              </w:rPr>
            </w:pPr>
            <w:proofErr w:type="spellStart"/>
            <w:r w:rsidRPr="00150655">
              <w:rPr>
                <w:rFonts w:ascii="Calibri" w:eastAsia="Times New Roman" w:hAnsi="Calibri" w:cs="Calibri"/>
                <w:color w:val="000000"/>
                <w:sz w:val="20"/>
                <w:szCs w:val="20"/>
              </w:rPr>
              <w:t>Loadshape</w:t>
            </w:r>
            <w:proofErr w:type="spellEnd"/>
            <w:r w:rsidRPr="00150655">
              <w:rPr>
                <w:rFonts w:ascii="Calibri" w:eastAsia="Times New Roman" w:hAnsi="Calibri" w:cs="Calibri"/>
                <w:color w:val="000000"/>
                <w:sz w:val="20"/>
                <w:szCs w:val="20"/>
              </w:rPr>
              <w:t xml:space="preserve"> C19 - Industrial Outdoor Lighting</w:t>
            </w:r>
          </w:p>
        </w:tc>
      </w:tr>
      <w:tr w:rsidR="00150655" w:rsidRPr="00150655" w:rsidTr="00EF462C">
        <w:trPr>
          <w:trHeight w:val="300"/>
        </w:trPr>
        <w:tc>
          <w:tcPr>
            <w:tcW w:w="8120" w:type="dxa"/>
            <w:tcBorders>
              <w:top w:val="nil"/>
              <w:left w:val="nil"/>
              <w:bottom w:val="nil"/>
              <w:right w:val="nil"/>
            </w:tcBorders>
            <w:shd w:val="clear" w:color="auto" w:fill="auto"/>
            <w:noWrap/>
            <w:vAlign w:val="center"/>
            <w:hideMark/>
          </w:tcPr>
          <w:p w:rsidR="00150655" w:rsidRPr="00150655" w:rsidRDefault="00150655" w:rsidP="00150655">
            <w:pPr>
              <w:spacing w:after="120" w:line="240" w:lineRule="auto"/>
              <w:rPr>
                <w:rFonts w:ascii="Calibri" w:eastAsia="Times New Roman" w:hAnsi="Calibri" w:cs="Calibri"/>
                <w:color w:val="000000"/>
                <w:sz w:val="20"/>
                <w:szCs w:val="20"/>
              </w:rPr>
            </w:pPr>
            <w:proofErr w:type="spellStart"/>
            <w:r w:rsidRPr="00150655">
              <w:rPr>
                <w:rFonts w:ascii="Calibri" w:eastAsia="Times New Roman" w:hAnsi="Calibri" w:cs="Calibri"/>
                <w:color w:val="000000"/>
                <w:sz w:val="20"/>
                <w:szCs w:val="20"/>
              </w:rPr>
              <w:t>Loadshape</w:t>
            </w:r>
            <w:proofErr w:type="spellEnd"/>
            <w:r w:rsidRPr="00150655">
              <w:rPr>
                <w:rFonts w:ascii="Calibri" w:eastAsia="Times New Roman" w:hAnsi="Calibri" w:cs="Calibri"/>
                <w:color w:val="000000"/>
                <w:sz w:val="20"/>
                <w:szCs w:val="20"/>
              </w:rPr>
              <w:t xml:space="preserve"> C20 - Commercial Outdoor Lighting</w:t>
            </w:r>
          </w:p>
        </w:tc>
      </w:tr>
    </w:tbl>
    <w:p w:rsidR="00150655" w:rsidRPr="00150655" w:rsidRDefault="00150655" w:rsidP="00150655">
      <w:pPr>
        <w:keepNext/>
        <w:keepLines/>
        <w:widowControl w:val="0"/>
        <w:tabs>
          <w:tab w:val="left" w:pos="5040"/>
        </w:tabs>
        <w:spacing w:before="200" w:after="120"/>
        <w:outlineLvl w:val="5"/>
        <w:rPr>
          <w:rFonts w:eastAsia="Times New Roman" w:cs="Calibri"/>
          <w:b/>
          <w:smallCaps/>
        </w:rPr>
      </w:pPr>
      <w:r w:rsidRPr="00150655">
        <w:rPr>
          <w:rFonts w:eastAsia="Times New Roman" w:cs="Calibri"/>
          <w:b/>
          <w:smallCaps/>
        </w:rPr>
        <w:t xml:space="preserve">Coincidence Factor </w:t>
      </w:r>
    </w:p>
    <w:p w:rsidR="00150655" w:rsidRPr="00150655" w:rsidRDefault="00150655" w:rsidP="00150655">
      <w:pPr>
        <w:widowControl w:val="0"/>
        <w:spacing w:after="120" w:line="240" w:lineRule="auto"/>
        <w:jc w:val="both"/>
        <w:rPr>
          <w:rFonts w:eastAsia="Times New Roman" w:cs="Times New Roman"/>
          <w:sz w:val="20"/>
        </w:rPr>
      </w:pPr>
      <w:r w:rsidRPr="00150655">
        <w:rPr>
          <w:rFonts w:eastAsia="Times New Roman" w:cstheme="minorHAnsi"/>
          <w:sz w:val="20"/>
          <w:szCs w:val="20"/>
        </w:rPr>
        <w:t xml:space="preserve">The summer peak coincidence factor </w:t>
      </w:r>
      <w:r w:rsidRPr="00150655">
        <w:rPr>
          <w:rFonts w:eastAsia="Times New Roman" w:cs="Times New Roman"/>
          <w:sz w:val="20"/>
        </w:rPr>
        <w:t>for this measure is dependent on the location type. Values are provided for each building type in the reference section below.</w:t>
      </w:r>
    </w:p>
    <w:p w:rsidR="00150655" w:rsidRPr="00150655" w:rsidRDefault="00150655" w:rsidP="00150655">
      <w:pPr>
        <w:widowControl w:val="0"/>
        <w:spacing w:after="120" w:line="240" w:lineRule="auto"/>
        <w:jc w:val="both"/>
        <w:rPr>
          <w:rFonts w:eastAsia="Times New Roman" w:cs="Times New Roman"/>
          <w:b/>
          <w:iCs/>
          <w:sz w:val="20"/>
        </w:rPr>
      </w:pPr>
    </w:p>
    <w:p w:rsidR="00150655" w:rsidRPr="00150655" w:rsidRDefault="00150655" w:rsidP="00150655">
      <w:pPr>
        <w:keepNext/>
        <w:widowControl w:val="0"/>
        <w:pBdr>
          <w:top w:val="double" w:sz="4" w:space="1" w:color="auto"/>
          <w:bottom w:val="double" w:sz="4" w:space="1" w:color="auto"/>
        </w:pBdr>
        <w:spacing w:after="120" w:line="240" w:lineRule="auto"/>
        <w:jc w:val="center"/>
        <w:rPr>
          <w:rFonts w:eastAsia="Times New Roman" w:cstheme="minorHAnsi"/>
          <w:b/>
          <w:sz w:val="20"/>
          <w:szCs w:val="20"/>
        </w:rPr>
      </w:pPr>
      <w:r w:rsidRPr="00150655">
        <w:rPr>
          <w:rFonts w:eastAsia="Times New Roman" w:cstheme="minorHAnsi"/>
          <w:b/>
          <w:sz w:val="20"/>
          <w:szCs w:val="20"/>
        </w:rPr>
        <w:t>Algorithm</w:t>
      </w:r>
    </w:p>
    <w:p w:rsidR="00150655" w:rsidRPr="00150655" w:rsidRDefault="00150655" w:rsidP="00150655">
      <w:pPr>
        <w:keepNext/>
        <w:keepLines/>
        <w:widowControl w:val="0"/>
        <w:tabs>
          <w:tab w:val="left" w:pos="5040"/>
        </w:tabs>
        <w:spacing w:before="200" w:after="120"/>
        <w:outlineLvl w:val="5"/>
        <w:rPr>
          <w:rFonts w:eastAsia="Times New Roman" w:cs="Calibri"/>
          <w:b/>
          <w:smallCaps/>
        </w:rPr>
      </w:pPr>
      <w:r w:rsidRPr="00150655">
        <w:rPr>
          <w:rFonts w:eastAsia="Times New Roman" w:cs="Calibri"/>
          <w:b/>
          <w:smallCaps/>
        </w:rPr>
        <w:t xml:space="preserve">Calculation of Savings </w:t>
      </w:r>
    </w:p>
    <w:p w:rsidR="00150655" w:rsidRPr="00150655" w:rsidRDefault="00150655" w:rsidP="00150655">
      <w:pPr>
        <w:keepNext/>
        <w:keepLines/>
        <w:widowControl w:val="0"/>
        <w:tabs>
          <w:tab w:val="left" w:pos="5040"/>
        </w:tabs>
        <w:spacing w:before="200" w:after="120"/>
        <w:outlineLvl w:val="5"/>
        <w:rPr>
          <w:rFonts w:eastAsia="Times New Roman" w:cs="Calibri"/>
          <w:b/>
          <w:smallCaps/>
        </w:rPr>
      </w:pPr>
      <w:r w:rsidRPr="00150655">
        <w:rPr>
          <w:rFonts w:eastAsia="Times New Roman" w:cs="Calibri"/>
          <w:b/>
          <w:smallCaps/>
        </w:rPr>
        <w:t xml:space="preserve">Electric Energy Savings </w:t>
      </w:r>
    </w:p>
    <w:p w:rsidR="00150655" w:rsidRPr="00150655" w:rsidRDefault="00150655" w:rsidP="00150655">
      <w:pPr>
        <w:widowControl w:val="0"/>
        <w:spacing w:after="120" w:line="240" w:lineRule="auto"/>
        <w:ind w:left="1440"/>
        <w:jc w:val="both"/>
        <w:rPr>
          <w:rFonts w:eastAsia="Times New Roman" w:cs="Times New Roman"/>
          <w:sz w:val="20"/>
          <w:vertAlign w:val="subscript"/>
        </w:rPr>
      </w:pPr>
      <w:proofErr w:type="spellStart"/>
      <w:r w:rsidRPr="00150655">
        <w:rPr>
          <w:rFonts w:eastAsia="Times New Roman" w:cs="Times New Roman"/>
          <w:sz w:val="20"/>
        </w:rPr>
        <w:t>ΔkWh</w:t>
      </w:r>
      <w:proofErr w:type="spellEnd"/>
      <w:r w:rsidRPr="00150655">
        <w:rPr>
          <w:rFonts w:eastAsia="Times New Roman" w:cs="Times New Roman"/>
          <w:sz w:val="20"/>
        </w:rPr>
        <w:t xml:space="preserve"> </w:t>
      </w:r>
      <w:r w:rsidRPr="00150655">
        <w:rPr>
          <w:rFonts w:eastAsia="Times New Roman" w:cs="Times New Roman"/>
          <w:sz w:val="20"/>
        </w:rPr>
        <w:tab/>
        <w:t>= (</w:t>
      </w:r>
      <w:proofErr w:type="spellStart"/>
      <w:proofErr w:type="gramStart"/>
      <w:r w:rsidRPr="00150655">
        <w:rPr>
          <w:rFonts w:eastAsia="Times New Roman" w:cs="Times New Roman"/>
          <w:sz w:val="20"/>
        </w:rPr>
        <w:t>KW</w:t>
      </w:r>
      <w:r w:rsidRPr="00150655">
        <w:rPr>
          <w:rFonts w:eastAsia="Times New Roman" w:cs="Times New Roman"/>
          <w:noProof/>
          <w:sz w:val="20"/>
          <w:vertAlign w:val="subscript"/>
        </w:rPr>
        <w:t>Baseline</w:t>
      </w:r>
      <w:proofErr w:type="spellEnd"/>
      <w:r w:rsidRPr="00150655">
        <w:rPr>
          <w:rFonts w:eastAsia="Times New Roman" w:cs="Times New Roman"/>
          <w:noProof/>
          <w:sz w:val="20"/>
          <w:vertAlign w:val="subscript"/>
        </w:rPr>
        <w:t xml:space="preserve">  </w:t>
      </w:r>
      <w:r w:rsidRPr="00150655">
        <w:rPr>
          <w:rFonts w:eastAsia="Times New Roman" w:cs="Times New Roman"/>
          <w:sz w:val="20"/>
        </w:rPr>
        <w:t>-</w:t>
      </w:r>
      <w:proofErr w:type="gramEnd"/>
      <w:r w:rsidRPr="00150655">
        <w:rPr>
          <w:rFonts w:eastAsia="Times New Roman" w:cs="Times New Roman"/>
          <w:sz w:val="20"/>
        </w:rPr>
        <w:t xml:space="preserve"> (</w:t>
      </w:r>
      <w:proofErr w:type="spellStart"/>
      <w:r w:rsidRPr="00150655">
        <w:rPr>
          <w:rFonts w:eastAsia="Times New Roman" w:cs="Times New Roman"/>
          <w:sz w:val="20"/>
        </w:rPr>
        <w:t>KW</w:t>
      </w:r>
      <w:r w:rsidRPr="00150655">
        <w:rPr>
          <w:rFonts w:eastAsia="Times New Roman" w:cs="Times New Roman"/>
          <w:noProof/>
          <w:sz w:val="20"/>
          <w:vertAlign w:val="subscript"/>
        </w:rPr>
        <w:t>Controlled</w:t>
      </w:r>
      <w:proofErr w:type="spellEnd"/>
      <w:r w:rsidRPr="00150655">
        <w:rPr>
          <w:rFonts w:eastAsia="Times New Roman" w:cs="Times New Roman"/>
          <w:noProof/>
          <w:sz w:val="20"/>
          <w:vertAlign w:val="subscript"/>
        </w:rPr>
        <w:t xml:space="preserve"> </w:t>
      </w:r>
      <w:r w:rsidRPr="00150655">
        <w:rPr>
          <w:rFonts w:eastAsia="Times New Roman" w:cs="Times New Roman"/>
          <w:sz w:val="20"/>
        </w:rPr>
        <w:t xml:space="preserve">*(1 –ESF))) * Hours * </w:t>
      </w:r>
      <w:proofErr w:type="spellStart"/>
      <w:r w:rsidRPr="00150655">
        <w:rPr>
          <w:rFonts w:eastAsia="Times New Roman" w:cs="Times New Roman"/>
          <w:sz w:val="20"/>
        </w:rPr>
        <w:t>WHF</w:t>
      </w:r>
      <w:r w:rsidRPr="00150655">
        <w:rPr>
          <w:rFonts w:eastAsia="Times New Roman" w:cs="Times New Roman"/>
          <w:sz w:val="20"/>
          <w:vertAlign w:val="subscript"/>
        </w:rPr>
        <w:t>e</w:t>
      </w:r>
      <w:proofErr w:type="spellEnd"/>
    </w:p>
    <w:p w:rsidR="00150655" w:rsidRPr="00150655" w:rsidRDefault="00150655" w:rsidP="00150655">
      <w:pPr>
        <w:widowControl w:val="0"/>
        <w:spacing w:after="120" w:line="240" w:lineRule="auto"/>
        <w:jc w:val="both"/>
        <w:rPr>
          <w:rFonts w:eastAsia="Times New Roman" w:cs="Times New Roman"/>
          <w:noProof/>
          <w:sz w:val="20"/>
        </w:rPr>
      </w:pPr>
      <w:r w:rsidRPr="00150655">
        <w:rPr>
          <w:rFonts w:eastAsia="Times New Roman" w:cs="Times New Roman"/>
          <w:noProof/>
          <w:sz w:val="20"/>
        </w:rPr>
        <w:t>Where:</w:t>
      </w:r>
    </w:p>
    <w:p w:rsidR="00150655" w:rsidRPr="00150655" w:rsidRDefault="00150655" w:rsidP="00150655">
      <w:pPr>
        <w:widowControl w:val="0"/>
        <w:spacing w:after="120" w:line="240" w:lineRule="auto"/>
        <w:ind w:left="1440" w:hanging="720"/>
        <w:jc w:val="both"/>
        <w:rPr>
          <w:rFonts w:eastAsia="Times New Roman" w:cs="Times New Roman"/>
          <w:noProof/>
          <w:sz w:val="20"/>
        </w:rPr>
      </w:pPr>
      <w:r w:rsidRPr="00150655">
        <w:rPr>
          <w:rFonts w:eastAsia="Times New Roman" w:cs="Times New Roman"/>
          <w:noProof/>
          <w:sz w:val="20"/>
        </w:rPr>
        <w:t>KW</w:t>
      </w:r>
      <w:r w:rsidRPr="00150655">
        <w:rPr>
          <w:rFonts w:eastAsia="Times New Roman" w:cs="Times New Roman"/>
          <w:noProof/>
          <w:sz w:val="20"/>
          <w:vertAlign w:val="subscript"/>
        </w:rPr>
        <w:t xml:space="preserve">Baseline </w:t>
      </w:r>
      <w:r w:rsidRPr="00150655">
        <w:rPr>
          <w:rFonts w:eastAsia="Times New Roman" w:cs="Times New Roman"/>
          <w:noProof/>
          <w:sz w:val="20"/>
          <w:vertAlign w:val="subscript"/>
        </w:rPr>
        <w:tab/>
      </w:r>
      <w:r w:rsidRPr="00150655">
        <w:rPr>
          <w:rFonts w:eastAsia="Times New Roman" w:cs="Times New Roman"/>
          <w:noProof/>
          <w:sz w:val="20"/>
        </w:rPr>
        <w:t>= Total baseline lighting load of the existing/baseline fixture</w:t>
      </w:r>
    </w:p>
    <w:p w:rsidR="00150655" w:rsidRPr="00150655" w:rsidRDefault="00150655" w:rsidP="00150655">
      <w:pPr>
        <w:widowControl w:val="0"/>
        <w:spacing w:after="120" w:line="240" w:lineRule="auto"/>
        <w:ind w:left="1440" w:hanging="720"/>
        <w:jc w:val="both"/>
        <w:rPr>
          <w:rFonts w:eastAsia="Times New Roman" w:cs="Times New Roman"/>
          <w:noProof/>
          <w:sz w:val="20"/>
        </w:rPr>
      </w:pPr>
      <w:r w:rsidRPr="00150655">
        <w:rPr>
          <w:rFonts w:eastAsia="Times New Roman" w:cs="Times New Roman"/>
          <w:noProof/>
          <w:sz w:val="20"/>
        </w:rPr>
        <w:tab/>
      </w:r>
      <w:r w:rsidRPr="00150655">
        <w:rPr>
          <w:rFonts w:eastAsia="Times New Roman" w:cs="Times New Roman"/>
          <w:noProof/>
          <w:sz w:val="20"/>
        </w:rPr>
        <w:tab/>
        <w:t>= Actual</w:t>
      </w:r>
    </w:p>
    <w:p w:rsidR="00150655" w:rsidRPr="00150655" w:rsidRDefault="00150655" w:rsidP="00150655">
      <w:pPr>
        <w:widowControl w:val="0"/>
        <w:spacing w:after="120" w:line="240" w:lineRule="auto"/>
        <w:ind w:left="2160" w:hanging="720"/>
        <w:jc w:val="both"/>
        <w:rPr>
          <w:rFonts w:eastAsia="Times New Roman" w:cs="Times New Roman"/>
          <w:noProof/>
          <w:sz w:val="20"/>
        </w:rPr>
      </w:pPr>
      <w:r w:rsidRPr="00150655">
        <w:rPr>
          <w:rFonts w:eastAsia="Times New Roman" w:cs="Times New Roman"/>
          <w:noProof/>
          <w:sz w:val="20"/>
        </w:rPr>
        <w:tab/>
        <w:t>Note that if the existing fixture is only being retrofit with bi-level occpuancy controls and not being replaced KW</w:t>
      </w:r>
      <w:r w:rsidRPr="00150655">
        <w:rPr>
          <w:rFonts w:eastAsia="Times New Roman" w:cs="Times New Roman"/>
          <w:noProof/>
          <w:sz w:val="20"/>
          <w:vertAlign w:val="subscript"/>
        </w:rPr>
        <w:t xml:space="preserve">Baseline </w:t>
      </w:r>
      <w:r w:rsidRPr="00150655">
        <w:rPr>
          <w:rFonts w:eastAsia="Times New Roman" w:cs="Times New Roman"/>
          <w:noProof/>
          <w:sz w:val="20"/>
        </w:rPr>
        <w:t>will equal KW</w:t>
      </w:r>
      <w:r w:rsidRPr="00150655">
        <w:rPr>
          <w:rFonts w:eastAsia="Times New Roman" w:cs="Times New Roman"/>
          <w:noProof/>
          <w:sz w:val="20"/>
          <w:vertAlign w:val="subscript"/>
        </w:rPr>
        <w:t xml:space="preserve">Controlled  </w:t>
      </w:r>
      <w:r w:rsidRPr="00150655">
        <w:rPr>
          <w:rFonts w:eastAsia="Times New Roman" w:cs="Times New Roman"/>
          <w:noProof/>
          <w:sz w:val="20"/>
        </w:rPr>
        <w:t>.</w:t>
      </w:r>
    </w:p>
    <w:p w:rsidR="00150655" w:rsidRPr="00150655" w:rsidRDefault="00150655" w:rsidP="00150655">
      <w:pPr>
        <w:widowControl w:val="0"/>
        <w:spacing w:after="120" w:line="240" w:lineRule="auto"/>
        <w:ind w:left="1440" w:hanging="720"/>
        <w:jc w:val="both"/>
        <w:rPr>
          <w:rFonts w:eastAsia="Times New Roman" w:cs="Times New Roman"/>
          <w:noProof/>
          <w:sz w:val="20"/>
        </w:rPr>
      </w:pPr>
      <w:r w:rsidRPr="00150655">
        <w:rPr>
          <w:rFonts w:eastAsia="Times New Roman" w:cs="Times New Roman"/>
          <w:noProof/>
          <w:sz w:val="20"/>
        </w:rPr>
        <w:t>KW</w:t>
      </w:r>
      <w:r w:rsidRPr="00150655">
        <w:rPr>
          <w:rFonts w:eastAsia="Times New Roman" w:cs="Times New Roman"/>
          <w:noProof/>
          <w:sz w:val="20"/>
          <w:vertAlign w:val="subscript"/>
        </w:rPr>
        <w:t>Controlled</w:t>
      </w:r>
      <w:r w:rsidRPr="00150655">
        <w:rPr>
          <w:rFonts w:eastAsia="Times New Roman" w:cs="Times New Roman"/>
          <w:noProof/>
          <w:sz w:val="20"/>
          <w:vertAlign w:val="subscript"/>
        </w:rPr>
        <w:tab/>
      </w:r>
      <w:r w:rsidRPr="00150655">
        <w:rPr>
          <w:rFonts w:eastAsia="Times New Roman" w:cs="Times New Roman"/>
          <w:noProof/>
          <w:sz w:val="20"/>
        </w:rPr>
        <w:t>= Total contolled lighting load at full light output of the new bi-level fixture</w:t>
      </w:r>
    </w:p>
    <w:p w:rsidR="00150655" w:rsidRPr="00150655" w:rsidRDefault="00150655" w:rsidP="00150655">
      <w:pPr>
        <w:widowControl w:val="0"/>
        <w:spacing w:after="120" w:line="240" w:lineRule="auto"/>
        <w:ind w:left="2160" w:hanging="1440"/>
        <w:jc w:val="both"/>
        <w:rPr>
          <w:rFonts w:eastAsia="Times New Roman" w:cs="Times New Roman"/>
          <w:noProof/>
          <w:sz w:val="20"/>
        </w:rPr>
      </w:pPr>
      <w:r w:rsidRPr="00150655">
        <w:rPr>
          <w:rFonts w:eastAsia="Times New Roman" w:cs="Times New Roman"/>
          <w:noProof/>
          <w:sz w:val="20"/>
        </w:rPr>
        <w:tab/>
        <w:t>= Actual</w:t>
      </w:r>
    </w:p>
    <w:p w:rsidR="00150655" w:rsidRPr="00150655" w:rsidRDefault="00150655" w:rsidP="00150655">
      <w:pPr>
        <w:widowControl w:val="0"/>
        <w:spacing w:after="120" w:line="240" w:lineRule="auto"/>
        <w:ind w:left="2160" w:hanging="1440"/>
        <w:jc w:val="both"/>
        <w:rPr>
          <w:rFonts w:eastAsia="Times New Roman" w:cs="Times New Roman"/>
          <w:noProof/>
          <w:sz w:val="20"/>
        </w:rPr>
      </w:pPr>
      <w:r w:rsidRPr="00150655">
        <w:rPr>
          <w:rFonts w:eastAsia="Times New Roman" w:cs="Times New Roman"/>
          <w:noProof/>
          <w:sz w:val="20"/>
        </w:rPr>
        <w:t>Hours</w:t>
      </w:r>
      <w:r w:rsidRPr="00150655">
        <w:rPr>
          <w:rFonts w:eastAsia="Times New Roman" w:cs="Times New Roman"/>
          <w:noProof/>
          <w:sz w:val="20"/>
        </w:rPr>
        <w:tab/>
        <w:t xml:space="preserve">= Number of hours lighting is on. This measure is limited to 24/7 operation. </w:t>
      </w:r>
    </w:p>
    <w:p w:rsidR="00150655" w:rsidRPr="00150655" w:rsidRDefault="00150655" w:rsidP="00150655">
      <w:pPr>
        <w:widowControl w:val="0"/>
        <w:spacing w:after="120" w:line="240" w:lineRule="auto"/>
        <w:ind w:left="2160"/>
        <w:jc w:val="both"/>
        <w:rPr>
          <w:rFonts w:eastAsia="Times New Roman" w:cs="Times New Roman"/>
          <w:noProof/>
          <w:sz w:val="20"/>
        </w:rPr>
      </w:pPr>
      <w:r w:rsidRPr="00150655">
        <w:rPr>
          <w:rFonts w:eastAsia="Times New Roman" w:cs="Times New Roman"/>
          <w:noProof/>
          <w:sz w:val="20"/>
        </w:rPr>
        <w:t>= 8,766</w:t>
      </w:r>
    </w:p>
    <w:p w:rsidR="00150655" w:rsidRPr="00150655" w:rsidRDefault="00150655" w:rsidP="00150655">
      <w:pPr>
        <w:widowControl w:val="0"/>
        <w:spacing w:after="120" w:line="240" w:lineRule="auto"/>
        <w:ind w:left="2160" w:hanging="1440"/>
        <w:jc w:val="both"/>
        <w:rPr>
          <w:rFonts w:eastAsia="Times New Roman" w:cs="Times New Roman"/>
          <w:sz w:val="20"/>
        </w:rPr>
      </w:pPr>
      <w:r w:rsidRPr="00150655">
        <w:rPr>
          <w:rFonts w:eastAsia="Times New Roman" w:cs="Times New Roman"/>
          <w:noProof/>
          <w:sz w:val="20"/>
        </w:rPr>
        <w:t>ESF</w:t>
      </w:r>
      <w:r w:rsidRPr="00150655">
        <w:rPr>
          <w:rFonts w:eastAsia="Times New Roman" w:cs="Times New Roman"/>
          <w:noProof/>
          <w:sz w:val="20"/>
        </w:rPr>
        <w:tab/>
        <w:t>=  Energy Savings factor (</w:t>
      </w:r>
      <w:r w:rsidRPr="00150655">
        <w:rPr>
          <w:rFonts w:eastAsia="Times New Roman" w:cs="Times New Roman"/>
          <w:sz w:val="20"/>
        </w:rPr>
        <w:t xml:space="preserve">represents the percentage reduction to the </w:t>
      </w:r>
      <w:r w:rsidRPr="00150655">
        <w:rPr>
          <w:rFonts w:eastAsia="Times New Roman" w:cs="Times New Roman"/>
          <w:noProof/>
          <w:sz w:val="20"/>
        </w:rPr>
        <w:t>KW</w:t>
      </w:r>
      <w:r w:rsidRPr="00150655">
        <w:rPr>
          <w:rFonts w:eastAsia="Times New Roman" w:cs="Times New Roman"/>
          <w:noProof/>
          <w:sz w:val="20"/>
          <w:vertAlign w:val="subscript"/>
        </w:rPr>
        <w:t xml:space="preserve">Controlled </w:t>
      </w:r>
      <w:r w:rsidRPr="00150655">
        <w:rPr>
          <w:rFonts w:eastAsia="Times New Roman" w:cs="Times New Roman"/>
          <w:sz w:val="20"/>
        </w:rPr>
        <w:t>due to the occupancy control).</w:t>
      </w:r>
    </w:p>
    <w:p w:rsidR="00150655" w:rsidRPr="00150655" w:rsidRDefault="00150655" w:rsidP="00150655">
      <w:pPr>
        <w:widowControl w:val="0"/>
        <w:spacing w:after="120" w:line="240" w:lineRule="auto"/>
        <w:ind w:left="2160" w:hanging="1440"/>
        <w:jc w:val="both"/>
        <w:rPr>
          <w:rFonts w:eastAsia="Times New Roman" w:cs="Times New Roman"/>
          <w:sz w:val="20"/>
        </w:rPr>
      </w:pPr>
      <w:r w:rsidRPr="00150655">
        <w:rPr>
          <w:rFonts w:eastAsia="Times New Roman" w:cs="Times New Roman"/>
          <w:sz w:val="20"/>
        </w:rPr>
        <w:tab/>
        <w:t>= % Standby Mode * (1 - % Full Light at Standby Mode)</w:t>
      </w:r>
    </w:p>
    <w:p w:rsidR="00150655" w:rsidRPr="00150655" w:rsidRDefault="00150655" w:rsidP="00150655">
      <w:pPr>
        <w:widowControl w:val="0"/>
        <w:spacing w:after="120" w:line="240" w:lineRule="auto"/>
        <w:ind w:left="5040" w:hanging="2160"/>
        <w:jc w:val="both"/>
        <w:rPr>
          <w:rFonts w:eastAsia="Times New Roman" w:cs="Times New Roman"/>
          <w:sz w:val="20"/>
        </w:rPr>
      </w:pPr>
      <w:r w:rsidRPr="00150655">
        <w:rPr>
          <w:rFonts w:eastAsia="Times New Roman" w:cs="Times New Roman"/>
          <w:sz w:val="20"/>
        </w:rPr>
        <w:t>% Standby Mode</w:t>
      </w:r>
      <w:r w:rsidRPr="00150655">
        <w:rPr>
          <w:rFonts w:eastAsia="Times New Roman" w:cs="Times New Roman"/>
          <w:sz w:val="20"/>
        </w:rPr>
        <w:tab/>
        <w:t xml:space="preserve">= Represents the percentage of the time the fixture is operating in standby (i.e. low-wattage) mode. </w:t>
      </w:r>
    </w:p>
    <w:p w:rsidR="00150655" w:rsidRPr="00150655" w:rsidRDefault="00150655" w:rsidP="00150655">
      <w:pPr>
        <w:widowControl w:val="0"/>
        <w:spacing w:after="120" w:line="240" w:lineRule="auto"/>
        <w:ind w:left="5040" w:hanging="2160"/>
        <w:rPr>
          <w:rFonts w:eastAsia="Times New Roman" w:cs="Times New Roman"/>
          <w:sz w:val="20"/>
        </w:rPr>
      </w:pPr>
      <w:r w:rsidRPr="00150655">
        <w:rPr>
          <w:rFonts w:eastAsia="Times New Roman" w:cs="Times New Roman"/>
          <w:sz w:val="20"/>
        </w:rPr>
        <w:t xml:space="preserve">% Full Light at Standby Mode </w:t>
      </w:r>
      <w:r w:rsidRPr="00150655">
        <w:rPr>
          <w:rFonts w:eastAsia="Times New Roman" w:cs="Times New Roman"/>
          <w:sz w:val="20"/>
        </w:rPr>
        <w:tab/>
        <w:t xml:space="preserve">= Represents the assumed wattage consumption during standby mode relative to the full wattage consumption. </w:t>
      </w:r>
      <w:proofErr w:type="gramStart"/>
      <w:r w:rsidRPr="00150655">
        <w:rPr>
          <w:rFonts w:eastAsia="Times New Roman" w:cs="Times New Roman"/>
          <w:sz w:val="20"/>
        </w:rPr>
        <w:t>Can be achieved either through dimming or a stepped control strategy.</w:t>
      </w:r>
      <w:proofErr w:type="gramEnd"/>
    </w:p>
    <w:p w:rsidR="00150655" w:rsidRPr="00150655" w:rsidRDefault="00150655" w:rsidP="00150655">
      <w:pPr>
        <w:widowControl w:val="0"/>
        <w:spacing w:after="120" w:line="240" w:lineRule="auto"/>
        <w:ind w:left="2160"/>
        <w:jc w:val="both"/>
        <w:rPr>
          <w:rFonts w:eastAsia="Times New Roman" w:cs="Times New Roman"/>
          <w:sz w:val="20"/>
        </w:rPr>
      </w:pPr>
      <w:r w:rsidRPr="00150655">
        <w:rPr>
          <w:rFonts w:eastAsia="Times New Roman" w:cs="Times New Roman"/>
          <w:sz w:val="20"/>
        </w:rPr>
        <w:t>= Dependent on application. If customer provided or metered data is available for both or either of these inputs a custom savings factor should be calculated. If not defaults are provided below:</w:t>
      </w:r>
    </w:p>
    <w:p w:rsidR="00150655" w:rsidRPr="00150655" w:rsidRDefault="00150655" w:rsidP="00150655">
      <w:pPr>
        <w:widowControl w:val="0"/>
        <w:spacing w:after="120" w:line="240" w:lineRule="auto"/>
        <w:ind w:left="2160"/>
        <w:jc w:val="both"/>
        <w:rPr>
          <w:rFonts w:eastAsia="Times New Roman" w:cs="Times New Roman"/>
          <w:sz w:val="20"/>
        </w:rPr>
      </w:pPr>
    </w:p>
    <w:tbl>
      <w:tblPr>
        <w:tblW w:w="7161" w:type="dxa"/>
        <w:jc w:val="center"/>
        <w:tblLook w:val="04A0" w:firstRow="1" w:lastRow="0" w:firstColumn="1" w:lastColumn="0" w:noHBand="0" w:noVBand="1"/>
      </w:tblPr>
      <w:tblGrid>
        <w:gridCol w:w="2306"/>
        <w:gridCol w:w="1620"/>
        <w:gridCol w:w="1975"/>
        <w:gridCol w:w="1260"/>
      </w:tblGrid>
      <w:tr w:rsidR="00150655" w:rsidRPr="00150655" w:rsidTr="00EF462C">
        <w:trPr>
          <w:trHeight w:val="615"/>
          <w:tblHeader/>
          <w:jc w:val="center"/>
        </w:trPr>
        <w:tc>
          <w:tcPr>
            <w:tcW w:w="2306"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rsidR="00150655" w:rsidRPr="00150655" w:rsidRDefault="00150655" w:rsidP="00150655">
            <w:pPr>
              <w:spacing w:after="120" w:line="240" w:lineRule="auto"/>
              <w:jc w:val="center"/>
              <w:rPr>
                <w:rFonts w:eastAsia="Times New Roman" w:cs="Times New Roman"/>
                <w:b/>
                <w:color w:val="FFFFFF" w:themeColor="background1"/>
                <w:sz w:val="20"/>
                <w:szCs w:val="20"/>
              </w:rPr>
            </w:pPr>
            <w:r w:rsidRPr="00150655">
              <w:rPr>
                <w:rFonts w:eastAsia="Times New Roman" w:cs="Times New Roman"/>
                <w:b/>
                <w:color w:val="FFFFFF" w:themeColor="background1"/>
                <w:sz w:val="20"/>
                <w:szCs w:val="20"/>
              </w:rPr>
              <w:t>Application </w:t>
            </w:r>
          </w:p>
        </w:tc>
        <w:tc>
          <w:tcPr>
            <w:tcW w:w="1620" w:type="dxa"/>
            <w:tcBorders>
              <w:top w:val="single" w:sz="4" w:space="0" w:color="auto"/>
              <w:left w:val="nil"/>
              <w:bottom w:val="single" w:sz="4" w:space="0" w:color="auto"/>
              <w:right w:val="single" w:sz="4" w:space="0" w:color="auto"/>
            </w:tcBorders>
            <w:shd w:val="clear" w:color="auto" w:fill="A6A6A6" w:themeFill="background1" w:themeFillShade="A6"/>
            <w:vAlign w:val="center"/>
          </w:tcPr>
          <w:p w:rsidR="00150655" w:rsidRPr="00150655" w:rsidRDefault="00150655" w:rsidP="00150655">
            <w:pPr>
              <w:spacing w:after="120" w:line="240" w:lineRule="auto"/>
              <w:jc w:val="center"/>
              <w:rPr>
                <w:rFonts w:eastAsia="Times New Roman" w:cs="Times New Roman"/>
                <w:b/>
                <w:color w:val="FFFFFF" w:themeColor="background1"/>
                <w:sz w:val="20"/>
                <w:szCs w:val="20"/>
              </w:rPr>
            </w:pPr>
            <w:r w:rsidRPr="00150655">
              <w:rPr>
                <w:rFonts w:eastAsia="Times New Roman" w:cs="Times New Roman"/>
                <w:b/>
                <w:color w:val="FFFFFF" w:themeColor="background1"/>
                <w:sz w:val="20"/>
                <w:szCs w:val="20"/>
              </w:rPr>
              <w:t>% Standby Mode</w:t>
            </w:r>
          </w:p>
        </w:tc>
        <w:tc>
          <w:tcPr>
            <w:tcW w:w="197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150655" w:rsidRPr="00150655" w:rsidRDefault="00150655" w:rsidP="00150655">
            <w:pPr>
              <w:spacing w:after="120" w:line="240" w:lineRule="auto"/>
              <w:jc w:val="center"/>
              <w:rPr>
                <w:rFonts w:eastAsia="Times New Roman" w:cs="Times New Roman"/>
                <w:b/>
                <w:color w:val="FFFFFF" w:themeColor="background1"/>
                <w:sz w:val="20"/>
                <w:szCs w:val="20"/>
              </w:rPr>
            </w:pPr>
            <w:r w:rsidRPr="00150655">
              <w:rPr>
                <w:rFonts w:eastAsia="Times New Roman" w:cs="Times New Roman"/>
                <w:b/>
                <w:color w:val="FFFFFF" w:themeColor="background1"/>
                <w:sz w:val="20"/>
                <w:szCs w:val="20"/>
              </w:rPr>
              <w:t>% Full Light at Standby Mode</w:t>
            </w:r>
          </w:p>
        </w:tc>
        <w:tc>
          <w:tcPr>
            <w:tcW w:w="1260"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150655" w:rsidRPr="00150655" w:rsidRDefault="00150655" w:rsidP="00150655">
            <w:pPr>
              <w:spacing w:after="120" w:line="240" w:lineRule="auto"/>
              <w:jc w:val="center"/>
              <w:rPr>
                <w:rFonts w:eastAsia="Times New Roman" w:cs="Times New Roman"/>
                <w:b/>
                <w:color w:val="FFFFFF" w:themeColor="background1"/>
                <w:sz w:val="20"/>
                <w:szCs w:val="20"/>
              </w:rPr>
            </w:pPr>
            <w:r w:rsidRPr="00150655">
              <w:rPr>
                <w:rFonts w:eastAsia="Times New Roman" w:cs="Times New Roman"/>
                <w:b/>
                <w:color w:val="FFFFFF" w:themeColor="background1"/>
                <w:sz w:val="20"/>
                <w:szCs w:val="20"/>
              </w:rPr>
              <w:t>Energy Savings Factor (ESF)</w:t>
            </w:r>
          </w:p>
        </w:tc>
      </w:tr>
      <w:tr w:rsidR="00150655" w:rsidRPr="00150655" w:rsidTr="00EF462C">
        <w:trPr>
          <w:trHeight w:val="300"/>
          <w:jc w:val="center"/>
        </w:trPr>
        <w:tc>
          <w:tcPr>
            <w:tcW w:w="2306" w:type="dxa"/>
            <w:vMerge w:val="restart"/>
            <w:tcBorders>
              <w:top w:val="nil"/>
              <w:left w:val="single" w:sz="4" w:space="0" w:color="auto"/>
              <w:right w:val="single" w:sz="4" w:space="0" w:color="auto"/>
            </w:tcBorders>
            <w:noWrap/>
            <w:vAlign w:val="center"/>
            <w:hideMark/>
          </w:tcPr>
          <w:p w:rsidR="00150655" w:rsidRPr="00150655" w:rsidRDefault="00150655" w:rsidP="00150655">
            <w:pPr>
              <w:widowControl w:val="0"/>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lastRenderedPageBreak/>
              <w:t>Stairwells</w:t>
            </w:r>
          </w:p>
        </w:tc>
        <w:tc>
          <w:tcPr>
            <w:tcW w:w="1620" w:type="dxa"/>
            <w:vMerge w:val="restart"/>
            <w:tcBorders>
              <w:top w:val="single" w:sz="4" w:space="0" w:color="auto"/>
              <w:left w:val="nil"/>
              <w:right w:val="single" w:sz="4" w:space="0" w:color="auto"/>
            </w:tcBorders>
            <w:vAlign w:val="center"/>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78.5%</w:t>
            </w:r>
            <w:r w:rsidRPr="00150655">
              <w:rPr>
                <w:rFonts w:eastAsia="Times New Roman" w:cs="Times New Roman"/>
                <w:color w:val="000000"/>
                <w:sz w:val="20"/>
                <w:szCs w:val="20"/>
                <w:vertAlign w:val="superscript"/>
              </w:rPr>
              <w:footnoteReference w:id="3"/>
            </w:r>
          </w:p>
        </w:tc>
        <w:tc>
          <w:tcPr>
            <w:tcW w:w="1975" w:type="dxa"/>
            <w:tcBorders>
              <w:top w:val="single" w:sz="4" w:space="0" w:color="auto"/>
              <w:left w:val="single" w:sz="4" w:space="0" w:color="auto"/>
              <w:bottom w:val="single" w:sz="4" w:space="0" w:color="auto"/>
              <w:right w:val="single" w:sz="4" w:space="0" w:color="auto"/>
            </w:tcBorders>
            <w:noWrap/>
            <w:vAlign w:val="center"/>
            <w:hideMark/>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50%</w:t>
            </w:r>
          </w:p>
        </w:tc>
        <w:tc>
          <w:tcPr>
            <w:tcW w:w="1260" w:type="dxa"/>
            <w:tcBorders>
              <w:top w:val="nil"/>
              <w:left w:val="nil"/>
              <w:bottom w:val="single" w:sz="4" w:space="0" w:color="auto"/>
              <w:right w:val="single" w:sz="4" w:space="0" w:color="auto"/>
            </w:tcBorders>
            <w:noWrap/>
            <w:vAlign w:val="center"/>
            <w:hideMark/>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39.3%</w:t>
            </w:r>
          </w:p>
        </w:tc>
      </w:tr>
      <w:tr w:rsidR="00150655" w:rsidRPr="00150655" w:rsidTr="00EF462C">
        <w:trPr>
          <w:trHeight w:val="300"/>
          <w:jc w:val="center"/>
        </w:trPr>
        <w:tc>
          <w:tcPr>
            <w:tcW w:w="2306" w:type="dxa"/>
            <w:vMerge/>
            <w:tcBorders>
              <w:left w:val="single" w:sz="4" w:space="0" w:color="auto"/>
              <w:right w:val="single" w:sz="4" w:space="0" w:color="auto"/>
            </w:tcBorders>
            <w:noWrap/>
            <w:vAlign w:val="center"/>
            <w:hideMark/>
          </w:tcPr>
          <w:p w:rsidR="00150655" w:rsidRPr="00150655" w:rsidRDefault="00150655" w:rsidP="00150655">
            <w:pPr>
              <w:widowControl w:val="0"/>
              <w:spacing w:after="120" w:line="240" w:lineRule="auto"/>
              <w:jc w:val="center"/>
              <w:rPr>
                <w:rFonts w:eastAsia="Times New Roman" w:cs="Times New Roman"/>
                <w:color w:val="000000"/>
                <w:sz w:val="20"/>
                <w:szCs w:val="20"/>
              </w:rPr>
            </w:pPr>
          </w:p>
        </w:tc>
        <w:tc>
          <w:tcPr>
            <w:tcW w:w="1620" w:type="dxa"/>
            <w:vMerge/>
            <w:tcBorders>
              <w:left w:val="nil"/>
              <w:right w:val="single" w:sz="4" w:space="0" w:color="auto"/>
            </w:tcBorders>
            <w:vAlign w:val="center"/>
          </w:tcPr>
          <w:p w:rsidR="00150655" w:rsidRPr="00150655" w:rsidRDefault="00150655" w:rsidP="00150655">
            <w:pPr>
              <w:widowControl w:val="0"/>
              <w:spacing w:after="120" w:line="240" w:lineRule="auto"/>
              <w:jc w:val="center"/>
              <w:rPr>
                <w:rFonts w:eastAsia="Times New Roman" w:cs="Times New Roman"/>
                <w:color w:val="000000"/>
                <w:sz w:val="20"/>
                <w:szCs w:val="20"/>
              </w:rPr>
            </w:pPr>
          </w:p>
        </w:tc>
        <w:tc>
          <w:tcPr>
            <w:tcW w:w="1975" w:type="dxa"/>
            <w:tcBorders>
              <w:top w:val="single" w:sz="4" w:space="0" w:color="auto"/>
              <w:left w:val="single" w:sz="4" w:space="0" w:color="auto"/>
              <w:bottom w:val="single" w:sz="4" w:space="0" w:color="auto"/>
              <w:right w:val="single" w:sz="4" w:space="0" w:color="auto"/>
            </w:tcBorders>
            <w:noWrap/>
            <w:vAlign w:val="center"/>
            <w:hideMark/>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33%</w:t>
            </w:r>
          </w:p>
        </w:tc>
        <w:tc>
          <w:tcPr>
            <w:tcW w:w="1260" w:type="dxa"/>
            <w:tcBorders>
              <w:top w:val="nil"/>
              <w:left w:val="nil"/>
              <w:bottom w:val="single" w:sz="4" w:space="0" w:color="auto"/>
              <w:right w:val="single" w:sz="4" w:space="0" w:color="auto"/>
            </w:tcBorders>
            <w:noWrap/>
            <w:vAlign w:val="center"/>
            <w:hideMark/>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52.6%</w:t>
            </w:r>
          </w:p>
        </w:tc>
      </w:tr>
      <w:tr w:rsidR="00150655" w:rsidRPr="00150655" w:rsidTr="00EF462C">
        <w:trPr>
          <w:trHeight w:val="300"/>
          <w:jc w:val="center"/>
        </w:trPr>
        <w:tc>
          <w:tcPr>
            <w:tcW w:w="2306" w:type="dxa"/>
            <w:vMerge/>
            <w:tcBorders>
              <w:left w:val="single" w:sz="4" w:space="0" w:color="auto"/>
              <w:right w:val="single" w:sz="4" w:space="0" w:color="auto"/>
            </w:tcBorders>
            <w:noWrap/>
            <w:vAlign w:val="center"/>
            <w:hideMark/>
          </w:tcPr>
          <w:p w:rsidR="00150655" w:rsidRPr="00150655" w:rsidRDefault="00150655" w:rsidP="00150655">
            <w:pPr>
              <w:widowControl w:val="0"/>
              <w:spacing w:after="120" w:line="240" w:lineRule="auto"/>
              <w:jc w:val="center"/>
              <w:rPr>
                <w:rFonts w:eastAsia="Times New Roman" w:cs="Times New Roman"/>
                <w:color w:val="000000"/>
                <w:sz w:val="20"/>
                <w:szCs w:val="20"/>
              </w:rPr>
            </w:pPr>
          </w:p>
        </w:tc>
        <w:tc>
          <w:tcPr>
            <w:tcW w:w="1620" w:type="dxa"/>
            <w:vMerge/>
            <w:tcBorders>
              <w:left w:val="nil"/>
              <w:right w:val="single" w:sz="4" w:space="0" w:color="auto"/>
            </w:tcBorders>
            <w:vAlign w:val="center"/>
          </w:tcPr>
          <w:p w:rsidR="00150655" w:rsidRPr="00150655" w:rsidRDefault="00150655" w:rsidP="00150655">
            <w:pPr>
              <w:widowControl w:val="0"/>
              <w:spacing w:after="120" w:line="240" w:lineRule="auto"/>
              <w:jc w:val="center"/>
              <w:rPr>
                <w:rFonts w:eastAsia="Times New Roman" w:cs="Times New Roman"/>
                <w:color w:val="000000"/>
                <w:sz w:val="20"/>
                <w:szCs w:val="20"/>
              </w:rPr>
            </w:pPr>
          </w:p>
        </w:tc>
        <w:tc>
          <w:tcPr>
            <w:tcW w:w="1975" w:type="dxa"/>
            <w:tcBorders>
              <w:top w:val="single" w:sz="4" w:space="0" w:color="auto"/>
              <w:left w:val="single" w:sz="4" w:space="0" w:color="auto"/>
              <w:bottom w:val="single" w:sz="4" w:space="0" w:color="auto"/>
              <w:right w:val="single" w:sz="4" w:space="0" w:color="auto"/>
            </w:tcBorders>
            <w:noWrap/>
            <w:vAlign w:val="center"/>
            <w:hideMark/>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10%</w:t>
            </w:r>
          </w:p>
        </w:tc>
        <w:tc>
          <w:tcPr>
            <w:tcW w:w="1260" w:type="dxa"/>
            <w:tcBorders>
              <w:top w:val="nil"/>
              <w:left w:val="nil"/>
              <w:bottom w:val="single" w:sz="4" w:space="0" w:color="auto"/>
              <w:right w:val="single" w:sz="4" w:space="0" w:color="auto"/>
            </w:tcBorders>
            <w:noWrap/>
            <w:vAlign w:val="center"/>
            <w:hideMark/>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70.7%</w:t>
            </w:r>
          </w:p>
        </w:tc>
      </w:tr>
      <w:tr w:rsidR="00150655" w:rsidRPr="00150655" w:rsidTr="00EF462C">
        <w:trPr>
          <w:trHeight w:val="300"/>
          <w:jc w:val="center"/>
        </w:trPr>
        <w:tc>
          <w:tcPr>
            <w:tcW w:w="2306" w:type="dxa"/>
            <w:vMerge/>
            <w:tcBorders>
              <w:left w:val="single" w:sz="4" w:space="0" w:color="auto"/>
              <w:bottom w:val="single" w:sz="4" w:space="0" w:color="auto"/>
              <w:right w:val="single" w:sz="4" w:space="0" w:color="auto"/>
            </w:tcBorders>
            <w:noWrap/>
            <w:vAlign w:val="center"/>
            <w:hideMark/>
          </w:tcPr>
          <w:p w:rsidR="00150655" w:rsidRPr="00150655" w:rsidRDefault="00150655" w:rsidP="00150655">
            <w:pPr>
              <w:spacing w:after="120" w:line="240" w:lineRule="auto"/>
              <w:jc w:val="center"/>
              <w:rPr>
                <w:rFonts w:eastAsia="Times New Roman" w:cs="Times New Roman"/>
                <w:color w:val="000000"/>
                <w:sz w:val="20"/>
                <w:szCs w:val="20"/>
              </w:rPr>
            </w:pPr>
          </w:p>
        </w:tc>
        <w:tc>
          <w:tcPr>
            <w:tcW w:w="1620" w:type="dxa"/>
            <w:vMerge/>
            <w:tcBorders>
              <w:left w:val="nil"/>
              <w:bottom w:val="single" w:sz="4" w:space="0" w:color="auto"/>
              <w:right w:val="single" w:sz="4" w:space="0" w:color="auto"/>
            </w:tcBorders>
            <w:vAlign w:val="center"/>
          </w:tcPr>
          <w:p w:rsidR="00150655" w:rsidRPr="00150655" w:rsidRDefault="00150655" w:rsidP="00150655">
            <w:pPr>
              <w:spacing w:after="120" w:line="240" w:lineRule="auto"/>
              <w:jc w:val="center"/>
              <w:rPr>
                <w:rFonts w:eastAsia="Times New Roman" w:cs="Times New Roman"/>
                <w:color w:val="000000"/>
                <w:sz w:val="20"/>
                <w:szCs w:val="20"/>
              </w:rPr>
            </w:pPr>
          </w:p>
        </w:tc>
        <w:tc>
          <w:tcPr>
            <w:tcW w:w="1975" w:type="dxa"/>
            <w:tcBorders>
              <w:top w:val="single" w:sz="4" w:space="0" w:color="auto"/>
              <w:left w:val="single" w:sz="4" w:space="0" w:color="auto"/>
              <w:bottom w:val="single" w:sz="4" w:space="0" w:color="auto"/>
              <w:right w:val="single" w:sz="4" w:space="0" w:color="auto"/>
            </w:tcBorders>
            <w:noWrap/>
            <w:vAlign w:val="center"/>
            <w:hideMark/>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5%</w:t>
            </w:r>
          </w:p>
        </w:tc>
        <w:tc>
          <w:tcPr>
            <w:tcW w:w="1260" w:type="dxa"/>
            <w:tcBorders>
              <w:top w:val="nil"/>
              <w:left w:val="nil"/>
              <w:bottom w:val="single" w:sz="4" w:space="0" w:color="auto"/>
              <w:right w:val="single" w:sz="4" w:space="0" w:color="auto"/>
            </w:tcBorders>
            <w:noWrap/>
            <w:vAlign w:val="center"/>
            <w:hideMark/>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74.6%</w:t>
            </w:r>
          </w:p>
        </w:tc>
      </w:tr>
      <w:tr w:rsidR="00150655" w:rsidRPr="00150655" w:rsidTr="00EF462C">
        <w:trPr>
          <w:trHeight w:val="300"/>
          <w:jc w:val="center"/>
        </w:trPr>
        <w:tc>
          <w:tcPr>
            <w:tcW w:w="2306" w:type="dxa"/>
            <w:vMerge w:val="restart"/>
            <w:tcBorders>
              <w:top w:val="single" w:sz="4" w:space="0" w:color="auto"/>
              <w:left w:val="single" w:sz="4" w:space="0" w:color="auto"/>
              <w:bottom w:val="single" w:sz="4" w:space="0" w:color="auto"/>
              <w:right w:val="single" w:sz="4" w:space="0" w:color="auto"/>
            </w:tcBorders>
            <w:noWrap/>
            <w:vAlign w:val="center"/>
            <w:hideMark/>
          </w:tcPr>
          <w:p w:rsidR="00150655" w:rsidRPr="00150655" w:rsidRDefault="00150655" w:rsidP="00150655">
            <w:pPr>
              <w:widowControl w:val="0"/>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Corridors</w:t>
            </w:r>
          </w:p>
        </w:tc>
        <w:tc>
          <w:tcPr>
            <w:tcW w:w="1620" w:type="dxa"/>
            <w:vMerge w:val="restart"/>
            <w:tcBorders>
              <w:top w:val="single" w:sz="4" w:space="0" w:color="auto"/>
              <w:left w:val="nil"/>
              <w:bottom w:val="single" w:sz="4" w:space="0" w:color="auto"/>
              <w:right w:val="single" w:sz="4" w:space="0" w:color="auto"/>
            </w:tcBorders>
            <w:vAlign w:val="center"/>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50.0%</w:t>
            </w:r>
            <w:r w:rsidRPr="00150655">
              <w:rPr>
                <w:rFonts w:eastAsia="Times New Roman" w:cs="Times New Roman"/>
                <w:color w:val="000000"/>
                <w:sz w:val="20"/>
                <w:szCs w:val="20"/>
                <w:vertAlign w:val="superscript"/>
              </w:rPr>
              <w:footnoteReference w:id="4"/>
            </w:r>
          </w:p>
        </w:tc>
        <w:tc>
          <w:tcPr>
            <w:tcW w:w="1975" w:type="dxa"/>
            <w:tcBorders>
              <w:top w:val="single" w:sz="4" w:space="0" w:color="auto"/>
              <w:left w:val="single" w:sz="4" w:space="0" w:color="auto"/>
              <w:bottom w:val="single" w:sz="4" w:space="0" w:color="auto"/>
              <w:right w:val="single" w:sz="4" w:space="0" w:color="auto"/>
            </w:tcBorders>
            <w:noWrap/>
            <w:vAlign w:val="center"/>
            <w:hideMark/>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50%</w:t>
            </w:r>
          </w:p>
        </w:tc>
        <w:tc>
          <w:tcPr>
            <w:tcW w:w="1260" w:type="dxa"/>
            <w:tcBorders>
              <w:top w:val="single" w:sz="4" w:space="0" w:color="auto"/>
              <w:left w:val="nil"/>
              <w:bottom w:val="single" w:sz="4" w:space="0" w:color="auto"/>
              <w:right w:val="single" w:sz="4" w:space="0" w:color="auto"/>
            </w:tcBorders>
            <w:noWrap/>
            <w:vAlign w:val="center"/>
            <w:hideMark/>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25.0%</w:t>
            </w:r>
          </w:p>
        </w:tc>
      </w:tr>
      <w:tr w:rsidR="00150655" w:rsidRPr="00150655" w:rsidTr="00EF462C">
        <w:trPr>
          <w:trHeight w:val="300"/>
          <w:jc w:val="center"/>
        </w:trPr>
        <w:tc>
          <w:tcPr>
            <w:tcW w:w="2306" w:type="dxa"/>
            <w:vMerge/>
            <w:tcBorders>
              <w:top w:val="single" w:sz="4" w:space="0" w:color="auto"/>
              <w:left w:val="single" w:sz="4" w:space="0" w:color="auto"/>
              <w:bottom w:val="single" w:sz="4" w:space="0" w:color="auto"/>
              <w:right w:val="single" w:sz="4" w:space="0" w:color="auto"/>
            </w:tcBorders>
            <w:noWrap/>
            <w:vAlign w:val="center"/>
            <w:hideMark/>
          </w:tcPr>
          <w:p w:rsidR="00150655" w:rsidRPr="00150655" w:rsidRDefault="00150655" w:rsidP="00150655">
            <w:pPr>
              <w:widowControl w:val="0"/>
              <w:spacing w:after="120" w:line="240" w:lineRule="auto"/>
              <w:jc w:val="center"/>
              <w:rPr>
                <w:rFonts w:eastAsia="Times New Roman" w:cs="Times New Roman"/>
                <w:color w:val="000000"/>
                <w:sz w:val="20"/>
                <w:szCs w:val="20"/>
              </w:rPr>
            </w:pPr>
          </w:p>
        </w:tc>
        <w:tc>
          <w:tcPr>
            <w:tcW w:w="1620" w:type="dxa"/>
            <w:vMerge/>
            <w:tcBorders>
              <w:top w:val="single" w:sz="4" w:space="0" w:color="auto"/>
              <w:left w:val="nil"/>
              <w:bottom w:val="single" w:sz="4" w:space="0" w:color="auto"/>
              <w:right w:val="single" w:sz="4" w:space="0" w:color="auto"/>
            </w:tcBorders>
            <w:vAlign w:val="center"/>
          </w:tcPr>
          <w:p w:rsidR="00150655" w:rsidRPr="00150655" w:rsidRDefault="00150655" w:rsidP="00150655">
            <w:pPr>
              <w:widowControl w:val="0"/>
              <w:spacing w:after="120" w:line="240" w:lineRule="auto"/>
              <w:jc w:val="center"/>
              <w:rPr>
                <w:rFonts w:eastAsia="Times New Roman" w:cs="Times New Roman"/>
                <w:color w:val="000000"/>
                <w:sz w:val="20"/>
                <w:szCs w:val="20"/>
              </w:rPr>
            </w:pPr>
          </w:p>
        </w:tc>
        <w:tc>
          <w:tcPr>
            <w:tcW w:w="1975" w:type="dxa"/>
            <w:tcBorders>
              <w:top w:val="single" w:sz="4" w:space="0" w:color="auto"/>
              <w:left w:val="single" w:sz="4" w:space="0" w:color="auto"/>
              <w:bottom w:val="single" w:sz="4" w:space="0" w:color="auto"/>
              <w:right w:val="single" w:sz="4" w:space="0" w:color="auto"/>
            </w:tcBorders>
            <w:noWrap/>
            <w:vAlign w:val="center"/>
            <w:hideMark/>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33%</w:t>
            </w:r>
          </w:p>
        </w:tc>
        <w:tc>
          <w:tcPr>
            <w:tcW w:w="1260" w:type="dxa"/>
            <w:tcBorders>
              <w:top w:val="single" w:sz="4" w:space="0" w:color="auto"/>
              <w:left w:val="nil"/>
              <w:bottom w:val="single" w:sz="4" w:space="0" w:color="auto"/>
              <w:right w:val="single" w:sz="4" w:space="0" w:color="auto"/>
            </w:tcBorders>
            <w:noWrap/>
            <w:vAlign w:val="center"/>
            <w:hideMark/>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33.5%</w:t>
            </w:r>
          </w:p>
        </w:tc>
      </w:tr>
      <w:tr w:rsidR="00150655" w:rsidRPr="00150655" w:rsidTr="00EF462C">
        <w:trPr>
          <w:trHeight w:val="315"/>
          <w:jc w:val="center"/>
        </w:trPr>
        <w:tc>
          <w:tcPr>
            <w:tcW w:w="2306" w:type="dxa"/>
            <w:vMerge/>
            <w:tcBorders>
              <w:top w:val="single" w:sz="4" w:space="0" w:color="auto"/>
              <w:left w:val="single" w:sz="4" w:space="0" w:color="auto"/>
              <w:bottom w:val="single" w:sz="4" w:space="0" w:color="auto"/>
              <w:right w:val="single" w:sz="4" w:space="0" w:color="auto"/>
            </w:tcBorders>
            <w:noWrap/>
            <w:vAlign w:val="center"/>
            <w:hideMark/>
          </w:tcPr>
          <w:p w:rsidR="00150655" w:rsidRPr="00150655" w:rsidRDefault="00150655" w:rsidP="00150655">
            <w:pPr>
              <w:widowControl w:val="0"/>
              <w:spacing w:after="120" w:line="240" w:lineRule="auto"/>
              <w:jc w:val="center"/>
              <w:rPr>
                <w:rFonts w:eastAsia="Times New Roman" w:cs="Times New Roman"/>
                <w:color w:val="000000"/>
                <w:sz w:val="20"/>
                <w:szCs w:val="20"/>
              </w:rPr>
            </w:pPr>
          </w:p>
        </w:tc>
        <w:tc>
          <w:tcPr>
            <w:tcW w:w="1620" w:type="dxa"/>
            <w:vMerge/>
            <w:tcBorders>
              <w:top w:val="single" w:sz="4" w:space="0" w:color="auto"/>
              <w:left w:val="nil"/>
              <w:bottom w:val="single" w:sz="4" w:space="0" w:color="auto"/>
              <w:right w:val="single" w:sz="4" w:space="0" w:color="auto"/>
            </w:tcBorders>
            <w:vAlign w:val="center"/>
          </w:tcPr>
          <w:p w:rsidR="00150655" w:rsidRPr="00150655" w:rsidRDefault="00150655" w:rsidP="00150655">
            <w:pPr>
              <w:widowControl w:val="0"/>
              <w:spacing w:after="120" w:line="240" w:lineRule="auto"/>
              <w:jc w:val="center"/>
              <w:rPr>
                <w:rFonts w:eastAsia="Times New Roman" w:cs="Times New Roman"/>
                <w:color w:val="000000"/>
                <w:sz w:val="20"/>
                <w:szCs w:val="20"/>
              </w:rPr>
            </w:pPr>
          </w:p>
        </w:tc>
        <w:tc>
          <w:tcPr>
            <w:tcW w:w="1975" w:type="dxa"/>
            <w:tcBorders>
              <w:top w:val="single" w:sz="4" w:space="0" w:color="auto"/>
              <w:left w:val="single" w:sz="4" w:space="0" w:color="auto"/>
              <w:bottom w:val="single" w:sz="4" w:space="0" w:color="auto"/>
              <w:right w:val="single" w:sz="4" w:space="0" w:color="auto"/>
            </w:tcBorders>
            <w:noWrap/>
            <w:vAlign w:val="center"/>
            <w:hideMark/>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10%</w:t>
            </w:r>
          </w:p>
        </w:tc>
        <w:tc>
          <w:tcPr>
            <w:tcW w:w="1260" w:type="dxa"/>
            <w:tcBorders>
              <w:top w:val="single" w:sz="4" w:space="0" w:color="auto"/>
              <w:left w:val="nil"/>
              <w:bottom w:val="single" w:sz="4" w:space="0" w:color="auto"/>
              <w:right w:val="single" w:sz="4" w:space="0" w:color="auto"/>
            </w:tcBorders>
            <w:noWrap/>
            <w:vAlign w:val="center"/>
            <w:hideMark/>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45.0%</w:t>
            </w:r>
          </w:p>
        </w:tc>
      </w:tr>
      <w:tr w:rsidR="00150655" w:rsidRPr="00150655" w:rsidTr="00EF462C">
        <w:trPr>
          <w:trHeight w:val="300"/>
          <w:jc w:val="center"/>
        </w:trPr>
        <w:tc>
          <w:tcPr>
            <w:tcW w:w="2306" w:type="dxa"/>
            <w:vMerge/>
            <w:tcBorders>
              <w:top w:val="single" w:sz="4" w:space="0" w:color="auto"/>
              <w:left w:val="single" w:sz="4" w:space="0" w:color="auto"/>
              <w:bottom w:val="single" w:sz="4" w:space="0" w:color="auto"/>
              <w:right w:val="single" w:sz="4" w:space="0" w:color="auto"/>
            </w:tcBorders>
            <w:noWrap/>
            <w:vAlign w:val="center"/>
            <w:hideMark/>
          </w:tcPr>
          <w:p w:rsidR="00150655" w:rsidRPr="00150655" w:rsidRDefault="00150655" w:rsidP="00150655">
            <w:pPr>
              <w:spacing w:after="120" w:line="240" w:lineRule="auto"/>
              <w:jc w:val="center"/>
              <w:rPr>
                <w:rFonts w:eastAsia="Times New Roman" w:cs="Times New Roman"/>
                <w:color w:val="000000"/>
                <w:sz w:val="20"/>
                <w:szCs w:val="20"/>
              </w:rPr>
            </w:pPr>
          </w:p>
        </w:tc>
        <w:tc>
          <w:tcPr>
            <w:tcW w:w="1620" w:type="dxa"/>
            <w:vMerge/>
            <w:tcBorders>
              <w:top w:val="single" w:sz="4" w:space="0" w:color="auto"/>
              <w:left w:val="nil"/>
              <w:bottom w:val="single" w:sz="4" w:space="0" w:color="auto"/>
              <w:right w:val="single" w:sz="4" w:space="0" w:color="auto"/>
            </w:tcBorders>
            <w:vAlign w:val="center"/>
          </w:tcPr>
          <w:p w:rsidR="00150655" w:rsidRPr="00150655" w:rsidRDefault="00150655" w:rsidP="00150655">
            <w:pPr>
              <w:spacing w:after="120" w:line="240" w:lineRule="auto"/>
              <w:jc w:val="center"/>
              <w:rPr>
                <w:rFonts w:eastAsia="Times New Roman" w:cs="Times New Roman"/>
                <w:color w:val="000000"/>
                <w:sz w:val="20"/>
                <w:szCs w:val="20"/>
              </w:rPr>
            </w:pPr>
          </w:p>
        </w:tc>
        <w:tc>
          <w:tcPr>
            <w:tcW w:w="1975" w:type="dxa"/>
            <w:tcBorders>
              <w:top w:val="single" w:sz="4" w:space="0" w:color="auto"/>
              <w:left w:val="single" w:sz="4" w:space="0" w:color="auto"/>
              <w:bottom w:val="single" w:sz="4" w:space="0" w:color="auto"/>
              <w:right w:val="single" w:sz="4" w:space="0" w:color="auto"/>
            </w:tcBorders>
            <w:noWrap/>
            <w:vAlign w:val="center"/>
            <w:hideMark/>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5%</w:t>
            </w:r>
          </w:p>
        </w:tc>
        <w:tc>
          <w:tcPr>
            <w:tcW w:w="1260" w:type="dxa"/>
            <w:tcBorders>
              <w:top w:val="single" w:sz="4" w:space="0" w:color="auto"/>
              <w:left w:val="nil"/>
              <w:bottom w:val="single" w:sz="4" w:space="0" w:color="auto"/>
              <w:right w:val="single" w:sz="4" w:space="0" w:color="auto"/>
            </w:tcBorders>
            <w:noWrap/>
            <w:vAlign w:val="center"/>
            <w:hideMark/>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47.5%</w:t>
            </w:r>
          </w:p>
        </w:tc>
      </w:tr>
      <w:tr w:rsidR="00150655" w:rsidRPr="00150655" w:rsidTr="00EF462C">
        <w:trPr>
          <w:trHeight w:val="300"/>
          <w:jc w:val="center"/>
        </w:trPr>
        <w:tc>
          <w:tcPr>
            <w:tcW w:w="2306" w:type="dxa"/>
            <w:vMerge w:val="restart"/>
            <w:tcBorders>
              <w:top w:val="single" w:sz="4" w:space="0" w:color="auto"/>
              <w:left w:val="single" w:sz="4" w:space="0" w:color="auto"/>
              <w:right w:val="single" w:sz="4" w:space="0" w:color="auto"/>
            </w:tcBorders>
            <w:noWrap/>
            <w:vAlign w:val="center"/>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Other 24/7 Space Type</w:t>
            </w:r>
          </w:p>
        </w:tc>
        <w:tc>
          <w:tcPr>
            <w:tcW w:w="1620" w:type="dxa"/>
            <w:vMerge w:val="restart"/>
            <w:tcBorders>
              <w:top w:val="single" w:sz="4" w:space="0" w:color="auto"/>
              <w:left w:val="nil"/>
              <w:right w:val="single" w:sz="4" w:space="0" w:color="auto"/>
            </w:tcBorders>
            <w:vAlign w:val="center"/>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50.0%</w:t>
            </w:r>
            <w:r w:rsidRPr="00150655">
              <w:rPr>
                <w:rFonts w:eastAsia="Times New Roman" w:cs="Times New Roman"/>
                <w:color w:val="000000"/>
                <w:sz w:val="20"/>
                <w:szCs w:val="20"/>
                <w:vertAlign w:val="superscript"/>
              </w:rPr>
              <w:footnoteReference w:id="5"/>
            </w:r>
          </w:p>
        </w:tc>
        <w:tc>
          <w:tcPr>
            <w:tcW w:w="1975" w:type="dxa"/>
            <w:tcBorders>
              <w:top w:val="single" w:sz="4" w:space="0" w:color="auto"/>
              <w:left w:val="single" w:sz="4" w:space="0" w:color="auto"/>
              <w:bottom w:val="single" w:sz="4" w:space="0" w:color="auto"/>
              <w:right w:val="single" w:sz="4" w:space="0" w:color="auto"/>
            </w:tcBorders>
            <w:noWrap/>
            <w:vAlign w:val="center"/>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50%</w:t>
            </w:r>
          </w:p>
        </w:tc>
        <w:tc>
          <w:tcPr>
            <w:tcW w:w="1260" w:type="dxa"/>
            <w:tcBorders>
              <w:top w:val="single" w:sz="4" w:space="0" w:color="auto"/>
              <w:left w:val="nil"/>
              <w:bottom w:val="single" w:sz="4" w:space="0" w:color="auto"/>
              <w:right w:val="single" w:sz="4" w:space="0" w:color="auto"/>
            </w:tcBorders>
            <w:noWrap/>
            <w:vAlign w:val="center"/>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25.0%</w:t>
            </w:r>
          </w:p>
        </w:tc>
      </w:tr>
      <w:tr w:rsidR="00150655" w:rsidRPr="00150655" w:rsidTr="00EF462C">
        <w:trPr>
          <w:trHeight w:val="300"/>
          <w:jc w:val="center"/>
        </w:trPr>
        <w:tc>
          <w:tcPr>
            <w:tcW w:w="2306" w:type="dxa"/>
            <w:vMerge/>
            <w:tcBorders>
              <w:left w:val="single" w:sz="4" w:space="0" w:color="auto"/>
              <w:right w:val="single" w:sz="4" w:space="0" w:color="auto"/>
            </w:tcBorders>
            <w:noWrap/>
            <w:vAlign w:val="center"/>
          </w:tcPr>
          <w:p w:rsidR="00150655" w:rsidRPr="00150655" w:rsidRDefault="00150655" w:rsidP="00150655">
            <w:pPr>
              <w:spacing w:after="120" w:line="240" w:lineRule="auto"/>
              <w:jc w:val="center"/>
              <w:rPr>
                <w:rFonts w:eastAsia="Times New Roman" w:cs="Times New Roman"/>
                <w:color w:val="000000"/>
                <w:sz w:val="20"/>
                <w:szCs w:val="20"/>
              </w:rPr>
            </w:pPr>
          </w:p>
        </w:tc>
        <w:tc>
          <w:tcPr>
            <w:tcW w:w="1620" w:type="dxa"/>
            <w:vMerge/>
            <w:tcBorders>
              <w:left w:val="nil"/>
              <w:right w:val="single" w:sz="4" w:space="0" w:color="auto"/>
            </w:tcBorders>
            <w:vAlign w:val="center"/>
          </w:tcPr>
          <w:p w:rsidR="00150655" w:rsidRPr="00150655" w:rsidRDefault="00150655" w:rsidP="00150655">
            <w:pPr>
              <w:spacing w:after="120" w:line="240" w:lineRule="auto"/>
              <w:jc w:val="center"/>
              <w:rPr>
                <w:rFonts w:eastAsia="Times New Roman" w:cs="Times New Roman"/>
                <w:color w:val="000000"/>
                <w:sz w:val="20"/>
                <w:szCs w:val="20"/>
              </w:rPr>
            </w:pPr>
          </w:p>
        </w:tc>
        <w:tc>
          <w:tcPr>
            <w:tcW w:w="1975" w:type="dxa"/>
            <w:tcBorders>
              <w:top w:val="single" w:sz="4" w:space="0" w:color="auto"/>
              <w:left w:val="single" w:sz="4" w:space="0" w:color="auto"/>
              <w:bottom w:val="single" w:sz="4" w:space="0" w:color="auto"/>
              <w:right w:val="single" w:sz="4" w:space="0" w:color="auto"/>
            </w:tcBorders>
            <w:noWrap/>
            <w:vAlign w:val="center"/>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33%</w:t>
            </w:r>
          </w:p>
        </w:tc>
        <w:tc>
          <w:tcPr>
            <w:tcW w:w="1260" w:type="dxa"/>
            <w:tcBorders>
              <w:top w:val="single" w:sz="4" w:space="0" w:color="auto"/>
              <w:left w:val="nil"/>
              <w:bottom w:val="single" w:sz="4" w:space="0" w:color="auto"/>
              <w:right w:val="single" w:sz="4" w:space="0" w:color="auto"/>
            </w:tcBorders>
            <w:noWrap/>
            <w:vAlign w:val="center"/>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33.5%</w:t>
            </w:r>
          </w:p>
        </w:tc>
      </w:tr>
      <w:tr w:rsidR="00150655" w:rsidRPr="00150655" w:rsidTr="00EF462C">
        <w:trPr>
          <w:trHeight w:val="300"/>
          <w:jc w:val="center"/>
        </w:trPr>
        <w:tc>
          <w:tcPr>
            <w:tcW w:w="2306" w:type="dxa"/>
            <w:vMerge/>
            <w:tcBorders>
              <w:left w:val="single" w:sz="4" w:space="0" w:color="auto"/>
              <w:right w:val="single" w:sz="4" w:space="0" w:color="auto"/>
            </w:tcBorders>
            <w:noWrap/>
            <w:vAlign w:val="center"/>
          </w:tcPr>
          <w:p w:rsidR="00150655" w:rsidRPr="00150655" w:rsidRDefault="00150655" w:rsidP="00150655">
            <w:pPr>
              <w:spacing w:after="120" w:line="240" w:lineRule="auto"/>
              <w:jc w:val="center"/>
              <w:rPr>
                <w:rFonts w:eastAsia="Times New Roman" w:cs="Times New Roman"/>
                <w:color w:val="000000"/>
                <w:sz w:val="20"/>
                <w:szCs w:val="20"/>
              </w:rPr>
            </w:pPr>
          </w:p>
        </w:tc>
        <w:tc>
          <w:tcPr>
            <w:tcW w:w="1620" w:type="dxa"/>
            <w:vMerge/>
            <w:tcBorders>
              <w:left w:val="nil"/>
              <w:right w:val="single" w:sz="4" w:space="0" w:color="auto"/>
            </w:tcBorders>
            <w:vAlign w:val="center"/>
          </w:tcPr>
          <w:p w:rsidR="00150655" w:rsidRPr="00150655" w:rsidRDefault="00150655" w:rsidP="00150655">
            <w:pPr>
              <w:spacing w:after="120" w:line="240" w:lineRule="auto"/>
              <w:jc w:val="center"/>
              <w:rPr>
                <w:rFonts w:eastAsia="Times New Roman" w:cs="Times New Roman"/>
                <w:color w:val="000000"/>
                <w:sz w:val="20"/>
                <w:szCs w:val="20"/>
              </w:rPr>
            </w:pPr>
          </w:p>
        </w:tc>
        <w:tc>
          <w:tcPr>
            <w:tcW w:w="1975" w:type="dxa"/>
            <w:tcBorders>
              <w:top w:val="single" w:sz="4" w:space="0" w:color="auto"/>
              <w:left w:val="single" w:sz="4" w:space="0" w:color="auto"/>
              <w:bottom w:val="single" w:sz="4" w:space="0" w:color="auto"/>
              <w:right w:val="single" w:sz="4" w:space="0" w:color="auto"/>
            </w:tcBorders>
            <w:noWrap/>
            <w:vAlign w:val="center"/>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10%</w:t>
            </w:r>
          </w:p>
        </w:tc>
        <w:tc>
          <w:tcPr>
            <w:tcW w:w="1260" w:type="dxa"/>
            <w:tcBorders>
              <w:top w:val="single" w:sz="4" w:space="0" w:color="auto"/>
              <w:left w:val="nil"/>
              <w:bottom w:val="single" w:sz="4" w:space="0" w:color="auto"/>
              <w:right w:val="single" w:sz="4" w:space="0" w:color="auto"/>
            </w:tcBorders>
            <w:noWrap/>
            <w:vAlign w:val="center"/>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45.0%</w:t>
            </w:r>
          </w:p>
        </w:tc>
      </w:tr>
      <w:tr w:rsidR="00150655" w:rsidRPr="00150655" w:rsidTr="00EF462C">
        <w:trPr>
          <w:trHeight w:val="300"/>
          <w:jc w:val="center"/>
        </w:trPr>
        <w:tc>
          <w:tcPr>
            <w:tcW w:w="2306" w:type="dxa"/>
            <w:vMerge/>
            <w:tcBorders>
              <w:left w:val="single" w:sz="4" w:space="0" w:color="auto"/>
              <w:bottom w:val="single" w:sz="4" w:space="0" w:color="auto"/>
              <w:right w:val="single" w:sz="4" w:space="0" w:color="auto"/>
            </w:tcBorders>
            <w:noWrap/>
            <w:vAlign w:val="center"/>
          </w:tcPr>
          <w:p w:rsidR="00150655" w:rsidRPr="00150655" w:rsidRDefault="00150655" w:rsidP="00150655">
            <w:pPr>
              <w:spacing w:after="120" w:line="240" w:lineRule="auto"/>
              <w:jc w:val="center"/>
              <w:rPr>
                <w:rFonts w:eastAsia="Times New Roman" w:cs="Times New Roman"/>
                <w:color w:val="000000"/>
                <w:sz w:val="20"/>
                <w:szCs w:val="20"/>
              </w:rPr>
            </w:pPr>
          </w:p>
        </w:tc>
        <w:tc>
          <w:tcPr>
            <w:tcW w:w="1620" w:type="dxa"/>
            <w:vMerge/>
            <w:tcBorders>
              <w:left w:val="nil"/>
              <w:bottom w:val="single" w:sz="4" w:space="0" w:color="auto"/>
              <w:right w:val="single" w:sz="4" w:space="0" w:color="auto"/>
            </w:tcBorders>
            <w:vAlign w:val="center"/>
          </w:tcPr>
          <w:p w:rsidR="00150655" w:rsidRPr="00150655" w:rsidRDefault="00150655" w:rsidP="00150655">
            <w:pPr>
              <w:spacing w:after="120" w:line="240" w:lineRule="auto"/>
              <w:jc w:val="center"/>
              <w:rPr>
                <w:rFonts w:eastAsia="Times New Roman" w:cs="Times New Roman"/>
                <w:color w:val="000000"/>
                <w:sz w:val="20"/>
                <w:szCs w:val="20"/>
              </w:rPr>
            </w:pPr>
          </w:p>
        </w:tc>
        <w:tc>
          <w:tcPr>
            <w:tcW w:w="1975" w:type="dxa"/>
            <w:tcBorders>
              <w:top w:val="single" w:sz="4" w:space="0" w:color="auto"/>
              <w:left w:val="single" w:sz="4" w:space="0" w:color="auto"/>
              <w:bottom w:val="single" w:sz="4" w:space="0" w:color="auto"/>
              <w:right w:val="single" w:sz="4" w:space="0" w:color="auto"/>
            </w:tcBorders>
            <w:noWrap/>
            <w:vAlign w:val="center"/>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5%</w:t>
            </w:r>
          </w:p>
        </w:tc>
        <w:tc>
          <w:tcPr>
            <w:tcW w:w="1260" w:type="dxa"/>
            <w:tcBorders>
              <w:top w:val="single" w:sz="4" w:space="0" w:color="auto"/>
              <w:left w:val="nil"/>
              <w:bottom w:val="single" w:sz="4" w:space="0" w:color="auto"/>
              <w:right w:val="single" w:sz="4" w:space="0" w:color="auto"/>
            </w:tcBorders>
            <w:noWrap/>
            <w:vAlign w:val="center"/>
          </w:tcPr>
          <w:p w:rsidR="00150655" w:rsidRPr="00150655" w:rsidRDefault="00150655" w:rsidP="00150655">
            <w:pPr>
              <w:spacing w:after="120" w:line="240" w:lineRule="auto"/>
              <w:jc w:val="center"/>
              <w:rPr>
                <w:rFonts w:eastAsia="Times New Roman" w:cs="Times New Roman"/>
                <w:color w:val="000000"/>
                <w:sz w:val="20"/>
                <w:szCs w:val="20"/>
              </w:rPr>
            </w:pPr>
            <w:r w:rsidRPr="00150655">
              <w:rPr>
                <w:rFonts w:eastAsia="Times New Roman" w:cs="Times New Roman"/>
                <w:color w:val="000000"/>
                <w:sz w:val="20"/>
                <w:szCs w:val="20"/>
              </w:rPr>
              <w:t>47.5%</w:t>
            </w:r>
          </w:p>
        </w:tc>
      </w:tr>
    </w:tbl>
    <w:p w:rsidR="00150655" w:rsidRPr="00150655" w:rsidRDefault="00150655" w:rsidP="00150655">
      <w:pPr>
        <w:widowControl w:val="0"/>
        <w:spacing w:after="120" w:line="240" w:lineRule="auto"/>
        <w:ind w:left="2160" w:hanging="1440"/>
        <w:jc w:val="both"/>
        <w:rPr>
          <w:rFonts w:eastAsia="Times New Roman" w:cs="Times New Roman"/>
          <w:sz w:val="20"/>
        </w:rPr>
      </w:pPr>
    </w:p>
    <w:p w:rsidR="00150655" w:rsidRPr="00150655" w:rsidRDefault="00150655" w:rsidP="00150655">
      <w:pPr>
        <w:widowControl w:val="0"/>
        <w:spacing w:after="120" w:line="240" w:lineRule="auto"/>
        <w:ind w:left="2160" w:hanging="1440"/>
        <w:jc w:val="both"/>
        <w:rPr>
          <w:rFonts w:eastAsia="Times New Roman" w:cs="Times New Roman"/>
          <w:sz w:val="20"/>
        </w:rPr>
      </w:pPr>
      <w:r w:rsidRPr="00150655">
        <w:rPr>
          <w:rFonts w:eastAsia="Times New Roman" w:cs="Times New Roman"/>
          <w:noProof/>
          <w:sz w:val="20"/>
        </w:rPr>
        <w:t>WHF</w:t>
      </w:r>
      <w:r w:rsidRPr="00150655">
        <w:rPr>
          <w:rFonts w:eastAsia="Times New Roman" w:cs="Times New Roman"/>
          <w:noProof/>
          <w:sz w:val="20"/>
          <w:vertAlign w:val="subscript"/>
        </w:rPr>
        <w:t>e</w:t>
      </w:r>
      <w:r w:rsidRPr="00150655">
        <w:rPr>
          <w:rFonts w:eastAsia="Times New Roman" w:cs="Times New Roman"/>
          <w:noProof/>
          <w:sz w:val="20"/>
        </w:rPr>
        <w:tab/>
        <w:t xml:space="preserve">= </w:t>
      </w:r>
      <w:r w:rsidRPr="00150655">
        <w:rPr>
          <w:rFonts w:eastAsia="Times New Roman" w:cs="Times New Roman"/>
          <w:sz w:val="20"/>
        </w:rPr>
        <w:t xml:space="preserve">Waste heat factor for energy to account for cooling energy savings from efficient lighting is </w:t>
      </w:r>
      <w:r w:rsidRPr="00150655">
        <w:rPr>
          <w:rFonts w:eastAsia="Times New Roman" w:cs="Times New Roman"/>
          <w:noProof/>
          <w:sz w:val="20"/>
        </w:rPr>
        <w:t xml:space="preserve">provided in the Reference Table in Section 4.5 </w:t>
      </w:r>
      <w:r w:rsidRPr="00150655">
        <w:rPr>
          <w:rFonts w:eastAsia="Times New Roman" w:cs="Times New Roman"/>
          <w:sz w:val="20"/>
        </w:rPr>
        <w:t>for each building type.  If building is un-cooled, the value is 1.0.</w:t>
      </w:r>
    </w:p>
    <w:p w:rsidR="00150655" w:rsidRPr="00150655" w:rsidRDefault="00150655" w:rsidP="00150655">
      <w:pPr>
        <w:keepNext/>
        <w:keepLines/>
        <w:widowControl w:val="0"/>
        <w:tabs>
          <w:tab w:val="left" w:pos="5040"/>
        </w:tabs>
        <w:spacing w:before="200" w:after="120"/>
        <w:outlineLvl w:val="5"/>
        <w:rPr>
          <w:rFonts w:eastAsia="Times New Roman" w:cs="Calibri"/>
          <w:b/>
          <w:smallCaps/>
        </w:rPr>
      </w:pPr>
      <w:r w:rsidRPr="00150655">
        <w:rPr>
          <w:rFonts w:eastAsia="Times New Roman" w:cs="Calibri"/>
          <w:b/>
          <w:smallCaps/>
        </w:rPr>
        <w:t>Heating Penalty</w:t>
      </w:r>
    </w:p>
    <w:p w:rsidR="00150655" w:rsidRPr="00150655" w:rsidRDefault="00150655" w:rsidP="00150655">
      <w:pPr>
        <w:widowControl w:val="0"/>
        <w:spacing w:after="120" w:line="240" w:lineRule="auto"/>
        <w:jc w:val="both"/>
        <w:rPr>
          <w:rFonts w:eastAsia="Times New Roman" w:cstheme="minorHAnsi"/>
          <w:noProof/>
          <w:sz w:val="20"/>
        </w:rPr>
      </w:pPr>
      <w:r w:rsidRPr="00150655">
        <w:rPr>
          <w:rFonts w:eastAsia="Times New Roman" w:cstheme="minorHAnsi"/>
          <w:noProof/>
          <w:sz w:val="20"/>
        </w:rPr>
        <w:t>If electrically heated building:</w:t>
      </w:r>
    </w:p>
    <w:p w:rsidR="00150655" w:rsidRPr="00150655" w:rsidRDefault="00150655" w:rsidP="00150655">
      <w:pPr>
        <w:widowControl w:val="0"/>
        <w:spacing w:after="120" w:line="240" w:lineRule="auto"/>
        <w:ind w:left="720" w:firstLine="720"/>
        <w:jc w:val="both"/>
        <w:rPr>
          <w:rFonts w:eastAsia="Times New Roman" w:cs="Times New Roman"/>
          <w:noProof/>
          <w:sz w:val="20"/>
        </w:rPr>
      </w:pPr>
      <w:r w:rsidRPr="00150655">
        <w:rPr>
          <w:rFonts w:eastAsia="Times New Roman" w:cs="Times New Roman"/>
          <w:noProof/>
          <w:sz w:val="20"/>
        </w:rPr>
        <w:t>ΔkWh</w:t>
      </w:r>
      <w:r w:rsidRPr="00150655">
        <w:rPr>
          <w:rFonts w:eastAsia="Times New Roman" w:cs="Times New Roman"/>
          <w:noProof/>
          <w:sz w:val="20"/>
          <w:vertAlign w:val="subscript"/>
        </w:rPr>
        <w:t>heatpenalty</w:t>
      </w:r>
      <w:r w:rsidRPr="00150655">
        <w:rPr>
          <w:rFonts w:ascii="Arial" w:eastAsiaTheme="majorEastAsia" w:hAnsi="Arial" w:cstheme="minorHAnsi"/>
          <w:noProof/>
          <w:sz w:val="20"/>
          <w:vertAlign w:val="superscript"/>
        </w:rPr>
        <w:footnoteReference w:id="6"/>
      </w:r>
      <w:r w:rsidRPr="00150655">
        <w:rPr>
          <w:rFonts w:eastAsia="Times New Roman" w:cs="Times New Roman"/>
          <w:noProof/>
          <w:sz w:val="20"/>
        </w:rPr>
        <w:t xml:space="preserve">  = </w:t>
      </w:r>
      <w:r w:rsidRPr="00150655">
        <w:rPr>
          <w:rFonts w:eastAsia="Times New Roman" w:cs="Times New Roman"/>
          <w:sz w:val="20"/>
        </w:rPr>
        <w:t>(</w:t>
      </w:r>
      <w:proofErr w:type="spellStart"/>
      <w:proofErr w:type="gramStart"/>
      <w:r w:rsidRPr="00150655">
        <w:rPr>
          <w:rFonts w:eastAsia="Times New Roman" w:cs="Times New Roman"/>
          <w:sz w:val="20"/>
        </w:rPr>
        <w:t>KW</w:t>
      </w:r>
      <w:r w:rsidRPr="00150655">
        <w:rPr>
          <w:rFonts w:eastAsia="Times New Roman" w:cs="Times New Roman"/>
          <w:noProof/>
          <w:sz w:val="20"/>
          <w:vertAlign w:val="subscript"/>
        </w:rPr>
        <w:t>Baseline</w:t>
      </w:r>
      <w:proofErr w:type="spellEnd"/>
      <w:r w:rsidRPr="00150655">
        <w:rPr>
          <w:rFonts w:eastAsia="Times New Roman" w:cs="Times New Roman"/>
          <w:noProof/>
          <w:sz w:val="20"/>
          <w:vertAlign w:val="subscript"/>
        </w:rPr>
        <w:t xml:space="preserve">  </w:t>
      </w:r>
      <w:r w:rsidRPr="00150655">
        <w:rPr>
          <w:rFonts w:eastAsia="Times New Roman" w:cs="Times New Roman"/>
          <w:sz w:val="20"/>
        </w:rPr>
        <w:t>-</w:t>
      </w:r>
      <w:proofErr w:type="gramEnd"/>
      <w:r w:rsidRPr="00150655">
        <w:rPr>
          <w:rFonts w:eastAsia="Times New Roman" w:cs="Times New Roman"/>
          <w:sz w:val="20"/>
        </w:rPr>
        <w:t xml:space="preserve"> (</w:t>
      </w:r>
      <w:proofErr w:type="spellStart"/>
      <w:r w:rsidRPr="00150655">
        <w:rPr>
          <w:rFonts w:eastAsia="Times New Roman" w:cs="Times New Roman"/>
          <w:sz w:val="20"/>
        </w:rPr>
        <w:t>KW</w:t>
      </w:r>
      <w:r w:rsidRPr="00150655">
        <w:rPr>
          <w:rFonts w:eastAsia="Times New Roman" w:cs="Times New Roman"/>
          <w:noProof/>
          <w:sz w:val="20"/>
          <w:vertAlign w:val="subscript"/>
        </w:rPr>
        <w:t>Controlled</w:t>
      </w:r>
      <w:proofErr w:type="spellEnd"/>
      <w:r w:rsidRPr="00150655">
        <w:rPr>
          <w:rFonts w:eastAsia="Times New Roman" w:cs="Times New Roman"/>
          <w:noProof/>
          <w:sz w:val="20"/>
          <w:vertAlign w:val="subscript"/>
        </w:rPr>
        <w:t xml:space="preserve"> </w:t>
      </w:r>
      <w:r w:rsidRPr="00150655">
        <w:rPr>
          <w:rFonts w:eastAsia="Times New Roman" w:cs="Times New Roman"/>
          <w:sz w:val="20"/>
        </w:rPr>
        <w:t xml:space="preserve">*(1 –ESF))) * Hours </w:t>
      </w:r>
      <w:r w:rsidRPr="00150655">
        <w:rPr>
          <w:rFonts w:eastAsia="Times New Roman" w:cs="Times New Roman"/>
          <w:noProof/>
          <w:sz w:val="20"/>
        </w:rPr>
        <w:t>* -IFkWh</w:t>
      </w:r>
      <w:r w:rsidRPr="00150655">
        <w:rPr>
          <w:rFonts w:eastAsia="Times New Roman" w:cs="Times New Roman"/>
          <w:noProof/>
          <w:sz w:val="20"/>
        </w:rPr>
        <w:tab/>
      </w:r>
    </w:p>
    <w:p w:rsidR="00150655" w:rsidRPr="00150655" w:rsidRDefault="00150655" w:rsidP="00150655">
      <w:pPr>
        <w:widowControl w:val="0"/>
        <w:spacing w:after="120" w:line="240" w:lineRule="auto"/>
        <w:jc w:val="both"/>
        <w:rPr>
          <w:rFonts w:eastAsia="Times New Roman" w:cs="Times New Roman"/>
          <w:noProof/>
          <w:sz w:val="20"/>
          <w:lang w:val="nl-NL"/>
        </w:rPr>
      </w:pPr>
      <w:r w:rsidRPr="00150655">
        <w:rPr>
          <w:rFonts w:eastAsia="Times New Roman" w:cs="Times New Roman"/>
          <w:noProof/>
          <w:sz w:val="20"/>
          <w:lang w:val="nl-NL"/>
        </w:rPr>
        <w:t>Where:</w:t>
      </w:r>
    </w:p>
    <w:p w:rsidR="00150655" w:rsidRPr="00150655" w:rsidRDefault="00150655" w:rsidP="00150655">
      <w:pPr>
        <w:widowControl w:val="0"/>
        <w:spacing w:after="120" w:line="240" w:lineRule="auto"/>
        <w:ind w:left="2160" w:hanging="1440"/>
        <w:jc w:val="both"/>
        <w:rPr>
          <w:rFonts w:eastAsia="Times New Roman" w:cs="Times New Roman"/>
          <w:noProof/>
          <w:sz w:val="20"/>
          <w:lang w:val="nl-NL"/>
        </w:rPr>
      </w:pPr>
      <w:r w:rsidRPr="00150655">
        <w:rPr>
          <w:rFonts w:eastAsia="Times New Roman" w:cs="Times New Roman"/>
          <w:noProof/>
          <w:sz w:val="20"/>
          <w:lang w:val="nl-NL"/>
        </w:rPr>
        <w:t>IFkWh</w:t>
      </w:r>
      <w:r w:rsidRPr="00150655">
        <w:rPr>
          <w:rFonts w:eastAsia="Times New Roman" w:cs="Times New Roman"/>
          <w:noProof/>
          <w:sz w:val="20"/>
          <w:lang w:val="nl-NL"/>
        </w:rPr>
        <w:tab/>
        <w:t xml:space="preserve">= Lighting-HVAC Interation Factor for electric heating impacts; this factor represents the increased electric space heating requirements due to the reduction of waste heat rejected by the efficent lighting. </w:t>
      </w:r>
      <w:r w:rsidRPr="00150655">
        <w:rPr>
          <w:rFonts w:eastAsia="Times New Roman" w:cs="Times New Roman"/>
          <w:sz w:val="20"/>
        </w:rPr>
        <w:t>Values are</w:t>
      </w:r>
      <w:r w:rsidRPr="00150655">
        <w:rPr>
          <w:rFonts w:eastAsia="Times New Roman" w:cs="Times New Roman"/>
          <w:noProof/>
          <w:sz w:val="20"/>
        </w:rPr>
        <w:t xml:space="preserve"> provided in the Reference Table in Section 4.5</w:t>
      </w:r>
      <w:r w:rsidRPr="00150655">
        <w:rPr>
          <w:rFonts w:eastAsia="Times New Roman" w:cs="Times New Roman"/>
          <w:sz w:val="20"/>
        </w:rPr>
        <w:t xml:space="preserve">.  If unknown, use the </w:t>
      </w:r>
      <w:proofErr w:type="gramStart"/>
      <w:r w:rsidRPr="00150655">
        <w:rPr>
          <w:rFonts w:eastAsia="Times New Roman" w:cs="Times New Roman"/>
          <w:sz w:val="20"/>
        </w:rPr>
        <w:t>Miscellaneous</w:t>
      </w:r>
      <w:proofErr w:type="gramEnd"/>
      <w:r w:rsidRPr="00150655">
        <w:rPr>
          <w:rFonts w:eastAsia="Times New Roman" w:cs="Times New Roman"/>
          <w:sz w:val="20"/>
        </w:rPr>
        <w:t xml:space="preserve"> value.</w:t>
      </w:r>
    </w:p>
    <w:p w:rsidR="00150655" w:rsidRPr="00150655" w:rsidRDefault="00150655" w:rsidP="00150655">
      <w:pPr>
        <w:keepNext/>
        <w:keepLines/>
        <w:widowControl w:val="0"/>
        <w:tabs>
          <w:tab w:val="left" w:pos="5040"/>
        </w:tabs>
        <w:spacing w:before="200" w:after="120"/>
        <w:outlineLvl w:val="5"/>
        <w:rPr>
          <w:rFonts w:eastAsia="Times New Roman" w:cs="Calibri"/>
          <w:b/>
          <w:smallCaps/>
        </w:rPr>
      </w:pPr>
      <w:r w:rsidRPr="00150655">
        <w:rPr>
          <w:rFonts w:eastAsia="Times New Roman" w:cs="Calibri"/>
          <w:b/>
          <w:smallCaps/>
        </w:rPr>
        <w:t xml:space="preserve">Summer Coincident Peak Demand Savings </w:t>
      </w:r>
    </w:p>
    <w:p w:rsidR="00150655" w:rsidRPr="00150655" w:rsidRDefault="00150655" w:rsidP="00150655">
      <w:pPr>
        <w:widowControl w:val="0"/>
        <w:spacing w:after="120" w:line="240" w:lineRule="auto"/>
        <w:ind w:left="1440"/>
        <w:jc w:val="both"/>
        <w:rPr>
          <w:rFonts w:eastAsia="Times New Roman" w:cs="Times New Roman"/>
          <w:sz w:val="20"/>
        </w:rPr>
      </w:pPr>
      <w:r w:rsidRPr="00150655">
        <w:rPr>
          <w:rFonts w:eastAsia="Times New Roman" w:cs="Times New Roman"/>
          <w:noProof/>
          <w:sz w:val="20"/>
        </w:rPr>
        <w:t xml:space="preserve">ΔkW  = </w:t>
      </w:r>
      <w:r w:rsidRPr="00150655">
        <w:rPr>
          <w:rFonts w:eastAsia="Times New Roman" w:cs="Times New Roman"/>
          <w:sz w:val="20"/>
        </w:rPr>
        <w:t>(</w:t>
      </w:r>
      <w:proofErr w:type="spellStart"/>
      <w:proofErr w:type="gramStart"/>
      <w:r w:rsidRPr="00150655">
        <w:rPr>
          <w:rFonts w:eastAsia="Times New Roman" w:cs="Times New Roman"/>
          <w:sz w:val="20"/>
        </w:rPr>
        <w:t>KW</w:t>
      </w:r>
      <w:r w:rsidRPr="00150655">
        <w:rPr>
          <w:rFonts w:eastAsia="Times New Roman" w:cs="Times New Roman"/>
          <w:noProof/>
          <w:sz w:val="20"/>
          <w:vertAlign w:val="subscript"/>
        </w:rPr>
        <w:t>Baseline</w:t>
      </w:r>
      <w:proofErr w:type="spellEnd"/>
      <w:r w:rsidRPr="00150655">
        <w:rPr>
          <w:rFonts w:eastAsia="Times New Roman" w:cs="Times New Roman"/>
          <w:noProof/>
          <w:sz w:val="20"/>
          <w:vertAlign w:val="subscript"/>
        </w:rPr>
        <w:t xml:space="preserve">  </w:t>
      </w:r>
      <w:r w:rsidRPr="00150655">
        <w:rPr>
          <w:rFonts w:eastAsia="Times New Roman" w:cs="Times New Roman"/>
          <w:sz w:val="20"/>
        </w:rPr>
        <w:t>-</w:t>
      </w:r>
      <w:proofErr w:type="gramEnd"/>
      <w:r w:rsidRPr="00150655">
        <w:rPr>
          <w:rFonts w:eastAsia="Times New Roman" w:cs="Times New Roman"/>
          <w:sz w:val="20"/>
        </w:rPr>
        <w:t xml:space="preserve"> (</w:t>
      </w:r>
      <w:proofErr w:type="spellStart"/>
      <w:r w:rsidRPr="00150655">
        <w:rPr>
          <w:rFonts w:eastAsia="Times New Roman" w:cs="Times New Roman"/>
          <w:sz w:val="20"/>
        </w:rPr>
        <w:t>KW</w:t>
      </w:r>
      <w:r w:rsidRPr="00150655">
        <w:rPr>
          <w:rFonts w:eastAsia="Times New Roman" w:cs="Times New Roman"/>
          <w:noProof/>
          <w:sz w:val="20"/>
          <w:vertAlign w:val="subscript"/>
        </w:rPr>
        <w:t>Controlled</w:t>
      </w:r>
      <w:proofErr w:type="spellEnd"/>
      <w:r w:rsidRPr="00150655">
        <w:rPr>
          <w:rFonts w:eastAsia="Times New Roman" w:cs="Times New Roman"/>
          <w:noProof/>
          <w:sz w:val="20"/>
          <w:vertAlign w:val="subscript"/>
        </w:rPr>
        <w:t xml:space="preserve"> </w:t>
      </w:r>
      <w:r w:rsidRPr="00150655">
        <w:rPr>
          <w:rFonts w:eastAsia="Times New Roman" w:cs="Times New Roman"/>
          <w:sz w:val="20"/>
        </w:rPr>
        <w:t xml:space="preserve">* (1 –ESF))) </w:t>
      </w:r>
      <w:r w:rsidRPr="00150655">
        <w:rPr>
          <w:rFonts w:eastAsia="Times New Roman" w:cs="Times New Roman"/>
          <w:noProof/>
          <w:sz w:val="20"/>
        </w:rPr>
        <w:t>* WHF</w:t>
      </w:r>
      <w:r w:rsidRPr="00150655">
        <w:rPr>
          <w:rFonts w:eastAsia="Times New Roman" w:cs="Times New Roman"/>
          <w:noProof/>
          <w:sz w:val="20"/>
          <w:vertAlign w:val="subscript"/>
        </w:rPr>
        <w:t xml:space="preserve">d </w:t>
      </w:r>
      <w:r w:rsidRPr="00150655">
        <w:rPr>
          <w:rFonts w:eastAsia="Times New Roman" w:cs="Times New Roman"/>
          <w:noProof/>
          <w:sz w:val="20"/>
        </w:rPr>
        <w:t>* (CF</w:t>
      </w:r>
      <w:r w:rsidRPr="00150655">
        <w:rPr>
          <w:rFonts w:eastAsia="Times New Roman" w:cs="Times New Roman"/>
          <w:noProof/>
          <w:sz w:val="20"/>
          <w:vertAlign w:val="subscript"/>
        </w:rPr>
        <w:t xml:space="preserve">baseline </w:t>
      </w:r>
      <w:r w:rsidRPr="00150655">
        <w:rPr>
          <w:rFonts w:eastAsia="Times New Roman" w:cs="Times New Roman"/>
          <w:noProof/>
          <w:sz w:val="20"/>
        </w:rPr>
        <w:t>- CF</w:t>
      </w:r>
      <w:r w:rsidRPr="00150655">
        <w:rPr>
          <w:rFonts w:eastAsia="Times New Roman" w:cs="Times New Roman"/>
          <w:noProof/>
          <w:sz w:val="20"/>
          <w:vertAlign w:val="subscript"/>
        </w:rPr>
        <w:t>os</w:t>
      </w:r>
      <w:r w:rsidRPr="00150655">
        <w:rPr>
          <w:rFonts w:eastAsia="Times New Roman" w:cs="Times New Roman"/>
          <w:noProof/>
          <w:sz w:val="20"/>
        </w:rPr>
        <w:t>)</w:t>
      </w:r>
    </w:p>
    <w:p w:rsidR="00150655" w:rsidRPr="00150655" w:rsidRDefault="00150655" w:rsidP="00150655">
      <w:pPr>
        <w:widowControl w:val="0"/>
        <w:spacing w:after="120" w:line="240" w:lineRule="auto"/>
        <w:ind w:left="1440" w:hanging="1440"/>
        <w:jc w:val="both"/>
        <w:rPr>
          <w:rFonts w:eastAsia="Times New Roman" w:cs="Times New Roman"/>
          <w:noProof/>
          <w:sz w:val="20"/>
          <w:lang w:val="nl-NL"/>
        </w:rPr>
      </w:pPr>
      <w:r w:rsidRPr="00150655">
        <w:rPr>
          <w:rFonts w:eastAsia="Times New Roman" w:cs="Times New Roman"/>
          <w:noProof/>
          <w:sz w:val="20"/>
          <w:lang w:val="nl-NL"/>
        </w:rPr>
        <w:t>Where:</w:t>
      </w:r>
    </w:p>
    <w:p w:rsidR="00150655" w:rsidRPr="00150655" w:rsidRDefault="00150655" w:rsidP="00150655">
      <w:pPr>
        <w:widowControl w:val="0"/>
        <w:spacing w:after="120" w:line="240" w:lineRule="auto"/>
        <w:ind w:left="2160" w:hanging="1440"/>
        <w:jc w:val="both"/>
        <w:rPr>
          <w:rFonts w:eastAsia="Times New Roman" w:cs="Times New Roman"/>
          <w:noProof/>
          <w:sz w:val="20"/>
        </w:rPr>
      </w:pPr>
      <w:r w:rsidRPr="00150655">
        <w:rPr>
          <w:rFonts w:eastAsia="Times New Roman" w:cs="Times New Roman"/>
          <w:noProof/>
          <w:sz w:val="20"/>
          <w:lang w:val="nl-NL"/>
        </w:rPr>
        <w:lastRenderedPageBreak/>
        <w:t>WHF</w:t>
      </w:r>
      <w:r w:rsidRPr="00150655">
        <w:rPr>
          <w:rFonts w:eastAsia="Times New Roman" w:cs="Times New Roman"/>
          <w:noProof/>
          <w:sz w:val="20"/>
          <w:vertAlign w:val="subscript"/>
          <w:lang w:val="nl-NL"/>
        </w:rPr>
        <w:t>d</w:t>
      </w:r>
      <w:r w:rsidRPr="00150655">
        <w:rPr>
          <w:rFonts w:eastAsia="Times New Roman" w:cs="Times New Roman"/>
          <w:noProof/>
          <w:sz w:val="20"/>
          <w:lang w:val="nl-NL"/>
        </w:rPr>
        <w:tab/>
        <w:t xml:space="preserve">= </w:t>
      </w:r>
      <w:r w:rsidRPr="00150655">
        <w:rPr>
          <w:rFonts w:eastAsia="Times New Roman" w:cs="Times New Roman"/>
          <w:noProof/>
          <w:sz w:val="20"/>
        </w:rPr>
        <w:t xml:space="preserve">Waste Heat Factor for Demand to account for cooling savings from efficient lighting in cooled buildings is provided in the Reference Table in Section 4.5. If the  building is un-cooled WHFd is 1. </w:t>
      </w:r>
    </w:p>
    <w:p w:rsidR="00150655" w:rsidRPr="00150655" w:rsidRDefault="00150655" w:rsidP="00150655">
      <w:pPr>
        <w:widowControl w:val="0"/>
        <w:spacing w:after="120" w:line="240" w:lineRule="auto"/>
        <w:ind w:left="2160" w:hanging="1440"/>
        <w:jc w:val="both"/>
        <w:rPr>
          <w:rFonts w:eastAsia="Times New Roman" w:cs="Times New Roman"/>
          <w:noProof/>
          <w:sz w:val="20"/>
        </w:rPr>
      </w:pPr>
      <w:r w:rsidRPr="00150655">
        <w:rPr>
          <w:rFonts w:eastAsia="Times New Roman" w:cs="Times New Roman"/>
          <w:noProof/>
          <w:sz w:val="20"/>
        </w:rPr>
        <w:t>CF</w:t>
      </w:r>
      <w:r w:rsidRPr="00150655">
        <w:rPr>
          <w:rFonts w:eastAsia="Times New Roman" w:cs="Times New Roman"/>
          <w:noProof/>
          <w:sz w:val="20"/>
          <w:vertAlign w:val="subscript"/>
        </w:rPr>
        <w:t>baseline</w:t>
      </w:r>
      <w:r w:rsidRPr="00150655">
        <w:rPr>
          <w:rFonts w:eastAsia="Times New Roman" w:cs="Times New Roman"/>
          <w:noProof/>
          <w:sz w:val="20"/>
        </w:rPr>
        <w:t xml:space="preserve"> </w:t>
      </w:r>
      <w:r w:rsidRPr="00150655">
        <w:rPr>
          <w:rFonts w:eastAsia="Times New Roman" w:cs="Times New Roman"/>
          <w:noProof/>
          <w:sz w:val="20"/>
        </w:rPr>
        <w:tab/>
        <w:t xml:space="preserve">= Baseline </w:t>
      </w:r>
      <w:r w:rsidRPr="00150655">
        <w:rPr>
          <w:rFonts w:eastAsia="Times New Roman" w:cs="Times New Roman"/>
          <w:sz w:val="20"/>
        </w:rPr>
        <w:t xml:space="preserve">Summer Peak Coincidence Factor for the lighting system without Occupancy Sensors installed selected from the Reference Table in Section 4.5 for each building type. If the building type is unknown, use the </w:t>
      </w:r>
      <w:proofErr w:type="gramStart"/>
      <w:r w:rsidRPr="00150655">
        <w:rPr>
          <w:rFonts w:eastAsia="Times New Roman" w:cs="Times New Roman"/>
          <w:sz w:val="20"/>
        </w:rPr>
        <w:t>Miscellaneous</w:t>
      </w:r>
      <w:proofErr w:type="gramEnd"/>
      <w:r w:rsidRPr="00150655">
        <w:rPr>
          <w:rFonts w:eastAsia="Times New Roman" w:cs="Times New Roman"/>
          <w:sz w:val="20"/>
        </w:rPr>
        <w:t xml:space="preserve"> value of 0.66</w:t>
      </w:r>
    </w:p>
    <w:p w:rsidR="00150655" w:rsidRPr="00150655" w:rsidRDefault="00150655" w:rsidP="00150655">
      <w:pPr>
        <w:widowControl w:val="0"/>
        <w:spacing w:after="120" w:line="240" w:lineRule="auto"/>
        <w:ind w:left="2160" w:hanging="1440"/>
        <w:jc w:val="both"/>
        <w:rPr>
          <w:rFonts w:eastAsia="Times New Roman" w:cs="Times New Roman"/>
          <w:noProof/>
          <w:sz w:val="20"/>
        </w:rPr>
      </w:pPr>
      <w:r w:rsidRPr="00150655">
        <w:rPr>
          <w:rFonts w:eastAsia="Times New Roman" w:cs="Times New Roman"/>
          <w:noProof/>
          <w:sz w:val="20"/>
        </w:rPr>
        <w:t>CF</w:t>
      </w:r>
      <w:r w:rsidRPr="00150655">
        <w:rPr>
          <w:rFonts w:eastAsia="Times New Roman" w:cs="Times New Roman"/>
          <w:noProof/>
          <w:sz w:val="20"/>
          <w:vertAlign w:val="subscript"/>
        </w:rPr>
        <w:t>os</w:t>
      </w:r>
      <w:r w:rsidRPr="00150655">
        <w:rPr>
          <w:rFonts w:eastAsia="Times New Roman" w:cs="Times New Roman"/>
          <w:noProof/>
          <w:sz w:val="20"/>
        </w:rPr>
        <w:t xml:space="preserve"> </w:t>
      </w:r>
      <w:r w:rsidRPr="00150655">
        <w:rPr>
          <w:rFonts w:eastAsia="Times New Roman" w:cs="Times New Roman"/>
          <w:noProof/>
          <w:sz w:val="20"/>
        </w:rPr>
        <w:tab/>
        <w:t xml:space="preserve">= Retrofit Summer Peak Coincidence Factor </w:t>
      </w:r>
      <w:r w:rsidRPr="00150655">
        <w:rPr>
          <w:rFonts w:eastAsia="Times New Roman" w:cs="Times New Roman"/>
          <w:sz w:val="20"/>
        </w:rPr>
        <w:t xml:space="preserve">the lighting system with Occupancy Sensors </w:t>
      </w:r>
      <w:proofErr w:type="gramStart"/>
      <w:r w:rsidRPr="00150655">
        <w:rPr>
          <w:rFonts w:eastAsia="Times New Roman" w:cs="Times New Roman"/>
          <w:sz w:val="20"/>
        </w:rPr>
        <w:t xml:space="preserve">installed </w:t>
      </w:r>
      <w:r w:rsidRPr="00150655">
        <w:rPr>
          <w:rFonts w:eastAsia="Times New Roman" w:cs="Times New Roman"/>
          <w:noProof/>
          <w:sz w:val="20"/>
        </w:rPr>
        <w:t xml:space="preserve"> is</w:t>
      </w:r>
      <w:proofErr w:type="gramEnd"/>
      <w:r w:rsidRPr="00150655">
        <w:rPr>
          <w:rFonts w:eastAsia="Times New Roman" w:cs="Times New Roman"/>
          <w:noProof/>
          <w:sz w:val="20"/>
        </w:rPr>
        <w:t xml:space="preserve"> 0.15 regardless of building type.</w:t>
      </w:r>
      <w:r w:rsidRPr="00150655">
        <w:rPr>
          <w:rFonts w:ascii="Arial" w:eastAsia="Times New Roman" w:hAnsi="Arial" w:cs="Times New Roman"/>
          <w:noProof/>
          <w:sz w:val="20"/>
          <w:vertAlign w:val="superscript"/>
        </w:rPr>
        <w:footnoteReference w:id="7"/>
      </w:r>
    </w:p>
    <w:p w:rsidR="00150655" w:rsidRPr="00150655" w:rsidRDefault="00150655" w:rsidP="00150655">
      <w:pPr>
        <w:widowControl w:val="0"/>
        <w:spacing w:after="120" w:line="240" w:lineRule="auto"/>
        <w:ind w:left="2160" w:hanging="1440"/>
        <w:jc w:val="both"/>
        <w:rPr>
          <w:rFonts w:eastAsia="Times New Roman" w:cs="Times New Roman"/>
          <w:noProof/>
          <w:sz w:val="20"/>
        </w:rPr>
      </w:pPr>
    </w:p>
    <w:p w:rsidR="00150655" w:rsidRPr="00150655" w:rsidRDefault="00150655" w:rsidP="00150655">
      <w:pPr>
        <w:keepNext/>
        <w:keepLines/>
        <w:widowControl w:val="0"/>
        <w:tabs>
          <w:tab w:val="left" w:pos="5040"/>
        </w:tabs>
        <w:spacing w:before="200" w:after="120"/>
        <w:outlineLvl w:val="5"/>
        <w:rPr>
          <w:rFonts w:eastAsia="Times New Roman" w:cs="Calibri"/>
          <w:b/>
          <w:smallCaps/>
        </w:rPr>
      </w:pPr>
      <w:r w:rsidRPr="00150655">
        <w:rPr>
          <w:rFonts w:eastAsia="Times New Roman" w:cs="Calibri"/>
          <w:b/>
          <w:smallCaps/>
        </w:rPr>
        <w:t>Natural Gas Heating Penalty</w:t>
      </w:r>
    </w:p>
    <w:p w:rsidR="00150655" w:rsidRPr="00150655" w:rsidRDefault="00150655" w:rsidP="00150655">
      <w:pPr>
        <w:widowControl w:val="0"/>
        <w:spacing w:after="120" w:line="240" w:lineRule="auto"/>
        <w:ind w:left="720" w:hanging="720"/>
        <w:jc w:val="both"/>
        <w:rPr>
          <w:rFonts w:eastAsia="Times New Roman" w:cs="Times New Roman"/>
          <w:noProof/>
          <w:sz w:val="20"/>
        </w:rPr>
      </w:pPr>
      <w:r w:rsidRPr="00150655">
        <w:rPr>
          <w:rFonts w:eastAsia="Times New Roman" w:cs="Times New Roman"/>
          <w:noProof/>
          <w:sz w:val="20"/>
        </w:rPr>
        <w:t>If natural gas heating:</w:t>
      </w:r>
    </w:p>
    <w:p w:rsidR="00150655" w:rsidRPr="00150655" w:rsidRDefault="00150655" w:rsidP="00150655">
      <w:pPr>
        <w:widowControl w:val="0"/>
        <w:spacing w:after="120" w:line="240" w:lineRule="auto"/>
        <w:ind w:left="1440" w:hanging="720"/>
        <w:jc w:val="both"/>
        <w:rPr>
          <w:rFonts w:eastAsia="Times New Roman" w:cs="Times New Roman"/>
          <w:iCs/>
          <w:sz w:val="20"/>
        </w:rPr>
      </w:pPr>
      <w:r w:rsidRPr="00150655">
        <w:rPr>
          <w:rFonts w:eastAsia="Times New Roman" w:cs="Times New Roman"/>
          <w:noProof/>
          <w:sz w:val="20"/>
        </w:rPr>
        <w:tab/>
      </w:r>
      <w:proofErr w:type="spellStart"/>
      <w:r w:rsidRPr="00150655">
        <w:rPr>
          <w:rFonts w:eastAsia="Times New Roman" w:cs="Times New Roman"/>
          <w:sz w:val="20"/>
        </w:rPr>
        <w:t>Δtherms</w:t>
      </w:r>
      <w:proofErr w:type="spellEnd"/>
      <w:r w:rsidRPr="00150655">
        <w:rPr>
          <w:rFonts w:eastAsia="Times New Roman" w:cs="Times New Roman"/>
          <w:sz w:val="20"/>
        </w:rPr>
        <w:t xml:space="preserve"> = (</w:t>
      </w:r>
      <w:proofErr w:type="spellStart"/>
      <w:proofErr w:type="gramStart"/>
      <w:r w:rsidRPr="00150655">
        <w:rPr>
          <w:rFonts w:eastAsia="Times New Roman" w:cs="Times New Roman"/>
          <w:sz w:val="20"/>
        </w:rPr>
        <w:t>KW</w:t>
      </w:r>
      <w:r w:rsidRPr="00150655">
        <w:rPr>
          <w:rFonts w:eastAsia="Times New Roman" w:cs="Times New Roman"/>
          <w:noProof/>
          <w:sz w:val="20"/>
          <w:vertAlign w:val="subscript"/>
        </w:rPr>
        <w:t>Baseline</w:t>
      </w:r>
      <w:proofErr w:type="spellEnd"/>
      <w:r w:rsidRPr="00150655">
        <w:rPr>
          <w:rFonts w:eastAsia="Times New Roman" w:cs="Times New Roman"/>
          <w:noProof/>
          <w:sz w:val="20"/>
          <w:vertAlign w:val="subscript"/>
        </w:rPr>
        <w:t xml:space="preserve">  </w:t>
      </w:r>
      <w:r w:rsidRPr="00150655">
        <w:rPr>
          <w:rFonts w:eastAsia="Times New Roman" w:cs="Times New Roman"/>
          <w:sz w:val="20"/>
        </w:rPr>
        <w:t>-</w:t>
      </w:r>
      <w:proofErr w:type="gramEnd"/>
      <w:r w:rsidRPr="00150655">
        <w:rPr>
          <w:rFonts w:eastAsia="Times New Roman" w:cs="Times New Roman"/>
          <w:sz w:val="20"/>
        </w:rPr>
        <w:t xml:space="preserve"> (</w:t>
      </w:r>
      <w:proofErr w:type="spellStart"/>
      <w:r w:rsidRPr="00150655">
        <w:rPr>
          <w:rFonts w:eastAsia="Times New Roman" w:cs="Times New Roman"/>
          <w:sz w:val="20"/>
        </w:rPr>
        <w:t>KW</w:t>
      </w:r>
      <w:r w:rsidRPr="00150655">
        <w:rPr>
          <w:rFonts w:eastAsia="Times New Roman" w:cs="Times New Roman"/>
          <w:noProof/>
          <w:sz w:val="20"/>
          <w:vertAlign w:val="subscript"/>
        </w:rPr>
        <w:t>Controlled</w:t>
      </w:r>
      <w:proofErr w:type="spellEnd"/>
      <w:r w:rsidRPr="00150655">
        <w:rPr>
          <w:rFonts w:eastAsia="Times New Roman" w:cs="Times New Roman"/>
          <w:noProof/>
          <w:sz w:val="20"/>
          <w:vertAlign w:val="subscript"/>
        </w:rPr>
        <w:t xml:space="preserve"> </w:t>
      </w:r>
      <w:r w:rsidRPr="00150655">
        <w:rPr>
          <w:rFonts w:eastAsia="Times New Roman" w:cs="Times New Roman"/>
          <w:sz w:val="20"/>
        </w:rPr>
        <w:t xml:space="preserve">*(1 –ESF))) * Hours * - </w:t>
      </w:r>
      <w:proofErr w:type="spellStart"/>
      <w:r w:rsidRPr="00150655">
        <w:rPr>
          <w:rFonts w:eastAsia="Times New Roman" w:cs="Times New Roman"/>
          <w:sz w:val="20"/>
        </w:rPr>
        <w:t>IFTherms</w:t>
      </w:r>
      <w:proofErr w:type="spellEnd"/>
    </w:p>
    <w:p w:rsidR="00150655" w:rsidRPr="00150655" w:rsidRDefault="00150655" w:rsidP="00150655">
      <w:pPr>
        <w:widowControl w:val="0"/>
        <w:spacing w:after="120" w:line="240" w:lineRule="auto"/>
        <w:jc w:val="both"/>
        <w:rPr>
          <w:rFonts w:eastAsia="Times New Roman" w:cs="Times New Roman"/>
          <w:sz w:val="20"/>
        </w:rPr>
      </w:pPr>
      <w:r w:rsidRPr="00150655">
        <w:rPr>
          <w:rFonts w:eastAsia="Times New Roman" w:cs="Times New Roman"/>
          <w:sz w:val="20"/>
        </w:rPr>
        <w:t>Where:</w:t>
      </w:r>
    </w:p>
    <w:p w:rsidR="00150655" w:rsidRPr="00150655" w:rsidRDefault="00150655" w:rsidP="00150655">
      <w:pPr>
        <w:widowControl w:val="0"/>
        <w:spacing w:after="120" w:line="240" w:lineRule="auto"/>
        <w:ind w:left="2160" w:hanging="1440"/>
        <w:jc w:val="both"/>
        <w:rPr>
          <w:rFonts w:eastAsia="Times New Roman" w:cs="Times New Roman"/>
          <w:sz w:val="20"/>
        </w:rPr>
      </w:pPr>
      <w:proofErr w:type="spellStart"/>
      <w:r w:rsidRPr="00150655">
        <w:rPr>
          <w:rFonts w:eastAsia="Times New Roman" w:cs="Times New Roman"/>
          <w:sz w:val="20"/>
        </w:rPr>
        <w:t>IFTherms</w:t>
      </w:r>
      <w:proofErr w:type="spellEnd"/>
      <w:r w:rsidRPr="00150655">
        <w:rPr>
          <w:rFonts w:eastAsia="Times New Roman" w:cs="Times New Roman"/>
          <w:sz w:val="20"/>
        </w:rPr>
        <w:t xml:space="preserve"> </w:t>
      </w:r>
      <w:r w:rsidRPr="00150655">
        <w:rPr>
          <w:rFonts w:eastAsia="Times New Roman" w:cs="Times New Roman"/>
          <w:sz w:val="20"/>
        </w:rPr>
        <w:tab/>
        <w:t xml:space="preserve">= Lighting-HVAC Integration Factor for gas heating impacts; this factor represents the increased gas space heating requirements due to the reduction of waste heat rejected by the efficient lighting and </w:t>
      </w:r>
      <w:r w:rsidRPr="00150655">
        <w:rPr>
          <w:rFonts w:eastAsia="Times New Roman" w:cs="Times New Roman"/>
          <w:noProof/>
          <w:sz w:val="20"/>
        </w:rPr>
        <w:t>provided in the Reference Table in Section 4.5 by buidling type</w:t>
      </w:r>
      <w:r w:rsidRPr="00150655">
        <w:rPr>
          <w:rFonts w:eastAsia="Times New Roman" w:cs="Times New Roman"/>
          <w:sz w:val="20"/>
        </w:rPr>
        <w:t xml:space="preserve">.  </w:t>
      </w:r>
    </w:p>
    <w:p w:rsidR="00150655" w:rsidRPr="00150655" w:rsidRDefault="00150655" w:rsidP="00150655">
      <w:pPr>
        <w:keepNext/>
        <w:keepLines/>
        <w:widowControl w:val="0"/>
        <w:tabs>
          <w:tab w:val="left" w:pos="5040"/>
        </w:tabs>
        <w:spacing w:before="200" w:after="120"/>
        <w:outlineLvl w:val="5"/>
        <w:rPr>
          <w:rFonts w:eastAsia="Times New Roman" w:cs="Calibri"/>
          <w:b/>
          <w:smallCaps/>
        </w:rPr>
      </w:pPr>
      <w:r w:rsidRPr="00150655">
        <w:rPr>
          <w:rFonts w:eastAsia="Times New Roman" w:cs="Calibri"/>
          <w:b/>
          <w:smallCaps/>
        </w:rPr>
        <w:t xml:space="preserve">Water Impact Descriptions and Calculation  </w:t>
      </w:r>
    </w:p>
    <w:p w:rsidR="00150655" w:rsidRPr="00150655" w:rsidRDefault="00150655" w:rsidP="00150655">
      <w:pPr>
        <w:widowControl w:val="0"/>
        <w:spacing w:after="120" w:line="240" w:lineRule="auto"/>
        <w:jc w:val="both"/>
        <w:rPr>
          <w:rFonts w:eastAsia="Times New Roman" w:cs="Times New Roman"/>
          <w:sz w:val="20"/>
        </w:rPr>
      </w:pPr>
      <w:r w:rsidRPr="00150655">
        <w:rPr>
          <w:rFonts w:eastAsia="Times New Roman" w:cs="Times New Roman"/>
          <w:sz w:val="20"/>
        </w:rPr>
        <w:t>N/A</w:t>
      </w:r>
    </w:p>
    <w:p w:rsidR="00150655" w:rsidRPr="00150655" w:rsidRDefault="00150655" w:rsidP="00150655">
      <w:pPr>
        <w:keepNext/>
        <w:keepLines/>
        <w:widowControl w:val="0"/>
        <w:tabs>
          <w:tab w:val="left" w:pos="5040"/>
        </w:tabs>
        <w:spacing w:before="200" w:after="120"/>
        <w:outlineLvl w:val="5"/>
        <w:rPr>
          <w:rFonts w:eastAsia="Times New Roman" w:cs="Calibri"/>
          <w:b/>
          <w:smallCaps/>
        </w:rPr>
      </w:pPr>
      <w:r w:rsidRPr="00150655">
        <w:rPr>
          <w:rFonts w:eastAsia="Times New Roman" w:cs="Calibri"/>
          <w:b/>
          <w:smallCaps/>
        </w:rPr>
        <w:t xml:space="preserve">Deemed O&amp;M Cost Adjustment Calculation </w:t>
      </w:r>
    </w:p>
    <w:p w:rsidR="00150655" w:rsidRPr="00150655" w:rsidRDefault="00150655" w:rsidP="00150655">
      <w:pPr>
        <w:widowControl w:val="0"/>
        <w:spacing w:after="120" w:line="240" w:lineRule="auto"/>
        <w:jc w:val="both"/>
        <w:rPr>
          <w:rFonts w:eastAsia="Times New Roman" w:cs="Times New Roman"/>
          <w:sz w:val="20"/>
        </w:rPr>
      </w:pPr>
      <w:r w:rsidRPr="00150655">
        <w:rPr>
          <w:rFonts w:eastAsia="Times New Roman" w:cs="Times New Roman"/>
          <w:sz w:val="20"/>
        </w:rPr>
        <w:t>N/A</w:t>
      </w:r>
    </w:p>
    <w:p w:rsidR="00150655" w:rsidRPr="00150655" w:rsidRDefault="00150655" w:rsidP="00150655">
      <w:pPr>
        <w:keepNext/>
        <w:keepLines/>
        <w:widowControl w:val="0"/>
        <w:tabs>
          <w:tab w:val="left" w:pos="5040"/>
        </w:tabs>
        <w:spacing w:before="200" w:after="120"/>
        <w:outlineLvl w:val="5"/>
        <w:rPr>
          <w:rFonts w:eastAsia="Times New Roman" w:cs="Calibri"/>
          <w:b/>
          <w:smallCaps/>
        </w:rPr>
        <w:sectPr w:rsidR="00150655" w:rsidRPr="00150655" w:rsidSect="00B64B6A">
          <w:headerReference w:type="even" r:id="rId8"/>
          <w:headerReference w:type="default" r:id="rId9"/>
          <w:headerReference w:type="first" r:id="rId10"/>
          <w:pgSz w:w="12240" w:h="15840" w:code="1"/>
          <w:pgMar w:top="1440" w:right="1440" w:bottom="1440" w:left="1440" w:header="720" w:footer="720" w:gutter="0"/>
          <w:cols w:space="720"/>
          <w:docGrid w:linePitch="272"/>
        </w:sectPr>
      </w:pPr>
      <w:r w:rsidRPr="00150655">
        <w:rPr>
          <w:rFonts w:eastAsia="Times New Roman" w:cs="Calibri"/>
          <w:b/>
          <w:smallCaps/>
        </w:rPr>
        <w:t>Measure Code: CI-LTG-OCBL-V0</w:t>
      </w:r>
      <w:ins w:id="3" w:author="April Desclos" w:date="2015-11-05T12:04:00Z">
        <w:r w:rsidR="009A4AD1">
          <w:rPr>
            <w:rFonts w:eastAsia="Times New Roman" w:cs="Calibri"/>
            <w:b/>
            <w:smallCaps/>
          </w:rPr>
          <w:t>2</w:t>
        </w:r>
      </w:ins>
      <w:del w:id="4" w:author="April Desclos" w:date="2015-11-05T12:04:00Z">
        <w:r w:rsidRPr="00150655" w:rsidDel="009A4AD1">
          <w:rPr>
            <w:rFonts w:eastAsia="Times New Roman" w:cs="Calibri"/>
            <w:b/>
            <w:smallCaps/>
          </w:rPr>
          <w:delText>1</w:delText>
        </w:r>
      </w:del>
      <w:r w:rsidRPr="00150655">
        <w:rPr>
          <w:rFonts w:eastAsia="Times New Roman" w:cs="Calibri"/>
          <w:b/>
          <w:smallCaps/>
        </w:rPr>
        <w:t>-1</w:t>
      </w:r>
      <w:ins w:id="5" w:author="April Desclos" w:date="2015-11-05T12:04:00Z">
        <w:r w:rsidR="009A4AD1">
          <w:rPr>
            <w:rFonts w:eastAsia="Times New Roman" w:cs="Calibri"/>
            <w:b/>
            <w:smallCaps/>
          </w:rPr>
          <w:t>6</w:t>
        </w:r>
      </w:ins>
      <w:bookmarkStart w:id="6" w:name="_GoBack"/>
      <w:bookmarkEnd w:id="6"/>
      <w:del w:id="7" w:author="April Desclos" w:date="2015-11-05T12:04:00Z">
        <w:r w:rsidRPr="00150655" w:rsidDel="009A4AD1">
          <w:rPr>
            <w:rFonts w:eastAsia="Times New Roman" w:cs="Calibri"/>
            <w:b/>
            <w:smallCaps/>
          </w:rPr>
          <w:delText>4</w:delText>
        </w:r>
      </w:del>
      <w:r w:rsidRPr="00150655">
        <w:rPr>
          <w:rFonts w:eastAsia="Times New Roman" w:cs="Calibri"/>
          <w:b/>
          <w:smallCaps/>
        </w:rPr>
        <w:t>0601</w:t>
      </w:r>
    </w:p>
    <w:p w:rsidR="00685361" w:rsidRDefault="00685361"/>
    <w:sectPr w:rsidR="006853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655" w:rsidRDefault="00150655" w:rsidP="00150655">
      <w:pPr>
        <w:spacing w:after="0" w:line="240" w:lineRule="auto"/>
      </w:pPr>
      <w:r>
        <w:separator/>
      </w:r>
    </w:p>
  </w:endnote>
  <w:endnote w:type="continuationSeparator" w:id="0">
    <w:p w:rsidR="00150655" w:rsidRDefault="00150655" w:rsidP="00150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655" w:rsidRDefault="00150655" w:rsidP="00150655">
      <w:pPr>
        <w:spacing w:after="0" w:line="240" w:lineRule="auto"/>
      </w:pPr>
      <w:r>
        <w:separator/>
      </w:r>
    </w:p>
  </w:footnote>
  <w:footnote w:type="continuationSeparator" w:id="0">
    <w:p w:rsidR="00150655" w:rsidRDefault="00150655" w:rsidP="00150655">
      <w:pPr>
        <w:spacing w:after="0" w:line="240" w:lineRule="auto"/>
      </w:pPr>
      <w:r>
        <w:continuationSeparator/>
      </w:r>
    </w:p>
  </w:footnote>
  <w:footnote w:id="1">
    <w:p w:rsidR="00150655" w:rsidRPr="009C362B" w:rsidRDefault="00150655" w:rsidP="00150655">
      <w:pPr>
        <w:pStyle w:val="Footnote"/>
        <w:rPr>
          <w:szCs w:val="18"/>
        </w:rPr>
      </w:pPr>
      <w:r w:rsidRPr="009C362B">
        <w:rPr>
          <w:rStyle w:val="FootnoteReference"/>
          <w:rFonts w:eastAsiaTheme="majorEastAsia"/>
          <w:szCs w:val="18"/>
        </w:rPr>
        <w:footnoteRef/>
      </w:r>
      <w:r w:rsidRPr="009C362B">
        <w:rPr>
          <w:szCs w:val="18"/>
        </w:rPr>
        <w:t xml:space="preserve"> </w:t>
      </w:r>
      <w:proofErr w:type="gramStart"/>
      <w:r w:rsidRPr="009C362B">
        <w:rPr>
          <w:szCs w:val="18"/>
        </w:rPr>
        <w:t>DEER 2008.</w:t>
      </w:r>
      <w:proofErr w:type="gramEnd"/>
    </w:p>
  </w:footnote>
  <w:footnote w:id="2">
    <w:p w:rsidR="00150655" w:rsidRPr="009C362B" w:rsidRDefault="00150655" w:rsidP="00150655">
      <w:pPr>
        <w:pStyle w:val="Footnote"/>
        <w:rPr>
          <w:szCs w:val="18"/>
        </w:rPr>
      </w:pPr>
      <w:r w:rsidRPr="009C362B">
        <w:rPr>
          <w:rStyle w:val="FootnoteReference"/>
          <w:rFonts w:eastAsiaTheme="majorEastAsia"/>
          <w:szCs w:val="18"/>
        </w:rPr>
        <w:footnoteRef/>
      </w:r>
      <w:r w:rsidRPr="009C362B">
        <w:rPr>
          <w:szCs w:val="18"/>
        </w:rPr>
        <w:t xml:space="preserve"> Consistent with the Multi-level Fixture measure with reference to Goldberg et al, State of Wisconsin Public Service Commission of Wisconsin, Focus on Energy Evaluation, Business Programs: Incremental Cost Study, KEMA, October 28, 2009. Also consistent with field experience of about $250 per fixture and $25 install labor.</w:t>
      </w:r>
    </w:p>
  </w:footnote>
  <w:footnote w:id="3">
    <w:p w:rsidR="00150655" w:rsidRPr="009C362B" w:rsidRDefault="00150655" w:rsidP="00150655">
      <w:pPr>
        <w:pStyle w:val="Footnote"/>
        <w:rPr>
          <w:szCs w:val="18"/>
        </w:rPr>
      </w:pPr>
      <w:r w:rsidRPr="009C362B">
        <w:rPr>
          <w:szCs w:val="18"/>
          <w:vertAlign w:val="superscript"/>
        </w:rPr>
        <w:footnoteRef/>
      </w:r>
      <w:r w:rsidRPr="009C362B">
        <w:rPr>
          <w:szCs w:val="18"/>
        </w:rPr>
        <w:t xml:space="preserve"> Average found from the four buildings in the State of California Energy Commission Lighting Research Program </w:t>
      </w:r>
    </w:p>
    <w:p w:rsidR="00150655" w:rsidRPr="009C362B" w:rsidRDefault="00150655" w:rsidP="00150655">
      <w:pPr>
        <w:pStyle w:val="Footnote"/>
        <w:rPr>
          <w:szCs w:val="18"/>
        </w:rPr>
      </w:pPr>
      <w:r w:rsidRPr="009C362B">
        <w:rPr>
          <w:szCs w:val="18"/>
        </w:rPr>
        <w:t xml:space="preserve">Bi-Level Stairwell Fixture Performance Final Report: </w:t>
      </w:r>
      <w:hyperlink r:id="rId1" w:history="1">
        <w:r w:rsidRPr="009C362B">
          <w:rPr>
            <w:color w:val="0000FF"/>
            <w:szCs w:val="18"/>
            <w:u w:val="single"/>
          </w:rPr>
          <w:t>http://www.archenergy.com/lrp/lightingperf_standards/project_5_1_reports.htm</w:t>
        </w:r>
      </w:hyperlink>
    </w:p>
  </w:footnote>
  <w:footnote w:id="4">
    <w:p w:rsidR="00150655" w:rsidRPr="009C362B" w:rsidRDefault="00150655" w:rsidP="00150655">
      <w:pPr>
        <w:pStyle w:val="Footnote"/>
        <w:rPr>
          <w:b/>
          <w:szCs w:val="18"/>
        </w:rPr>
      </w:pPr>
      <w:r w:rsidRPr="009C362B">
        <w:rPr>
          <w:rStyle w:val="FootnoteReference"/>
          <w:szCs w:val="18"/>
        </w:rPr>
        <w:footnoteRef/>
      </w:r>
      <w:r w:rsidRPr="009C362B">
        <w:rPr>
          <w:szCs w:val="18"/>
        </w:rPr>
        <w:t xml:space="preserve">  Value determined from the Pacific Gas and Electric Company: Bi-Level Lighting Control Credits study for Interior Corridors of Hotels, Motels and High Rise Residential. </w:t>
      </w:r>
    </w:p>
    <w:p w:rsidR="00150655" w:rsidRPr="009C362B" w:rsidRDefault="009A4AD1" w:rsidP="00150655">
      <w:pPr>
        <w:pStyle w:val="Footnote"/>
        <w:rPr>
          <w:szCs w:val="18"/>
        </w:rPr>
      </w:pPr>
      <w:hyperlink r:id="rId2" w:history="1">
        <w:r w:rsidR="00150655" w:rsidRPr="009C362B">
          <w:rPr>
            <w:color w:val="0000FF"/>
            <w:szCs w:val="18"/>
            <w:u w:val="single"/>
          </w:rPr>
          <w:t>http://www.energy.ca.gov/title24/2005standards/archive/documents/2002-07-18_workshop/2002-07-18_BILEVEL_LIGHTING.PDF</w:t>
        </w:r>
      </w:hyperlink>
    </w:p>
  </w:footnote>
  <w:footnote w:id="5">
    <w:p w:rsidR="00150655" w:rsidRPr="009C362B" w:rsidRDefault="00150655" w:rsidP="00150655">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Conservative estimate.</w:t>
      </w:r>
      <w:proofErr w:type="gramEnd"/>
    </w:p>
  </w:footnote>
  <w:footnote w:id="6">
    <w:p w:rsidR="00150655" w:rsidRPr="009C362B" w:rsidRDefault="00150655" w:rsidP="00150655">
      <w:pPr>
        <w:pStyle w:val="Footnote"/>
        <w:rPr>
          <w:szCs w:val="18"/>
        </w:rPr>
      </w:pPr>
      <w:r w:rsidRPr="009C362B">
        <w:rPr>
          <w:rStyle w:val="FootnoteReference"/>
          <w:szCs w:val="18"/>
        </w:rPr>
        <w:footnoteRef/>
      </w:r>
      <w:proofErr w:type="gramStart"/>
      <w:r w:rsidRPr="009C362B">
        <w:rPr>
          <w:szCs w:val="18"/>
        </w:rPr>
        <w:t>Negative value because this is an increase in heating consumption due to the efficient lighting.</w:t>
      </w:r>
      <w:proofErr w:type="gramEnd"/>
    </w:p>
  </w:footnote>
  <w:footnote w:id="7">
    <w:p w:rsidR="00150655" w:rsidRPr="009C362B" w:rsidRDefault="00150655" w:rsidP="00150655">
      <w:pPr>
        <w:pStyle w:val="Footnote"/>
        <w:rPr>
          <w:szCs w:val="18"/>
        </w:rPr>
      </w:pPr>
      <w:r w:rsidRPr="009C362B">
        <w:rPr>
          <w:rStyle w:val="FootnoteReference"/>
          <w:szCs w:val="18"/>
        </w:rPr>
        <w:footnoteRef/>
      </w:r>
      <w:r w:rsidRPr="009C362B">
        <w:rPr>
          <w:szCs w:val="18"/>
        </w:rPr>
        <w:t xml:space="preserve"> Coincidence Factor Study Residential and Commercial Industrial Lighting Measures, RLW Analytics, </w:t>
      </w:r>
      <w:proofErr w:type="gramStart"/>
      <w:r w:rsidRPr="009C362B">
        <w:rPr>
          <w:szCs w:val="18"/>
        </w:rPr>
        <w:t>Spring</w:t>
      </w:r>
      <w:proofErr w:type="gramEnd"/>
      <w:r w:rsidRPr="009C362B">
        <w:rPr>
          <w:szCs w:val="18"/>
        </w:rPr>
        <w:t xml:space="preserve"> 2007.  Note</w:t>
      </w:r>
      <w:proofErr w:type="gramStart"/>
      <w:r w:rsidRPr="009C362B">
        <w:rPr>
          <w:szCs w:val="18"/>
        </w:rPr>
        <w:t>,</w:t>
      </w:r>
      <w:proofErr w:type="gramEnd"/>
      <w:r w:rsidRPr="009C362B">
        <w:rPr>
          <w:szCs w:val="18"/>
        </w:rPr>
        <w:t xml:space="preserve"> the connected load used in the calculation of the CF for occupancy sensor lights includes the average ESF.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655" w:rsidRDefault="001506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655" w:rsidRPr="00FF468A" w:rsidRDefault="00150655" w:rsidP="00950A89">
    <w:pPr>
      <w:pStyle w:val="Header"/>
      <w:pBdr>
        <w:bottom w:val="single" w:sz="4" w:space="1" w:color="auto"/>
      </w:pBdr>
    </w:pPr>
    <w:r w:rsidRPr="00FF468A">
      <w:t xml:space="preserve">Illinois Statewide Technical Reference Manual - </w:t>
    </w:r>
    <w:r>
      <w:fldChar w:fldCharType="begin"/>
    </w:r>
    <w:r>
      <w:instrText xml:space="preserve"> REF _Ref375198420 \r \h </w:instrText>
    </w:r>
    <w:r>
      <w:fldChar w:fldCharType="separate"/>
    </w:r>
    <w:r>
      <w:t>4.5.13</w:t>
    </w:r>
    <w:r>
      <w:fldChar w:fldCharType="end"/>
    </w:r>
    <w:r>
      <w:t xml:space="preserve"> </w:t>
    </w:r>
    <w:r>
      <w:fldChar w:fldCharType="begin"/>
    </w:r>
    <w:r>
      <w:instrText xml:space="preserve"> REF _Ref375198420 \h </w:instrText>
    </w:r>
    <w:r>
      <w:fldChar w:fldCharType="separate"/>
    </w:r>
    <w:r>
      <w:t>Occupancy Controlled Bi-Level Lighting Fixtures</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655" w:rsidRDefault="001506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2"/>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655"/>
    <w:rsid w:val="000B4EC9"/>
    <w:rsid w:val="00150655"/>
    <w:rsid w:val="00685361"/>
    <w:rsid w:val="009A4A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5065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50655"/>
  </w:style>
  <w:style w:type="character" w:styleId="FootnoteReference">
    <w:name w:val="footnote reference"/>
    <w:aliases w:val="Footnote_Reference,o,fr"/>
    <w:uiPriority w:val="99"/>
    <w:qFormat/>
    <w:rsid w:val="00150655"/>
    <w:rPr>
      <w:rFonts w:ascii="Arial" w:hAnsi="Arial" w:cs="Times New Roman"/>
      <w:sz w:val="20"/>
      <w:vertAlign w:val="superscript"/>
    </w:rPr>
  </w:style>
  <w:style w:type="character" w:customStyle="1" w:styleId="FootnoteChar">
    <w:name w:val="Footnote Char"/>
    <w:basedOn w:val="DefaultParagraphFont"/>
    <w:link w:val="Footnote"/>
    <w:rsid w:val="00150655"/>
    <w:rPr>
      <w:rFonts w:eastAsiaTheme="minorEastAsia" w:cstheme="minorHAnsi"/>
      <w:sz w:val="18"/>
      <w:szCs w:val="20"/>
    </w:rPr>
  </w:style>
  <w:style w:type="paragraph" w:customStyle="1" w:styleId="Footnote">
    <w:name w:val="Footnote"/>
    <w:basedOn w:val="FootnoteText"/>
    <w:link w:val="FootnoteChar"/>
    <w:autoRedefine/>
    <w:qFormat/>
    <w:rsid w:val="00150655"/>
    <w:pPr>
      <w:widowControl w:val="0"/>
    </w:pPr>
    <w:rPr>
      <w:rFonts w:eastAsiaTheme="minorEastAsia" w:cstheme="minorHAnsi"/>
      <w:sz w:val="18"/>
    </w:rPr>
  </w:style>
  <w:style w:type="paragraph" w:styleId="FootnoteText">
    <w:name w:val="footnote text"/>
    <w:basedOn w:val="Normal"/>
    <w:link w:val="FootnoteTextChar"/>
    <w:uiPriority w:val="99"/>
    <w:semiHidden/>
    <w:unhideWhenUsed/>
    <w:rsid w:val="001506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50655"/>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5065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50655"/>
  </w:style>
  <w:style w:type="character" w:styleId="FootnoteReference">
    <w:name w:val="footnote reference"/>
    <w:aliases w:val="Footnote_Reference,o,fr"/>
    <w:uiPriority w:val="99"/>
    <w:qFormat/>
    <w:rsid w:val="00150655"/>
    <w:rPr>
      <w:rFonts w:ascii="Arial" w:hAnsi="Arial" w:cs="Times New Roman"/>
      <w:sz w:val="20"/>
      <w:vertAlign w:val="superscript"/>
    </w:rPr>
  </w:style>
  <w:style w:type="character" w:customStyle="1" w:styleId="FootnoteChar">
    <w:name w:val="Footnote Char"/>
    <w:basedOn w:val="DefaultParagraphFont"/>
    <w:link w:val="Footnote"/>
    <w:rsid w:val="00150655"/>
    <w:rPr>
      <w:rFonts w:eastAsiaTheme="minorEastAsia" w:cstheme="minorHAnsi"/>
      <w:sz w:val="18"/>
      <w:szCs w:val="20"/>
    </w:rPr>
  </w:style>
  <w:style w:type="paragraph" w:customStyle="1" w:styleId="Footnote">
    <w:name w:val="Footnote"/>
    <w:basedOn w:val="FootnoteText"/>
    <w:link w:val="FootnoteChar"/>
    <w:autoRedefine/>
    <w:qFormat/>
    <w:rsid w:val="00150655"/>
    <w:pPr>
      <w:widowControl w:val="0"/>
    </w:pPr>
    <w:rPr>
      <w:rFonts w:eastAsiaTheme="minorEastAsia" w:cstheme="minorHAnsi"/>
      <w:sz w:val="18"/>
    </w:rPr>
  </w:style>
  <w:style w:type="paragraph" w:styleId="FootnoteText">
    <w:name w:val="footnote text"/>
    <w:basedOn w:val="Normal"/>
    <w:link w:val="FootnoteTextChar"/>
    <w:uiPriority w:val="99"/>
    <w:semiHidden/>
    <w:unhideWhenUsed/>
    <w:rsid w:val="001506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5065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www.energy.ca.gov/title24/2005standards/archive/documents/2002-07-18_workshop/2002-07-18_BILEVEL_LIGHTING.PDF" TargetMode="External"/><Relationship Id="rId1" Type="http://schemas.openxmlformats.org/officeDocument/2006/relationships/hyperlink" Target="http://www.archenergy.com/lrp/lightingperf_standards/project_5_1_report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1F821-C084-4EBC-9111-E06F056BA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838</Words>
  <Characters>4779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Desclos</dc:creator>
  <cp:lastModifiedBy>April Desclos</cp:lastModifiedBy>
  <cp:revision>3</cp:revision>
  <dcterms:created xsi:type="dcterms:W3CDTF">2015-11-02T21:17:00Z</dcterms:created>
  <dcterms:modified xsi:type="dcterms:W3CDTF">2015-11-05T17:04:00Z</dcterms:modified>
</cp:coreProperties>
</file>