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478" w:rsidRPr="008079E1" w:rsidRDefault="006115D9" w:rsidP="00B6031A">
      <w:pPr>
        <w:pStyle w:val="Heading3"/>
        <w:numPr>
          <w:ilvl w:val="0"/>
          <w:numId w:val="0"/>
        </w:numPr>
        <w:ind w:left="720"/>
      </w:pPr>
      <w:r w:rsidRPr="006115D9">
        <w:t>Multi-Family Space Heating Steam Boiler Averaging Controls</w:t>
      </w:r>
    </w:p>
    <w:p w:rsidR="00E51478" w:rsidRDefault="00E51478" w:rsidP="00E51478">
      <w:pPr>
        <w:pStyle w:val="Heading6"/>
      </w:pPr>
      <w:r w:rsidRPr="002F371F">
        <w:t xml:space="preserve">Description </w:t>
      </w:r>
    </w:p>
    <w:p w:rsidR="006115D9" w:rsidRPr="006115D9" w:rsidRDefault="006115D9" w:rsidP="006115D9">
      <w:pPr>
        <w:pStyle w:val="Heading6"/>
        <w:spacing w:after="0"/>
        <w:rPr>
          <w:rFonts w:cs="Times New Roman"/>
          <w:b w:val="0"/>
          <w:smallCaps w:val="0"/>
          <w:sz w:val="20"/>
        </w:rPr>
      </w:pPr>
      <w:r w:rsidRPr="006115D9">
        <w:rPr>
          <w:rFonts w:cs="Times New Roman"/>
          <w:b w:val="0"/>
          <w:smallCaps w:val="0"/>
          <w:sz w:val="20"/>
        </w:rPr>
        <w:t>This measure covers multi-family space heating boiler averaging controls. Temperature sensors are placed in interior spaces to monitor the average temperature of the building. At minimum a sensor must be placed at each corner and at one central location. Additional</w:t>
      </w:r>
      <w:r>
        <w:rPr>
          <w:rFonts w:cs="Times New Roman"/>
          <w:b w:val="0"/>
          <w:smallCaps w:val="0"/>
          <w:sz w:val="20"/>
        </w:rPr>
        <w:t>ly,</w:t>
      </w:r>
      <w:r w:rsidRPr="006115D9">
        <w:rPr>
          <w:rFonts w:cs="Times New Roman"/>
          <w:b w:val="0"/>
          <w:smallCaps w:val="0"/>
          <w:sz w:val="20"/>
        </w:rPr>
        <w:t xml:space="preserve"> a temperature sensor must monitor the outside air temperature. These sensors shall provide data to the averaging controls. The averaging controls will adjust the boiler operation based upon an average of the indoor sensors and the outside air temperature. These controls shall also incorporate a night-time setback capability. Buildings utilizing thermostatic radiator </w:t>
      </w:r>
      <w:proofErr w:type="gramStart"/>
      <w:r w:rsidRPr="006115D9">
        <w:rPr>
          <w:rFonts w:cs="Times New Roman"/>
          <w:b w:val="0"/>
          <w:smallCaps w:val="0"/>
          <w:sz w:val="20"/>
        </w:rPr>
        <w:t>valves,</w:t>
      </w:r>
      <w:proofErr w:type="gramEnd"/>
      <w:r w:rsidRPr="006115D9">
        <w:rPr>
          <w:rFonts w:cs="Times New Roman"/>
          <w:b w:val="0"/>
          <w:smallCaps w:val="0"/>
          <w:sz w:val="20"/>
        </w:rPr>
        <w:t xml:space="preserve"> or other modulating control valves or sequences to control the temperature in individual spaces are not eligible.</w:t>
      </w:r>
    </w:p>
    <w:p w:rsidR="00E51478" w:rsidRDefault="006115D9" w:rsidP="006115D9">
      <w:pPr>
        <w:pStyle w:val="Heading6"/>
        <w:spacing w:after="0"/>
      </w:pPr>
      <w:r w:rsidRPr="006115D9">
        <w:rPr>
          <w:rFonts w:cs="Times New Roman"/>
          <w:b w:val="0"/>
          <w:smallCaps w:val="0"/>
          <w:sz w:val="20"/>
        </w:rPr>
        <w:t>This measure was developed to be applicable to th</w:t>
      </w:r>
      <w:r>
        <w:rPr>
          <w:rFonts w:cs="Times New Roman"/>
          <w:b w:val="0"/>
          <w:smallCaps w:val="0"/>
          <w:sz w:val="20"/>
        </w:rPr>
        <w:t xml:space="preserve">e following program types:  </w:t>
      </w:r>
      <w:r w:rsidRPr="006115D9">
        <w:rPr>
          <w:rFonts w:cs="Times New Roman"/>
          <w:b w:val="0"/>
          <w:smallCaps w:val="0"/>
          <w:sz w:val="20"/>
        </w:rPr>
        <w:t xml:space="preserve">RF.  </w:t>
      </w:r>
    </w:p>
    <w:p w:rsidR="00E51478" w:rsidRDefault="00E51478" w:rsidP="00E51478">
      <w:pPr>
        <w:pStyle w:val="Heading6"/>
      </w:pPr>
      <w:r w:rsidRPr="002F371F">
        <w:t xml:space="preserve">Definition of Efficient Equipment </w:t>
      </w:r>
    </w:p>
    <w:p w:rsidR="00E51478" w:rsidRDefault="006115D9" w:rsidP="00E51478">
      <w:r w:rsidRPr="006115D9">
        <w:t>To</w:t>
      </w:r>
      <w:r>
        <w:t xml:space="preserve"> qualify the boiler(s) must</w:t>
      </w:r>
      <w:r w:rsidRPr="006115D9">
        <w:t xml:space="preserve"> incorporate an averaging control system util</w:t>
      </w:r>
      <w:r>
        <w:t>izing at least 5 indoor sensors and</w:t>
      </w:r>
      <w:r w:rsidRPr="006115D9">
        <w:t xml:space="preserve"> 1 outdoor sensor. The controls shall have the capability to incorporate a nighttime setback throughout the building.</w:t>
      </w:r>
    </w:p>
    <w:p w:rsidR="00E51478" w:rsidRDefault="00E51478" w:rsidP="00E51478">
      <w:pPr>
        <w:pStyle w:val="Heading6"/>
      </w:pPr>
      <w:r w:rsidRPr="002F371F">
        <w:t xml:space="preserve">Definition of Baseline Equipment </w:t>
      </w:r>
    </w:p>
    <w:p w:rsidR="00E51478" w:rsidRDefault="006115D9" w:rsidP="00E51478">
      <w:r w:rsidRPr="006115D9">
        <w:t xml:space="preserve">The baseline is a boiler system without averaging controls or other steam supply modulating controls. Current boiler control system can utilize a single thermostat or </w:t>
      </w:r>
      <w:proofErr w:type="spellStart"/>
      <w:r w:rsidRPr="006115D9">
        <w:t>aquastat</w:t>
      </w:r>
      <w:proofErr w:type="spellEnd"/>
      <w:r w:rsidRPr="006115D9">
        <w:t xml:space="preserve"> and timer.</w:t>
      </w:r>
    </w:p>
    <w:p w:rsidR="00E51478" w:rsidRDefault="00E51478" w:rsidP="00E51478">
      <w:pPr>
        <w:pStyle w:val="Heading6"/>
      </w:pPr>
      <w:r w:rsidRPr="002F371F">
        <w:t xml:space="preserve">Deemed Lifetime of Efficient Equipment </w:t>
      </w:r>
    </w:p>
    <w:p w:rsidR="006115D9" w:rsidRPr="006B38AB" w:rsidRDefault="006115D9" w:rsidP="006115D9">
      <w:r w:rsidRPr="006B38AB">
        <w:t xml:space="preserve">The measure life </w:t>
      </w:r>
      <w:r>
        <w:t>for the domestic hot water boilers</w:t>
      </w:r>
      <w:r w:rsidRPr="006B38AB">
        <w:t xml:space="preserve"> is </w:t>
      </w:r>
      <w:r>
        <w:t>20</w:t>
      </w:r>
      <w:r w:rsidRPr="006B38AB">
        <w:t xml:space="preserve"> years.</w:t>
      </w:r>
      <w:r>
        <w:rPr>
          <w:rStyle w:val="FootnoteReference"/>
        </w:rPr>
        <w:footnoteReference w:id="1"/>
      </w:r>
    </w:p>
    <w:p w:rsidR="00E51478" w:rsidRDefault="00E51478" w:rsidP="00E51478">
      <w:pPr>
        <w:pStyle w:val="Heading6"/>
      </w:pPr>
      <w:r w:rsidRPr="002F371F">
        <w:t xml:space="preserve">Deemed Measure Cost </w:t>
      </w:r>
    </w:p>
    <w:p w:rsidR="00027460" w:rsidRDefault="006115D9" w:rsidP="00E51478">
      <w:pPr>
        <w:pStyle w:val="Heading6"/>
        <w:rPr>
          <w:rFonts w:cs="Times New Roman"/>
          <w:b w:val="0"/>
          <w:smallCaps w:val="0"/>
          <w:sz w:val="20"/>
        </w:rPr>
      </w:pPr>
      <w:r>
        <w:rPr>
          <w:rFonts w:cs="Times New Roman"/>
          <w:b w:val="0"/>
          <w:smallCaps w:val="0"/>
          <w:sz w:val="20"/>
        </w:rPr>
        <w:t>As a retrofit measure,</w:t>
      </w:r>
      <w:r w:rsidR="0033056B">
        <w:rPr>
          <w:rFonts w:cs="Times New Roman"/>
          <w:b w:val="0"/>
          <w:smallCaps w:val="0"/>
          <w:sz w:val="20"/>
        </w:rPr>
        <w:t xml:space="preserve"> the actual installed cost should</w:t>
      </w:r>
      <w:r>
        <w:rPr>
          <w:rFonts w:cs="Times New Roman"/>
          <w:b w:val="0"/>
          <w:smallCaps w:val="0"/>
          <w:sz w:val="20"/>
        </w:rPr>
        <w:t xml:space="preserve"> be used for screening purposes.</w:t>
      </w:r>
    </w:p>
    <w:p w:rsidR="00E51478" w:rsidRDefault="00E51478" w:rsidP="00E51478">
      <w:pPr>
        <w:pStyle w:val="Heading6"/>
      </w:pPr>
      <w:proofErr w:type="spellStart"/>
      <w:r>
        <w:t>Loadshape</w:t>
      </w:r>
      <w:proofErr w:type="spellEnd"/>
    </w:p>
    <w:p w:rsidR="00E51478" w:rsidRPr="00E810DD" w:rsidRDefault="000B77AB" w:rsidP="00E51478">
      <w:r>
        <w:t>N/A</w:t>
      </w:r>
    </w:p>
    <w:p w:rsidR="00E51478" w:rsidRDefault="00E51478" w:rsidP="00E51478">
      <w:pPr>
        <w:pStyle w:val="Heading6"/>
      </w:pPr>
      <w:r w:rsidRPr="002F371F">
        <w:t>Coincidence Factor</w:t>
      </w:r>
    </w:p>
    <w:p w:rsidR="00E51478" w:rsidRDefault="000B77AB" w:rsidP="00E51478">
      <w:r>
        <w:t>N/A</w:t>
      </w:r>
    </w:p>
    <w:p w:rsidR="00B6031A" w:rsidRDefault="00B6031A" w:rsidP="00E51478"/>
    <w:p w:rsidR="00B6031A" w:rsidRDefault="00B6031A" w:rsidP="00E51478"/>
    <w:p w:rsidR="00B6031A" w:rsidRDefault="00B6031A" w:rsidP="00E51478"/>
    <w:p w:rsidR="00B6031A" w:rsidRPr="00F42898" w:rsidRDefault="00B6031A" w:rsidP="00E51478"/>
    <w:p w:rsidR="00E51478" w:rsidRPr="002F371F" w:rsidRDefault="00E51478" w:rsidP="00E51478">
      <w:pPr>
        <w:keepNext/>
        <w:pBdr>
          <w:top w:val="double" w:sz="4" w:space="1" w:color="auto"/>
          <w:bottom w:val="double" w:sz="4" w:space="1" w:color="auto"/>
        </w:pBdr>
        <w:jc w:val="center"/>
        <w:rPr>
          <w:rFonts w:cstheme="minorHAnsi"/>
          <w:b/>
          <w:szCs w:val="20"/>
        </w:rPr>
      </w:pPr>
      <w:r w:rsidRPr="002F371F">
        <w:rPr>
          <w:rFonts w:cstheme="minorHAnsi"/>
          <w:b/>
          <w:szCs w:val="20"/>
        </w:rPr>
        <w:lastRenderedPageBreak/>
        <w:t>Algorithm</w:t>
      </w:r>
    </w:p>
    <w:p w:rsidR="00E51478" w:rsidRDefault="00E51478" w:rsidP="00E51478">
      <w:pPr>
        <w:pStyle w:val="Heading6"/>
      </w:pPr>
      <w:r w:rsidRPr="002F371F">
        <w:t xml:space="preserve">Calculation of Savings </w:t>
      </w:r>
    </w:p>
    <w:p w:rsidR="00E51478" w:rsidRDefault="00E51478" w:rsidP="00E51478">
      <w:pPr>
        <w:pStyle w:val="Heading6"/>
      </w:pPr>
      <w:r>
        <w:t xml:space="preserve">Electric </w:t>
      </w:r>
      <w:r w:rsidRPr="002F371F">
        <w:t xml:space="preserve">Energy Savings </w:t>
      </w:r>
    </w:p>
    <w:p w:rsidR="00E51478" w:rsidRPr="005C04EE" w:rsidRDefault="000B77AB" w:rsidP="00E51478">
      <w:r>
        <w:t>N/A</w:t>
      </w:r>
    </w:p>
    <w:p w:rsidR="00E51478" w:rsidRDefault="00E51478" w:rsidP="00E51478">
      <w:pPr>
        <w:pStyle w:val="Heading6"/>
      </w:pPr>
      <w:r w:rsidRPr="00933056">
        <w:t>Summer Coincident Peak Demand Savings</w:t>
      </w:r>
      <w:r>
        <w:t xml:space="preserve"> </w:t>
      </w:r>
    </w:p>
    <w:p w:rsidR="00E51478" w:rsidRPr="005C04EE" w:rsidRDefault="000B77AB" w:rsidP="00E51478">
      <w:r>
        <w:t>N/A</w:t>
      </w:r>
    </w:p>
    <w:p w:rsidR="00E51478" w:rsidRDefault="00E51478" w:rsidP="00E51478">
      <w:pPr>
        <w:pStyle w:val="Heading6"/>
      </w:pPr>
      <w:r>
        <w:t>Natural Gas Energy Savings</w:t>
      </w:r>
    </w:p>
    <w:p w:rsidR="006115D9" w:rsidRDefault="006115D9" w:rsidP="006115D9">
      <w:pPr>
        <w:ind w:left="720" w:firstLine="720"/>
      </w:pPr>
      <w:proofErr w:type="spellStart"/>
      <w:r>
        <w:t>ΔTherms</w:t>
      </w:r>
      <w:proofErr w:type="spellEnd"/>
      <w:r>
        <w:t xml:space="preserve"> </w:t>
      </w:r>
      <w:proofErr w:type="gramStart"/>
      <w:r>
        <w:t>=  Capacity</w:t>
      </w:r>
      <w:proofErr w:type="gramEnd"/>
      <w:r>
        <w:t xml:space="preserve"> x EFLH x SF / 100,000</w:t>
      </w:r>
    </w:p>
    <w:p w:rsidR="006115D9" w:rsidRDefault="006115D9" w:rsidP="006115D9">
      <w:r>
        <w:t>Where:</w:t>
      </w:r>
    </w:p>
    <w:p w:rsidR="006115D9" w:rsidRDefault="006115D9" w:rsidP="006115D9">
      <w:pPr>
        <w:ind w:firstLine="720"/>
      </w:pPr>
      <w:r>
        <w:t>Capacity</w:t>
      </w:r>
      <w:r>
        <w:tab/>
      </w:r>
      <w:r>
        <w:tab/>
      </w:r>
      <w:r w:rsidR="0033056B">
        <w:t>= Boiler gas input size (B</w:t>
      </w:r>
      <w:r>
        <w:t>tu/h)</w:t>
      </w:r>
    </w:p>
    <w:p w:rsidR="00B6031A" w:rsidRDefault="00B6031A" w:rsidP="006115D9">
      <w:pPr>
        <w:ind w:firstLine="720"/>
      </w:pPr>
      <w:r>
        <w:tab/>
      </w:r>
      <w:r>
        <w:tab/>
        <w:t>= Actual</w:t>
      </w:r>
    </w:p>
    <w:p w:rsidR="006115D9" w:rsidRDefault="006115D9" w:rsidP="006115D9">
      <w:pPr>
        <w:ind w:firstLine="720"/>
      </w:pPr>
      <w:r>
        <w:t>EFLH</w:t>
      </w:r>
      <w:r>
        <w:tab/>
      </w:r>
      <w:r>
        <w:tab/>
        <w:t>= Effective Full Load Hours for heating are provided in section 4.4. HVAC End Use</w:t>
      </w:r>
    </w:p>
    <w:p w:rsidR="006115D9" w:rsidRDefault="006115D9" w:rsidP="006115D9">
      <w:pPr>
        <w:ind w:firstLine="720"/>
      </w:pPr>
      <w:r>
        <w:t xml:space="preserve">SF </w:t>
      </w:r>
      <w:r>
        <w:tab/>
      </w:r>
      <w:r>
        <w:tab/>
        <w:t xml:space="preserve">= Savings Factor </w:t>
      </w:r>
    </w:p>
    <w:p w:rsidR="006115D9" w:rsidRDefault="006115D9" w:rsidP="006115D9">
      <w:pPr>
        <w:ind w:left="1440" w:firstLine="720"/>
      </w:pPr>
      <w:r>
        <w:t>= 5%</w:t>
      </w:r>
      <w:r>
        <w:rPr>
          <w:rStyle w:val="FootnoteReference"/>
        </w:rPr>
        <w:footnoteReference w:id="2"/>
      </w:r>
      <w:r>
        <w:t xml:space="preserve"> or custom</w:t>
      </w:r>
      <w:r w:rsidR="0033056B">
        <w:t xml:space="preserve"> if savings can be substantiated </w:t>
      </w:r>
    </w:p>
    <w:p w:rsidR="006115D9" w:rsidRDefault="006115D9" w:rsidP="006115D9">
      <w:pPr>
        <w:ind w:firstLine="720"/>
      </w:pPr>
      <w:r>
        <w:t xml:space="preserve">100,000 </w:t>
      </w:r>
      <w:r>
        <w:tab/>
      </w:r>
      <w:r>
        <w:tab/>
      </w:r>
      <w:r w:rsidR="0033056B">
        <w:t>= converts B</w:t>
      </w:r>
      <w:r>
        <w:t xml:space="preserve">tu/h to therm </w:t>
      </w:r>
    </w:p>
    <w:p w:rsidR="006115D9" w:rsidRDefault="006115D9" w:rsidP="006115D9"/>
    <w:p w:rsidR="006115D9" w:rsidRDefault="006115D9" w:rsidP="006115D9">
      <w:pPr>
        <w:ind w:left="1440" w:firstLine="720"/>
      </w:pPr>
      <w:r w:rsidRPr="00204E44">
        <w:rPr>
          <w:noProof/>
          <w:szCs w:val="20"/>
        </w:rPr>
        <mc:AlternateContent>
          <mc:Choice Requires="wps">
            <w:drawing>
              <wp:anchor distT="45720" distB="45720" distL="114300" distR="114300" simplePos="0" relativeHeight="251659264" behindDoc="0" locked="0" layoutInCell="1" allowOverlap="1" wp14:anchorId="57FA0512" wp14:editId="2DA1676B">
                <wp:simplePos x="0" y="0"/>
                <wp:positionH relativeFrom="column">
                  <wp:posOffset>468630</wp:posOffset>
                </wp:positionH>
                <wp:positionV relativeFrom="paragraph">
                  <wp:posOffset>74930</wp:posOffset>
                </wp:positionV>
                <wp:extent cx="5394960" cy="1404620"/>
                <wp:effectExtent l="0" t="0" r="15240" b="1524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4620"/>
                        </a:xfrm>
                        <a:prstGeom prst="rect">
                          <a:avLst/>
                        </a:prstGeom>
                        <a:solidFill>
                          <a:srgbClr val="FFFFFF"/>
                        </a:solidFill>
                        <a:ln w="9525">
                          <a:solidFill>
                            <a:srgbClr val="000000"/>
                          </a:solidFill>
                          <a:miter lim="800000"/>
                          <a:headEnd/>
                          <a:tailEnd/>
                        </a:ln>
                      </wps:spPr>
                      <wps:txbx>
                        <w:txbxContent>
                          <w:p w:rsidR="006115D9" w:rsidRPr="00B6031A" w:rsidRDefault="006115D9" w:rsidP="006115D9">
                            <w:pPr>
                              <w:spacing w:after="0"/>
                              <w:rPr>
                                <w:szCs w:val="18"/>
                              </w:rPr>
                            </w:pPr>
                            <w:r w:rsidRPr="00B6031A">
                              <w:rPr>
                                <w:szCs w:val="18"/>
                              </w:rPr>
                              <w:t>For Example:</w:t>
                            </w:r>
                          </w:p>
                          <w:p w:rsidR="006115D9" w:rsidRPr="00B44EED" w:rsidRDefault="006115D9" w:rsidP="006115D9">
                            <w:pPr>
                              <w:spacing w:after="0"/>
                              <w:rPr>
                                <w:sz w:val="18"/>
                                <w:szCs w:val="18"/>
                              </w:rPr>
                            </w:pPr>
                          </w:p>
                          <w:p w:rsidR="0033056B" w:rsidRDefault="0033056B" w:rsidP="0033056B">
                            <w:r>
                              <w:t xml:space="preserve">A 1,000,000 </w:t>
                            </w:r>
                            <w:proofErr w:type="spellStart"/>
                            <w:r>
                              <w:t>btu</w:t>
                            </w:r>
                            <w:proofErr w:type="spellEnd"/>
                            <w:r>
                              <w:t>/h steam boiler in a Mid-Rise Multi-Family building in Chicago has averaging controls installed.</w:t>
                            </w:r>
                          </w:p>
                          <w:p w:rsidR="0033056B" w:rsidRDefault="0033056B" w:rsidP="0033056B">
                            <w:pPr>
                              <w:ind w:firstLine="720"/>
                            </w:pPr>
                            <w:r>
                              <w:t xml:space="preserve"> </w:t>
                            </w:r>
                            <w:proofErr w:type="spellStart"/>
                            <w:r>
                              <w:t>ΔTherms</w:t>
                            </w:r>
                            <w:proofErr w:type="spellEnd"/>
                            <w:r>
                              <w:t xml:space="preserve">   </w:t>
                            </w:r>
                            <w:r>
                              <w:tab/>
                              <w:t xml:space="preserve"> = 1,000,000 x 1,685 x 0.05 / 100,000</w:t>
                            </w:r>
                          </w:p>
                          <w:p w:rsidR="0033056B" w:rsidRDefault="0033056B" w:rsidP="0033056B">
                            <w:pPr>
                              <w:ind w:left="1440"/>
                            </w:pPr>
                            <w:r>
                              <w:t xml:space="preserve">                 = 843 therms</w:t>
                            </w:r>
                          </w:p>
                          <w:p w:rsidR="006115D9" w:rsidRPr="00B44EED" w:rsidRDefault="006115D9" w:rsidP="0033056B">
                            <w:pPr>
                              <w:spacing w:after="0"/>
                              <w:rPr>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9pt;margin-top:5.9pt;width:424.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">
                <v:textbox style="mso-fit-shape-to-text:t">
                  <w:txbxContent>
                    <w:p w:rsidR="006115D9" w:rsidRPr="00B6031A" w:rsidRDefault="006115D9" w:rsidP="006115D9">
                      <w:pPr>
                        <w:spacing w:after="0"/>
                        <w:rPr>
                          <w:szCs w:val="18"/>
                        </w:rPr>
                      </w:pPr>
                      <w:r w:rsidRPr="00B6031A">
                        <w:rPr>
                          <w:szCs w:val="18"/>
                        </w:rPr>
                        <w:t>For Example:</w:t>
                      </w:r>
                    </w:p>
                    <w:p w:rsidR="006115D9" w:rsidRPr="00B44EED" w:rsidRDefault="006115D9" w:rsidP="006115D9">
                      <w:pPr>
                        <w:spacing w:after="0"/>
                        <w:rPr>
                          <w:sz w:val="18"/>
                          <w:szCs w:val="18"/>
                        </w:rPr>
                      </w:pPr>
                    </w:p>
                    <w:p w:rsidR="0033056B" w:rsidRDefault="0033056B" w:rsidP="0033056B">
                      <w:r>
                        <w:t xml:space="preserve">A 1,000,000 </w:t>
                      </w:r>
                      <w:proofErr w:type="spellStart"/>
                      <w:r>
                        <w:t>btu</w:t>
                      </w:r>
                      <w:proofErr w:type="spellEnd"/>
                      <w:r>
                        <w:t>/h steam boiler in a Mid-Rise Multi-Family building in Chicago has averaging controls installed.</w:t>
                      </w:r>
                    </w:p>
                    <w:p w:rsidR="0033056B" w:rsidRDefault="0033056B" w:rsidP="0033056B">
                      <w:pPr>
                        <w:ind w:firstLine="720"/>
                      </w:pPr>
                      <w:r>
                        <w:t xml:space="preserve"> </w:t>
                      </w:r>
                      <w:proofErr w:type="spellStart"/>
                      <w:r>
                        <w:t>ΔTherms</w:t>
                      </w:r>
                      <w:proofErr w:type="spellEnd"/>
                      <w:r>
                        <w:t xml:space="preserve">   </w:t>
                      </w:r>
                      <w:r>
                        <w:tab/>
                        <w:t xml:space="preserve"> = 1,000,000 x 1,685 x 0.05 / 100,000</w:t>
                      </w:r>
                    </w:p>
                    <w:p w:rsidR="0033056B" w:rsidRDefault="0033056B" w:rsidP="0033056B">
                      <w:pPr>
                        <w:ind w:left="1440"/>
                      </w:pPr>
                      <w:r>
                        <w:t xml:space="preserve">                 = 843 therms</w:t>
                      </w:r>
                    </w:p>
                    <w:p w:rsidR="006115D9" w:rsidRPr="00B44EED" w:rsidRDefault="006115D9" w:rsidP="0033056B">
                      <w:pPr>
                        <w:spacing w:after="0"/>
                        <w:rPr>
                          <w:sz w:val="18"/>
                          <w:szCs w:val="18"/>
                        </w:rPr>
                      </w:pPr>
                    </w:p>
                  </w:txbxContent>
                </v:textbox>
                <w10:wrap type="topAndBottom"/>
              </v:shape>
            </w:pict>
          </mc:Fallback>
        </mc:AlternateContent>
      </w:r>
    </w:p>
    <w:p w:rsidR="00E51478" w:rsidRDefault="00E51478" w:rsidP="00E51478">
      <w:pPr>
        <w:pStyle w:val="Heading6"/>
      </w:pPr>
      <w:r w:rsidRPr="002F371F">
        <w:t xml:space="preserve">Water Impact Descriptions and Calculation  </w:t>
      </w:r>
    </w:p>
    <w:p w:rsidR="00E51478" w:rsidRPr="00211ED5" w:rsidRDefault="00E51478" w:rsidP="00E51478">
      <w:r>
        <w:t>N/A</w:t>
      </w:r>
    </w:p>
    <w:p w:rsidR="00E51478" w:rsidRDefault="00E51478" w:rsidP="00E51478">
      <w:pPr>
        <w:pStyle w:val="Heading6"/>
      </w:pPr>
      <w:r w:rsidRPr="002F371F">
        <w:t xml:space="preserve">Deemed O&amp;M Cost Adjustment Calculation </w:t>
      </w:r>
    </w:p>
    <w:p w:rsidR="00E51478" w:rsidRPr="00211ED5" w:rsidRDefault="00E51478" w:rsidP="00E51478">
      <w:r>
        <w:t>N/A</w:t>
      </w:r>
    </w:p>
    <w:p w:rsidR="00315021" w:rsidRDefault="00E51478" w:rsidP="00B6031A">
      <w:pPr>
        <w:pStyle w:val="Heading6"/>
      </w:pPr>
      <w:r>
        <w:t xml:space="preserve">Measure Code: </w:t>
      </w:r>
      <w:r w:rsidRPr="005F10C7">
        <w:t>CI-</w:t>
      </w:r>
      <w:r w:rsidR="00B6031A">
        <w:t>HVC-SBAC</w:t>
      </w:r>
      <w:r w:rsidRPr="005F10C7">
        <w:t>-V01-</w:t>
      </w:r>
      <w:r w:rsidR="00B6031A">
        <w:t>160601</w:t>
      </w:r>
      <w:bookmarkStart w:id="0" w:name="_GoBack"/>
      <w:bookmarkEnd w:id="0"/>
    </w:p>
    <w:sectPr w:rsidR="003150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37A" w:rsidRDefault="0023037A" w:rsidP="00E51478">
      <w:pPr>
        <w:spacing w:after="0"/>
      </w:pPr>
      <w:r>
        <w:separator/>
      </w:r>
    </w:p>
  </w:endnote>
  <w:endnote w:type="continuationSeparator" w:id="0">
    <w:p w:rsidR="0023037A" w:rsidRDefault="0023037A" w:rsidP="00E514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37A" w:rsidRDefault="0023037A" w:rsidP="00E51478">
      <w:pPr>
        <w:spacing w:after="0"/>
      </w:pPr>
      <w:r>
        <w:separator/>
      </w:r>
    </w:p>
  </w:footnote>
  <w:footnote w:type="continuationSeparator" w:id="0">
    <w:p w:rsidR="0023037A" w:rsidRDefault="0023037A" w:rsidP="00E51478">
      <w:pPr>
        <w:spacing w:after="0"/>
      </w:pPr>
      <w:r>
        <w:continuationSeparator/>
      </w:r>
    </w:p>
  </w:footnote>
  <w:footnote w:id="1">
    <w:p w:rsidR="006115D9" w:rsidRPr="00444F7E" w:rsidRDefault="006115D9" w:rsidP="006115D9">
      <w:pPr>
        <w:pStyle w:val="FootnoteText"/>
        <w:rPr>
          <w:color w:val="FF0000"/>
        </w:rPr>
      </w:pPr>
      <w:r>
        <w:rPr>
          <w:rStyle w:val="FootnoteReference"/>
        </w:rPr>
        <w:footnoteRef/>
      </w:r>
      <w:r w:rsidRPr="00444F7E">
        <w:t xml:space="preserve"> </w:t>
      </w:r>
      <w:r>
        <w:t>T</w:t>
      </w:r>
      <w:r w:rsidRPr="0007178C">
        <w:t>he Brooklyn Union Gas Company, High Efficiency Heating and Water and Controls, Gas Energy Efficiency Program Implementation Plan.</w:t>
      </w:r>
    </w:p>
  </w:footnote>
  <w:footnote w:id="2">
    <w:p w:rsidR="006115D9" w:rsidRDefault="006115D9" w:rsidP="006115D9">
      <w:pPr>
        <w:pStyle w:val="FootnoteText"/>
      </w:pPr>
      <w:r>
        <w:rPr>
          <w:rStyle w:val="FootnoteReference"/>
        </w:rPr>
        <w:footnoteRef/>
      </w:r>
      <w:r>
        <w:t xml:space="preserve"> A conservative estimate considering only setback savings, with DOE estimates as much as 1% per degree per 8 hours of setback. </w:t>
      </w:r>
      <w:r w:rsidRPr="0007178C">
        <w:t>http://energy.gov/energysaver/thermostats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478"/>
    <w:rsid w:val="00027460"/>
    <w:rsid w:val="000B77AB"/>
    <w:rsid w:val="0023037A"/>
    <w:rsid w:val="003120AE"/>
    <w:rsid w:val="00315021"/>
    <w:rsid w:val="0033056B"/>
    <w:rsid w:val="00346D29"/>
    <w:rsid w:val="003A26D2"/>
    <w:rsid w:val="005B3940"/>
    <w:rsid w:val="006115D9"/>
    <w:rsid w:val="00B6031A"/>
    <w:rsid w:val="00BE4C63"/>
    <w:rsid w:val="00C56981"/>
    <w:rsid w:val="00E51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51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51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51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51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51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51478"/>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5147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51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51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51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1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51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51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51478"/>
    <w:rPr>
      <w:rFonts w:ascii="Calibri" w:eastAsiaTheme="minorEastAsia" w:hAnsi="Calibri" w:cs="Arial"/>
      <w:bCs/>
      <w:i/>
      <w:noProof/>
    </w:rPr>
  </w:style>
  <w:style w:type="character" w:customStyle="1" w:styleId="Heading5Char">
    <w:name w:val="Heading 5 Char"/>
    <w:basedOn w:val="DefaultParagraphFont"/>
    <w:link w:val="Heading5"/>
    <w:uiPriority w:val="99"/>
    <w:rsid w:val="00E51478"/>
    <w:rPr>
      <w:rFonts w:ascii="Calibri" w:eastAsia="Times New Roman" w:hAnsi="Calibri" w:cs="Times New Roman"/>
      <w:sz w:val="20"/>
    </w:rPr>
  </w:style>
  <w:style w:type="character" w:customStyle="1" w:styleId="Heading6Char">
    <w:name w:val="Heading 6 Char"/>
    <w:basedOn w:val="DefaultParagraphFont"/>
    <w:link w:val="Heading6"/>
    <w:uiPriority w:val="9"/>
    <w:rsid w:val="00E51478"/>
    <w:rPr>
      <w:rFonts w:eastAsia="Times New Roman" w:cs="Calibri"/>
      <w:b/>
      <w:smallCaps/>
    </w:rPr>
  </w:style>
  <w:style w:type="character" w:customStyle="1" w:styleId="Heading7Char">
    <w:name w:val="Heading 7 Char"/>
    <w:basedOn w:val="DefaultParagraphFont"/>
    <w:link w:val="Heading7"/>
    <w:uiPriority w:val="99"/>
    <w:rsid w:val="00E51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51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51478"/>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51478"/>
    <w:rPr>
      <w:rFonts w:ascii="Calibri" w:eastAsiaTheme="minorEastAsia" w:hAnsi="Calibri" w:cs="Times New Roman"/>
      <w:bCs/>
      <w:sz w:val="24"/>
      <w:szCs w:val="24"/>
    </w:rPr>
  </w:style>
  <w:style w:type="table" w:styleId="TableGrid">
    <w:name w:val="Table Grid"/>
    <w:basedOn w:val="TableNormal"/>
    <w:uiPriority w:val="59"/>
    <w:rsid w:val="00E514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E51478"/>
    <w:rPr>
      <w:rFonts w:ascii="Arial" w:hAnsi="Arial" w:cs="Times New Roman"/>
      <w:sz w:val="20"/>
      <w:vertAlign w:val="superscript"/>
    </w:rPr>
  </w:style>
  <w:style w:type="character" w:styleId="BookTitle">
    <w:name w:val="Book Title"/>
    <w:uiPriority w:val="99"/>
    <w:qFormat/>
    <w:rsid w:val="00E51478"/>
    <w:rPr>
      <w:b/>
      <w:bCs/>
      <w:smallCaps/>
      <w:spacing w:val="5"/>
    </w:rPr>
  </w:style>
  <w:style w:type="paragraph" w:customStyle="1" w:styleId="TableText">
    <w:name w:val="Table Text"/>
    <w:basedOn w:val="Normal"/>
    <w:autoRedefine/>
    <w:qFormat/>
    <w:rsid w:val="00E51478"/>
    <w:pPr>
      <w:jc w:val="left"/>
    </w:pPr>
    <w:rPr>
      <w:rFonts w:ascii="Calibri" w:hAnsi="Calibri" w:cs="Arial"/>
      <w:noProof/>
      <w:szCs w:val="18"/>
      <w:lang w:val="en"/>
    </w:rPr>
  </w:style>
  <w:style w:type="character" w:customStyle="1" w:styleId="FootnoteChar">
    <w:name w:val="Footnote Char"/>
    <w:basedOn w:val="DefaultParagraphFont"/>
    <w:link w:val="Footnote"/>
    <w:rsid w:val="00E51478"/>
    <w:rPr>
      <w:rFonts w:eastAsiaTheme="minorEastAsia" w:cstheme="minorHAnsi"/>
      <w:sz w:val="18"/>
      <w:szCs w:val="20"/>
    </w:rPr>
  </w:style>
  <w:style w:type="paragraph" w:customStyle="1" w:styleId="Footnote">
    <w:name w:val="Footnote"/>
    <w:basedOn w:val="FootnoteText"/>
    <w:link w:val="FootnoteChar"/>
    <w:autoRedefine/>
    <w:qFormat/>
    <w:rsid w:val="00E51478"/>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E51478"/>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E51478"/>
    <w:rPr>
      <w:rFonts w:eastAsia="Times New Roman" w:cs="Times New Roman"/>
      <w:sz w:val="20"/>
      <w:szCs w:val="20"/>
    </w:rPr>
  </w:style>
  <w:style w:type="paragraph" w:styleId="Bibliography">
    <w:name w:val="Bibliography"/>
    <w:basedOn w:val="Normal"/>
    <w:next w:val="Normal"/>
    <w:uiPriority w:val="37"/>
    <w:unhideWhenUsed/>
    <w:rsid w:val="003120AE"/>
    <w:pPr>
      <w:spacing w:after="240"/>
    </w:pPr>
  </w:style>
  <w:style w:type="paragraph" w:styleId="BodyText">
    <w:name w:val="Body Text"/>
    <w:basedOn w:val="Normal"/>
    <w:link w:val="BodyTextChar"/>
    <w:uiPriority w:val="99"/>
    <w:rsid w:val="006115D9"/>
    <w:pPr>
      <w:spacing w:after="240"/>
    </w:pPr>
    <w:rPr>
      <w:sz w:val="28"/>
    </w:rPr>
  </w:style>
  <w:style w:type="character" w:customStyle="1" w:styleId="BodyTextChar">
    <w:name w:val="Body Text Char"/>
    <w:basedOn w:val="DefaultParagraphFont"/>
    <w:link w:val="BodyText"/>
    <w:uiPriority w:val="99"/>
    <w:rsid w:val="006115D9"/>
    <w:rPr>
      <w:rFonts w:eastAsia="Times New Roman" w:cs="Times New Roman"/>
      <w:sz w:val="28"/>
    </w:rPr>
  </w:style>
  <w:style w:type="paragraph" w:styleId="BalloonText">
    <w:name w:val="Balloon Text"/>
    <w:basedOn w:val="Normal"/>
    <w:link w:val="BalloonTextChar"/>
    <w:uiPriority w:val="99"/>
    <w:semiHidden/>
    <w:unhideWhenUsed/>
    <w:rsid w:val="0033056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56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51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51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51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51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51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51478"/>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5147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51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51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51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1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51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51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51478"/>
    <w:rPr>
      <w:rFonts w:ascii="Calibri" w:eastAsiaTheme="minorEastAsia" w:hAnsi="Calibri" w:cs="Arial"/>
      <w:bCs/>
      <w:i/>
      <w:noProof/>
    </w:rPr>
  </w:style>
  <w:style w:type="character" w:customStyle="1" w:styleId="Heading5Char">
    <w:name w:val="Heading 5 Char"/>
    <w:basedOn w:val="DefaultParagraphFont"/>
    <w:link w:val="Heading5"/>
    <w:uiPriority w:val="99"/>
    <w:rsid w:val="00E51478"/>
    <w:rPr>
      <w:rFonts w:ascii="Calibri" w:eastAsia="Times New Roman" w:hAnsi="Calibri" w:cs="Times New Roman"/>
      <w:sz w:val="20"/>
    </w:rPr>
  </w:style>
  <w:style w:type="character" w:customStyle="1" w:styleId="Heading6Char">
    <w:name w:val="Heading 6 Char"/>
    <w:basedOn w:val="DefaultParagraphFont"/>
    <w:link w:val="Heading6"/>
    <w:uiPriority w:val="9"/>
    <w:rsid w:val="00E51478"/>
    <w:rPr>
      <w:rFonts w:eastAsia="Times New Roman" w:cs="Calibri"/>
      <w:b/>
      <w:smallCaps/>
    </w:rPr>
  </w:style>
  <w:style w:type="character" w:customStyle="1" w:styleId="Heading7Char">
    <w:name w:val="Heading 7 Char"/>
    <w:basedOn w:val="DefaultParagraphFont"/>
    <w:link w:val="Heading7"/>
    <w:uiPriority w:val="99"/>
    <w:rsid w:val="00E51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51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51478"/>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51478"/>
    <w:rPr>
      <w:rFonts w:ascii="Calibri" w:eastAsiaTheme="minorEastAsia" w:hAnsi="Calibri" w:cs="Times New Roman"/>
      <w:bCs/>
      <w:sz w:val="24"/>
      <w:szCs w:val="24"/>
    </w:rPr>
  </w:style>
  <w:style w:type="table" w:styleId="TableGrid">
    <w:name w:val="Table Grid"/>
    <w:basedOn w:val="TableNormal"/>
    <w:uiPriority w:val="59"/>
    <w:rsid w:val="00E514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E51478"/>
    <w:rPr>
      <w:rFonts w:ascii="Arial" w:hAnsi="Arial" w:cs="Times New Roman"/>
      <w:sz w:val="20"/>
      <w:vertAlign w:val="superscript"/>
    </w:rPr>
  </w:style>
  <w:style w:type="character" w:styleId="BookTitle">
    <w:name w:val="Book Title"/>
    <w:uiPriority w:val="99"/>
    <w:qFormat/>
    <w:rsid w:val="00E51478"/>
    <w:rPr>
      <w:b/>
      <w:bCs/>
      <w:smallCaps/>
      <w:spacing w:val="5"/>
    </w:rPr>
  </w:style>
  <w:style w:type="paragraph" w:customStyle="1" w:styleId="TableText">
    <w:name w:val="Table Text"/>
    <w:basedOn w:val="Normal"/>
    <w:autoRedefine/>
    <w:qFormat/>
    <w:rsid w:val="00E51478"/>
    <w:pPr>
      <w:jc w:val="left"/>
    </w:pPr>
    <w:rPr>
      <w:rFonts w:ascii="Calibri" w:hAnsi="Calibri" w:cs="Arial"/>
      <w:noProof/>
      <w:szCs w:val="18"/>
      <w:lang w:val="en"/>
    </w:rPr>
  </w:style>
  <w:style w:type="character" w:customStyle="1" w:styleId="FootnoteChar">
    <w:name w:val="Footnote Char"/>
    <w:basedOn w:val="DefaultParagraphFont"/>
    <w:link w:val="Footnote"/>
    <w:rsid w:val="00E51478"/>
    <w:rPr>
      <w:rFonts w:eastAsiaTheme="minorEastAsia" w:cstheme="minorHAnsi"/>
      <w:sz w:val="18"/>
      <w:szCs w:val="20"/>
    </w:rPr>
  </w:style>
  <w:style w:type="paragraph" w:customStyle="1" w:styleId="Footnote">
    <w:name w:val="Footnote"/>
    <w:basedOn w:val="FootnoteText"/>
    <w:link w:val="FootnoteChar"/>
    <w:autoRedefine/>
    <w:qFormat/>
    <w:rsid w:val="00E51478"/>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E51478"/>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E51478"/>
    <w:rPr>
      <w:rFonts w:eastAsia="Times New Roman" w:cs="Times New Roman"/>
      <w:sz w:val="20"/>
      <w:szCs w:val="20"/>
    </w:rPr>
  </w:style>
  <w:style w:type="paragraph" w:styleId="Bibliography">
    <w:name w:val="Bibliography"/>
    <w:basedOn w:val="Normal"/>
    <w:next w:val="Normal"/>
    <w:uiPriority w:val="37"/>
    <w:unhideWhenUsed/>
    <w:rsid w:val="003120AE"/>
    <w:pPr>
      <w:spacing w:after="240"/>
    </w:pPr>
  </w:style>
  <w:style w:type="paragraph" w:styleId="BodyText">
    <w:name w:val="Body Text"/>
    <w:basedOn w:val="Normal"/>
    <w:link w:val="BodyTextChar"/>
    <w:uiPriority w:val="99"/>
    <w:rsid w:val="006115D9"/>
    <w:pPr>
      <w:spacing w:after="240"/>
    </w:pPr>
    <w:rPr>
      <w:sz w:val="28"/>
    </w:rPr>
  </w:style>
  <w:style w:type="character" w:customStyle="1" w:styleId="BodyTextChar">
    <w:name w:val="Body Text Char"/>
    <w:basedOn w:val="DefaultParagraphFont"/>
    <w:link w:val="BodyText"/>
    <w:uiPriority w:val="99"/>
    <w:rsid w:val="006115D9"/>
    <w:rPr>
      <w:rFonts w:eastAsia="Times New Roman" w:cs="Times New Roman"/>
      <w:sz w:val="28"/>
    </w:rPr>
  </w:style>
  <w:style w:type="paragraph" w:styleId="BalloonText">
    <w:name w:val="Balloon Text"/>
    <w:basedOn w:val="Normal"/>
    <w:link w:val="BalloonTextChar"/>
    <w:uiPriority w:val="99"/>
    <w:semiHidden/>
    <w:unhideWhenUsed/>
    <w:rsid w:val="0033056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56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831CA-5206-4192-BDF8-974486F8E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DF2AA825</Template>
  <TotalTime>111</TotalTime>
  <Pages>2</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 Parker</dc:creator>
  <cp:lastModifiedBy>Samuel Dent</cp:lastModifiedBy>
  <cp:revision>4</cp:revision>
  <dcterms:created xsi:type="dcterms:W3CDTF">2015-11-13T17:43:00Z</dcterms:created>
  <dcterms:modified xsi:type="dcterms:W3CDTF">2015-11-18T12:17:00Z</dcterms:modified>
</cp:coreProperties>
</file>