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AB3" w:rsidRPr="004B3AB3" w:rsidRDefault="004B3AB3" w:rsidP="004B3AB3">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Toc411593485"/>
      <w:r>
        <w:rPr>
          <w:rFonts w:ascii="Calibri" w:eastAsiaTheme="minorEastAsia" w:hAnsi="Calibri" w:cs="Times New Roman"/>
          <w:bCs/>
          <w:sz w:val="24"/>
          <w:szCs w:val="24"/>
        </w:rPr>
        <w:t>4.4.27</w:t>
      </w:r>
      <w:r>
        <w:rPr>
          <w:rFonts w:ascii="Calibri" w:eastAsiaTheme="minorEastAsia" w:hAnsi="Calibri" w:cs="Times New Roman"/>
          <w:bCs/>
          <w:sz w:val="24"/>
          <w:szCs w:val="24"/>
        </w:rPr>
        <w:tab/>
      </w:r>
      <w:r w:rsidRPr="004B3AB3">
        <w:rPr>
          <w:rFonts w:ascii="Calibri" w:eastAsiaTheme="minorEastAsia" w:hAnsi="Calibri" w:cs="Times New Roman"/>
          <w:bCs/>
          <w:sz w:val="24"/>
          <w:szCs w:val="24"/>
        </w:rPr>
        <w:t>Energy Recovery Ventilator</w:t>
      </w:r>
      <w:bookmarkEnd w:id="0"/>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 w:name="_Toc398709089"/>
      <w:r w:rsidRPr="004B3AB3">
        <w:rPr>
          <w:rFonts w:ascii="Calibri" w:eastAsia="Times New Roman" w:hAnsi="Calibri" w:cs="Times New Roman"/>
          <w:b/>
          <w:smallCaps/>
          <w:szCs w:val="20"/>
        </w:rPr>
        <w:t>Description</w:t>
      </w:r>
      <w:bookmarkEnd w:id="1"/>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This measure includes the addition of energy recovery equipment on existing or new unitary equipment, where energy recovery is not required by the IECC 2012</w:t>
      </w:r>
      <w:ins w:id="2" w:author="April Desclos" w:date="2015-11-02T16:05:00Z">
        <w:r>
          <w:rPr>
            <w:rFonts w:ascii="Calibri" w:eastAsia="Times New Roman" w:hAnsi="Calibri" w:cs="Times New Roman"/>
            <w:sz w:val="20"/>
          </w:rPr>
          <w:t>/2015</w:t>
        </w:r>
      </w:ins>
      <w:r w:rsidRPr="004B3AB3">
        <w:rPr>
          <w:rFonts w:ascii="Calibri" w:eastAsia="Times New Roman" w:hAnsi="Calibri" w:cs="Times New Roman"/>
          <w:sz w:val="20"/>
        </w:rPr>
        <w:t>. This measure analyzes the heating savings potential from recovering energy from exhaust or relief building air. This measure assumes during unoccupied hours of the building no exhaust or relief air is available for energy recovery.</w:t>
      </w:r>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 xml:space="preserve">This measure was developed to be applicable to the following program types:  TOS, NC, RF.  </w:t>
      </w:r>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If applied to other program types, the measure savings should be verified.</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3" w:name="_Toc398709090"/>
      <w:r w:rsidRPr="004B3AB3">
        <w:rPr>
          <w:rFonts w:ascii="Calibri" w:eastAsia="Times New Roman" w:hAnsi="Calibri" w:cs="Times New Roman"/>
          <w:b/>
          <w:smallCaps/>
          <w:szCs w:val="20"/>
        </w:rPr>
        <w:t>Definition of Efficient Equipment</w:t>
      </w:r>
      <w:bookmarkEnd w:id="3"/>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Efficient equipment is unitary equipment that incorporates energy recovery not required by the IECC 2012</w:t>
      </w:r>
      <w:ins w:id="4" w:author="April Desclos" w:date="2015-11-02T16:05:00Z">
        <w:r>
          <w:rPr>
            <w:rFonts w:ascii="Calibri" w:eastAsia="Times New Roman" w:hAnsi="Calibri" w:cs="Times New Roman"/>
            <w:sz w:val="20"/>
          </w:rPr>
          <w:t>/2015</w:t>
        </w:r>
      </w:ins>
      <w:r w:rsidRPr="004B3AB3">
        <w:rPr>
          <w:rFonts w:ascii="Calibri" w:eastAsia="Times New Roman" w:hAnsi="Calibri" w:cs="Times New Roman"/>
          <w:sz w:val="20"/>
        </w:rPr>
        <w:t>.</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5" w:name="_Toc398709091"/>
      <w:r w:rsidRPr="004B3AB3">
        <w:rPr>
          <w:rFonts w:ascii="Calibri" w:eastAsia="Times New Roman" w:hAnsi="Calibri" w:cs="Times New Roman"/>
          <w:b/>
          <w:smallCaps/>
          <w:szCs w:val="20"/>
        </w:rPr>
        <w:t>Definition of Baseline Equipment</w:t>
      </w:r>
      <w:bookmarkEnd w:id="5"/>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The baseline is unitary equipment not require</w:t>
      </w:r>
      <w:ins w:id="6" w:author="April Desclos" w:date="2015-11-05T10:55:00Z">
        <w:r w:rsidR="00151218">
          <w:rPr>
            <w:rFonts w:ascii="Calibri" w:eastAsia="Times New Roman" w:hAnsi="Calibri" w:cs="Times New Roman"/>
            <w:sz w:val="20"/>
          </w:rPr>
          <w:t>d</w:t>
        </w:r>
      </w:ins>
      <w:r w:rsidRPr="004B3AB3">
        <w:rPr>
          <w:rFonts w:ascii="Calibri" w:eastAsia="Times New Roman" w:hAnsi="Calibri" w:cs="Times New Roman"/>
          <w:sz w:val="20"/>
        </w:rPr>
        <w:t xml:space="preserve"> by IECC 2012</w:t>
      </w:r>
      <w:ins w:id="7" w:author="April Desclos" w:date="2015-11-02T16:05:00Z">
        <w:r>
          <w:rPr>
            <w:rFonts w:ascii="Calibri" w:eastAsia="Times New Roman" w:hAnsi="Calibri" w:cs="Times New Roman"/>
            <w:sz w:val="20"/>
          </w:rPr>
          <w:t>/2015</w:t>
        </w:r>
      </w:ins>
      <w:r w:rsidRPr="004B3AB3">
        <w:rPr>
          <w:rFonts w:ascii="Calibri" w:eastAsia="Times New Roman" w:hAnsi="Calibri" w:cs="Times New Roman"/>
          <w:sz w:val="20"/>
        </w:rPr>
        <w:t xml:space="preserve"> to incorporate energy recovery.</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8" w:name="_Toc398709092"/>
      <w:r w:rsidRPr="004B3AB3">
        <w:rPr>
          <w:rFonts w:ascii="Calibri" w:eastAsia="Times New Roman" w:hAnsi="Calibri" w:cs="Times New Roman"/>
          <w:b/>
          <w:smallCaps/>
          <w:szCs w:val="20"/>
        </w:rPr>
        <w:t>Deemed Lifetime of Efficient Equipment</w:t>
      </w:r>
      <w:bookmarkEnd w:id="8"/>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The measure life for the domestic energy recovery equipment is 15 years.</w:t>
      </w:r>
      <w:r w:rsidRPr="004B3AB3">
        <w:rPr>
          <w:rFonts w:ascii="Arial" w:eastAsia="Times New Roman" w:hAnsi="Arial" w:cs="Times New Roman"/>
          <w:sz w:val="20"/>
          <w:vertAlign w:val="superscript"/>
        </w:rPr>
        <w:footnoteReference w:id="1"/>
      </w:r>
    </w:p>
    <w:p w:rsidR="004B3AB3" w:rsidRPr="004B3AB3" w:rsidRDefault="004B3AB3" w:rsidP="004B3AB3">
      <w:pPr>
        <w:keepNext/>
        <w:keepLines/>
        <w:tabs>
          <w:tab w:val="left" w:pos="5040"/>
        </w:tabs>
        <w:spacing w:before="200" w:after="120"/>
        <w:outlineLvl w:val="5"/>
        <w:rPr>
          <w:rFonts w:ascii="Calibri" w:eastAsia="Times New Roman" w:hAnsi="Calibri" w:cs="Arial"/>
          <w:b/>
          <w:bCs/>
          <w:iCs/>
          <w:caps/>
          <w:szCs w:val="20"/>
        </w:rPr>
      </w:pPr>
      <w:bookmarkStart w:id="9" w:name="_Toc398709093"/>
      <w:r w:rsidRPr="004B3AB3">
        <w:rPr>
          <w:rFonts w:ascii="Calibri" w:eastAsia="Times New Roman" w:hAnsi="Calibri" w:cs="Times New Roman"/>
          <w:b/>
          <w:smallCaps/>
          <w:szCs w:val="20"/>
        </w:rPr>
        <w:t>Deemed Measure Cost</w:t>
      </w:r>
      <w:bookmarkEnd w:id="9"/>
      <w:r w:rsidRPr="004B3AB3">
        <w:rPr>
          <w:rFonts w:ascii="Calibri" w:eastAsia="Times New Roman" w:hAnsi="Calibri" w:cs="Times New Roman"/>
          <w:b/>
          <w:smallCaps/>
          <w:szCs w:val="20"/>
        </w:rPr>
        <w:t xml:space="preserve"> </w:t>
      </w:r>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The incremental cost for this measure assumes cost of cabinet and controls incorporated into packaged and built up air handler units. Additionally it assumes 1 to 1 ratio of fresh and exhausted air.</w:t>
      </w:r>
    </w:p>
    <w:p w:rsidR="004B3AB3" w:rsidRPr="004B3AB3" w:rsidRDefault="004B3AB3" w:rsidP="004B3AB3">
      <w:pPr>
        <w:spacing w:after="120" w:line="240" w:lineRule="auto"/>
        <w:rPr>
          <w:rFonts w:ascii="Calibri" w:eastAsia="Times New Roman" w:hAnsi="Calibri" w:cs="Times New Roman"/>
          <w:sz w:val="20"/>
        </w:rPr>
      </w:pPr>
    </w:p>
    <w:tbl>
      <w:tblPr>
        <w:tblStyle w:val="TableGrid24"/>
        <w:tblW w:w="0" w:type="auto"/>
        <w:jc w:val="center"/>
        <w:tblLook w:val="04A0" w:firstRow="1" w:lastRow="0" w:firstColumn="1" w:lastColumn="0" w:noHBand="0" w:noVBand="1"/>
      </w:tblPr>
      <w:tblGrid>
        <w:gridCol w:w="3415"/>
        <w:gridCol w:w="2700"/>
      </w:tblGrid>
      <w:tr w:rsidR="004B3AB3" w:rsidRPr="004B3AB3" w:rsidTr="00EF462C">
        <w:trPr>
          <w:trHeight w:hRule="exact" w:val="288"/>
          <w:jc w:val="center"/>
        </w:trPr>
        <w:tc>
          <w:tcPr>
            <w:tcW w:w="3415" w:type="dxa"/>
            <w:shd w:val="clear" w:color="auto" w:fill="808080" w:themeFill="background1" w:themeFillShade="80"/>
          </w:tcPr>
          <w:p w:rsidR="004B3AB3" w:rsidRPr="004B3AB3" w:rsidRDefault="004B3AB3" w:rsidP="004B3AB3">
            <w:pPr>
              <w:spacing w:after="120"/>
              <w:rPr>
                <w:rFonts w:ascii="Calibri" w:hAnsi="Calibri" w:cs="Calibri"/>
                <w:b/>
              </w:rPr>
            </w:pPr>
            <w:r w:rsidRPr="004B3AB3">
              <w:rPr>
                <w:rFonts w:ascii="Calibri" w:hAnsi="Calibri" w:cs="Calibri"/>
                <w:b/>
                <w:color w:val="FFFFFF"/>
              </w:rPr>
              <w:t xml:space="preserve">Energy </w:t>
            </w:r>
            <w:r w:rsidRPr="004B3AB3">
              <w:rPr>
                <w:rFonts w:ascii="Calibri" w:hAnsi="Calibri" w:cs="Calibri"/>
                <w:b/>
                <w:noProof/>
                <w:color w:val="FFFFFF"/>
                <w:szCs w:val="24"/>
              </w:rPr>
              <w:t>Recovery</w:t>
            </w:r>
            <w:r w:rsidRPr="004B3AB3">
              <w:rPr>
                <w:rFonts w:ascii="Calibri" w:hAnsi="Calibri" w:cs="Calibri"/>
                <w:b/>
                <w:color w:val="FFFFFF"/>
              </w:rPr>
              <w:t xml:space="preserve"> Equipment Type</w:t>
            </w:r>
          </w:p>
        </w:tc>
        <w:tc>
          <w:tcPr>
            <w:tcW w:w="2700" w:type="dxa"/>
            <w:shd w:val="clear" w:color="auto" w:fill="808080" w:themeFill="background1" w:themeFillShade="80"/>
          </w:tcPr>
          <w:p w:rsidR="004B3AB3" w:rsidRPr="004B3AB3" w:rsidRDefault="004B3AB3" w:rsidP="004B3AB3">
            <w:pPr>
              <w:spacing w:after="120"/>
              <w:rPr>
                <w:rFonts w:ascii="Calibri" w:hAnsi="Calibri" w:cs="Calibri"/>
                <w:b/>
              </w:rPr>
            </w:pPr>
            <w:r w:rsidRPr="004B3AB3">
              <w:rPr>
                <w:rFonts w:ascii="Calibri" w:hAnsi="Calibri" w:cs="Calibri"/>
                <w:b/>
                <w:color w:val="FFFFFF"/>
              </w:rPr>
              <w:t>Incremental Cost  $/CFM</w:t>
            </w:r>
            <w:r w:rsidRPr="004B3AB3">
              <w:rPr>
                <w:rFonts w:ascii="Calibri" w:hAnsi="Calibri" w:cs="Calibri"/>
                <w:b/>
                <w:color w:val="FFFFFF"/>
                <w:vertAlign w:val="superscript"/>
              </w:rPr>
              <w:footnoteReference w:id="2"/>
            </w:r>
            <w:r w:rsidRPr="004B3AB3">
              <w:rPr>
                <w:rFonts w:ascii="Calibri" w:hAnsi="Calibri" w:cs="Calibri"/>
                <w:b/>
                <w:color w:val="FFFFFF"/>
              </w:rPr>
              <w:t xml:space="preserve"> </w:t>
            </w:r>
          </w:p>
        </w:tc>
      </w:tr>
      <w:tr w:rsidR="004B3AB3" w:rsidRPr="004B3AB3" w:rsidTr="00EF462C">
        <w:trPr>
          <w:trHeight w:hRule="exact" w:val="288"/>
          <w:jc w:val="center"/>
        </w:trPr>
        <w:tc>
          <w:tcPr>
            <w:tcW w:w="3415" w:type="dxa"/>
          </w:tcPr>
          <w:p w:rsidR="004B3AB3" w:rsidRPr="004B3AB3" w:rsidRDefault="004B3AB3" w:rsidP="004B3AB3">
            <w:pPr>
              <w:spacing w:after="120"/>
              <w:rPr>
                <w:rFonts w:ascii="Calibri" w:hAnsi="Calibri" w:cs="Calibri"/>
              </w:rPr>
            </w:pPr>
            <w:r w:rsidRPr="004B3AB3">
              <w:rPr>
                <w:rFonts w:ascii="Calibri" w:hAnsi="Calibri" w:cs="Calibri"/>
              </w:rPr>
              <w:t>Fixed Plate</w:t>
            </w:r>
          </w:p>
        </w:tc>
        <w:tc>
          <w:tcPr>
            <w:tcW w:w="2700" w:type="dxa"/>
          </w:tcPr>
          <w:p w:rsidR="004B3AB3" w:rsidRPr="004B3AB3" w:rsidRDefault="004B3AB3" w:rsidP="004B3AB3">
            <w:pPr>
              <w:spacing w:after="120"/>
              <w:rPr>
                <w:rFonts w:ascii="Calibri" w:hAnsi="Calibri" w:cs="Calibri"/>
              </w:rPr>
            </w:pPr>
            <w:r w:rsidRPr="004B3AB3">
              <w:rPr>
                <w:rFonts w:ascii="Calibri" w:hAnsi="Calibri" w:cs="Calibri"/>
              </w:rPr>
              <w:t>$6</w:t>
            </w:r>
          </w:p>
        </w:tc>
      </w:tr>
      <w:tr w:rsidR="004B3AB3" w:rsidRPr="004B3AB3" w:rsidTr="00EF462C">
        <w:trPr>
          <w:trHeight w:hRule="exact" w:val="288"/>
          <w:jc w:val="center"/>
        </w:trPr>
        <w:tc>
          <w:tcPr>
            <w:tcW w:w="3415" w:type="dxa"/>
          </w:tcPr>
          <w:p w:rsidR="004B3AB3" w:rsidRPr="004B3AB3" w:rsidRDefault="004B3AB3" w:rsidP="004B3AB3">
            <w:pPr>
              <w:spacing w:after="120"/>
              <w:rPr>
                <w:rFonts w:ascii="Calibri" w:hAnsi="Calibri" w:cs="Calibri"/>
              </w:rPr>
            </w:pPr>
            <w:r w:rsidRPr="004B3AB3">
              <w:rPr>
                <w:rFonts w:ascii="Calibri" w:hAnsi="Calibri" w:cs="Calibri"/>
              </w:rPr>
              <w:t>Rotary Wheel</w:t>
            </w:r>
          </w:p>
        </w:tc>
        <w:tc>
          <w:tcPr>
            <w:tcW w:w="2700" w:type="dxa"/>
          </w:tcPr>
          <w:p w:rsidR="004B3AB3" w:rsidRPr="004B3AB3" w:rsidRDefault="004B3AB3" w:rsidP="004B3AB3">
            <w:pPr>
              <w:spacing w:after="120"/>
              <w:rPr>
                <w:rFonts w:ascii="Calibri" w:hAnsi="Calibri" w:cs="Calibri"/>
              </w:rPr>
            </w:pPr>
            <w:r w:rsidRPr="004B3AB3">
              <w:rPr>
                <w:rFonts w:ascii="Calibri" w:hAnsi="Calibri" w:cs="Calibri"/>
              </w:rPr>
              <w:t>$6</w:t>
            </w:r>
          </w:p>
        </w:tc>
      </w:tr>
      <w:tr w:rsidR="004B3AB3" w:rsidRPr="004B3AB3" w:rsidTr="00EF462C">
        <w:trPr>
          <w:trHeight w:hRule="exact" w:val="288"/>
          <w:jc w:val="center"/>
        </w:trPr>
        <w:tc>
          <w:tcPr>
            <w:tcW w:w="3415" w:type="dxa"/>
          </w:tcPr>
          <w:p w:rsidR="004B3AB3" w:rsidRPr="004B3AB3" w:rsidRDefault="004B3AB3" w:rsidP="004B3AB3">
            <w:pPr>
              <w:spacing w:after="120"/>
              <w:rPr>
                <w:rFonts w:ascii="Calibri" w:hAnsi="Calibri" w:cs="Calibri"/>
              </w:rPr>
            </w:pPr>
            <w:r w:rsidRPr="004B3AB3">
              <w:rPr>
                <w:rFonts w:ascii="Calibri" w:hAnsi="Calibri" w:cs="Calibri"/>
              </w:rPr>
              <w:t>Heat Pipe</w:t>
            </w:r>
          </w:p>
        </w:tc>
        <w:tc>
          <w:tcPr>
            <w:tcW w:w="2700" w:type="dxa"/>
          </w:tcPr>
          <w:p w:rsidR="004B3AB3" w:rsidRPr="004B3AB3" w:rsidRDefault="004B3AB3" w:rsidP="004B3AB3">
            <w:pPr>
              <w:spacing w:after="120"/>
              <w:rPr>
                <w:rFonts w:ascii="Calibri" w:hAnsi="Calibri" w:cs="Calibri"/>
              </w:rPr>
            </w:pPr>
            <w:r w:rsidRPr="004B3AB3">
              <w:rPr>
                <w:rFonts w:ascii="Calibri" w:hAnsi="Calibri" w:cs="Calibri"/>
              </w:rPr>
              <w:t>$6</w:t>
            </w:r>
          </w:p>
        </w:tc>
      </w:tr>
    </w:tbl>
    <w:p w:rsidR="004B3AB3" w:rsidRPr="004B3AB3" w:rsidRDefault="004B3AB3" w:rsidP="004B3AB3">
      <w:pPr>
        <w:spacing w:after="120" w:line="240" w:lineRule="auto"/>
        <w:rPr>
          <w:rFonts w:ascii="Calibri" w:eastAsia="Times New Roman" w:hAnsi="Calibri" w:cs="Times New Roman"/>
          <w:sz w:val="20"/>
        </w:rPr>
      </w:pPr>
    </w:p>
    <w:p w:rsidR="004B3AB3" w:rsidRPr="004B3AB3" w:rsidRDefault="004B3AB3" w:rsidP="004B3AB3">
      <w:pPr>
        <w:spacing w:after="120" w:line="240" w:lineRule="auto"/>
        <w:rPr>
          <w:rFonts w:ascii="Calibri" w:eastAsia="Times New Roman" w:hAnsi="Calibri" w:cs="Arial"/>
          <w:b/>
          <w:bCs/>
          <w:iCs/>
          <w:caps/>
          <w:szCs w:val="20"/>
        </w:rPr>
      </w:pPr>
      <w:bookmarkStart w:id="10" w:name="_Toc398709094"/>
      <w:r w:rsidRPr="004B3AB3">
        <w:rPr>
          <w:rFonts w:ascii="Calibri" w:eastAsia="Times New Roman" w:hAnsi="Calibri" w:cs="Times New Roman"/>
          <w:b/>
          <w:smallCaps/>
          <w:szCs w:val="20"/>
        </w:rPr>
        <w:t>Deemed O&amp;M Cost Adjustments</w:t>
      </w:r>
      <w:bookmarkEnd w:id="10"/>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There are no expected O&amp;M savings associated with this measure.</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1" w:name="_Toc398709095"/>
      <w:proofErr w:type="spellStart"/>
      <w:r w:rsidRPr="004B3AB3">
        <w:rPr>
          <w:rFonts w:ascii="Calibri" w:eastAsia="Times New Roman" w:hAnsi="Calibri" w:cs="Times New Roman"/>
          <w:b/>
          <w:smallCaps/>
          <w:szCs w:val="20"/>
        </w:rPr>
        <w:t>Loadshape</w:t>
      </w:r>
      <w:bookmarkEnd w:id="11"/>
      <w:proofErr w:type="spellEnd"/>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N/A</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2" w:name="_Toc398709096"/>
      <w:r w:rsidRPr="004B3AB3">
        <w:rPr>
          <w:rFonts w:ascii="Calibri" w:eastAsia="Times New Roman" w:hAnsi="Calibri" w:cs="Times New Roman"/>
          <w:b/>
          <w:smallCaps/>
          <w:szCs w:val="20"/>
        </w:rPr>
        <w:t>Coincidence Factor</w:t>
      </w:r>
      <w:bookmarkEnd w:id="12"/>
    </w:p>
    <w:p w:rsidR="004B3AB3" w:rsidRPr="004B3AB3" w:rsidRDefault="004B3AB3" w:rsidP="004B3AB3">
      <w:pPr>
        <w:widowControl w:val="0"/>
        <w:spacing w:after="240" w:line="240" w:lineRule="auto"/>
        <w:jc w:val="both"/>
        <w:rPr>
          <w:rFonts w:ascii="Calibri" w:eastAsia="Times New Roman" w:hAnsi="Calibri" w:cs="Times New Roman"/>
          <w:sz w:val="20"/>
        </w:rPr>
      </w:pPr>
      <w:r w:rsidRPr="004B3AB3">
        <w:rPr>
          <w:rFonts w:ascii="Calibri" w:eastAsia="Times New Roman" w:hAnsi="Calibri" w:cs="Times New Roman"/>
          <w:sz w:val="20"/>
        </w:rPr>
        <w:t>N/A</w:t>
      </w:r>
      <w:bookmarkStart w:id="13" w:name="_Toc398709099"/>
      <w:r w:rsidRPr="004B3AB3">
        <w:rPr>
          <w:rFonts w:ascii="Calibri" w:eastAsia="Times New Roman" w:hAnsi="Calibri" w:cs="Times New Roman"/>
          <w:sz w:val="20"/>
        </w:rPr>
        <w:t xml:space="preserve"> </w:t>
      </w:r>
    </w:p>
    <w:p w:rsidR="004B3AB3" w:rsidRPr="004B3AB3" w:rsidRDefault="004B3AB3" w:rsidP="004B3AB3">
      <w:pPr>
        <w:keepNext/>
        <w:widowControl w:val="0"/>
        <w:pBdr>
          <w:top w:val="double" w:sz="4" w:space="1" w:color="auto"/>
          <w:bottom w:val="double" w:sz="4" w:space="1" w:color="auto"/>
        </w:pBdr>
        <w:spacing w:after="240" w:line="240" w:lineRule="auto"/>
        <w:jc w:val="center"/>
        <w:rPr>
          <w:rFonts w:ascii="Calibri" w:eastAsia="Times New Roman" w:hAnsi="Calibri" w:cs="Calibri"/>
          <w:b/>
          <w:sz w:val="20"/>
          <w:szCs w:val="20"/>
        </w:rPr>
      </w:pPr>
      <w:r w:rsidRPr="004B3AB3">
        <w:rPr>
          <w:rFonts w:ascii="Calibri" w:eastAsia="Times New Roman" w:hAnsi="Calibri" w:cs="Calibri"/>
          <w:b/>
          <w:sz w:val="20"/>
          <w:szCs w:val="20"/>
        </w:rPr>
        <w:lastRenderedPageBreak/>
        <w:t>Algorithm</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r w:rsidRPr="004B3AB3">
        <w:rPr>
          <w:rFonts w:ascii="Calibri" w:eastAsia="Times New Roman" w:hAnsi="Calibri" w:cs="Times New Roman"/>
          <w:b/>
          <w:smallCaps/>
          <w:szCs w:val="20"/>
        </w:rPr>
        <w:t>Calculation of Energy Savings</w:t>
      </w:r>
      <w:bookmarkEnd w:id="13"/>
      <w:r w:rsidRPr="004B3AB3">
        <w:rPr>
          <w:rFonts w:ascii="Calibri" w:eastAsia="Times New Roman" w:hAnsi="Calibri" w:cs="Times New Roman"/>
          <w:b/>
          <w:smallCaps/>
          <w:szCs w:val="20"/>
        </w:rPr>
        <w:t xml:space="preserve"> </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4" w:name="_Toc398709100"/>
      <w:r w:rsidRPr="004B3AB3">
        <w:rPr>
          <w:rFonts w:ascii="Calibri" w:eastAsia="Times New Roman" w:hAnsi="Calibri" w:cs="Times New Roman"/>
          <w:b/>
          <w:smallCaps/>
          <w:szCs w:val="20"/>
        </w:rPr>
        <w:t>Electric Energy Savings</w:t>
      </w:r>
      <w:bookmarkEnd w:id="14"/>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r w:rsidRPr="004B3AB3">
        <w:rPr>
          <w:rFonts w:ascii="Calibri" w:eastAsia="Times New Roman" w:hAnsi="Calibri" w:cs="Times New Roman"/>
          <w:b/>
          <w:smallCaps/>
          <w:szCs w:val="20"/>
        </w:rPr>
        <w:t>Summer Coincident Peak Demand Savings</w:t>
      </w:r>
    </w:p>
    <w:p w:rsidR="004B3AB3" w:rsidRPr="004B3AB3" w:rsidRDefault="004B3AB3" w:rsidP="004B3AB3">
      <w:pPr>
        <w:spacing w:after="120" w:line="240" w:lineRule="auto"/>
        <w:rPr>
          <w:rFonts w:ascii="Calibri" w:eastAsia="Calibri" w:hAnsi="Calibri" w:cs="Calibri"/>
          <w:sz w:val="20"/>
          <w:szCs w:val="20"/>
        </w:rPr>
      </w:pPr>
      <w:r w:rsidRPr="004B3AB3">
        <w:rPr>
          <w:rFonts w:ascii="Calibri" w:eastAsia="Calibri" w:hAnsi="Calibri" w:cs="Calibri"/>
          <w:sz w:val="20"/>
          <w:szCs w:val="20"/>
        </w:rPr>
        <w:t>There are no anticipated electrical savings from this measure as it is assumed that the additional fan energy due to the increased static pressure drop offsets cooling energy savings. Where this is not expected to be the case, a custom calculation should be used to determine the savings.</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5" w:name="_Toc398709102"/>
      <w:r w:rsidRPr="004B3AB3">
        <w:rPr>
          <w:rFonts w:ascii="Calibri" w:eastAsia="Times New Roman" w:hAnsi="Calibri" w:cs="Times New Roman"/>
          <w:b/>
          <w:smallCaps/>
          <w:szCs w:val="20"/>
        </w:rPr>
        <w:t>Natural Gas Savings</w:t>
      </w:r>
      <w:bookmarkEnd w:id="15"/>
    </w:p>
    <w:p w:rsidR="004B3AB3" w:rsidRPr="004B3AB3" w:rsidRDefault="004B3AB3" w:rsidP="004B3AB3">
      <w:pPr>
        <w:spacing w:after="120" w:line="240" w:lineRule="auto"/>
        <w:rPr>
          <w:rFonts w:ascii="Calibri" w:eastAsia="Times New Roman" w:hAnsi="Calibri" w:cs="Calibri"/>
          <w:sz w:val="20"/>
          <w:szCs w:val="20"/>
        </w:rPr>
      </w:pPr>
      <w:bookmarkStart w:id="16" w:name="_Toc398709103"/>
      <w:r w:rsidRPr="004B3AB3">
        <w:rPr>
          <w:rFonts w:ascii="Calibri" w:eastAsia="Times New Roman" w:hAnsi="Calibri" w:cs="Calibri"/>
          <w:sz w:val="20"/>
          <w:szCs w:val="20"/>
        </w:rPr>
        <w:t>Gas savings algorithm is derived from the following:</w:t>
      </w:r>
      <w:r w:rsidRPr="004B3AB3">
        <w:rPr>
          <w:rFonts w:ascii="Calibri" w:eastAsia="Times New Roman" w:hAnsi="Calibri" w:cs="Calibri"/>
          <w:sz w:val="20"/>
          <w:szCs w:val="20"/>
        </w:rPr>
        <w:tab/>
      </w:r>
    </w:p>
    <w:p w:rsidR="004B3AB3" w:rsidRPr="004B3AB3" w:rsidRDefault="004B3AB3" w:rsidP="004B3AB3">
      <w:pPr>
        <w:spacing w:after="120" w:line="240" w:lineRule="auto"/>
        <w:rPr>
          <w:rFonts w:ascii="Calibri" w:eastAsia="Times New Roman" w:hAnsi="Calibri" w:cs="Calibri"/>
          <w:sz w:val="20"/>
          <w:szCs w:val="20"/>
        </w:rPr>
      </w:pP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p>
    <w:p w:rsidR="004B3AB3" w:rsidRPr="004B3AB3" w:rsidRDefault="004B3AB3" w:rsidP="004B3AB3">
      <w:pPr>
        <w:spacing w:after="120" w:line="240" w:lineRule="auto"/>
        <w:ind w:firstLine="720"/>
        <w:rPr>
          <w:rFonts w:ascii="Calibri" w:eastAsia="Times New Roman" w:hAnsi="Calibri" w:cs="Calibri"/>
          <w:sz w:val="20"/>
          <w:szCs w:val="20"/>
        </w:rPr>
      </w:pPr>
      <w:proofErr w:type="spellStart"/>
      <w:r w:rsidRPr="004B3AB3">
        <w:rPr>
          <w:rFonts w:ascii="Calibri" w:eastAsia="Times New Roman" w:hAnsi="Calibri" w:cs="Calibri"/>
          <w:sz w:val="20"/>
          <w:szCs w:val="20"/>
        </w:rPr>
        <w:t>ΔTherms</w:t>
      </w:r>
      <w:proofErr w:type="spellEnd"/>
      <w:r w:rsidRPr="004B3AB3">
        <w:rPr>
          <w:rFonts w:ascii="Calibri" w:eastAsia="Times New Roman" w:hAnsi="Calibri" w:cs="Calibri"/>
          <w:sz w:val="20"/>
          <w:szCs w:val="20"/>
        </w:rPr>
        <w:t xml:space="preserve"> </w:t>
      </w:r>
      <w:r w:rsidRPr="004B3AB3">
        <w:rPr>
          <w:rFonts w:ascii="Calibri" w:eastAsia="Times New Roman" w:hAnsi="Calibri" w:cs="Calibri"/>
          <w:sz w:val="20"/>
          <w:szCs w:val="20"/>
        </w:rPr>
        <w:tab/>
        <w:t xml:space="preserve">= (Design Heating Load * TE_ERV * EFLH * </w:t>
      </w:r>
      <w:proofErr w:type="spellStart"/>
      <w:r w:rsidRPr="004B3AB3">
        <w:rPr>
          <w:rFonts w:ascii="Calibri" w:eastAsia="Times New Roman" w:hAnsi="Calibri" w:cs="Calibri"/>
          <w:sz w:val="20"/>
          <w:szCs w:val="20"/>
        </w:rPr>
        <w:t>OccHours</w:t>
      </w:r>
      <w:proofErr w:type="spellEnd"/>
      <w:r w:rsidRPr="004B3AB3">
        <w:rPr>
          <w:rFonts w:ascii="Calibri" w:eastAsia="Times New Roman" w:hAnsi="Calibri" w:cs="Calibri"/>
          <w:sz w:val="20"/>
          <w:szCs w:val="20"/>
        </w:rPr>
        <w:t>/24) / (100,000 * µHeat)</w:t>
      </w:r>
    </w:p>
    <w:p w:rsidR="004B3AB3" w:rsidRPr="004B3AB3" w:rsidRDefault="004B3AB3" w:rsidP="004B3AB3">
      <w:pPr>
        <w:spacing w:after="120" w:line="240" w:lineRule="auto"/>
        <w:rPr>
          <w:rFonts w:ascii="Calibri" w:eastAsia="Times New Roman" w:hAnsi="Calibri" w:cs="Calibri"/>
          <w:sz w:val="20"/>
          <w:szCs w:val="20"/>
        </w:rPr>
      </w:pPr>
    </w:p>
    <w:p w:rsidR="004B3AB3" w:rsidRPr="004B3AB3" w:rsidRDefault="004B3AB3" w:rsidP="004B3AB3">
      <w:pPr>
        <w:spacing w:after="120" w:line="240" w:lineRule="auto"/>
        <w:rPr>
          <w:rFonts w:ascii="Calibri" w:eastAsia="Times New Roman" w:hAnsi="Calibri" w:cs="Calibri"/>
          <w:sz w:val="20"/>
          <w:szCs w:val="20"/>
        </w:rPr>
      </w:pPr>
      <w:r w:rsidRPr="004B3AB3">
        <w:rPr>
          <w:rFonts w:ascii="Calibri" w:eastAsia="Times New Roman" w:hAnsi="Calibri" w:cs="Calibri"/>
          <w:sz w:val="20"/>
          <w:szCs w:val="20"/>
        </w:rPr>
        <w:t>Where:</w:t>
      </w:r>
    </w:p>
    <w:p w:rsidR="004B3AB3" w:rsidRPr="004B3AB3" w:rsidRDefault="004B3AB3" w:rsidP="004B3AB3">
      <w:pPr>
        <w:spacing w:after="240" w:line="240" w:lineRule="auto"/>
        <w:rPr>
          <w:rFonts w:ascii="Calibri" w:eastAsia="Times New Roman" w:hAnsi="Calibri" w:cs="Calibri"/>
          <w:sz w:val="20"/>
          <w:szCs w:val="20"/>
        </w:rPr>
      </w:pPr>
      <w:r w:rsidRPr="004B3AB3">
        <w:rPr>
          <w:rFonts w:ascii="Calibri" w:eastAsia="Times New Roman" w:hAnsi="Calibri" w:cs="Calibri"/>
          <w:sz w:val="20"/>
          <w:szCs w:val="20"/>
        </w:rPr>
        <w:t xml:space="preserve"> </w:t>
      </w:r>
      <w:r w:rsidRPr="004B3AB3">
        <w:rPr>
          <w:rFonts w:ascii="Calibri" w:eastAsia="Times New Roman" w:hAnsi="Calibri" w:cs="Calibri"/>
          <w:sz w:val="20"/>
          <w:szCs w:val="20"/>
        </w:rPr>
        <w:tab/>
        <w:t xml:space="preserve">Design Heating Load </w:t>
      </w:r>
      <w:r w:rsidRPr="004B3AB3">
        <w:rPr>
          <w:rFonts w:ascii="Calibri" w:eastAsia="Times New Roman" w:hAnsi="Calibri" w:cs="Calibri"/>
          <w:sz w:val="20"/>
          <w:szCs w:val="20"/>
        </w:rPr>
        <w:tab/>
        <w:t>= (1.08 * CFM * ΔT)</w:t>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p>
    <w:p w:rsidR="004B3AB3" w:rsidRPr="004B3AB3" w:rsidRDefault="004B3AB3" w:rsidP="004B3AB3">
      <w:pPr>
        <w:spacing w:after="240" w:line="240" w:lineRule="auto"/>
        <w:ind w:left="1440" w:firstLine="720"/>
        <w:rPr>
          <w:rFonts w:ascii="Calibri" w:eastAsia="Times New Roman" w:hAnsi="Calibri" w:cs="Calibri"/>
          <w:sz w:val="20"/>
          <w:szCs w:val="20"/>
        </w:rPr>
      </w:pPr>
      <w:r w:rsidRPr="004B3AB3">
        <w:rPr>
          <w:rFonts w:ascii="Calibri" w:eastAsia="Times New Roman" w:hAnsi="Calibri" w:cs="Calibri"/>
          <w:sz w:val="20"/>
          <w:szCs w:val="20"/>
        </w:rPr>
        <w:t xml:space="preserve">1.08  </w:t>
      </w:r>
      <w:r w:rsidRPr="004B3AB3">
        <w:rPr>
          <w:rFonts w:ascii="Calibri" w:eastAsia="Times New Roman" w:hAnsi="Calibri" w:cs="Calibri"/>
          <w:sz w:val="20"/>
          <w:szCs w:val="20"/>
        </w:rPr>
        <w:tab/>
        <w:t>= A constant for sensible heat equations (BTU/h/CFM.°F)</w:t>
      </w:r>
    </w:p>
    <w:p w:rsidR="004B3AB3" w:rsidRPr="004B3AB3" w:rsidRDefault="004B3AB3" w:rsidP="004B3AB3">
      <w:pPr>
        <w:spacing w:after="240" w:line="240" w:lineRule="auto"/>
        <w:ind w:left="1440" w:firstLine="720"/>
        <w:rPr>
          <w:rFonts w:ascii="Calibri" w:eastAsia="Times New Roman" w:hAnsi="Calibri" w:cs="Calibri"/>
          <w:sz w:val="20"/>
          <w:szCs w:val="20"/>
        </w:rPr>
      </w:pPr>
      <w:r w:rsidRPr="004B3AB3">
        <w:rPr>
          <w:rFonts w:ascii="Calibri" w:eastAsia="Times New Roman" w:hAnsi="Calibri" w:cs="Calibri"/>
          <w:sz w:val="20"/>
          <w:szCs w:val="20"/>
        </w:rPr>
        <w:t>CFM</w:t>
      </w:r>
      <w:r w:rsidRPr="004B3AB3">
        <w:rPr>
          <w:rFonts w:ascii="Calibri" w:eastAsia="Times New Roman" w:hAnsi="Calibri" w:cs="Calibri"/>
          <w:sz w:val="20"/>
          <w:szCs w:val="20"/>
        </w:rPr>
        <w:tab/>
        <w:t>= Cubic Feet per Minute of Energy Recovery Ventilator</w:t>
      </w:r>
    </w:p>
    <w:p w:rsidR="004B3AB3" w:rsidRPr="004B3AB3" w:rsidRDefault="004B3AB3" w:rsidP="004B3AB3">
      <w:pPr>
        <w:spacing w:after="240" w:line="240" w:lineRule="auto"/>
        <w:ind w:left="1440" w:firstLine="720"/>
        <w:rPr>
          <w:rFonts w:ascii="Calibri" w:eastAsia="Times New Roman" w:hAnsi="Calibri" w:cs="Calibri"/>
          <w:sz w:val="20"/>
          <w:szCs w:val="20"/>
        </w:rPr>
      </w:pPr>
      <w:r w:rsidRPr="004B3AB3">
        <w:rPr>
          <w:rFonts w:ascii="Calibri" w:eastAsia="Times New Roman" w:hAnsi="Calibri" w:cs="Calibri"/>
          <w:sz w:val="20"/>
          <w:szCs w:val="20"/>
        </w:rPr>
        <w:t xml:space="preserve">ΔT </w:t>
      </w:r>
      <w:r w:rsidRPr="004B3AB3">
        <w:rPr>
          <w:rFonts w:ascii="Calibri" w:eastAsia="Times New Roman" w:hAnsi="Calibri" w:cs="Calibri"/>
          <w:sz w:val="20"/>
          <w:szCs w:val="20"/>
        </w:rPr>
        <w:tab/>
        <w:t>= T_RA – T_DD</w:t>
      </w:r>
    </w:p>
    <w:p w:rsidR="004B3AB3" w:rsidRPr="004B3AB3" w:rsidRDefault="004B3AB3" w:rsidP="004B3AB3">
      <w:pPr>
        <w:spacing w:after="240" w:line="240" w:lineRule="auto"/>
        <w:ind w:left="2160" w:firstLine="720"/>
        <w:rPr>
          <w:rFonts w:ascii="Calibri" w:eastAsia="Times New Roman" w:hAnsi="Calibri" w:cs="Calibri"/>
          <w:sz w:val="20"/>
          <w:szCs w:val="20"/>
        </w:rPr>
      </w:pPr>
      <w:r w:rsidRPr="004B3AB3">
        <w:rPr>
          <w:rFonts w:ascii="Calibri" w:eastAsia="Times New Roman" w:hAnsi="Calibri" w:cs="Calibri"/>
          <w:sz w:val="20"/>
          <w:szCs w:val="20"/>
        </w:rPr>
        <w:t xml:space="preserve">T_RA </w:t>
      </w:r>
      <w:r w:rsidRPr="004B3AB3">
        <w:rPr>
          <w:rFonts w:ascii="Calibri" w:eastAsia="Times New Roman" w:hAnsi="Calibri" w:cs="Calibri"/>
          <w:sz w:val="20"/>
          <w:szCs w:val="20"/>
        </w:rPr>
        <w:tab/>
        <w:t>= Temperature of the Return Air = 70°F or custom</w:t>
      </w:r>
    </w:p>
    <w:p w:rsidR="004B3AB3" w:rsidRPr="004B3AB3" w:rsidRDefault="004B3AB3" w:rsidP="004B3AB3">
      <w:pPr>
        <w:spacing w:after="240" w:line="240" w:lineRule="auto"/>
        <w:ind w:left="2160" w:firstLine="720"/>
        <w:rPr>
          <w:rFonts w:ascii="Calibri" w:eastAsia="Times New Roman" w:hAnsi="Calibri" w:cs="Calibri"/>
          <w:sz w:val="20"/>
          <w:szCs w:val="20"/>
        </w:rPr>
      </w:pPr>
      <w:r w:rsidRPr="004B3AB3">
        <w:rPr>
          <w:rFonts w:ascii="Calibri" w:eastAsia="Times New Roman" w:hAnsi="Calibri" w:cs="Calibri"/>
          <w:sz w:val="20"/>
          <w:szCs w:val="20"/>
        </w:rPr>
        <w:t xml:space="preserve">T_DD </w:t>
      </w:r>
      <w:r w:rsidRPr="004B3AB3">
        <w:rPr>
          <w:rFonts w:ascii="Calibri" w:eastAsia="Times New Roman" w:hAnsi="Calibri" w:cs="Calibri"/>
          <w:sz w:val="20"/>
          <w:szCs w:val="20"/>
        </w:rPr>
        <w:tab/>
        <w:t>= Temperature on design day of outside air</w:t>
      </w:r>
      <w:r w:rsidRPr="004B3AB3">
        <w:rPr>
          <w:rFonts w:ascii="Calibri" w:eastAsia="Times New Roman" w:hAnsi="Calibri" w:cs="Calibri"/>
          <w:sz w:val="20"/>
          <w:szCs w:val="20"/>
          <w:vertAlign w:val="superscript"/>
        </w:rPr>
        <w:footnoteReference w:id="3"/>
      </w:r>
      <w:r w:rsidRPr="004B3AB3">
        <w:rPr>
          <w:rFonts w:ascii="Calibri" w:eastAsia="Times New Roman" w:hAnsi="Calibri" w:cs="Calibri"/>
          <w:sz w:val="20"/>
          <w:szCs w:val="20"/>
        </w:rPr>
        <w:t xml:space="preserve"> </w:t>
      </w:r>
    </w:p>
    <w:p w:rsidR="004B3AB3" w:rsidRPr="004B3AB3" w:rsidRDefault="004B3AB3" w:rsidP="004B3AB3">
      <w:pPr>
        <w:spacing w:after="240" w:line="240" w:lineRule="auto"/>
        <w:ind w:left="2880" w:firstLine="720"/>
        <w:rPr>
          <w:rFonts w:ascii="Calibri" w:eastAsia="Times New Roman" w:hAnsi="Calibri" w:cs="Calibri"/>
          <w:sz w:val="20"/>
          <w:szCs w:val="20"/>
        </w:rPr>
      </w:pPr>
      <w:r w:rsidRPr="004B3AB3">
        <w:rPr>
          <w:rFonts w:ascii="Calibri" w:eastAsia="Times New Roman" w:hAnsi="Calibri" w:cs="Calibri"/>
          <w:sz w:val="20"/>
          <w:szCs w:val="20"/>
        </w:rPr>
        <w:t>= (see Table below) or custom</w:t>
      </w:r>
    </w:p>
    <w:tbl>
      <w:tblPr>
        <w:tblStyle w:val="TableGrid20"/>
        <w:tblW w:w="0" w:type="auto"/>
        <w:jc w:val="center"/>
        <w:tblInd w:w="1440" w:type="dxa"/>
        <w:tblLook w:val="04A0" w:firstRow="1" w:lastRow="0" w:firstColumn="1" w:lastColumn="0" w:noHBand="0" w:noVBand="1"/>
      </w:tblPr>
      <w:tblGrid>
        <w:gridCol w:w="1368"/>
        <w:gridCol w:w="2803"/>
        <w:gridCol w:w="2245"/>
      </w:tblGrid>
      <w:tr w:rsidR="004B3AB3" w:rsidRPr="004B3AB3" w:rsidTr="00EF462C">
        <w:trPr>
          <w:trHeight w:hRule="exact" w:val="432"/>
          <w:jc w:val="center"/>
        </w:trPr>
        <w:tc>
          <w:tcPr>
            <w:tcW w:w="1368" w:type="dxa"/>
            <w:shd w:val="clear" w:color="auto" w:fill="A6A6A6" w:themeFill="background1" w:themeFillShade="A6"/>
            <w:vAlign w:val="center"/>
          </w:tcPr>
          <w:p w:rsidR="004B3AB3" w:rsidRPr="004B3AB3" w:rsidRDefault="004B3AB3" w:rsidP="004B3AB3">
            <w:pPr>
              <w:spacing w:after="120"/>
              <w:jc w:val="center"/>
              <w:rPr>
                <w:rFonts w:ascii="Calibri" w:hAnsi="Calibri" w:cs="Calibri"/>
                <w:b/>
                <w:color w:val="FFFFFF"/>
              </w:rPr>
            </w:pPr>
            <w:r w:rsidRPr="004B3AB3">
              <w:rPr>
                <w:rFonts w:ascii="Calibri" w:hAnsi="Calibri" w:cs="Calibri"/>
                <w:b/>
                <w:color w:val="FFFFFF"/>
              </w:rPr>
              <w:t>Zone</w:t>
            </w:r>
          </w:p>
        </w:tc>
        <w:tc>
          <w:tcPr>
            <w:tcW w:w="2803" w:type="dxa"/>
            <w:shd w:val="clear" w:color="auto" w:fill="A6A6A6" w:themeFill="background1" w:themeFillShade="A6"/>
            <w:vAlign w:val="center"/>
          </w:tcPr>
          <w:p w:rsidR="004B3AB3" w:rsidRPr="004B3AB3" w:rsidRDefault="004B3AB3" w:rsidP="004B3AB3">
            <w:pPr>
              <w:spacing w:after="120"/>
              <w:jc w:val="center"/>
              <w:rPr>
                <w:rFonts w:ascii="Calibri" w:hAnsi="Calibri" w:cs="Calibri"/>
                <w:b/>
              </w:rPr>
            </w:pPr>
            <w:r w:rsidRPr="004B3AB3">
              <w:rPr>
                <w:rFonts w:ascii="Calibri" w:hAnsi="Calibri" w:cs="Calibri"/>
                <w:b/>
                <w:color w:val="FFFFFF"/>
              </w:rPr>
              <w:t>Weather Station</w:t>
            </w:r>
          </w:p>
        </w:tc>
        <w:tc>
          <w:tcPr>
            <w:tcW w:w="2245" w:type="dxa"/>
            <w:shd w:val="clear" w:color="auto" w:fill="A6A6A6" w:themeFill="background1" w:themeFillShade="A6"/>
            <w:vAlign w:val="center"/>
          </w:tcPr>
          <w:p w:rsidR="004B3AB3" w:rsidRPr="004B3AB3" w:rsidRDefault="004B3AB3" w:rsidP="004B3AB3">
            <w:pPr>
              <w:spacing w:after="120"/>
              <w:jc w:val="center"/>
              <w:rPr>
                <w:rFonts w:ascii="Calibri" w:hAnsi="Calibri" w:cs="Calibri"/>
                <w:b/>
              </w:rPr>
            </w:pPr>
            <w:r w:rsidRPr="004B3AB3">
              <w:rPr>
                <w:rFonts w:ascii="Calibri" w:hAnsi="Calibri" w:cs="Calibri"/>
                <w:b/>
                <w:color w:val="FFFFFF"/>
              </w:rPr>
              <w:t>T_DD, Temperature, °F</w:t>
            </w:r>
          </w:p>
        </w:tc>
      </w:tr>
      <w:tr w:rsidR="004B3AB3" w:rsidRPr="004B3AB3" w:rsidTr="00EF462C">
        <w:trPr>
          <w:trHeight w:hRule="exact" w:val="262"/>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1</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Greater Rockford</w:t>
            </w:r>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-5.8</w:t>
            </w:r>
          </w:p>
        </w:tc>
      </w:tr>
      <w:tr w:rsidR="004B3AB3" w:rsidRPr="004B3AB3" w:rsidTr="00EF462C">
        <w:trPr>
          <w:trHeight w:hRule="exact" w:val="280"/>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2</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Chicago/O’Hare ARPT.</w:t>
            </w:r>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-1.5</w:t>
            </w:r>
          </w:p>
        </w:tc>
      </w:tr>
      <w:tr w:rsidR="004B3AB3" w:rsidRPr="004B3AB3" w:rsidTr="00EF462C">
        <w:trPr>
          <w:trHeight w:hRule="exact" w:val="262"/>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3</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Springfield/Capital</w:t>
            </w:r>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0.4</w:t>
            </w:r>
          </w:p>
        </w:tc>
      </w:tr>
      <w:tr w:rsidR="004B3AB3" w:rsidRPr="004B3AB3" w:rsidTr="00EF462C">
        <w:trPr>
          <w:trHeight w:hRule="exact" w:val="280"/>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4</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 xml:space="preserve">Scott AFB </w:t>
            </w:r>
            <w:proofErr w:type="spellStart"/>
            <w:r w:rsidRPr="004B3AB3">
              <w:rPr>
                <w:rFonts w:ascii="Calibri" w:hAnsi="Calibri" w:cs="Calibri"/>
              </w:rPr>
              <w:t>MidAmerica</w:t>
            </w:r>
            <w:proofErr w:type="spellEnd"/>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9.0</w:t>
            </w:r>
          </w:p>
        </w:tc>
      </w:tr>
      <w:tr w:rsidR="004B3AB3" w:rsidRPr="004B3AB3" w:rsidTr="00EF462C">
        <w:trPr>
          <w:trHeight w:hRule="exact" w:val="262"/>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5</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Cape Girardeau Regional</w:t>
            </w:r>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9.7</w:t>
            </w:r>
          </w:p>
        </w:tc>
      </w:tr>
      <w:tr w:rsidR="004B3AB3" w:rsidRPr="004B3AB3" w:rsidTr="00EF462C">
        <w:trPr>
          <w:trHeight w:hRule="exact" w:val="280"/>
          <w:jc w:val="center"/>
        </w:trPr>
        <w:tc>
          <w:tcPr>
            <w:tcW w:w="1368"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Average</w:t>
            </w:r>
          </w:p>
        </w:tc>
        <w:tc>
          <w:tcPr>
            <w:tcW w:w="2803"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w:t>
            </w:r>
          </w:p>
        </w:tc>
        <w:tc>
          <w:tcPr>
            <w:tcW w:w="2245" w:type="dxa"/>
            <w:vAlign w:val="center"/>
          </w:tcPr>
          <w:p w:rsidR="004B3AB3" w:rsidRPr="004B3AB3" w:rsidRDefault="004B3AB3" w:rsidP="004B3AB3">
            <w:pPr>
              <w:spacing w:after="120"/>
              <w:jc w:val="center"/>
              <w:rPr>
                <w:rFonts w:ascii="Calibri" w:hAnsi="Calibri" w:cs="Calibri"/>
              </w:rPr>
            </w:pPr>
            <w:r w:rsidRPr="004B3AB3">
              <w:rPr>
                <w:rFonts w:ascii="Calibri" w:hAnsi="Calibri" w:cs="Calibri"/>
              </w:rPr>
              <w:t>2.4</w:t>
            </w:r>
          </w:p>
        </w:tc>
      </w:tr>
    </w:tbl>
    <w:p w:rsidR="004B3AB3" w:rsidRPr="004B3AB3" w:rsidRDefault="004B3AB3" w:rsidP="004B3AB3">
      <w:pPr>
        <w:spacing w:after="120" w:line="240" w:lineRule="auto"/>
        <w:rPr>
          <w:rFonts w:ascii="Calibri" w:eastAsia="Times New Roman" w:hAnsi="Calibri" w:cs="Calibri"/>
          <w:sz w:val="20"/>
          <w:szCs w:val="20"/>
        </w:rPr>
      </w:pP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p>
    <w:p w:rsidR="004B3AB3" w:rsidRPr="004B3AB3" w:rsidRDefault="004B3AB3" w:rsidP="004B3AB3">
      <w:pPr>
        <w:spacing w:after="240" w:line="240" w:lineRule="auto"/>
        <w:ind w:firstLine="720"/>
        <w:rPr>
          <w:rFonts w:ascii="Calibri" w:eastAsia="Times New Roman" w:hAnsi="Calibri" w:cs="Calibri"/>
          <w:sz w:val="20"/>
          <w:szCs w:val="20"/>
        </w:rPr>
      </w:pPr>
      <w:r w:rsidRPr="004B3AB3">
        <w:rPr>
          <w:rFonts w:ascii="Calibri" w:eastAsia="Times New Roman" w:hAnsi="Calibri" w:cs="Calibri"/>
          <w:sz w:val="20"/>
          <w:szCs w:val="20"/>
        </w:rPr>
        <w:t xml:space="preserve">TE_ERV </w:t>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t>= Thermal Effectiveness of Energy Recovery Equipment</w:t>
      </w:r>
      <w:r w:rsidRPr="004B3AB3">
        <w:rPr>
          <w:rFonts w:ascii="Calibri" w:eastAsia="Times New Roman" w:hAnsi="Calibri" w:cs="Calibri"/>
          <w:sz w:val="20"/>
          <w:szCs w:val="20"/>
          <w:vertAlign w:val="superscript"/>
        </w:rPr>
        <w:footnoteReference w:id="4"/>
      </w:r>
      <w:r w:rsidRPr="004B3AB3">
        <w:rPr>
          <w:rFonts w:ascii="Calibri" w:eastAsia="Times New Roman" w:hAnsi="Calibri" w:cs="Calibri"/>
          <w:sz w:val="20"/>
          <w:szCs w:val="20"/>
        </w:rPr>
        <w:t xml:space="preserve"> </w:t>
      </w:r>
    </w:p>
    <w:p w:rsidR="004B3AB3" w:rsidRPr="004B3AB3" w:rsidRDefault="004B3AB3" w:rsidP="004B3AB3">
      <w:pPr>
        <w:spacing w:after="240" w:line="240" w:lineRule="auto"/>
        <w:ind w:left="2160" w:firstLine="720"/>
        <w:rPr>
          <w:rFonts w:ascii="Calibri" w:eastAsia="Times New Roman" w:hAnsi="Calibri" w:cs="Calibri"/>
          <w:sz w:val="20"/>
          <w:szCs w:val="20"/>
        </w:rPr>
      </w:pPr>
      <w:r w:rsidRPr="004B3AB3">
        <w:rPr>
          <w:rFonts w:ascii="Calibri" w:eastAsia="Times New Roman" w:hAnsi="Calibri" w:cs="Calibri"/>
          <w:sz w:val="20"/>
          <w:szCs w:val="20"/>
        </w:rPr>
        <w:t>= (see Table below) or custom</w:t>
      </w:r>
    </w:p>
    <w:tbl>
      <w:tblPr>
        <w:tblStyle w:val="TableGrid20"/>
        <w:tblW w:w="0" w:type="auto"/>
        <w:jc w:val="center"/>
        <w:tblInd w:w="720" w:type="dxa"/>
        <w:tblLook w:val="04A0" w:firstRow="1" w:lastRow="0" w:firstColumn="1" w:lastColumn="0" w:noHBand="0" w:noVBand="1"/>
      </w:tblPr>
      <w:tblGrid>
        <w:gridCol w:w="3055"/>
        <w:gridCol w:w="1800"/>
      </w:tblGrid>
      <w:tr w:rsidR="004B3AB3" w:rsidRPr="004B3AB3" w:rsidTr="00EF462C">
        <w:trPr>
          <w:trHeight w:hRule="exact" w:val="288"/>
          <w:tblHeader/>
          <w:jc w:val="center"/>
        </w:trPr>
        <w:tc>
          <w:tcPr>
            <w:tcW w:w="3055" w:type="dxa"/>
            <w:shd w:val="clear" w:color="auto" w:fill="A6A6A6" w:themeFill="background1" w:themeFillShade="A6"/>
          </w:tcPr>
          <w:p w:rsidR="004B3AB3" w:rsidRPr="004B3AB3" w:rsidRDefault="004B3AB3" w:rsidP="004B3AB3">
            <w:pPr>
              <w:spacing w:after="120"/>
              <w:rPr>
                <w:rFonts w:ascii="Calibri" w:hAnsi="Calibri" w:cs="Calibri"/>
                <w:b/>
                <w:color w:val="FFFFFF"/>
              </w:rPr>
            </w:pPr>
            <w:r w:rsidRPr="004B3AB3">
              <w:rPr>
                <w:rFonts w:ascii="Calibri" w:hAnsi="Calibri" w:cs="Calibri"/>
                <w:b/>
                <w:color w:val="FFFFFF"/>
              </w:rPr>
              <w:lastRenderedPageBreak/>
              <w:t>Heat Recovery Equipment Type</w:t>
            </w:r>
          </w:p>
        </w:tc>
        <w:tc>
          <w:tcPr>
            <w:tcW w:w="1800" w:type="dxa"/>
            <w:shd w:val="clear" w:color="auto" w:fill="A6A6A6" w:themeFill="background1" w:themeFillShade="A6"/>
          </w:tcPr>
          <w:p w:rsidR="004B3AB3" w:rsidRPr="004B3AB3" w:rsidRDefault="004B3AB3" w:rsidP="004B3AB3">
            <w:pPr>
              <w:spacing w:after="120"/>
              <w:rPr>
                <w:rFonts w:ascii="Calibri" w:hAnsi="Calibri" w:cs="Calibri"/>
                <w:b/>
                <w:color w:val="FFFFFF"/>
              </w:rPr>
            </w:pPr>
            <w:r w:rsidRPr="004B3AB3">
              <w:rPr>
                <w:rFonts w:ascii="Calibri" w:hAnsi="Calibri" w:cs="Calibri"/>
                <w:b/>
                <w:color w:val="FFFFFF"/>
              </w:rPr>
              <w:t>TE_ERV (%)</w:t>
            </w:r>
          </w:p>
        </w:tc>
      </w:tr>
      <w:tr w:rsidR="004B3AB3" w:rsidRPr="004B3AB3" w:rsidTr="00EF462C">
        <w:trPr>
          <w:trHeight w:hRule="exact" w:val="288"/>
          <w:jc w:val="center"/>
        </w:trPr>
        <w:tc>
          <w:tcPr>
            <w:tcW w:w="3055" w:type="dxa"/>
          </w:tcPr>
          <w:p w:rsidR="004B3AB3" w:rsidRPr="004B3AB3" w:rsidRDefault="004B3AB3" w:rsidP="004B3AB3">
            <w:pPr>
              <w:spacing w:after="120"/>
              <w:rPr>
                <w:rFonts w:ascii="Calibri" w:hAnsi="Calibri" w:cs="Calibri"/>
              </w:rPr>
            </w:pPr>
            <w:r w:rsidRPr="004B3AB3">
              <w:rPr>
                <w:rFonts w:ascii="Calibri" w:hAnsi="Calibri" w:cs="Calibri"/>
              </w:rPr>
              <w:t>Fixed Plate</w:t>
            </w:r>
          </w:p>
        </w:tc>
        <w:tc>
          <w:tcPr>
            <w:tcW w:w="1800" w:type="dxa"/>
          </w:tcPr>
          <w:p w:rsidR="004B3AB3" w:rsidRPr="004B3AB3" w:rsidRDefault="004B3AB3" w:rsidP="004B3AB3">
            <w:pPr>
              <w:spacing w:after="120"/>
              <w:rPr>
                <w:rFonts w:ascii="Calibri" w:hAnsi="Calibri" w:cs="Calibri"/>
              </w:rPr>
            </w:pPr>
            <w:r w:rsidRPr="004B3AB3">
              <w:rPr>
                <w:rFonts w:ascii="Calibri" w:hAnsi="Calibri" w:cs="Calibri"/>
              </w:rPr>
              <w:t>0.65</w:t>
            </w:r>
          </w:p>
        </w:tc>
      </w:tr>
      <w:tr w:rsidR="004B3AB3" w:rsidRPr="004B3AB3" w:rsidTr="00EF462C">
        <w:trPr>
          <w:trHeight w:hRule="exact" w:val="288"/>
          <w:jc w:val="center"/>
        </w:trPr>
        <w:tc>
          <w:tcPr>
            <w:tcW w:w="3055" w:type="dxa"/>
          </w:tcPr>
          <w:p w:rsidR="004B3AB3" w:rsidRPr="004B3AB3" w:rsidRDefault="004B3AB3" w:rsidP="004B3AB3">
            <w:pPr>
              <w:spacing w:after="120"/>
              <w:rPr>
                <w:rFonts w:ascii="Calibri" w:hAnsi="Calibri" w:cs="Calibri"/>
              </w:rPr>
            </w:pPr>
            <w:r w:rsidRPr="004B3AB3">
              <w:rPr>
                <w:rFonts w:ascii="Calibri" w:hAnsi="Calibri" w:cs="Calibri"/>
              </w:rPr>
              <w:t>Rotary Equipment</w:t>
            </w:r>
          </w:p>
        </w:tc>
        <w:tc>
          <w:tcPr>
            <w:tcW w:w="1800" w:type="dxa"/>
          </w:tcPr>
          <w:p w:rsidR="004B3AB3" w:rsidRPr="004B3AB3" w:rsidRDefault="004B3AB3" w:rsidP="004B3AB3">
            <w:pPr>
              <w:spacing w:after="120"/>
              <w:rPr>
                <w:rFonts w:ascii="Calibri" w:hAnsi="Calibri" w:cs="Calibri"/>
              </w:rPr>
            </w:pPr>
            <w:r w:rsidRPr="004B3AB3">
              <w:rPr>
                <w:rFonts w:ascii="Calibri" w:hAnsi="Calibri" w:cs="Calibri"/>
              </w:rPr>
              <w:t>0.68</w:t>
            </w:r>
          </w:p>
        </w:tc>
      </w:tr>
      <w:tr w:rsidR="004B3AB3" w:rsidRPr="004B3AB3" w:rsidTr="00EF462C">
        <w:trPr>
          <w:trHeight w:hRule="exact" w:val="288"/>
          <w:jc w:val="center"/>
        </w:trPr>
        <w:tc>
          <w:tcPr>
            <w:tcW w:w="3055" w:type="dxa"/>
          </w:tcPr>
          <w:p w:rsidR="004B3AB3" w:rsidRPr="004B3AB3" w:rsidRDefault="004B3AB3" w:rsidP="004B3AB3">
            <w:pPr>
              <w:spacing w:after="120"/>
              <w:rPr>
                <w:rFonts w:ascii="Calibri" w:hAnsi="Calibri" w:cs="Calibri"/>
              </w:rPr>
            </w:pPr>
            <w:r w:rsidRPr="004B3AB3">
              <w:rPr>
                <w:rFonts w:ascii="Calibri" w:hAnsi="Calibri" w:cs="Calibri"/>
              </w:rPr>
              <w:t>Heat Pipe</w:t>
            </w:r>
          </w:p>
        </w:tc>
        <w:tc>
          <w:tcPr>
            <w:tcW w:w="1800" w:type="dxa"/>
          </w:tcPr>
          <w:p w:rsidR="004B3AB3" w:rsidRPr="004B3AB3" w:rsidRDefault="004B3AB3" w:rsidP="004B3AB3">
            <w:pPr>
              <w:spacing w:after="120"/>
              <w:rPr>
                <w:rFonts w:ascii="Calibri" w:hAnsi="Calibri" w:cs="Calibri"/>
              </w:rPr>
            </w:pPr>
            <w:r w:rsidRPr="004B3AB3">
              <w:rPr>
                <w:rFonts w:ascii="Calibri" w:hAnsi="Calibri" w:cs="Calibri"/>
              </w:rPr>
              <w:t>0.55</w:t>
            </w:r>
          </w:p>
        </w:tc>
      </w:tr>
    </w:tbl>
    <w:p w:rsidR="004B3AB3" w:rsidRPr="004B3AB3" w:rsidRDefault="004B3AB3" w:rsidP="004B3AB3">
      <w:pPr>
        <w:spacing w:after="120" w:line="240" w:lineRule="auto"/>
        <w:rPr>
          <w:rFonts w:ascii="Calibri" w:eastAsia="Times New Roman" w:hAnsi="Calibri" w:cs="Calibri"/>
          <w:sz w:val="20"/>
          <w:szCs w:val="20"/>
        </w:rPr>
      </w:pPr>
    </w:p>
    <w:p w:rsidR="004B3AB3" w:rsidRPr="004B3AB3" w:rsidRDefault="004B3AB3" w:rsidP="004B3AB3">
      <w:pPr>
        <w:spacing w:after="120" w:line="240" w:lineRule="auto"/>
        <w:ind w:left="2880" w:hanging="2160"/>
        <w:rPr>
          <w:rFonts w:ascii="Calibri" w:eastAsia="Times New Roman" w:hAnsi="Calibri" w:cs="Calibri"/>
          <w:sz w:val="20"/>
          <w:szCs w:val="20"/>
        </w:rPr>
      </w:pPr>
      <w:r w:rsidRPr="004B3AB3">
        <w:rPr>
          <w:rFonts w:ascii="Calibri" w:eastAsia="Times New Roman" w:hAnsi="Calibri" w:cs="Calibri"/>
          <w:sz w:val="20"/>
          <w:szCs w:val="20"/>
        </w:rPr>
        <w:t xml:space="preserve">EFLH </w:t>
      </w:r>
      <w:r w:rsidRPr="004B3AB3">
        <w:rPr>
          <w:rFonts w:ascii="Calibri" w:eastAsia="Times New Roman" w:hAnsi="Calibri" w:cs="Calibri"/>
          <w:sz w:val="20"/>
          <w:szCs w:val="20"/>
        </w:rPr>
        <w:tab/>
        <w:t>= Equivalent Full Load Hours for heating are provided in section 4.4 HVAC End Use</w:t>
      </w:r>
    </w:p>
    <w:p w:rsidR="004B3AB3" w:rsidRPr="004B3AB3" w:rsidRDefault="004B3AB3" w:rsidP="004B3AB3">
      <w:pPr>
        <w:spacing w:after="120" w:line="240" w:lineRule="auto"/>
        <w:ind w:firstLine="720"/>
        <w:rPr>
          <w:rFonts w:ascii="Calibri" w:eastAsia="Times New Roman" w:hAnsi="Calibri" w:cs="Calibri"/>
          <w:sz w:val="20"/>
          <w:szCs w:val="20"/>
        </w:rPr>
      </w:pPr>
      <w:proofErr w:type="spellStart"/>
      <w:r w:rsidRPr="004B3AB3">
        <w:rPr>
          <w:rFonts w:ascii="Calibri" w:eastAsia="Times New Roman" w:hAnsi="Calibri" w:cs="Calibri"/>
          <w:sz w:val="20"/>
          <w:szCs w:val="20"/>
        </w:rPr>
        <w:t>OccHour</w:t>
      </w:r>
      <w:proofErr w:type="spellEnd"/>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t xml:space="preserve">= Average Hours per day facility is occupied </w:t>
      </w:r>
    </w:p>
    <w:p w:rsidR="004B3AB3" w:rsidRPr="004B3AB3" w:rsidRDefault="004B3AB3" w:rsidP="004B3AB3">
      <w:pPr>
        <w:spacing w:after="120" w:line="240" w:lineRule="auto"/>
        <w:ind w:left="2160" w:firstLine="720"/>
        <w:rPr>
          <w:rFonts w:ascii="Calibri" w:eastAsia="Times New Roman" w:hAnsi="Calibri" w:cs="Calibri"/>
          <w:sz w:val="20"/>
          <w:szCs w:val="20"/>
        </w:rPr>
      </w:pPr>
      <w:r w:rsidRPr="004B3AB3">
        <w:rPr>
          <w:rFonts w:ascii="Calibri" w:eastAsia="Times New Roman" w:hAnsi="Calibri" w:cs="Calibri"/>
          <w:sz w:val="20"/>
          <w:szCs w:val="20"/>
        </w:rPr>
        <w:t xml:space="preserve">= (see Table 4.4.1 </w:t>
      </w:r>
      <w:proofErr w:type="spellStart"/>
      <w:r w:rsidRPr="004B3AB3">
        <w:rPr>
          <w:rFonts w:ascii="Calibri" w:eastAsia="Times New Roman" w:hAnsi="Calibri" w:cs="Calibri"/>
          <w:sz w:val="20"/>
          <w:szCs w:val="20"/>
        </w:rPr>
        <w:t>EQuest</w:t>
      </w:r>
      <w:proofErr w:type="spellEnd"/>
      <w:r w:rsidRPr="004B3AB3">
        <w:rPr>
          <w:rFonts w:ascii="Calibri" w:eastAsia="Times New Roman" w:hAnsi="Calibri" w:cs="Calibri"/>
          <w:sz w:val="20"/>
          <w:szCs w:val="20"/>
        </w:rPr>
        <w:t xml:space="preserve"> Modeling Inputs by Building Type) or custom</w:t>
      </w:r>
    </w:p>
    <w:p w:rsidR="004B3AB3" w:rsidRPr="004B3AB3" w:rsidRDefault="004B3AB3" w:rsidP="004B3AB3">
      <w:pPr>
        <w:spacing w:before="240" w:after="120" w:line="240" w:lineRule="auto"/>
        <w:rPr>
          <w:rFonts w:ascii="Calibri" w:eastAsia="Times New Roman" w:hAnsi="Calibri" w:cs="Calibri"/>
          <w:sz w:val="20"/>
          <w:szCs w:val="20"/>
        </w:rPr>
      </w:pPr>
      <w:r w:rsidRPr="004B3AB3">
        <w:rPr>
          <w:rFonts w:ascii="Calibri" w:eastAsia="Times New Roman" w:hAnsi="Calibri" w:cs="Arial"/>
          <w:b/>
          <w:bCs/>
          <w:iCs/>
          <w:caps/>
          <w:sz w:val="20"/>
          <w:szCs w:val="20"/>
        </w:rPr>
        <w:tab/>
      </w:r>
      <w:r w:rsidRPr="004B3AB3">
        <w:rPr>
          <w:rFonts w:ascii="Calibri" w:eastAsia="Times New Roman" w:hAnsi="Calibri" w:cs="Calibri"/>
          <w:sz w:val="20"/>
          <w:szCs w:val="20"/>
        </w:rPr>
        <w:t>µHeat</w:t>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t>= Efficiency of heating system</w:t>
      </w:r>
    </w:p>
    <w:p w:rsidR="004B3AB3" w:rsidRPr="004B3AB3" w:rsidRDefault="004B3AB3" w:rsidP="004B3AB3">
      <w:pPr>
        <w:spacing w:before="240" w:after="120" w:line="240" w:lineRule="auto"/>
        <w:rPr>
          <w:rFonts w:ascii="Calibri" w:eastAsia="Times New Roman" w:hAnsi="Calibri" w:cs="Arial"/>
          <w:b/>
          <w:bCs/>
          <w:iCs/>
          <w:caps/>
          <w:sz w:val="20"/>
          <w:szCs w:val="20"/>
        </w:rPr>
      </w:pP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r>
      <w:r w:rsidRPr="004B3AB3">
        <w:rPr>
          <w:rFonts w:ascii="Calibri" w:eastAsia="Times New Roman" w:hAnsi="Calibri" w:cs="Calibri"/>
          <w:sz w:val="20"/>
          <w:szCs w:val="20"/>
        </w:rPr>
        <w:tab/>
        <w:t>= Actual</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r w:rsidRPr="004B3AB3">
        <w:rPr>
          <w:rFonts w:ascii="Calibri" w:eastAsia="Times New Roman" w:hAnsi="Calibri" w:cs="Times New Roman"/>
          <w:b/>
          <w:smallCaps/>
          <w:szCs w:val="20"/>
        </w:rPr>
        <w:t>Water Impact Descriptions and Calculation</w:t>
      </w:r>
      <w:bookmarkEnd w:id="16"/>
      <w:r w:rsidRPr="004B3AB3">
        <w:rPr>
          <w:rFonts w:ascii="Calibri" w:eastAsia="Times New Roman" w:hAnsi="Calibri" w:cs="Times New Roman"/>
          <w:b/>
          <w:smallCaps/>
          <w:szCs w:val="20"/>
        </w:rPr>
        <w:t xml:space="preserve">  </w:t>
      </w:r>
    </w:p>
    <w:p w:rsidR="004B3AB3" w:rsidRPr="004B3AB3" w:rsidRDefault="004B3AB3" w:rsidP="004B3AB3">
      <w:pPr>
        <w:spacing w:after="120" w:line="240" w:lineRule="auto"/>
        <w:rPr>
          <w:rFonts w:ascii="Calibri" w:eastAsia="Times New Roman" w:hAnsi="Calibri" w:cs="Times New Roman"/>
          <w:sz w:val="20"/>
        </w:rPr>
      </w:pPr>
      <w:r w:rsidRPr="004B3AB3">
        <w:rPr>
          <w:rFonts w:ascii="Calibri" w:eastAsia="Times New Roman" w:hAnsi="Calibri" w:cs="Times New Roman"/>
          <w:sz w:val="20"/>
        </w:rPr>
        <w:t>N/A</w:t>
      </w:r>
    </w:p>
    <w:p w:rsidR="004B3AB3" w:rsidRPr="004B3AB3" w:rsidRDefault="004B3AB3" w:rsidP="004B3AB3">
      <w:pPr>
        <w:keepNext/>
        <w:keepLines/>
        <w:tabs>
          <w:tab w:val="left" w:pos="5040"/>
        </w:tabs>
        <w:spacing w:before="200" w:after="120"/>
        <w:outlineLvl w:val="5"/>
        <w:rPr>
          <w:rFonts w:ascii="Calibri" w:eastAsia="Times New Roman" w:hAnsi="Calibri" w:cs="Times New Roman"/>
          <w:b/>
          <w:smallCaps/>
          <w:szCs w:val="20"/>
        </w:rPr>
      </w:pPr>
      <w:bookmarkStart w:id="17" w:name="_Toc398709104"/>
      <w:r w:rsidRPr="004B3AB3">
        <w:rPr>
          <w:rFonts w:ascii="Calibri" w:eastAsia="Times New Roman" w:hAnsi="Calibri" w:cs="Times New Roman"/>
          <w:b/>
          <w:smallCaps/>
          <w:szCs w:val="20"/>
        </w:rPr>
        <w:t>Deemed O&amp;M Cost Adjustment Calculation</w:t>
      </w:r>
      <w:bookmarkEnd w:id="17"/>
    </w:p>
    <w:p w:rsidR="004B3AB3" w:rsidRPr="004B3AB3" w:rsidRDefault="004B3AB3" w:rsidP="004B3AB3">
      <w:pPr>
        <w:spacing w:after="120" w:line="240" w:lineRule="auto"/>
        <w:rPr>
          <w:rFonts w:ascii="Calibri" w:eastAsia="Times New Roman" w:hAnsi="Calibri" w:cs="Arial"/>
          <w:bCs/>
          <w:iCs/>
          <w:sz w:val="20"/>
          <w:szCs w:val="20"/>
        </w:rPr>
      </w:pPr>
      <w:r w:rsidRPr="004B3AB3">
        <w:rPr>
          <w:rFonts w:ascii="Calibri" w:eastAsia="Times New Roman" w:hAnsi="Calibri" w:cs="Arial"/>
          <w:bCs/>
          <w:iCs/>
          <w:sz w:val="20"/>
          <w:szCs w:val="20"/>
        </w:rPr>
        <w:t>N/A</w:t>
      </w:r>
    </w:p>
    <w:p w:rsidR="004B3AB3" w:rsidRPr="004B3AB3" w:rsidRDefault="004B3AB3" w:rsidP="004B3AB3">
      <w:pPr>
        <w:keepNext/>
        <w:keepLines/>
        <w:tabs>
          <w:tab w:val="left" w:pos="5040"/>
        </w:tabs>
        <w:spacing w:before="200" w:after="0"/>
        <w:outlineLvl w:val="5"/>
        <w:rPr>
          <w:rFonts w:ascii="Calibri" w:eastAsia="Times New Roman" w:hAnsi="Calibri" w:cs="Times New Roman"/>
          <w:b/>
          <w:smallCaps/>
          <w:szCs w:val="20"/>
        </w:rPr>
        <w:sectPr w:rsidR="004B3AB3" w:rsidRPr="004B3AB3" w:rsidSect="00B64B6A">
          <w:headerReference w:type="default" r:id="rId8"/>
          <w:pgSz w:w="12240" w:h="15840" w:code="1"/>
          <w:pgMar w:top="1440" w:right="1440" w:bottom="1440" w:left="1440" w:header="720" w:footer="720" w:gutter="0"/>
          <w:cols w:space="720"/>
          <w:docGrid w:linePitch="272"/>
        </w:sectPr>
      </w:pPr>
      <w:r w:rsidRPr="004B3AB3">
        <w:rPr>
          <w:rFonts w:ascii="Calibri" w:eastAsia="Times New Roman" w:hAnsi="Calibri" w:cs="Times New Roman"/>
          <w:b/>
          <w:smallCaps/>
          <w:szCs w:val="20"/>
        </w:rPr>
        <w:t>Measure Code: CI-HVC-ERVE-V0</w:t>
      </w:r>
      <w:ins w:id="18" w:author="April Desclos" w:date="2015-11-05T12:06:00Z">
        <w:r w:rsidR="00BC67D4">
          <w:rPr>
            <w:rFonts w:ascii="Calibri" w:eastAsia="Times New Roman" w:hAnsi="Calibri" w:cs="Times New Roman"/>
            <w:b/>
            <w:smallCaps/>
            <w:szCs w:val="20"/>
          </w:rPr>
          <w:t>2</w:t>
        </w:r>
      </w:ins>
      <w:del w:id="19" w:author="April Desclos" w:date="2015-11-05T12:06:00Z">
        <w:r w:rsidRPr="004B3AB3" w:rsidDel="00BC67D4">
          <w:rPr>
            <w:rFonts w:ascii="Calibri" w:eastAsia="Times New Roman" w:hAnsi="Calibri" w:cs="Times New Roman"/>
            <w:b/>
            <w:smallCaps/>
            <w:szCs w:val="20"/>
          </w:rPr>
          <w:delText>1</w:delText>
        </w:r>
      </w:del>
      <w:r w:rsidRPr="004B3AB3">
        <w:rPr>
          <w:rFonts w:ascii="Calibri" w:eastAsia="Times New Roman" w:hAnsi="Calibri" w:cs="Times New Roman"/>
          <w:b/>
          <w:smallCaps/>
          <w:szCs w:val="20"/>
        </w:rPr>
        <w:t>-1</w:t>
      </w:r>
      <w:ins w:id="20" w:author="April Desclos" w:date="2015-11-05T12:06:00Z">
        <w:r w:rsidR="00BC67D4">
          <w:rPr>
            <w:rFonts w:ascii="Calibri" w:eastAsia="Times New Roman" w:hAnsi="Calibri" w:cs="Times New Roman"/>
            <w:b/>
            <w:smallCaps/>
            <w:szCs w:val="20"/>
          </w:rPr>
          <w:t>6</w:t>
        </w:r>
      </w:ins>
      <w:bookmarkStart w:id="21" w:name="_GoBack"/>
      <w:bookmarkEnd w:id="21"/>
      <w:del w:id="22" w:author="April Desclos" w:date="2015-11-05T12:06:00Z">
        <w:r w:rsidRPr="004B3AB3" w:rsidDel="00BC67D4">
          <w:rPr>
            <w:rFonts w:ascii="Calibri" w:eastAsia="Times New Roman" w:hAnsi="Calibri" w:cs="Times New Roman"/>
            <w:b/>
            <w:smallCaps/>
            <w:szCs w:val="20"/>
          </w:rPr>
          <w:delText>5</w:delText>
        </w:r>
      </w:del>
      <w:r w:rsidRPr="004B3AB3">
        <w:rPr>
          <w:rFonts w:ascii="Calibri" w:eastAsia="Times New Roman" w:hAnsi="Calibri" w:cs="Times New Roman"/>
          <w:b/>
          <w:smallCaps/>
          <w:szCs w:val="20"/>
        </w:rPr>
        <w:t>0601</w:t>
      </w: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AB3" w:rsidRDefault="004B3AB3" w:rsidP="004B3AB3">
      <w:pPr>
        <w:spacing w:after="0" w:line="240" w:lineRule="auto"/>
      </w:pPr>
      <w:r>
        <w:separator/>
      </w:r>
    </w:p>
  </w:endnote>
  <w:endnote w:type="continuationSeparator" w:id="0">
    <w:p w:rsidR="004B3AB3" w:rsidRDefault="004B3AB3" w:rsidP="004B3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AB3" w:rsidRDefault="004B3AB3" w:rsidP="004B3AB3">
      <w:pPr>
        <w:spacing w:after="0" w:line="240" w:lineRule="auto"/>
      </w:pPr>
      <w:r>
        <w:separator/>
      </w:r>
    </w:p>
  </w:footnote>
  <w:footnote w:type="continuationSeparator" w:id="0">
    <w:p w:rsidR="004B3AB3" w:rsidRDefault="004B3AB3" w:rsidP="004B3AB3">
      <w:pPr>
        <w:spacing w:after="0" w:line="240" w:lineRule="auto"/>
      </w:pPr>
      <w:r>
        <w:continuationSeparator/>
      </w:r>
    </w:p>
  </w:footnote>
  <w:footnote w:id="1">
    <w:p w:rsidR="004B3AB3" w:rsidRPr="009C362B" w:rsidRDefault="004B3AB3" w:rsidP="004B3AB3">
      <w:pPr>
        <w:pStyle w:val="Footnote"/>
        <w:rPr>
          <w:color w:val="FF0000"/>
          <w:szCs w:val="18"/>
        </w:rPr>
      </w:pPr>
      <w:r w:rsidRPr="009C362B">
        <w:rPr>
          <w:rStyle w:val="FootnoteReference"/>
          <w:szCs w:val="18"/>
        </w:rPr>
        <w:footnoteRef/>
      </w:r>
      <w:r w:rsidRPr="009C362B">
        <w:rPr>
          <w:rFonts w:eastAsia="Calibri"/>
          <w:szCs w:val="18"/>
        </w:rPr>
        <w:t xml:space="preserve"> Assumed service life limited by controls -" Demand Control Ventilation Using CO2 Sensors", pg. 19, by US Department of Energy Efficiency and Renewable Energy</w:t>
      </w:r>
    </w:p>
  </w:footnote>
  <w:footnote w:id="2">
    <w:p w:rsidR="004B3AB3" w:rsidRPr="009C362B" w:rsidRDefault="004B3AB3" w:rsidP="004B3AB3">
      <w:pPr>
        <w:pStyle w:val="Footnote"/>
        <w:rPr>
          <w:szCs w:val="18"/>
        </w:rPr>
      </w:pPr>
      <w:r w:rsidRPr="009C362B">
        <w:rPr>
          <w:rStyle w:val="FootnoteReference"/>
          <w:szCs w:val="18"/>
        </w:rPr>
        <w:footnoteRef/>
      </w:r>
      <w:r w:rsidRPr="009C362B">
        <w:rPr>
          <w:rFonts w:eastAsia="Calibri"/>
          <w:szCs w:val="18"/>
        </w:rPr>
        <w:t>"Map to HVAC Solutions", by Michigan Air, Issue 3, 2006</w:t>
      </w:r>
      <w:r w:rsidRPr="009C362B">
        <w:rPr>
          <w:szCs w:val="18"/>
        </w:rPr>
        <w:t xml:space="preserve"> </w:t>
      </w:r>
    </w:p>
  </w:footnote>
  <w:footnote w:id="3">
    <w:p w:rsidR="004B3AB3" w:rsidRPr="009C362B" w:rsidRDefault="004B3AB3" w:rsidP="004B3AB3">
      <w:pPr>
        <w:pStyle w:val="Footnote"/>
        <w:rPr>
          <w:szCs w:val="18"/>
        </w:rPr>
      </w:pPr>
      <w:r w:rsidRPr="009C362B">
        <w:rPr>
          <w:rStyle w:val="FootnoteReference"/>
          <w:szCs w:val="18"/>
        </w:rPr>
        <w:footnoteRef/>
      </w:r>
      <w:r w:rsidRPr="009C362B">
        <w:rPr>
          <w:szCs w:val="18"/>
        </w:rPr>
        <w:t>Weather Station Data, 99.6% Heating DB - 2013 Fundamentals, ASHRAE Handbook</w:t>
      </w:r>
    </w:p>
  </w:footnote>
  <w:footnote w:id="4">
    <w:p w:rsidR="004B3AB3" w:rsidRPr="009C362B" w:rsidRDefault="004B3AB3" w:rsidP="004B3AB3">
      <w:pPr>
        <w:pStyle w:val="Footnote"/>
        <w:rPr>
          <w:szCs w:val="18"/>
        </w:rPr>
      </w:pPr>
      <w:r w:rsidRPr="009C362B">
        <w:rPr>
          <w:rStyle w:val="FootnoteReference"/>
          <w:szCs w:val="18"/>
        </w:rPr>
        <w:footnoteRef/>
      </w:r>
      <w:r w:rsidRPr="009C362B">
        <w:rPr>
          <w:szCs w:val="18"/>
        </w:rPr>
        <w:t xml:space="preserve">Energy Recovery Fact Sheet - Center Point Energy, MN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B3" w:rsidRPr="0084244F" w:rsidRDefault="004B3AB3" w:rsidP="00281191">
    <w:pPr>
      <w:pStyle w:val="Header"/>
      <w:pBdr>
        <w:bottom w:val="single" w:sz="4" w:space="0" w:color="auto"/>
      </w:pBdr>
      <w:rPr>
        <w:sz w:val="24"/>
      </w:rPr>
    </w:pPr>
    <w:r w:rsidRPr="0084244F">
      <w:t xml:space="preserve">Illinois Statewide Technical Reference Manual </w:t>
    </w:r>
    <w:r>
      <w:t>– 4.4.27 Energy Recovery Ventilator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B3"/>
    <w:rsid w:val="00151218"/>
    <w:rsid w:val="004B3AB3"/>
    <w:rsid w:val="00685361"/>
    <w:rsid w:val="00BC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A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AB3"/>
  </w:style>
  <w:style w:type="character" w:styleId="FootnoteReference">
    <w:name w:val="footnote reference"/>
    <w:aliases w:val="Footnote_Reference,o,fr"/>
    <w:uiPriority w:val="99"/>
    <w:qFormat/>
    <w:rsid w:val="004B3AB3"/>
    <w:rPr>
      <w:rFonts w:ascii="Arial" w:hAnsi="Arial" w:cs="Times New Roman"/>
      <w:sz w:val="20"/>
      <w:vertAlign w:val="superscript"/>
    </w:rPr>
  </w:style>
  <w:style w:type="character" w:customStyle="1" w:styleId="FootnoteChar">
    <w:name w:val="Footnote Char"/>
    <w:basedOn w:val="DefaultParagraphFont"/>
    <w:link w:val="Footnote"/>
    <w:rsid w:val="004B3AB3"/>
    <w:rPr>
      <w:rFonts w:eastAsiaTheme="minorEastAsia" w:cstheme="minorHAnsi"/>
      <w:sz w:val="18"/>
      <w:szCs w:val="20"/>
    </w:rPr>
  </w:style>
  <w:style w:type="paragraph" w:customStyle="1" w:styleId="Footnote">
    <w:name w:val="Footnote"/>
    <w:basedOn w:val="FootnoteText"/>
    <w:link w:val="FootnoteChar"/>
    <w:autoRedefine/>
    <w:qFormat/>
    <w:rsid w:val="004B3AB3"/>
    <w:pPr>
      <w:widowControl w:val="0"/>
    </w:pPr>
    <w:rPr>
      <w:rFonts w:eastAsiaTheme="minorEastAsia" w:cstheme="minorHAnsi"/>
      <w:sz w:val="18"/>
    </w:rPr>
  </w:style>
  <w:style w:type="table" w:customStyle="1" w:styleId="TableGrid20">
    <w:name w:val="Table Grid20"/>
    <w:basedOn w:val="TableNormal"/>
    <w:next w:val="TableGrid"/>
    <w:uiPriority w:val="59"/>
    <w:rsid w:val="004B3A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4B3A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B3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B3"/>
    <w:rPr>
      <w:sz w:val="20"/>
      <w:szCs w:val="20"/>
    </w:rPr>
  </w:style>
  <w:style w:type="table" w:styleId="TableGrid">
    <w:name w:val="Table Grid"/>
    <w:basedOn w:val="TableNormal"/>
    <w:uiPriority w:val="59"/>
    <w:rsid w:val="004B3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A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AB3"/>
  </w:style>
  <w:style w:type="character" w:styleId="FootnoteReference">
    <w:name w:val="footnote reference"/>
    <w:aliases w:val="Footnote_Reference,o,fr"/>
    <w:uiPriority w:val="99"/>
    <w:qFormat/>
    <w:rsid w:val="004B3AB3"/>
    <w:rPr>
      <w:rFonts w:ascii="Arial" w:hAnsi="Arial" w:cs="Times New Roman"/>
      <w:sz w:val="20"/>
      <w:vertAlign w:val="superscript"/>
    </w:rPr>
  </w:style>
  <w:style w:type="character" w:customStyle="1" w:styleId="FootnoteChar">
    <w:name w:val="Footnote Char"/>
    <w:basedOn w:val="DefaultParagraphFont"/>
    <w:link w:val="Footnote"/>
    <w:rsid w:val="004B3AB3"/>
    <w:rPr>
      <w:rFonts w:eastAsiaTheme="minorEastAsia" w:cstheme="minorHAnsi"/>
      <w:sz w:val="18"/>
      <w:szCs w:val="20"/>
    </w:rPr>
  </w:style>
  <w:style w:type="paragraph" w:customStyle="1" w:styleId="Footnote">
    <w:name w:val="Footnote"/>
    <w:basedOn w:val="FootnoteText"/>
    <w:link w:val="FootnoteChar"/>
    <w:autoRedefine/>
    <w:qFormat/>
    <w:rsid w:val="004B3AB3"/>
    <w:pPr>
      <w:widowControl w:val="0"/>
    </w:pPr>
    <w:rPr>
      <w:rFonts w:eastAsiaTheme="minorEastAsia" w:cstheme="minorHAnsi"/>
      <w:sz w:val="18"/>
    </w:rPr>
  </w:style>
  <w:style w:type="table" w:customStyle="1" w:styleId="TableGrid20">
    <w:name w:val="Table Grid20"/>
    <w:basedOn w:val="TableNormal"/>
    <w:next w:val="TableGrid"/>
    <w:uiPriority w:val="59"/>
    <w:rsid w:val="004B3A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4B3A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B3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B3"/>
    <w:rPr>
      <w:sz w:val="20"/>
      <w:szCs w:val="20"/>
    </w:rPr>
  </w:style>
  <w:style w:type="table" w:styleId="TableGrid">
    <w:name w:val="Table Grid"/>
    <w:basedOn w:val="TableNormal"/>
    <w:uiPriority w:val="59"/>
    <w:rsid w:val="004B3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D1CD7-202C-4DA7-90C3-A0AED4AEC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April Desclos</cp:lastModifiedBy>
  <cp:revision>3</cp:revision>
  <dcterms:created xsi:type="dcterms:W3CDTF">2015-11-02T21:04:00Z</dcterms:created>
  <dcterms:modified xsi:type="dcterms:W3CDTF">2015-11-05T17:06:00Z</dcterms:modified>
</cp:coreProperties>
</file>