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90" w:rsidRPr="002E70A4" w:rsidRDefault="00463263" w:rsidP="002E70A4">
      <w:pPr>
        <w:pStyle w:val="Heading3"/>
        <w:ind w:left="720" w:hanging="720"/>
      </w:pPr>
      <w:r w:rsidRPr="002E70A4">
        <w:t xml:space="preserve">Tier 2 </w:t>
      </w:r>
      <w:r w:rsidR="008B7A90" w:rsidRPr="002E70A4">
        <w:t xml:space="preserve">Advanced Power Strips (APS) </w:t>
      </w:r>
      <w:r w:rsidRPr="002E70A4">
        <w:t xml:space="preserve">– Residential Audio Visual </w:t>
      </w:r>
    </w:p>
    <w:p w:rsidR="008B7A90" w:rsidRDefault="008B7A90" w:rsidP="00FB056C">
      <w:pPr>
        <w:pStyle w:val="Heading6"/>
      </w:pPr>
      <w:r>
        <w:t>Description</w:t>
      </w:r>
    </w:p>
    <w:p w:rsidR="008B7A90" w:rsidRDefault="008B7A90" w:rsidP="008B7A90">
      <w:pPr>
        <w:widowControl/>
        <w:spacing w:after="0"/>
        <w:rPr>
          <w:rFonts w:cs="Calibri"/>
          <w:szCs w:val="20"/>
        </w:rPr>
      </w:pPr>
      <w:r>
        <w:rPr>
          <w:rFonts w:cs="Calibri"/>
          <w:szCs w:val="20"/>
        </w:rPr>
        <w:t>This measure relates to</w:t>
      </w:r>
      <w:r w:rsidR="002E70A4">
        <w:rPr>
          <w:rFonts w:cs="Calibri"/>
          <w:szCs w:val="20"/>
        </w:rPr>
        <w:t xml:space="preserve"> the installation of</w:t>
      </w:r>
      <w:r>
        <w:rPr>
          <w:rFonts w:cs="Calibri"/>
          <w:szCs w:val="20"/>
        </w:rPr>
        <w:t xml:space="preserve"> Tier 2 Advanced Power Strips for household audio visual environments (Tier 2 AV APS). Tier 2 AV APS are multi-plug power strips that </w:t>
      </w:r>
      <w:r w:rsidRPr="00362CBD">
        <w:rPr>
          <w:rFonts w:cs="Calibri"/>
          <w:szCs w:val="20"/>
        </w:rPr>
        <w:t xml:space="preserve">remove power </w:t>
      </w:r>
      <w:r>
        <w:rPr>
          <w:rFonts w:cs="Calibri"/>
          <w:szCs w:val="20"/>
        </w:rPr>
        <w:t xml:space="preserve">from audio visual equipment through </w:t>
      </w:r>
      <w:r w:rsidRPr="00362CBD">
        <w:rPr>
          <w:rFonts w:cs="Calibri"/>
          <w:szCs w:val="20"/>
        </w:rPr>
        <w:t>intelligent</w:t>
      </w:r>
      <w:r>
        <w:rPr>
          <w:rFonts w:cs="Calibri"/>
          <w:szCs w:val="20"/>
        </w:rPr>
        <w:t xml:space="preserve"> control and</w:t>
      </w:r>
      <w:r w:rsidRPr="00362CBD">
        <w:rPr>
          <w:rFonts w:cs="Calibri"/>
          <w:szCs w:val="20"/>
        </w:rPr>
        <w:t xml:space="preserve"> monitoring</w:t>
      </w:r>
      <w:r>
        <w:rPr>
          <w:rFonts w:cs="Calibri"/>
          <w:szCs w:val="20"/>
        </w:rPr>
        <w:t xml:space="preserve"> strategies without the need for a master device (like a TV) as required in Tier 1 AV APS products. </w:t>
      </w:r>
      <w:r w:rsidRPr="00362CBD">
        <w:rPr>
          <w:rFonts w:cs="Calibri"/>
          <w:szCs w:val="20"/>
        </w:rPr>
        <w:t xml:space="preserve"> </w:t>
      </w:r>
    </w:p>
    <w:p w:rsidR="008B7A90" w:rsidRDefault="008B7A90" w:rsidP="008B7A90">
      <w:pPr>
        <w:widowControl/>
        <w:spacing w:after="0"/>
        <w:rPr>
          <w:rFonts w:cs="Calibri"/>
          <w:szCs w:val="20"/>
        </w:rPr>
      </w:pPr>
    </w:p>
    <w:p w:rsidR="008B7A90" w:rsidRDefault="008B7A90" w:rsidP="008B7A90">
      <w:pPr>
        <w:widowControl/>
        <w:spacing w:after="0"/>
        <w:rPr>
          <w:rFonts w:cstheme="minorHAnsi"/>
        </w:rPr>
      </w:pPr>
      <w:r>
        <w:rPr>
          <w:rFonts w:cstheme="minorHAnsi"/>
        </w:rPr>
        <w:t xml:space="preserve">By utilizing advanced control strategies </w:t>
      </w:r>
      <w:r w:rsidR="000D6338">
        <w:rPr>
          <w:rFonts w:cstheme="minorHAnsi"/>
        </w:rPr>
        <w:t>such as</w:t>
      </w:r>
      <w:r>
        <w:rPr>
          <w:rFonts w:cstheme="minorHAnsi"/>
        </w:rPr>
        <w:t xml:space="preserve"> true RMS power sensing </w:t>
      </w:r>
      <w:r w:rsidR="000D6338">
        <w:rPr>
          <w:rFonts w:cstheme="minorHAnsi"/>
        </w:rPr>
        <w:t>and/or motion sensing</w:t>
      </w:r>
      <w:r>
        <w:rPr>
          <w:rStyle w:val="FootnoteReference"/>
        </w:rPr>
        <w:footnoteReference w:id="1"/>
      </w:r>
      <w:r>
        <w:rPr>
          <w:rFonts w:cstheme="minorHAnsi"/>
        </w:rPr>
        <w:t xml:space="preserve">; both active power loads and </w:t>
      </w:r>
      <w:r w:rsidRPr="00A05FC2">
        <w:rPr>
          <w:rFonts w:cstheme="minorHAnsi"/>
        </w:rPr>
        <w:t xml:space="preserve">standby </w:t>
      </w:r>
      <w:r>
        <w:rPr>
          <w:rFonts w:cstheme="minorHAnsi"/>
        </w:rPr>
        <w:t xml:space="preserve">power </w:t>
      </w:r>
      <w:r w:rsidRPr="00A05FC2">
        <w:rPr>
          <w:rFonts w:cstheme="minorHAnsi"/>
        </w:rPr>
        <w:t>load</w:t>
      </w:r>
      <w:r>
        <w:rPr>
          <w:rFonts w:cstheme="minorHAnsi"/>
        </w:rPr>
        <w:t>s</w:t>
      </w:r>
      <w:r w:rsidRPr="00A05FC2">
        <w:rPr>
          <w:rFonts w:cstheme="minorHAnsi"/>
        </w:rPr>
        <w:t xml:space="preserve"> of controlled devices</w:t>
      </w:r>
      <w:r>
        <w:rPr>
          <w:rFonts w:cstheme="minorHAnsi"/>
        </w:rPr>
        <w:t xml:space="preserve"> are managed by Tier 2 AV APS devices. Monitoring and controlling both active and standby power loads of controlled devices will reduce the overall load of a centralized group of electrical equipment (i.e. the home entertainment center). This more intelligent sensing and control process has been demonstrated to deliver </w:t>
      </w:r>
      <w:r>
        <w:rPr>
          <w:lang w:val="en"/>
        </w:rPr>
        <w:t>increased energy savings, demand reduction and higher user acceptance</w:t>
      </w:r>
      <w:r>
        <w:rPr>
          <w:rFonts w:cstheme="minorHAnsi"/>
        </w:rPr>
        <w:t xml:space="preserve"> compared with the older </w:t>
      </w:r>
      <w:r w:rsidR="000D6338">
        <w:rPr>
          <w:rFonts w:cstheme="minorHAnsi"/>
        </w:rPr>
        <w:t>‘</w:t>
      </w:r>
      <w:r>
        <w:rPr>
          <w:rFonts w:cstheme="minorHAnsi"/>
        </w:rPr>
        <w:t xml:space="preserve">Tier 1 </w:t>
      </w:r>
      <w:r w:rsidR="000D6338">
        <w:rPr>
          <w:rFonts w:cstheme="minorHAnsi"/>
        </w:rPr>
        <w:t>Advanced Power Strips’</w:t>
      </w:r>
      <w:r>
        <w:rPr>
          <w:rFonts w:cstheme="minorHAnsi"/>
        </w:rPr>
        <w:t xml:space="preserve">. </w:t>
      </w:r>
    </w:p>
    <w:p w:rsidR="008B7A90" w:rsidRDefault="008B7A90" w:rsidP="008B7A90">
      <w:pPr>
        <w:widowControl/>
        <w:spacing w:after="0"/>
        <w:rPr>
          <w:rFonts w:cstheme="minorHAnsi"/>
        </w:rPr>
      </w:pPr>
    </w:p>
    <w:p w:rsidR="000D6338" w:rsidRDefault="000D6338" w:rsidP="002E70A4">
      <w:pPr>
        <w:widowControl/>
        <w:spacing w:after="0"/>
        <w:rPr>
          <w:rFonts w:cstheme="minorHAnsi"/>
        </w:rPr>
      </w:pPr>
      <w:r>
        <w:rPr>
          <w:rFonts w:cstheme="minorHAnsi"/>
        </w:rPr>
        <w:t xml:space="preserve">The Tier 2 APS market is a relatively new and developing one. There are currently no certifying bodies or standardized testing protocols and with new products coming to market it is important that energy savings are clearly demonstrated through independent field trials. The IL Technical Advisory Committee have developed a protocol whereby product manufacturers must submit evidence of the energy savings of their particular product either to the TRM Administrator for consideration during the TRM update process (August – December), or </w:t>
      </w:r>
      <w:r w:rsidR="00FB056C">
        <w:rPr>
          <w:rFonts w:cstheme="minorHAnsi"/>
        </w:rPr>
        <w:t>engage with a Program A</w:t>
      </w:r>
      <w:r>
        <w:rPr>
          <w:rFonts w:cstheme="minorHAnsi"/>
        </w:rPr>
        <w:t xml:space="preserve">dministrator’s </w:t>
      </w:r>
      <w:r w:rsidR="00FB056C">
        <w:rPr>
          <w:rFonts w:cstheme="minorHAnsi"/>
        </w:rPr>
        <w:t xml:space="preserve">independent </w:t>
      </w:r>
      <w:r>
        <w:rPr>
          <w:rFonts w:cstheme="minorHAnsi"/>
        </w:rPr>
        <w:t>evaluat</w:t>
      </w:r>
      <w:r w:rsidR="00FB056C">
        <w:rPr>
          <w:rFonts w:cstheme="minorHAnsi"/>
        </w:rPr>
        <w:t>ion team</w:t>
      </w:r>
      <w:r>
        <w:rPr>
          <w:rFonts w:cstheme="minorHAnsi"/>
        </w:rPr>
        <w:t xml:space="preserve"> to review at other times. The product will be assigned a Product Class (A-H) corresponding to the proven savings and all products in a class will claim consistent savings. The IL TRM Administrator will maintain a list of eligible product and class on the IL TRM </w:t>
      </w:r>
      <w:proofErr w:type="spellStart"/>
      <w:r>
        <w:rPr>
          <w:rFonts w:cstheme="minorHAnsi"/>
        </w:rPr>
        <w:t>Sharepoint</w:t>
      </w:r>
      <w:proofErr w:type="spellEnd"/>
      <w:r>
        <w:rPr>
          <w:rFonts w:cstheme="minorHAnsi"/>
        </w:rPr>
        <w:t xml:space="preserve"> site.</w:t>
      </w:r>
      <w:r w:rsidRPr="000D6338">
        <w:rPr>
          <w:rFonts w:cstheme="minorHAnsi"/>
        </w:rPr>
        <w:t xml:space="preserve"> </w:t>
      </w:r>
      <w:r>
        <w:rPr>
          <w:rFonts w:cstheme="minorHAnsi"/>
        </w:rPr>
        <w:t xml:space="preserve">If a mid-year review has taken place, supporting information should be posted on the </w:t>
      </w:r>
      <w:proofErr w:type="spellStart"/>
      <w:r>
        <w:rPr>
          <w:rFonts w:cstheme="minorHAnsi"/>
        </w:rPr>
        <w:t>Sharepoint</w:t>
      </w:r>
      <w:proofErr w:type="spellEnd"/>
      <w:r>
        <w:rPr>
          <w:rFonts w:cstheme="minorHAnsi"/>
        </w:rPr>
        <w:t xml:space="preserve"> site such that other program administrators can review.</w:t>
      </w:r>
    </w:p>
    <w:p w:rsidR="000D6338" w:rsidRDefault="000D6338" w:rsidP="008B7A90">
      <w:pPr>
        <w:widowControl/>
        <w:spacing w:after="0"/>
        <w:jc w:val="left"/>
        <w:rPr>
          <w:rFonts w:cstheme="minorHAnsi"/>
        </w:rPr>
      </w:pPr>
    </w:p>
    <w:p w:rsidR="000D6338" w:rsidRDefault="00A95679" w:rsidP="00A95679">
      <w:pPr>
        <w:rPr>
          <w:rFonts w:cstheme="minorHAnsi"/>
        </w:rPr>
      </w:pPr>
      <w:r>
        <w:t xml:space="preserve">Due to the inherent variance day to day and week to week for hours of use of AV systems, it is critical that field trial studies effectively address the variability in usage patterns.  There is significant discussion in the EM&amp;V and academic </w:t>
      </w:r>
      <w:r>
        <w:rPr>
          <w:rFonts w:cstheme="minorHAnsi"/>
        </w:rPr>
        <w:t xml:space="preserve">domain on the optimal methodology for controlling for these factors and in submitting evidence of energy savings, it is critical that it is demonstrated that these issues are </w:t>
      </w:r>
      <w:r w:rsidR="00FB056C">
        <w:rPr>
          <w:rFonts w:cstheme="minorHAnsi"/>
        </w:rPr>
        <w:t xml:space="preserve">adequately </w:t>
      </w:r>
      <w:r>
        <w:rPr>
          <w:rFonts w:cstheme="minorHAnsi"/>
        </w:rPr>
        <w:t>addressed.</w:t>
      </w:r>
    </w:p>
    <w:p w:rsidR="008B7A90" w:rsidRDefault="008B7A90" w:rsidP="008B7A90">
      <w:pPr>
        <w:widowControl/>
        <w:spacing w:after="0"/>
        <w:jc w:val="left"/>
        <w:rPr>
          <w:rFonts w:cs="Calibri"/>
          <w:szCs w:val="20"/>
        </w:rPr>
      </w:pPr>
      <w:r w:rsidRPr="00C50BC6">
        <w:rPr>
          <w:rFonts w:cs="Calibri"/>
          <w:szCs w:val="20"/>
        </w:rPr>
        <w:t xml:space="preserve">This measure was developed to be applicable to the following program types: </w:t>
      </w:r>
      <w:r>
        <w:rPr>
          <w:rFonts w:cs="Calibri"/>
          <w:szCs w:val="20"/>
        </w:rPr>
        <w:t>DI</w:t>
      </w:r>
      <w:r w:rsidRPr="00C124B0">
        <w:rPr>
          <w:rFonts w:cs="Calibri"/>
          <w:szCs w:val="20"/>
        </w:rPr>
        <w:t>.</w:t>
      </w:r>
      <w:r>
        <w:rPr>
          <w:rFonts w:cs="Calibri"/>
          <w:szCs w:val="20"/>
        </w:rPr>
        <w:t xml:space="preserve">  </w:t>
      </w:r>
    </w:p>
    <w:p w:rsidR="00FB056C" w:rsidRDefault="00FB056C" w:rsidP="008B7A90">
      <w:pPr>
        <w:widowControl/>
        <w:spacing w:after="0"/>
        <w:jc w:val="left"/>
        <w:rPr>
          <w:rFonts w:cs="Calibri"/>
          <w:szCs w:val="20"/>
        </w:rPr>
      </w:pPr>
    </w:p>
    <w:p w:rsidR="00A95679" w:rsidRDefault="00A95679" w:rsidP="002E70A4">
      <w:pPr>
        <w:widowControl/>
        <w:spacing w:after="0"/>
        <w:rPr>
          <w:rFonts w:cs="Calibri"/>
          <w:szCs w:val="20"/>
        </w:rPr>
      </w:pPr>
      <w:r>
        <w:rPr>
          <w:rFonts w:cs="Calibri"/>
          <w:szCs w:val="20"/>
        </w:rPr>
        <w:t>Current evaluation is limited to Direct Install applications. Through a Dir</w:t>
      </w:r>
      <w:r w:rsidR="00A05D19">
        <w:rPr>
          <w:rFonts w:cs="Calibri"/>
          <w:szCs w:val="20"/>
        </w:rPr>
        <w:t>ect Install program it can be as</w:t>
      </w:r>
      <w:r>
        <w:rPr>
          <w:rFonts w:cs="Calibri"/>
          <w:szCs w:val="20"/>
        </w:rPr>
        <w:t>sured that the APS is appropriately set up and the customer is knowledgeable about its function and benefit. If additional evaluation provides assumptions for alternative implementation strategies in the future, these will be considered at that time.</w:t>
      </w:r>
    </w:p>
    <w:p w:rsidR="00A05D19" w:rsidRDefault="00A05D19" w:rsidP="008B7A90">
      <w:pPr>
        <w:widowControl/>
        <w:spacing w:after="0"/>
        <w:jc w:val="left"/>
        <w:rPr>
          <w:rFonts w:cs="Calibri"/>
          <w:szCs w:val="20"/>
        </w:rPr>
      </w:pPr>
    </w:p>
    <w:p w:rsidR="008B7A90" w:rsidRDefault="008B7A90" w:rsidP="00FB056C">
      <w:pPr>
        <w:pStyle w:val="Heading6"/>
      </w:pPr>
      <w:r>
        <w:t>Definition of Efficient Equipment</w:t>
      </w:r>
    </w:p>
    <w:p w:rsidR="008B7A90" w:rsidRDefault="008B7A90" w:rsidP="008B7A90">
      <w:pPr>
        <w:rPr>
          <w:rFonts w:cstheme="minorHAnsi"/>
          <w:szCs w:val="20"/>
        </w:rPr>
      </w:pPr>
      <w:r w:rsidRPr="005B2C2A">
        <w:rPr>
          <w:rFonts w:cstheme="minorHAnsi"/>
          <w:szCs w:val="20"/>
        </w:rPr>
        <w:t>The efficient case is the use of a Tier 2 AV APS in a residential AV (home entertainment) environment that includes control of at least 2 AV devices with one being the television</w:t>
      </w:r>
      <w:r w:rsidRPr="005B2C2A">
        <w:rPr>
          <w:rStyle w:val="FootnoteReference"/>
          <w:szCs w:val="20"/>
        </w:rPr>
        <w:footnoteReference w:id="2"/>
      </w:r>
      <w:r w:rsidRPr="005B2C2A">
        <w:rPr>
          <w:rFonts w:cstheme="minorHAnsi"/>
          <w:szCs w:val="20"/>
        </w:rPr>
        <w:t xml:space="preserve">. </w:t>
      </w:r>
    </w:p>
    <w:p w:rsidR="008B7A90" w:rsidRPr="005B2C2A" w:rsidRDefault="008B7A90" w:rsidP="008B7A90">
      <w:pPr>
        <w:rPr>
          <w:rFonts w:cstheme="minorHAnsi"/>
          <w:szCs w:val="20"/>
        </w:rPr>
      </w:pPr>
      <w:r w:rsidRPr="00A95679">
        <w:rPr>
          <w:rFonts w:cstheme="minorHAnsi"/>
          <w:szCs w:val="20"/>
        </w:rPr>
        <w:t>O</w:t>
      </w:r>
      <w:r w:rsidR="0019652D" w:rsidRPr="00A95679">
        <w:rPr>
          <w:rFonts w:cstheme="minorHAnsi"/>
          <w:szCs w:val="20"/>
        </w:rPr>
        <w:t>n</w:t>
      </w:r>
      <w:r w:rsidRPr="00A95679">
        <w:rPr>
          <w:rFonts w:cstheme="minorHAnsi"/>
          <w:szCs w:val="20"/>
        </w:rPr>
        <w:t>ly Tier 2 AV APS products that have independent demonstrated energy savings via field trials are eligible.</w:t>
      </w:r>
      <w:r w:rsidRPr="005B2C2A">
        <w:rPr>
          <w:rFonts w:cstheme="minorHAnsi"/>
          <w:szCs w:val="20"/>
        </w:rPr>
        <w:t xml:space="preserve"> </w:t>
      </w:r>
    </w:p>
    <w:p w:rsidR="008B7A90" w:rsidRDefault="00A95679" w:rsidP="008B7A90">
      <w:pPr>
        <w:contextualSpacing/>
        <w:rPr>
          <w:szCs w:val="20"/>
        </w:rPr>
      </w:pPr>
      <w:r>
        <w:rPr>
          <w:szCs w:val="20"/>
        </w:rPr>
        <w:t>The m</w:t>
      </w:r>
      <w:r w:rsidR="008B7A90">
        <w:rPr>
          <w:szCs w:val="20"/>
        </w:rPr>
        <w:t>inimum product specifications for Tier 2 AV APS</w:t>
      </w:r>
      <w:r>
        <w:rPr>
          <w:szCs w:val="20"/>
        </w:rPr>
        <w:t xml:space="preserve"> are</w:t>
      </w:r>
      <w:r w:rsidR="008B7A90">
        <w:rPr>
          <w:szCs w:val="20"/>
        </w:rPr>
        <w:t>:</w:t>
      </w:r>
    </w:p>
    <w:p w:rsidR="008B7A90" w:rsidRDefault="008B7A90" w:rsidP="008B7A90">
      <w:pPr>
        <w:spacing w:after="120"/>
        <w:rPr>
          <w:rFonts w:cstheme="minorHAnsi"/>
          <w:highlight w:val="yellow"/>
        </w:rPr>
      </w:pPr>
    </w:p>
    <w:p w:rsidR="008B7A90" w:rsidRPr="008B7A90" w:rsidRDefault="008B7A90" w:rsidP="00A95679">
      <w:pPr>
        <w:spacing w:after="120"/>
        <w:ind w:left="720"/>
        <w:rPr>
          <w:rFonts w:cstheme="minorHAnsi"/>
          <w:szCs w:val="20"/>
        </w:rPr>
      </w:pPr>
      <w:r w:rsidRPr="008B7A90">
        <w:rPr>
          <w:rFonts w:cstheme="minorHAnsi"/>
          <w:b/>
          <w:bCs/>
          <w:szCs w:val="20"/>
        </w:rPr>
        <w:t>Safety &amp; longevity</w:t>
      </w:r>
    </w:p>
    <w:p w:rsidR="008B7A90" w:rsidRPr="008B7A90" w:rsidRDefault="008B7A90" w:rsidP="00A95679">
      <w:pPr>
        <w:numPr>
          <w:ilvl w:val="1"/>
          <w:numId w:val="6"/>
        </w:numPr>
        <w:spacing w:after="120"/>
        <w:rPr>
          <w:rFonts w:cstheme="minorHAnsi"/>
          <w:szCs w:val="20"/>
        </w:rPr>
      </w:pPr>
      <w:r w:rsidRPr="008B7A90">
        <w:rPr>
          <w:rFonts w:cstheme="minorHAnsi"/>
          <w:szCs w:val="20"/>
        </w:rPr>
        <w:t>Product and installation instructions shall comply with 2012 International Fire Code and 2000 NFPA 101 Life Safety Code (IL Fire Code).</w:t>
      </w:r>
    </w:p>
    <w:p w:rsidR="008B7A90" w:rsidRPr="008B7A90" w:rsidRDefault="008B7A90" w:rsidP="00A95679">
      <w:pPr>
        <w:numPr>
          <w:ilvl w:val="1"/>
          <w:numId w:val="6"/>
        </w:numPr>
        <w:spacing w:after="120"/>
        <w:rPr>
          <w:rFonts w:cstheme="minorHAnsi"/>
          <w:szCs w:val="20"/>
        </w:rPr>
      </w:pPr>
      <w:r w:rsidRPr="008B7A90">
        <w:rPr>
          <w:rFonts w:cstheme="minorHAnsi"/>
          <w:szCs w:val="20"/>
        </w:rPr>
        <w:t>Third party tested and certified to UL1363 Fourth Edition and UL1449 Third Edition.</w:t>
      </w:r>
    </w:p>
    <w:p w:rsidR="008B7A90" w:rsidRPr="008B7A90" w:rsidRDefault="008B7A90" w:rsidP="00A95679">
      <w:pPr>
        <w:numPr>
          <w:ilvl w:val="1"/>
          <w:numId w:val="6"/>
        </w:numPr>
        <w:spacing w:after="120"/>
        <w:rPr>
          <w:rFonts w:cstheme="minorHAnsi"/>
          <w:szCs w:val="20"/>
        </w:rPr>
      </w:pPr>
      <w:r w:rsidRPr="008B7A90">
        <w:rPr>
          <w:rFonts w:cstheme="minorHAnsi"/>
          <w:szCs w:val="20"/>
        </w:rPr>
        <w:t>10-year product warranty or replacement guarantee</w:t>
      </w:r>
    </w:p>
    <w:p w:rsidR="008B7A90" w:rsidRPr="008B7A90" w:rsidRDefault="008B7A90" w:rsidP="00A95679">
      <w:pPr>
        <w:numPr>
          <w:ilvl w:val="1"/>
          <w:numId w:val="6"/>
        </w:numPr>
        <w:spacing w:after="120"/>
        <w:rPr>
          <w:rFonts w:cstheme="minorHAnsi"/>
          <w:szCs w:val="20"/>
        </w:rPr>
      </w:pPr>
      <w:r w:rsidRPr="008B7A90">
        <w:rPr>
          <w:rFonts w:cstheme="minorHAnsi"/>
          <w:szCs w:val="20"/>
        </w:rPr>
        <w:t>$10,000 connected device warranty</w:t>
      </w:r>
    </w:p>
    <w:p w:rsidR="008B7A90" w:rsidRPr="008B7A90" w:rsidRDefault="008B7A90" w:rsidP="00A95679">
      <w:pPr>
        <w:numPr>
          <w:ilvl w:val="1"/>
          <w:numId w:val="6"/>
        </w:numPr>
        <w:spacing w:after="120"/>
        <w:rPr>
          <w:rFonts w:cstheme="minorHAnsi"/>
          <w:szCs w:val="20"/>
        </w:rPr>
      </w:pPr>
      <w:r w:rsidRPr="008B7A90">
        <w:rPr>
          <w:rFonts w:cstheme="minorHAnsi"/>
          <w:szCs w:val="20"/>
        </w:rPr>
        <w:t>Product liability insurance of $5 million per claim or in aggregate maintained by manufacturer</w:t>
      </w:r>
    </w:p>
    <w:p w:rsidR="008B7A90" w:rsidRPr="008B7A90" w:rsidRDefault="008B7A90" w:rsidP="00A95679">
      <w:pPr>
        <w:numPr>
          <w:ilvl w:val="1"/>
          <w:numId w:val="6"/>
        </w:numPr>
        <w:spacing w:after="120"/>
        <w:rPr>
          <w:rFonts w:cstheme="minorHAnsi"/>
          <w:szCs w:val="20"/>
        </w:rPr>
      </w:pPr>
      <w:r w:rsidRPr="008B7A90">
        <w:rPr>
          <w:rFonts w:cstheme="minorHAnsi"/>
          <w:szCs w:val="20"/>
        </w:rPr>
        <w:t>Contains a resettable circuit breaker</w:t>
      </w:r>
    </w:p>
    <w:p w:rsidR="008B7A90" w:rsidRPr="008B7A90" w:rsidRDefault="008B7A90" w:rsidP="00A95679">
      <w:pPr>
        <w:numPr>
          <w:ilvl w:val="1"/>
          <w:numId w:val="6"/>
        </w:numPr>
        <w:spacing w:after="120"/>
        <w:rPr>
          <w:rFonts w:cstheme="minorHAnsi"/>
          <w:szCs w:val="20"/>
        </w:rPr>
      </w:pPr>
      <w:r w:rsidRPr="008B7A90">
        <w:rPr>
          <w:rFonts w:cstheme="minorHAnsi"/>
          <w:szCs w:val="20"/>
        </w:rPr>
        <w:t>Incorporates power switching electromechanical relays rated for 100,000 switching cycles at full 15 amp load (equivalent to more than 10 years of use).</w:t>
      </w:r>
    </w:p>
    <w:p w:rsidR="00641BB0" w:rsidRPr="008B7A90" w:rsidRDefault="001245A2" w:rsidP="00A95679">
      <w:pPr>
        <w:spacing w:after="120"/>
        <w:ind w:left="720"/>
        <w:rPr>
          <w:rFonts w:cstheme="minorHAnsi"/>
        </w:rPr>
      </w:pPr>
      <w:r w:rsidRPr="008B7A90">
        <w:rPr>
          <w:rFonts w:cstheme="minorHAnsi"/>
          <w:b/>
          <w:bCs/>
        </w:rPr>
        <w:t>Energy efficiency functionality</w:t>
      </w:r>
    </w:p>
    <w:p w:rsidR="00641BB0" w:rsidRPr="008B7A90" w:rsidRDefault="001245A2" w:rsidP="00A95679">
      <w:pPr>
        <w:numPr>
          <w:ilvl w:val="1"/>
          <w:numId w:val="7"/>
        </w:numPr>
        <w:spacing w:after="120"/>
        <w:rPr>
          <w:rFonts w:cstheme="minorHAnsi"/>
        </w:rPr>
      </w:pPr>
      <w:r w:rsidRPr="008B7A90">
        <w:rPr>
          <w:rFonts w:cstheme="minorHAnsi"/>
        </w:rPr>
        <w:t xml:space="preserve">At least 2 always on sockets and either (a) at least 5 </w:t>
      </w:r>
      <w:proofErr w:type="spellStart"/>
      <w:r w:rsidRPr="008B7A90">
        <w:rPr>
          <w:rFonts w:cstheme="minorHAnsi"/>
        </w:rPr>
        <w:t>masterless</w:t>
      </w:r>
      <w:proofErr w:type="spellEnd"/>
      <w:r w:rsidRPr="008B7A90">
        <w:rPr>
          <w:rFonts w:cstheme="minorHAnsi"/>
        </w:rPr>
        <w:t xml:space="preserve"> controlled sockets or (b) 1 master and at least 4 controlled sockets</w:t>
      </w:r>
    </w:p>
    <w:p w:rsidR="00641BB0" w:rsidRPr="008B7A90" w:rsidRDefault="001245A2" w:rsidP="00A95679">
      <w:pPr>
        <w:numPr>
          <w:ilvl w:val="1"/>
          <w:numId w:val="7"/>
        </w:numPr>
        <w:spacing w:after="120"/>
        <w:rPr>
          <w:rFonts w:cstheme="minorHAnsi"/>
        </w:rPr>
      </w:pPr>
      <w:r w:rsidRPr="008B7A90">
        <w:rPr>
          <w:rFonts w:cstheme="minorHAnsi"/>
        </w:rPr>
        <w:t xml:space="preserve">Consumes less than 3 Watts when sending, receiving, or processing wireless communication signals; consumes less than 1 Watt at all other times.  </w:t>
      </w:r>
    </w:p>
    <w:p w:rsidR="00641BB0" w:rsidRPr="008B7A90" w:rsidRDefault="001245A2" w:rsidP="00A95679">
      <w:pPr>
        <w:numPr>
          <w:ilvl w:val="1"/>
          <w:numId w:val="7"/>
        </w:numPr>
        <w:spacing w:after="120"/>
        <w:rPr>
          <w:rFonts w:cstheme="minorHAnsi"/>
        </w:rPr>
      </w:pPr>
      <w:r w:rsidRPr="008B7A90">
        <w:rPr>
          <w:rFonts w:cstheme="minorHAnsi"/>
        </w:rPr>
        <w:t xml:space="preserve">Calculates real power as the time average of the instantaneous power, where instantaneous power is the product of instantaneous voltage and current.   </w:t>
      </w:r>
    </w:p>
    <w:p w:rsidR="00641BB0" w:rsidRPr="008B7A90" w:rsidRDefault="001245A2" w:rsidP="00A95679">
      <w:pPr>
        <w:numPr>
          <w:ilvl w:val="1"/>
          <w:numId w:val="7"/>
        </w:numPr>
        <w:spacing w:after="120"/>
        <w:rPr>
          <w:rFonts w:cstheme="minorHAnsi"/>
        </w:rPr>
      </w:pPr>
      <w:r w:rsidRPr="008B7A90">
        <w:rPr>
          <w:rFonts w:cstheme="minorHAnsi"/>
        </w:rPr>
        <w:t>Factory default countdown to auto-power down of controlled devices set at 60-75 minutes, but user-adjustable to at least one longer duration of at least 120 minutes.</w:t>
      </w:r>
    </w:p>
    <w:p w:rsidR="00641BB0" w:rsidRPr="008B7A90" w:rsidRDefault="001245A2" w:rsidP="00A95679">
      <w:pPr>
        <w:numPr>
          <w:ilvl w:val="1"/>
          <w:numId w:val="7"/>
        </w:numPr>
        <w:spacing w:after="120"/>
        <w:rPr>
          <w:rFonts w:cstheme="minorHAnsi"/>
        </w:rPr>
      </w:pPr>
      <w:r w:rsidRPr="008B7A90">
        <w:rPr>
          <w:rFonts w:cstheme="minorHAnsi"/>
        </w:rPr>
        <w:t>Delivers at least a visual warning when the countdown timer begins before an active power down event and maintains the visual component of the warning until countdown is concluded or reset by use of the remote or other specified signal.</w:t>
      </w:r>
    </w:p>
    <w:p w:rsidR="00641BB0" w:rsidRPr="008B7A90" w:rsidRDefault="001245A2" w:rsidP="00A95679">
      <w:pPr>
        <w:numPr>
          <w:ilvl w:val="1"/>
          <w:numId w:val="7"/>
        </w:numPr>
        <w:spacing w:after="120"/>
        <w:rPr>
          <w:rFonts w:cstheme="minorHAnsi"/>
        </w:rPr>
      </w:pPr>
      <w:r w:rsidRPr="008B7A90">
        <w:rPr>
          <w:rFonts w:cstheme="minorHAnsi"/>
        </w:rPr>
        <w:t>Uses an automatically adjustable power switching threshold.</w:t>
      </w:r>
    </w:p>
    <w:p w:rsidR="00641BB0" w:rsidRPr="008B7A90" w:rsidRDefault="001245A2" w:rsidP="00A95679">
      <w:pPr>
        <w:numPr>
          <w:ilvl w:val="1"/>
          <w:numId w:val="7"/>
        </w:numPr>
        <w:spacing w:after="120"/>
        <w:rPr>
          <w:rFonts w:cstheme="minorHAnsi"/>
        </w:rPr>
      </w:pPr>
      <w:r w:rsidRPr="008B7A90">
        <w:rPr>
          <w:rFonts w:cstheme="minorHAnsi"/>
        </w:rPr>
        <w:t>Uses an infrared remote signal filtering mechanism which discriminates these signals from other natural and man-made signals on the corresponding wavelengths.</w:t>
      </w:r>
    </w:p>
    <w:p w:rsidR="008B7A90" w:rsidRDefault="008B7A90" w:rsidP="008B7A90">
      <w:pPr>
        <w:spacing w:after="120"/>
        <w:rPr>
          <w:rFonts w:cstheme="minorHAnsi"/>
          <w:highlight w:val="yellow"/>
        </w:rPr>
      </w:pPr>
    </w:p>
    <w:p w:rsidR="008B7A90" w:rsidRDefault="008B7A90" w:rsidP="00FB056C">
      <w:pPr>
        <w:pStyle w:val="Heading6"/>
      </w:pPr>
      <w:r>
        <w:t>Definition of Baseline Equipment</w:t>
      </w:r>
    </w:p>
    <w:p w:rsidR="008B7A90" w:rsidRPr="009E688B" w:rsidRDefault="008B7A90" w:rsidP="008B7A90">
      <w:pPr>
        <w:spacing w:after="120"/>
      </w:pPr>
      <w:r>
        <w:rPr>
          <w:szCs w:val="20"/>
        </w:rPr>
        <w:t xml:space="preserve">The assumed baseline equipment is a standard power strip or wall socket that does not control loads of connected AV equipment. </w:t>
      </w:r>
    </w:p>
    <w:p w:rsidR="008B7A90" w:rsidRDefault="008B7A90" w:rsidP="00FB056C">
      <w:pPr>
        <w:pStyle w:val="Heading6"/>
      </w:pPr>
      <w:r>
        <w:t>Deemed Lifetime of Efficient Equipment</w:t>
      </w:r>
    </w:p>
    <w:p w:rsidR="008B7A90" w:rsidRDefault="008B7A90" w:rsidP="00423E34">
      <w:pPr>
        <w:spacing w:after="120"/>
        <w:rPr>
          <w:rFonts w:cstheme="minorHAnsi"/>
          <w:b/>
        </w:rPr>
      </w:pPr>
      <w:r w:rsidRPr="00423E34">
        <w:rPr>
          <w:rFonts w:cstheme="minorHAnsi"/>
        </w:rPr>
        <w:t>The default deemed lifetime value for Tier 2 AV</w:t>
      </w:r>
      <w:r w:rsidR="0019652D" w:rsidRPr="00423E34">
        <w:rPr>
          <w:rFonts w:cstheme="minorHAnsi"/>
        </w:rPr>
        <w:t xml:space="preserve"> APS is </w:t>
      </w:r>
      <w:r w:rsidR="00046C6E" w:rsidRPr="00423E34">
        <w:rPr>
          <w:rFonts w:cstheme="minorHAnsi"/>
        </w:rPr>
        <w:t xml:space="preserve">assumed to be </w:t>
      </w:r>
      <w:r w:rsidR="0019652D" w:rsidRPr="00423E34">
        <w:rPr>
          <w:rFonts w:cstheme="minorHAnsi"/>
        </w:rPr>
        <w:t>7</w:t>
      </w:r>
      <w:r w:rsidRPr="00423E34">
        <w:rPr>
          <w:rFonts w:cstheme="minorHAnsi"/>
        </w:rPr>
        <w:t xml:space="preserve"> years</w:t>
      </w:r>
      <w:r w:rsidR="00046C6E" w:rsidRPr="00423E34">
        <w:rPr>
          <w:rStyle w:val="FootnoteReference"/>
        </w:rPr>
        <w:footnoteReference w:id="3"/>
      </w:r>
      <w:r w:rsidR="00423E34" w:rsidRPr="00423E34">
        <w:rPr>
          <w:rFonts w:cstheme="minorHAnsi"/>
        </w:rPr>
        <w:t>.</w:t>
      </w:r>
      <w:r w:rsidR="0019652D" w:rsidRPr="00423E34">
        <w:rPr>
          <w:rFonts w:cstheme="minorHAnsi"/>
        </w:rPr>
        <w:t xml:space="preserve"> </w:t>
      </w:r>
    </w:p>
    <w:p w:rsidR="008B7A90" w:rsidRDefault="008B7A90" w:rsidP="00FB056C">
      <w:pPr>
        <w:pStyle w:val="Heading6"/>
      </w:pPr>
      <w:r>
        <w:t xml:space="preserve">Deemed Measure Cost </w:t>
      </w:r>
    </w:p>
    <w:p w:rsidR="008B7A90" w:rsidRDefault="008B7A90" w:rsidP="008B7A90">
      <w:pPr>
        <w:spacing w:after="120"/>
        <w:rPr>
          <w:i/>
        </w:rPr>
      </w:pPr>
      <w:r>
        <w:rPr>
          <w:rFonts w:cstheme="minorHAnsi"/>
        </w:rPr>
        <w:t xml:space="preserve">Direct Installation: </w:t>
      </w:r>
      <w:r w:rsidRPr="000B7BB6">
        <w:rPr>
          <w:rFonts w:cstheme="minorHAnsi"/>
        </w:rPr>
        <w:t xml:space="preserve">The </w:t>
      </w:r>
      <w:r w:rsidR="008A322F">
        <w:rPr>
          <w:rFonts w:cstheme="minorHAnsi"/>
        </w:rPr>
        <w:t xml:space="preserve">actual installed </w:t>
      </w:r>
      <w:r w:rsidRPr="000B7BB6">
        <w:rPr>
          <w:rFonts w:cstheme="minorHAnsi"/>
        </w:rPr>
        <w:t>cost</w:t>
      </w:r>
      <w:r w:rsidR="008A322F">
        <w:rPr>
          <w:rFonts w:cstheme="minorHAnsi"/>
        </w:rPr>
        <w:t xml:space="preserve"> (including labor)</w:t>
      </w:r>
      <w:r w:rsidRPr="000B7BB6">
        <w:rPr>
          <w:rFonts w:cstheme="minorHAnsi"/>
        </w:rPr>
        <w:t xml:space="preserve"> </w:t>
      </w:r>
      <w:r>
        <w:rPr>
          <w:rFonts w:cstheme="minorHAnsi"/>
        </w:rPr>
        <w:t xml:space="preserve">of the new Tier 2 AV APS equipment </w:t>
      </w:r>
      <w:r w:rsidR="008A322F">
        <w:rPr>
          <w:rFonts w:cstheme="minorHAnsi"/>
        </w:rPr>
        <w:t>should be used</w:t>
      </w:r>
      <w:r w:rsidR="00827253">
        <w:t xml:space="preserve">. </w:t>
      </w:r>
    </w:p>
    <w:p w:rsidR="008B7A90" w:rsidRDefault="008B7A90" w:rsidP="00FB056C">
      <w:pPr>
        <w:pStyle w:val="Heading6"/>
      </w:pPr>
      <w:proofErr w:type="spellStart"/>
      <w:r>
        <w:lastRenderedPageBreak/>
        <w:t>Loadshape</w:t>
      </w:r>
      <w:proofErr w:type="spellEnd"/>
      <w:r>
        <w:tab/>
      </w:r>
    </w:p>
    <w:p w:rsidR="008B7A90" w:rsidRPr="008A322F" w:rsidRDefault="008B7A90" w:rsidP="008A322F">
      <w:pPr>
        <w:rPr>
          <w:rFonts w:cs="Calibri"/>
          <w:color w:val="000000"/>
          <w:szCs w:val="20"/>
        </w:rPr>
      </w:pPr>
      <w:proofErr w:type="spellStart"/>
      <w:r w:rsidRPr="008A322F">
        <w:rPr>
          <w:rFonts w:cs="Calibri"/>
          <w:color w:val="000000"/>
          <w:szCs w:val="20"/>
        </w:rPr>
        <w:t>Loadshape</w:t>
      </w:r>
      <w:proofErr w:type="spellEnd"/>
      <w:r w:rsidRPr="008A322F">
        <w:rPr>
          <w:rFonts w:cs="Calibri"/>
          <w:color w:val="000000"/>
          <w:szCs w:val="20"/>
        </w:rPr>
        <w:t xml:space="preserve"> R13 - Residential Standby Losses – Entertainment</w:t>
      </w:r>
    </w:p>
    <w:p w:rsidR="008B7A90" w:rsidRDefault="008B7A90" w:rsidP="00FB056C">
      <w:pPr>
        <w:pStyle w:val="Heading6"/>
      </w:pPr>
      <w:r>
        <w:t>Coincidence Factor</w:t>
      </w:r>
    </w:p>
    <w:p w:rsidR="008B7A90" w:rsidRDefault="008B7A90" w:rsidP="008B7A90">
      <w:pPr>
        <w:spacing w:after="120"/>
        <w:rPr>
          <w:rFonts w:cstheme="minorHAnsi"/>
        </w:rPr>
      </w:pPr>
      <w:r w:rsidRPr="00A05FC2">
        <w:rPr>
          <w:rFonts w:cstheme="minorHAnsi"/>
        </w:rPr>
        <w:t xml:space="preserve">The summer peak coincidence factor for this measure is </w:t>
      </w:r>
      <w:r>
        <w:rPr>
          <w:rFonts w:cstheme="minorHAnsi"/>
        </w:rPr>
        <w:t>assumed to be 80%</w:t>
      </w:r>
      <w:r>
        <w:rPr>
          <w:rStyle w:val="FootnoteReference"/>
        </w:rPr>
        <w:footnoteReference w:id="4"/>
      </w:r>
    </w:p>
    <w:p w:rsidR="008B7A90" w:rsidRDefault="008B7A90" w:rsidP="008B7A90">
      <w:pPr>
        <w:spacing w:after="120"/>
        <w:rPr>
          <w:rFonts w:cstheme="minorHAnsi"/>
        </w:rPr>
      </w:pPr>
    </w:p>
    <w:p w:rsidR="00423E34" w:rsidRDefault="00423E34" w:rsidP="008B7A90">
      <w:pPr>
        <w:spacing w:after="120"/>
        <w:rPr>
          <w:rFonts w:cstheme="minorHAnsi"/>
        </w:rPr>
      </w:pPr>
    </w:p>
    <w:p w:rsidR="008B7A90" w:rsidRDefault="008B7A90" w:rsidP="008B7A90">
      <w:pPr>
        <w:pStyle w:val="AlgorithmHeading"/>
      </w:pPr>
      <w:r>
        <w:t xml:space="preserve">Algorithm </w:t>
      </w:r>
    </w:p>
    <w:p w:rsidR="008B7A90" w:rsidRDefault="008B7A90" w:rsidP="00FB056C">
      <w:pPr>
        <w:pStyle w:val="Heading6"/>
      </w:pPr>
      <w:r>
        <w:t xml:space="preserve">Calculation of Energy Savings </w:t>
      </w:r>
    </w:p>
    <w:p w:rsidR="008B7A90" w:rsidRDefault="008B7A90" w:rsidP="00FB056C">
      <w:pPr>
        <w:pStyle w:val="Heading6"/>
      </w:pPr>
      <w:r>
        <w:t>Electric Energy Savings</w:t>
      </w:r>
    </w:p>
    <w:p w:rsidR="008B7A90" w:rsidRDefault="008B7A90" w:rsidP="008B7A90">
      <w:pPr>
        <w:ind w:left="720" w:firstLine="720"/>
      </w:pPr>
      <w:r>
        <w:rPr>
          <w:rFonts w:cstheme="minorHAnsi"/>
          <w:noProof/>
        </w:rPr>
        <w:t>ΔkWh</w:t>
      </w:r>
      <w:r>
        <w:rPr>
          <w:rFonts w:cstheme="minorHAnsi"/>
          <w:noProof/>
          <w:vertAlign w:val="subscript"/>
        </w:rPr>
        <w:t xml:space="preserve"> </w:t>
      </w:r>
      <w:r w:rsidR="00F70796">
        <w:rPr>
          <w:rFonts w:cstheme="minorHAnsi"/>
          <w:noProof/>
          <w:vertAlign w:val="subscript"/>
        </w:rPr>
        <w:tab/>
      </w:r>
      <w:r>
        <w:t xml:space="preserve">= </w:t>
      </w:r>
      <w:r w:rsidR="00F70796">
        <w:t>ERP</w:t>
      </w:r>
      <w:r w:rsidRPr="001A6D02">
        <w:rPr>
          <w:vertAlign w:val="subscript"/>
        </w:rPr>
        <w:t xml:space="preserve"> </w:t>
      </w:r>
      <w:r>
        <w:t xml:space="preserve">* </w:t>
      </w:r>
      <w:proofErr w:type="spellStart"/>
      <w:r w:rsidR="00F70796">
        <w:t>Baseline</w:t>
      </w:r>
      <w:r>
        <w:t>Energy</w:t>
      </w:r>
      <w:r w:rsidR="00F70796" w:rsidRPr="00F70796">
        <w:rPr>
          <w:vertAlign w:val="subscript"/>
        </w:rPr>
        <w:t>AV</w:t>
      </w:r>
      <w:proofErr w:type="spellEnd"/>
      <w:r>
        <w:t xml:space="preserve"> </w:t>
      </w:r>
      <w:r w:rsidR="00046C6E">
        <w:t>* ISR</w:t>
      </w:r>
    </w:p>
    <w:p w:rsidR="008B7A90" w:rsidRDefault="008B7A90" w:rsidP="00F70796">
      <w:r>
        <w:t xml:space="preserve">Where: </w:t>
      </w:r>
    </w:p>
    <w:p w:rsidR="00A7055C" w:rsidRDefault="008B7A90" w:rsidP="00A7055C">
      <w:pPr>
        <w:ind w:left="2880" w:hanging="2160"/>
      </w:pPr>
      <w:r>
        <w:t xml:space="preserve">ERP </w:t>
      </w:r>
      <w:r w:rsidR="00F70796">
        <w:tab/>
      </w:r>
      <w:r>
        <w:t xml:space="preserve">= </w:t>
      </w:r>
      <w:r w:rsidR="00F70796">
        <w:t xml:space="preserve">Energy Reduction Percentage of </w:t>
      </w:r>
      <w:r>
        <w:t xml:space="preserve">qualifying Tier2 AV APS </w:t>
      </w:r>
      <w:r w:rsidR="00F70796">
        <w:t>product</w:t>
      </w:r>
      <w:r w:rsidR="00A7055C" w:rsidRPr="00A7055C">
        <w:t xml:space="preserve"> </w:t>
      </w:r>
      <w:r w:rsidR="00A7055C">
        <w:t>range as provided below</w:t>
      </w:r>
    </w:p>
    <w:p w:rsidR="00A7055C" w:rsidRDefault="00A7055C" w:rsidP="00A7055C">
      <w:pPr>
        <w:ind w:left="720"/>
      </w:pPr>
      <w:proofErr w:type="spellStart"/>
      <w:r>
        <w:t>BaselineEnergy</w:t>
      </w:r>
      <w:r w:rsidRPr="00F70796">
        <w:rPr>
          <w:vertAlign w:val="subscript"/>
        </w:rPr>
        <w:t>AV</w:t>
      </w:r>
      <w:proofErr w:type="spellEnd"/>
      <w:r>
        <w:t xml:space="preserve"> </w:t>
      </w:r>
      <w:r>
        <w:tab/>
      </w:r>
      <w:r>
        <w:tab/>
        <w:t xml:space="preserve">= </w:t>
      </w:r>
      <w:r w:rsidRPr="000A0EE7">
        <w:t>600</w:t>
      </w:r>
      <w:r>
        <w:t xml:space="preserve"> kWh</w:t>
      </w:r>
      <w:r>
        <w:rPr>
          <w:rStyle w:val="FootnoteReference"/>
        </w:rPr>
        <w:footnoteReference w:id="5"/>
      </w:r>
    </w:p>
    <w:tbl>
      <w:tblPr>
        <w:tblStyle w:val="TableGrid"/>
        <w:tblW w:w="0" w:type="auto"/>
        <w:jc w:val="center"/>
        <w:tblLook w:val="04A0" w:firstRow="1" w:lastRow="0" w:firstColumn="1" w:lastColumn="0" w:noHBand="0" w:noVBand="1"/>
      </w:tblPr>
      <w:tblGrid>
        <w:gridCol w:w="2441"/>
        <w:gridCol w:w="2440"/>
        <w:gridCol w:w="2408"/>
        <w:gridCol w:w="2287"/>
      </w:tblGrid>
      <w:tr w:rsidR="00A7055C" w:rsidRPr="007D2D7C" w:rsidTr="008A322F">
        <w:trPr>
          <w:tblHeader/>
          <w:jc w:val="center"/>
        </w:trPr>
        <w:tc>
          <w:tcPr>
            <w:tcW w:w="2441" w:type="dxa"/>
            <w:shd w:val="clear" w:color="auto" w:fill="7F7F7F" w:themeFill="text1" w:themeFillTint="80"/>
            <w:vAlign w:val="center"/>
          </w:tcPr>
          <w:p w:rsidR="00A7055C" w:rsidRPr="00A7055C" w:rsidRDefault="00A7055C" w:rsidP="000D6338">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 xml:space="preserve">Product Class </w:t>
            </w:r>
          </w:p>
        </w:tc>
        <w:tc>
          <w:tcPr>
            <w:tcW w:w="2440" w:type="dxa"/>
            <w:shd w:val="clear" w:color="auto" w:fill="7F7F7F" w:themeFill="text1" w:themeFillTint="80"/>
            <w:vAlign w:val="center"/>
          </w:tcPr>
          <w:p w:rsidR="00A7055C" w:rsidRPr="00A7055C" w:rsidRDefault="00A7055C" w:rsidP="00A7055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Field trial ERP range</w:t>
            </w:r>
          </w:p>
        </w:tc>
        <w:tc>
          <w:tcPr>
            <w:tcW w:w="2408" w:type="dxa"/>
            <w:shd w:val="clear" w:color="auto" w:fill="7F7F7F" w:themeFill="text1" w:themeFillTint="80"/>
            <w:vAlign w:val="center"/>
          </w:tcPr>
          <w:p w:rsidR="00A7055C" w:rsidRPr="00A7055C" w:rsidRDefault="00A7055C" w:rsidP="00A7055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ERP used</w:t>
            </w:r>
          </w:p>
        </w:tc>
        <w:tc>
          <w:tcPr>
            <w:tcW w:w="2287" w:type="dxa"/>
            <w:shd w:val="clear" w:color="auto" w:fill="7F7F7F" w:themeFill="text1" w:themeFillTint="80"/>
            <w:vAlign w:val="center"/>
          </w:tcPr>
          <w:p w:rsidR="00A7055C" w:rsidRPr="00A7055C" w:rsidRDefault="00A7055C" w:rsidP="00A7055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ΔkWh</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A</w:t>
            </w:r>
          </w:p>
        </w:tc>
        <w:tc>
          <w:tcPr>
            <w:tcW w:w="2440" w:type="dxa"/>
            <w:vAlign w:val="center"/>
          </w:tcPr>
          <w:p w:rsidR="00A7055C" w:rsidRPr="00A7055C" w:rsidRDefault="00A7055C" w:rsidP="000F28D7">
            <w:pPr>
              <w:spacing w:after="120"/>
              <w:jc w:val="center"/>
              <w:rPr>
                <w:rFonts w:asciiTheme="minorHAnsi" w:hAnsiTheme="minorHAnsi" w:cstheme="minorHAnsi"/>
              </w:rPr>
            </w:pPr>
            <w:r w:rsidRPr="00A7055C">
              <w:rPr>
                <w:rFonts w:asciiTheme="minorHAnsi" w:hAnsiTheme="minorHAnsi" w:cstheme="minorHAnsi"/>
              </w:rPr>
              <w:t>55 – 60%</w:t>
            </w:r>
          </w:p>
        </w:tc>
        <w:tc>
          <w:tcPr>
            <w:tcW w:w="2408" w:type="dxa"/>
            <w:vAlign w:val="center"/>
          </w:tcPr>
          <w:p w:rsidR="00A7055C" w:rsidRPr="00A7055C" w:rsidRDefault="00A7055C" w:rsidP="000F28D7">
            <w:pPr>
              <w:spacing w:after="120"/>
              <w:jc w:val="center"/>
              <w:rPr>
                <w:rFonts w:asciiTheme="minorHAnsi" w:hAnsiTheme="minorHAnsi" w:cstheme="minorHAnsi"/>
              </w:rPr>
            </w:pPr>
            <w:r w:rsidRPr="00A7055C">
              <w:rPr>
                <w:rFonts w:asciiTheme="minorHAnsi" w:hAnsiTheme="minorHAnsi" w:cstheme="minorHAnsi"/>
              </w:rPr>
              <w:t>55%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330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B</w:t>
            </w:r>
          </w:p>
        </w:tc>
        <w:tc>
          <w:tcPr>
            <w:tcW w:w="2440" w:type="dxa"/>
            <w:vAlign w:val="center"/>
          </w:tcPr>
          <w:p w:rsidR="00A7055C" w:rsidRPr="00A7055C" w:rsidRDefault="00A7055C" w:rsidP="005A3BCE">
            <w:pPr>
              <w:spacing w:after="120"/>
              <w:jc w:val="center"/>
              <w:rPr>
                <w:rFonts w:asciiTheme="minorHAnsi" w:hAnsiTheme="minorHAnsi" w:cstheme="minorHAnsi"/>
              </w:rPr>
            </w:pPr>
            <w:r w:rsidRPr="00A7055C">
              <w:rPr>
                <w:rFonts w:asciiTheme="minorHAnsi" w:hAnsiTheme="minorHAnsi" w:cstheme="minorHAnsi"/>
              </w:rPr>
              <w:t>50 – 54%</w:t>
            </w:r>
          </w:p>
        </w:tc>
        <w:tc>
          <w:tcPr>
            <w:tcW w:w="2408" w:type="dxa"/>
            <w:vAlign w:val="center"/>
          </w:tcPr>
          <w:p w:rsidR="00A7055C" w:rsidRPr="00A7055C" w:rsidRDefault="00A7055C" w:rsidP="005A3BCE">
            <w:pPr>
              <w:spacing w:after="120"/>
              <w:jc w:val="center"/>
              <w:rPr>
                <w:rFonts w:asciiTheme="minorHAnsi" w:hAnsiTheme="minorHAnsi" w:cstheme="minorHAnsi"/>
              </w:rPr>
            </w:pPr>
            <w:r w:rsidRPr="00A7055C">
              <w:rPr>
                <w:rFonts w:asciiTheme="minorHAnsi" w:hAnsiTheme="minorHAnsi" w:cstheme="minorHAnsi"/>
              </w:rPr>
              <w:t>50%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300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C</w:t>
            </w:r>
          </w:p>
        </w:tc>
        <w:tc>
          <w:tcPr>
            <w:tcW w:w="2440" w:type="dxa"/>
            <w:vAlign w:val="center"/>
          </w:tcPr>
          <w:p w:rsidR="00A7055C" w:rsidRPr="00A7055C" w:rsidRDefault="00A7055C" w:rsidP="00596BAA">
            <w:pPr>
              <w:spacing w:after="120"/>
              <w:jc w:val="center"/>
              <w:rPr>
                <w:rFonts w:asciiTheme="minorHAnsi" w:hAnsiTheme="minorHAnsi" w:cstheme="minorHAnsi"/>
              </w:rPr>
            </w:pPr>
            <w:r w:rsidRPr="00A7055C">
              <w:rPr>
                <w:rFonts w:asciiTheme="minorHAnsi" w:hAnsiTheme="minorHAnsi" w:cstheme="minorHAnsi"/>
              </w:rPr>
              <w:t>45 – 49%</w:t>
            </w:r>
          </w:p>
        </w:tc>
        <w:tc>
          <w:tcPr>
            <w:tcW w:w="2408" w:type="dxa"/>
            <w:vAlign w:val="center"/>
          </w:tcPr>
          <w:p w:rsidR="00A7055C" w:rsidRPr="00A7055C" w:rsidRDefault="00A7055C" w:rsidP="00596BAA">
            <w:pPr>
              <w:spacing w:after="120"/>
              <w:jc w:val="center"/>
              <w:rPr>
                <w:rFonts w:asciiTheme="minorHAnsi" w:hAnsiTheme="minorHAnsi" w:cstheme="minorHAnsi"/>
              </w:rPr>
            </w:pPr>
            <w:r w:rsidRPr="00A7055C">
              <w:rPr>
                <w:rFonts w:asciiTheme="minorHAnsi" w:hAnsiTheme="minorHAnsi" w:cstheme="minorHAnsi"/>
              </w:rPr>
              <w:t>45%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270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D</w:t>
            </w:r>
          </w:p>
        </w:tc>
        <w:tc>
          <w:tcPr>
            <w:tcW w:w="2440" w:type="dxa"/>
            <w:vAlign w:val="center"/>
          </w:tcPr>
          <w:p w:rsidR="00A7055C" w:rsidRPr="00A7055C" w:rsidRDefault="00A7055C" w:rsidP="00012EAF">
            <w:pPr>
              <w:spacing w:after="120"/>
              <w:jc w:val="center"/>
              <w:rPr>
                <w:rFonts w:asciiTheme="minorHAnsi" w:hAnsiTheme="minorHAnsi" w:cstheme="minorHAnsi"/>
              </w:rPr>
            </w:pPr>
            <w:r w:rsidRPr="00A7055C">
              <w:rPr>
                <w:rFonts w:asciiTheme="minorHAnsi" w:hAnsiTheme="minorHAnsi" w:cstheme="minorHAnsi"/>
              </w:rPr>
              <w:t>40 – 44%</w:t>
            </w:r>
          </w:p>
        </w:tc>
        <w:tc>
          <w:tcPr>
            <w:tcW w:w="2408" w:type="dxa"/>
            <w:vAlign w:val="center"/>
          </w:tcPr>
          <w:p w:rsidR="00A7055C" w:rsidRPr="00A7055C" w:rsidRDefault="00A7055C" w:rsidP="00012EAF">
            <w:pPr>
              <w:spacing w:after="120"/>
              <w:jc w:val="center"/>
              <w:rPr>
                <w:rFonts w:asciiTheme="minorHAnsi" w:hAnsiTheme="minorHAnsi" w:cstheme="minorHAnsi"/>
              </w:rPr>
            </w:pPr>
            <w:r w:rsidRPr="00A7055C">
              <w:rPr>
                <w:rFonts w:asciiTheme="minorHAnsi" w:hAnsiTheme="minorHAnsi" w:cstheme="minorHAnsi"/>
              </w:rPr>
              <w:t>40%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240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E</w:t>
            </w:r>
          </w:p>
        </w:tc>
        <w:tc>
          <w:tcPr>
            <w:tcW w:w="2440" w:type="dxa"/>
            <w:vAlign w:val="center"/>
          </w:tcPr>
          <w:p w:rsidR="00A7055C" w:rsidRPr="00A7055C" w:rsidRDefault="00A7055C" w:rsidP="00E41454">
            <w:pPr>
              <w:spacing w:after="120"/>
              <w:jc w:val="center"/>
              <w:rPr>
                <w:rFonts w:asciiTheme="minorHAnsi" w:hAnsiTheme="minorHAnsi" w:cstheme="minorHAnsi"/>
              </w:rPr>
            </w:pPr>
            <w:r w:rsidRPr="00A7055C">
              <w:rPr>
                <w:rFonts w:asciiTheme="minorHAnsi" w:hAnsiTheme="minorHAnsi" w:cstheme="minorHAnsi"/>
              </w:rPr>
              <w:t>35 – 39%</w:t>
            </w:r>
          </w:p>
        </w:tc>
        <w:tc>
          <w:tcPr>
            <w:tcW w:w="2408" w:type="dxa"/>
            <w:vAlign w:val="center"/>
          </w:tcPr>
          <w:p w:rsidR="00A7055C" w:rsidRPr="00A7055C" w:rsidRDefault="00A7055C" w:rsidP="00E41454">
            <w:pPr>
              <w:spacing w:after="120"/>
              <w:jc w:val="center"/>
              <w:rPr>
                <w:rFonts w:asciiTheme="minorHAnsi" w:hAnsiTheme="minorHAnsi" w:cstheme="minorHAnsi"/>
              </w:rPr>
            </w:pPr>
            <w:r w:rsidRPr="00A7055C">
              <w:rPr>
                <w:rFonts w:asciiTheme="minorHAnsi" w:hAnsiTheme="minorHAnsi" w:cstheme="minorHAnsi"/>
              </w:rPr>
              <w:t>35%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210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F</w:t>
            </w:r>
          </w:p>
        </w:tc>
        <w:tc>
          <w:tcPr>
            <w:tcW w:w="2440" w:type="dxa"/>
            <w:vAlign w:val="center"/>
          </w:tcPr>
          <w:p w:rsidR="00A7055C" w:rsidRPr="00A7055C" w:rsidRDefault="00A7055C" w:rsidP="00493A71">
            <w:pPr>
              <w:spacing w:after="120"/>
              <w:jc w:val="center"/>
              <w:rPr>
                <w:rFonts w:asciiTheme="minorHAnsi" w:hAnsiTheme="minorHAnsi" w:cstheme="minorHAnsi"/>
              </w:rPr>
            </w:pPr>
            <w:r w:rsidRPr="00A7055C">
              <w:rPr>
                <w:rFonts w:asciiTheme="minorHAnsi" w:hAnsiTheme="minorHAnsi" w:cstheme="minorHAnsi"/>
              </w:rPr>
              <w:t>30 – 34%</w:t>
            </w:r>
          </w:p>
        </w:tc>
        <w:tc>
          <w:tcPr>
            <w:tcW w:w="2408" w:type="dxa"/>
            <w:vAlign w:val="center"/>
          </w:tcPr>
          <w:p w:rsidR="00A7055C" w:rsidRPr="00A7055C" w:rsidRDefault="00A7055C" w:rsidP="00493A71">
            <w:pPr>
              <w:spacing w:after="120"/>
              <w:jc w:val="center"/>
              <w:rPr>
                <w:rFonts w:asciiTheme="minorHAnsi" w:hAnsiTheme="minorHAnsi" w:cstheme="minorHAnsi"/>
              </w:rPr>
            </w:pPr>
            <w:r w:rsidRPr="00A7055C">
              <w:rPr>
                <w:rFonts w:asciiTheme="minorHAnsi" w:hAnsiTheme="minorHAnsi" w:cstheme="minorHAnsi"/>
              </w:rPr>
              <w:t>30%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180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G</w:t>
            </w:r>
          </w:p>
        </w:tc>
        <w:tc>
          <w:tcPr>
            <w:tcW w:w="2440"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25 – 29%</w:t>
            </w:r>
          </w:p>
        </w:tc>
        <w:tc>
          <w:tcPr>
            <w:tcW w:w="2408"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150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H</w:t>
            </w:r>
          </w:p>
        </w:tc>
        <w:tc>
          <w:tcPr>
            <w:tcW w:w="2440"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20 – 24%</w:t>
            </w:r>
          </w:p>
        </w:tc>
        <w:tc>
          <w:tcPr>
            <w:tcW w:w="2408"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120</w:t>
            </w:r>
          </w:p>
        </w:tc>
      </w:tr>
    </w:tbl>
    <w:p w:rsidR="00F70796" w:rsidRDefault="00F70796" w:rsidP="00F70796">
      <w:pPr>
        <w:ind w:firstLine="720"/>
      </w:pPr>
    </w:p>
    <w:p w:rsidR="00046C6E" w:rsidRDefault="00046C6E" w:rsidP="00F70796">
      <w:pPr>
        <w:ind w:firstLine="720"/>
      </w:pPr>
      <w:r>
        <w:t>ISR</w:t>
      </w:r>
      <w:r>
        <w:tab/>
        <w:t>= In Service Rate</w:t>
      </w:r>
    </w:p>
    <w:p w:rsidR="00046C6E" w:rsidRDefault="00046C6E" w:rsidP="00F70796">
      <w:pPr>
        <w:ind w:firstLine="720"/>
      </w:pPr>
      <w:r>
        <w:tab/>
        <w:t>= 0.</w:t>
      </w:r>
      <w:r w:rsidR="005428D9">
        <w:t>70</w:t>
      </w:r>
      <w:r w:rsidR="0084176C">
        <w:rPr>
          <w:rStyle w:val="FootnoteReference"/>
        </w:rPr>
        <w:footnoteReference w:id="6"/>
      </w:r>
    </w:p>
    <w:p w:rsidR="008B7A90" w:rsidRDefault="008B7A90" w:rsidP="00FB056C">
      <w:pPr>
        <w:pStyle w:val="Heading6"/>
      </w:pPr>
      <w:r>
        <w:lastRenderedPageBreak/>
        <w:t>Summer Coincident Peak Demand Savings</w:t>
      </w:r>
    </w:p>
    <w:p w:rsidR="008B7A90" w:rsidRPr="00282C5C" w:rsidRDefault="00A7055C" w:rsidP="008B7A90">
      <w:pPr>
        <w:tabs>
          <w:tab w:val="left" w:pos="1440"/>
          <w:tab w:val="left" w:pos="2160"/>
        </w:tabs>
        <w:ind w:left="2340" w:hanging="2340"/>
        <w:rPr>
          <w:rFonts w:cstheme="minorHAnsi"/>
        </w:rPr>
      </w:pPr>
      <w:r>
        <w:rPr>
          <w:rFonts w:cstheme="minorHAnsi"/>
        </w:rPr>
        <w:tab/>
      </w:r>
      <w:r w:rsidR="008B7A90" w:rsidRPr="00282C5C">
        <w:rPr>
          <w:rFonts w:cstheme="minorHAnsi"/>
        </w:rPr>
        <w:t>∆</w:t>
      </w:r>
      <w:r w:rsidR="008B7A90" w:rsidRPr="00282C5C">
        <w:rPr>
          <w:rFonts w:cstheme="minorHAnsi"/>
          <w:noProof/>
        </w:rPr>
        <w:t>kW</w:t>
      </w:r>
      <w:r w:rsidR="008B7A90" w:rsidRPr="00282C5C">
        <w:rPr>
          <w:rFonts w:cstheme="minorHAnsi"/>
          <w:vertAlign w:val="subscript"/>
        </w:rPr>
        <w:tab/>
      </w:r>
      <w:r w:rsidR="008B7A90" w:rsidRPr="00282C5C">
        <w:rPr>
          <w:rFonts w:cstheme="minorHAnsi"/>
          <w:b/>
        </w:rPr>
        <w:t xml:space="preserve">= </w:t>
      </w:r>
      <w:r w:rsidR="008B7A90" w:rsidRPr="00282C5C">
        <w:rPr>
          <w:rFonts w:cstheme="minorHAnsi"/>
        </w:rPr>
        <w:t>∆kWh</w:t>
      </w:r>
      <w:r w:rsidR="008B7A90" w:rsidRPr="00282C5C">
        <w:rPr>
          <w:rFonts w:cstheme="minorHAnsi"/>
          <w:i/>
          <w:vertAlign w:val="subscript"/>
        </w:rPr>
        <w:t xml:space="preserve"> </w:t>
      </w:r>
      <w:r w:rsidR="008B7A90" w:rsidRPr="00282C5C">
        <w:rPr>
          <w:rFonts w:cstheme="minorHAnsi"/>
        </w:rPr>
        <w:t>/ Hours * CF</w:t>
      </w:r>
    </w:p>
    <w:p w:rsidR="008B7A90" w:rsidRPr="00282C5C" w:rsidRDefault="008B7A90" w:rsidP="008B7A90">
      <w:pPr>
        <w:tabs>
          <w:tab w:val="left" w:pos="1440"/>
          <w:tab w:val="left" w:pos="2160"/>
        </w:tabs>
        <w:ind w:left="2340" w:hanging="2340"/>
        <w:rPr>
          <w:rFonts w:cstheme="minorHAnsi"/>
        </w:rPr>
      </w:pPr>
      <w:r w:rsidRPr="00282C5C">
        <w:rPr>
          <w:rFonts w:cstheme="minorHAnsi"/>
        </w:rPr>
        <w:t>Where:</w:t>
      </w:r>
    </w:p>
    <w:p w:rsidR="008B7A90" w:rsidRDefault="008B7A90" w:rsidP="008B7A90">
      <w:pPr>
        <w:ind w:left="2160" w:hanging="1440"/>
        <w:rPr>
          <w:rFonts w:cstheme="minorHAnsi"/>
        </w:rPr>
      </w:pPr>
      <w:r w:rsidRPr="00282C5C">
        <w:rPr>
          <w:rFonts w:cstheme="minorHAnsi"/>
        </w:rPr>
        <w:t>∆kWh</w:t>
      </w:r>
      <w:r>
        <w:rPr>
          <w:rFonts w:cstheme="minorHAnsi"/>
        </w:rPr>
        <w:tab/>
        <w:t xml:space="preserve">= </w:t>
      </w:r>
      <w:r w:rsidR="00A7055C">
        <w:rPr>
          <w:rFonts w:cstheme="minorHAnsi"/>
        </w:rPr>
        <w:t>Energy savings as calculated above</w:t>
      </w:r>
    </w:p>
    <w:p w:rsidR="008B7A90" w:rsidRPr="00282C5C" w:rsidRDefault="008B7A90" w:rsidP="008B7A90">
      <w:pPr>
        <w:ind w:left="2160" w:hanging="1440"/>
        <w:rPr>
          <w:rFonts w:cstheme="minorHAnsi"/>
        </w:rPr>
      </w:pPr>
      <w:r w:rsidRPr="00282C5C">
        <w:rPr>
          <w:rFonts w:cstheme="minorHAnsi"/>
        </w:rPr>
        <w:t>Hours</w:t>
      </w:r>
      <w:r w:rsidRPr="00282C5C">
        <w:rPr>
          <w:rFonts w:cstheme="minorHAnsi"/>
        </w:rPr>
        <w:tab/>
        <w:t xml:space="preserve">= Annual number of hours during which the </w:t>
      </w:r>
      <w:r w:rsidR="00905D94">
        <w:rPr>
          <w:rFonts w:cstheme="minorHAnsi"/>
        </w:rPr>
        <w:t>APS</w:t>
      </w:r>
      <w:r w:rsidR="00FB056C">
        <w:rPr>
          <w:rFonts w:cstheme="minorHAnsi"/>
        </w:rPr>
        <w:t xml:space="preserve"> provides savings</w:t>
      </w:r>
      <w:r w:rsidRPr="00282C5C">
        <w:rPr>
          <w:rFonts w:cstheme="minorHAnsi"/>
        </w:rPr>
        <w:t>.</w:t>
      </w:r>
    </w:p>
    <w:p w:rsidR="008B7A90" w:rsidRPr="00282C5C" w:rsidRDefault="008B7A90" w:rsidP="008B7A90">
      <w:pPr>
        <w:tabs>
          <w:tab w:val="left" w:pos="1440"/>
          <w:tab w:val="left" w:pos="2160"/>
        </w:tabs>
        <w:ind w:left="2160" w:hanging="2340"/>
        <w:rPr>
          <w:rFonts w:cstheme="minorHAnsi"/>
        </w:rPr>
      </w:pPr>
      <w:r w:rsidRPr="00282C5C">
        <w:rPr>
          <w:rFonts w:cstheme="minorHAnsi"/>
        </w:rPr>
        <w:tab/>
      </w:r>
      <w:r w:rsidRPr="00282C5C">
        <w:rPr>
          <w:rFonts w:cstheme="minorHAnsi"/>
        </w:rPr>
        <w:tab/>
        <w:t xml:space="preserve">= </w:t>
      </w:r>
      <w:r w:rsidR="00FB056C">
        <w:rPr>
          <w:rFonts w:cstheme="minorHAnsi"/>
        </w:rPr>
        <w:t>4,380</w:t>
      </w:r>
      <w:r w:rsidRPr="00282C5C">
        <w:rPr>
          <w:rFonts w:cstheme="minorHAnsi"/>
        </w:rPr>
        <w:t xml:space="preserve"> </w:t>
      </w:r>
      <w:r w:rsidRPr="00282C5C">
        <w:rPr>
          <w:rStyle w:val="FootnoteReference"/>
          <w:rFonts w:eastAsia="Calibri" w:cstheme="minorHAnsi"/>
        </w:rPr>
        <w:footnoteReference w:id="7"/>
      </w:r>
    </w:p>
    <w:p w:rsidR="008B7A90" w:rsidRPr="00282C5C" w:rsidRDefault="008B7A90" w:rsidP="008B7A90">
      <w:pPr>
        <w:tabs>
          <w:tab w:val="left" w:pos="630"/>
          <w:tab w:val="left" w:pos="720"/>
          <w:tab w:val="left" w:pos="1440"/>
          <w:tab w:val="left" w:pos="2160"/>
        </w:tabs>
        <w:ind w:left="720"/>
        <w:rPr>
          <w:rFonts w:cstheme="minorHAnsi"/>
          <w:noProof/>
        </w:rPr>
      </w:pPr>
      <w:r w:rsidRPr="00282C5C">
        <w:rPr>
          <w:rFonts w:cstheme="minorHAnsi"/>
        </w:rPr>
        <w:t>CF</w:t>
      </w:r>
      <w:r w:rsidRPr="00282C5C">
        <w:rPr>
          <w:rFonts w:cstheme="minorHAnsi"/>
        </w:rPr>
        <w:tab/>
      </w:r>
      <w:r w:rsidRPr="00282C5C">
        <w:rPr>
          <w:rFonts w:cstheme="minorHAnsi"/>
        </w:rPr>
        <w:tab/>
        <w:t xml:space="preserve">= </w:t>
      </w:r>
      <w:r w:rsidRPr="00282C5C">
        <w:rPr>
          <w:rFonts w:cstheme="minorHAnsi"/>
          <w:noProof/>
        </w:rPr>
        <w:t>Summer Peak Coincidence Factor for measure</w:t>
      </w:r>
    </w:p>
    <w:p w:rsidR="008B7A90" w:rsidRDefault="008B7A90" w:rsidP="008B7A90">
      <w:pPr>
        <w:tabs>
          <w:tab w:val="left" w:pos="1440"/>
          <w:tab w:val="left" w:pos="2160"/>
        </w:tabs>
        <w:ind w:left="1440"/>
        <w:rPr>
          <w:rFonts w:cstheme="minorHAnsi"/>
        </w:rPr>
      </w:pPr>
      <w:r w:rsidRPr="00282C5C">
        <w:rPr>
          <w:rFonts w:cstheme="minorHAnsi"/>
          <w:noProof/>
        </w:rPr>
        <w:tab/>
        <w:t xml:space="preserve">= </w:t>
      </w:r>
      <w:r w:rsidRPr="00282C5C">
        <w:rPr>
          <w:rFonts w:cstheme="minorHAnsi"/>
        </w:rPr>
        <w:t xml:space="preserve">0.8 </w:t>
      </w:r>
      <w:r w:rsidRPr="00282C5C">
        <w:rPr>
          <w:rStyle w:val="FootnoteReference"/>
          <w:rFonts w:eastAsia="Calibri" w:cstheme="minorHAnsi"/>
        </w:rPr>
        <w:footnoteReference w:id="8"/>
      </w:r>
    </w:p>
    <w:tbl>
      <w:tblPr>
        <w:tblStyle w:val="TableGrid"/>
        <w:tblW w:w="0" w:type="auto"/>
        <w:jc w:val="center"/>
        <w:tblLook w:val="04A0" w:firstRow="1" w:lastRow="0" w:firstColumn="1" w:lastColumn="0" w:noHBand="0" w:noVBand="1"/>
      </w:tblPr>
      <w:tblGrid>
        <w:gridCol w:w="2441"/>
        <w:gridCol w:w="2287"/>
      </w:tblGrid>
      <w:tr w:rsidR="00FB056C" w:rsidRPr="007D2D7C" w:rsidTr="00CF5A78">
        <w:trPr>
          <w:jc w:val="center"/>
        </w:trPr>
        <w:tc>
          <w:tcPr>
            <w:tcW w:w="2441" w:type="dxa"/>
            <w:shd w:val="clear" w:color="auto" w:fill="7F7F7F" w:themeFill="text1" w:themeFillTint="80"/>
            <w:vAlign w:val="center"/>
          </w:tcPr>
          <w:p w:rsidR="00FB056C" w:rsidRPr="00A7055C" w:rsidRDefault="00FB056C" w:rsidP="00FB056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Product Class Range</w:t>
            </w:r>
          </w:p>
        </w:tc>
        <w:tc>
          <w:tcPr>
            <w:tcW w:w="2287" w:type="dxa"/>
            <w:shd w:val="clear" w:color="auto" w:fill="7F7F7F" w:themeFill="text1" w:themeFillTint="80"/>
            <w:vAlign w:val="center"/>
          </w:tcPr>
          <w:p w:rsidR="00FB056C" w:rsidRPr="00A7055C" w:rsidRDefault="00FB056C" w:rsidP="00FB056C">
            <w:pPr>
              <w:spacing w:after="120"/>
              <w:jc w:val="center"/>
              <w:rPr>
                <w:rFonts w:asciiTheme="minorHAnsi" w:hAnsiTheme="minorHAnsi" w:cstheme="minorHAnsi"/>
                <w:b/>
                <w:color w:val="FFFFFF" w:themeColor="background1"/>
              </w:rPr>
            </w:pPr>
            <w:proofErr w:type="spellStart"/>
            <w:r>
              <w:rPr>
                <w:rFonts w:asciiTheme="minorHAnsi" w:hAnsiTheme="minorHAnsi" w:cstheme="minorHAnsi"/>
                <w:b/>
                <w:color w:val="FFFFFF" w:themeColor="background1"/>
              </w:rPr>
              <w:t>ΔkW</w:t>
            </w:r>
            <w:proofErr w:type="spellEnd"/>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A</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0.060</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B</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0.055</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C</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0.049</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D</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0.044</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E</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0.038</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F</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0.033</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G</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0.027</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H</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0.022</w:t>
            </w:r>
          </w:p>
        </w:tc>
      </w:tr>
    </w:tbl>
    <w:p w:rsidR="008B7A90" w:rsidRDefault="008B7A90" w:rsidP="008B7A90">
      <w:pPr>
        <w:rPr>
          <w:rFonts w:cstheme="minorHAnsi"/>
        </w:rPr>
      </w:pPr>
    </w:p>
    <w:p w:rsidR="008B7A90" w:rsidRDefault="008B7A90" w:rsidP="00FB056C">
      <w:pPr>
        <w:pStyle w:val="Heading6"/>
      </w:pPr>
      <w:r>
        <w:t>Natural Gas Savings</w:t>
      </w:r>
    </w:p>
    <w:p w:rsidR="008B7A90" w:rsidRPr="00B973B2" w:rsidRDefault="00A7055C" w:rsidP="008B7A90">
      <w:r>
        <w:rPr>
          <w:rFonts w:cs="Calibri"/>
        </w:rPr>
        <w:t>N/A</w:t>
      </w:r>
      <w:r>
        <w:rPr>
          <w:rStyle w:val="FootnoteReference"/>
        </w:rPr>
        <w:footnoteReference w:id="9"/>
      </w:r>
    </w:p>
    <w:p w:rsidR="008B7A90" w:rsidRDefault="008B7A90" w:rsidP="00FB056C">
      <w:pPr>
        <w:pStyle w:val="Heading6"/>
      </w:pPr>
      <w:r>
        <w:t xml:space="preserve">Water and Other Non-Energy Impact Descriptions and Calculation  </w:t>
      </w:r>
    </w:p>
    <w:p w:rsidR="008B7A90" w:rsidRPr="009E688B" w:rsidRDefault="00AF4D0D" w:rsidP="008B7A90">
      <w:r>
        <w:t>N/A</w:t>
      </w:r>
    </w:p>
    <w:p w:rsidR="008B7A90" w:rsidRDefault="008B7A90" w:rsidP="00FB056C">
      <w:pPr>
        <w:pStyle w:val="Heading6"/>
      </w:pPr>
      <w:r>
        <w:t>Deemed O&amp;M Cost Adjustment Calculation</w:t>
      </w:r>
    </w:p>
    <w:p w:rsidR="008B7A90" w:rsidRPr="008D068C" w:rsidRDefault="00AF4D0D" w:rsidP="00FB056C">
      <w:r>
        <w:t>N/A</w:t>
      </w:r>
    </w:p>
    <w:p w:rsidR="008B7A90" w:rsidRDefault="008B7A90" w:rsidP="00423E34">
      <w:pPr>
        <w:pStyle w:val="Heading6"/>
        <w:rPr>
          <w:b w:val="0"/>
          <w:smallCaps w:val="0"/>
        </w:rPr>
      </w:pPr>
      <w:r w:rsidRPr="008D068C">
        <w:t xml:space="preserve">Measure Code: </w:t>
      </w:r>
      <w:r w:rsidR="00FB056C" w:rsidRPr="0069549D">
        <w:t>RS-</w:t>
      </w:r>
      <w:r w:rsidR="00FB056C">
        <w:t>CEL</w:t>
      </w:r>
      <w:r w:rsidR="00FB056C" w:rsidRPr="0069549D">
        <w:t>-</w:t>
      </w:r>
      <w:r w:rsidR="00FB056C">
        <w:t>APS2</w:t>
      </w:r>
      <w:r w:rsidR="00FB056C" w:rsidRPr="0069549D">
        <w:t>-V01-</w:t>
      </w:r>
      <w:r w:rsidR="00FB056C">
        <w:t>160601</w:t>
      </w:r>
      <w:bookmarkStart w:id="0" w:name="_GoBack"/>
      <w:bookmarkEnd w:id="0"/>
    </w:p>
    <w:p w:rsidR="00D5281E" w:rsidRDefault="00D5281E"/>
    <w:sectPr w:rsidR="00D5281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A90" w:rsidRDefault="008B7A90" w:rsidP="008B7A90">
      <w:pPr>
        <w:spacing w:after="0"/>
      </w:pPr>
      <w:r>
        <w:separator/>
      </w:r>
    </w:p>
  </w:endnote>
  <w:endnote w:type="continuationSeparator" w:id="0">
    <w:p w:rsidR="008B7A90" w:rsidRDefault="008B7A90" w:rsidP="008B7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A90" w:rsidRDefault="008B7A90" w:rsidP="008B7A90">
      <w:pPr>
        <w:spacing w:after="0"/>
      </w:pPr>
      <w:r>
        <w:separator/>
      </w:r>
    </w:p>
  </w:footnote>
  <w:footnote w:type="continuationSeparator" w:id="0">
    <w:p w:rsidR="008B7A90" w:rsidRDefault="008B7A90" w:rsidP="008B7A90">
      <w:pPr>
        <w:spacing w:after="0"/>
      </w:pPr>
      <w:r>
        <w:continuationSeparator/>
      </w:r>
    </w:p>
  </w:footnote>
  <w:footnote w:id="1">
    <w:p w:rsidR="008B7A90" w:rsidRPr="00FB056C" w:rsidRDefault="008B7A90" w:rsidP="008B7A90">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w:t>
      </w:r>
      <w:r w:rsidRPr="00FB056C">
        <w:rPr>
          <w:sz w:val="18"/>
          <w:szCs w:val="18"/>
          <w:lang w:val="en-AU"/>
        </w:rPr>
        <w:t>Tier 2 AV APS identify when people are not engaged with their AV equipment and then remove power, for example a TV and its peripheral devices that are unintentionally left on when a person leaves the house or for instance where someone falls asleep while watching television.</w:t>
      </w:r>
    </w:p>
  </w:footnote>
  <w:footnote w:id="2">
    <w:p w:rsidR="008B7A90" w:rsidRPr="00FB056C" w:rsidRDefault="008B7A90" w:rsidP="008B7A90">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Gi</w:t>
      </w:r>
      <w:r w:rsidRPr="00FB056C">
        <w:rPr>
          <w:rFonts w:cstheme="minorHAnsi"/>
          <w:sz w:val="18"/>
          <w:szCs w:val="18"/>
        </w:rPr>
        <w:t>ven this requirement, an AV environment consisting of a television and DVD player or a TV and home theater would be eligible for a Tier 2 AV APS installation.</w:t>
      </w:r>
    </w:p>
  </w:footnote>
  <w:footnote w:id="3">
    <w:p w:rsidR="00046C6E" w:rsidRDefault="00046C6E">
      <w:pPr>
        <w:pStyle w:val="FootnoteText"/>
      </w:pPr>
      <w:r>
        <w:rPr>
          <w:rStyle w:val="FootnoteReference"/>
        </w:rPr>
        <w:footnoteRef/>
      </w:r>
      <w:r>
        <w:t xml:space="preserve"> </w:t>
      </w:r>
      <w:r w:rsidR="002E70A4">
        <w:t>There is little evaluation to base a lifetime estimate upon. Based on review of assumptions from other jurisdictions and the relative treatment of In Service Rates and persistence, an estimate of 7 years was agreed</w:t>
      </w:r>
      <w:r w:rsidR="00423E34">
        <w:t xml:space="preserve"> by the Technical Advisory Committee, but further evaluation is recommended.</w:t>
      </w:r>
    </w:p>
  </w:footnote>
  <w:footnote w:id="4">
    <w:p w:rsidR="008B7A90" w:rsidRPr="00FB056C" w:rsidRDefault="008B7A90" w:rsidP="008B7A90">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w:t>
      </w:r>
      <w:r w:rsidR="008A322F" w:rsidRPr="00FB056C">
        <w:rPr>
          <w:sz w:val="18"/>
          <w:szCs w:val="18"/>
        </w:rPr>
        <w:t>I</w:t>
      </w:r>
      <w:r w:rsidRPr="00FB056C">
        <w:rPr>
          <w:sz w:val="18"/>
          <w:szCs w:val="18"/>
        </w:rPr>
        <w:t>n the absence of empirical evaluation data, this was based on assumptions of the typical run pattern for televisions and computers in homes.</w:t>
      </w:r>
    </w:p>
  </w:footnote>
  <w:footnote w:id="5">
    <w:p w:rsidR="00A7055C" w:rsidRPr="00FB056C" w:rsidRDefault="00A7055C" w:rsidP="00A7055C">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Figure is rounded down from 603kWh and assumes average annualized energy consumption reported by NYSERDA (NYSERDA 2011. “</w:t>
      </w:r>
      <w:r w:rsidRPr="00FB056C">
        <w:rPr>
          <w:i/>
          <w:sz w:val="18"/>
          <w:szCs w:val="18"/>
        </w:rPr>
        <w:t>Advanced Power Strip Research Report</w:t>
      </w:r>
      <w:r w:rsidRPr="00FB056C">
        <w:rPr>
          <w:sz w:val="18"/>
          <w:szCs w:val="18"/>
        </w:rPr>
        <w:t xml:space="preserve">”, </w:t>
      </w:r>
      <w:r w:rsidRPr="00FB056C">
        <w:rPr>
          <w:sz w:val="18"/>
          <w:szCs w:val="18"/>
          <w:lang w:val="en-AU"/>
        </w:rPr>
        <w:t xml:space="preserve">Table 3.2 p. 30) is applicable to households in Illinois. </w:t>
      </w:r>
    </w:p>
  </w:footnote>
  <w:footnote w:id="6">
    <w:p w:rsidR="0084176C" w:rsidRPr="005428D9" w:rsidRDefault="0084176C">
      <w:pPr>
        <w:pStyle w:val="FootnoteText"/>
      </w:pPr>
      <w:r w:rsidRPr="005428D9">
        <w:rPr>
          <w:rStyle w:val="FootnoteReference"/>
          <w:rFonts w:asciiTheme="minorHAnsi" w:hAnsiTheme="minorHAnsi"/>
          <w:sz w:val="18"/>
        </w:rPr>
        <w:footnoteRef/>
      </w:r>
      <w:r w:rsidRPr="005428D9">
        <w:rPr>
          <w:sz w:val="18"/>
        </w:rPr>
        <w:t xml:space="preserve"> </w:t>
      </w:r>
      <w:proofErr w:type="gramStart"/>
      <w:r w:rsidR="005428D9" w:rsidRPr="005428D9">
        <w:rPr>
          <w:sz w:val="18"/>
        </w:rPr>
        <w:t>Based on two Australian study results (one showing 28% and the other 33%).</w:t>
      </w:r>
      <w:proofErr w:type="gramEnd"/>
      <w:r w:rsidR="005428D9" w:rsidRPr="005428D9">
        <w:rPr>
          <w:sz w:val="18"/>
        </w:rPr>
        <w:t xml:space="preserve"> This factor would benefit from more localized EM&amp;V.</w:t>
      </w:r>
    </w:p>
  </w:footnote>
  <w:footnote w:id="7">
    <w:p w:rsidR="008B7A90" w:rsidRPr="00FB056C" w:rsidRDefault="008B7A90" w:rsidP="008B7A90">
      <w:pPr>
        <w:pStyle w:val="Footnote"/>
        <w:rPr>
          <w:sz w:val="18"/>
          <w:szCs w:val="18"/>
        </w:rPr>
      </w:pPr>
      <w:r w:rsidRPr="00FB056C">
        <w:rPr>
          <w:rStyle w:val="FootnoteReference"/>
          <w:rFonts w:asciiTheme="minorHAnsi" w:eastAsia="Calibri" w:hAnsiTheme="minorHAnsi"/>
          <w:sz w:val="18"/>
          <w:szCs w:val="18"/>
        </w:rPr>
        <w:footnoteRef/>
      </w:r>
      <w:r w:rsidRPr="00FB056C">
        <w:rPr>
          <w:sz w:val="18"/>
          <w:szCs w:val="18"/>
        </w:rPr>
        <w:t xml:space="preserve"> </w:t>
      </w:r>
      <w:r w:rsidR="00FB056C" w:rsidRPr="00FB056C">
        <w:rPr>
          <w:sz w:val="18"/>
          <w:szCs w:val="18"/>
        </w:rPr>
        <w:t xml:space="preserve">This is estimate based on assumption that approximately half of savings are during active hours (assumed to be </w:t>
      </w:r>
      <w:proofErr w:type="gramStart"/>
      <w:r w:rsidR="00FB056C" w:rsidRPr="00FB056C">
        <w:rPr>
          <w:sz w:val="18"/>
          <w:szCs w:val="18"/>
        </w:rPr>
        <w:t xml:space="preserve">5.3 </w:t>
      </w:r>
      <w:proofErr w:type="spellStart"/>
      <w:r w:rsidR="00FB056C" w:rsidRPr="00FB056C">
        <w:rPr>
          <w:sz w:val="18"/>
          <w:szCs w:val="18"/>
        </w:rPr>
        <w:t>hrs</w:t>
      </w:r>
      <w:proofErr w:type="spellEnd"/>
      <w:r w:rsidR="00FB056C" w:rsidRPr="00FB056C">
        <w:rPr>
          <w:sz w:val="18"/>
          <w:szCs w:val="18"/>
        </w:rPr>
        <w:t>/day, 1936 per year (NYSERDA 2011.</w:t>
      </w:r>
      <w:proofErr w:type="gramEnd"/>
      <w:r w:rsidR="00FB056C" w:rsidRPr="00FB056C">
        <w:rPr>
          <w:sz w:val="18"/>
          <w:szCs w:val="18"/>
        </w:rPr>
        <w:t xml:space="preserve"> “</w:t>
      </w:r>
      <w:r w:rsidR="00FB056C" w:rsidRPr="00FB056C">
        <w:rPr>
          <w:i/>
          <w:sz w:val="18"/>
          <w:szCs w:val="18"/>
        </w:rPr>
        <w:t>Advanced Power Strip Research Report</w:t>
      </w:r>
      <w:r w:rsidR="00FB056C" w:rsidRPr="00FB056C">
        <w:rPr>
          <w:sz w:val="18"/>
          <w:szCs w:val="18"/>
        </w:rPr>
        <w:t>”)) and half during standby hours (8760-1936 = 6824 hours). The weighted average is 4380.</w:t>
      </w:r>
    </w:p>
  </w:footnote>
  <w:footnote w:id="8">
    <w:p w:rsidR="008B7A90" w:rsidRPr="00FB056C" w:rsidRDefault="008B7A90" w:rsidP="008B7A90">
      <w:pPr>
        <w:pStyle w:val="Footnote"/>
        <w:rPr>
          <w:sz w:val="18"/>
          <w:szCs w:val="18"/>
        </w:rPr>
      </w:pPr>
      <w:r w:rsidRPr="00FB056C">
        <w:rPr>
          <w:rStyle w:val="FootnoteReference"/>
          <w:rFonts w:asciiTheme="minorHAnsi" w:eastAsia="Calibri" w:hAnsiTheme="minorHAnsi"/>
          <w:sz w:val="18"/>
          <w:szCs w:val="18"/>
        </w:rPr>
        <w:footnoteRef/>
      </w:r>
      <w:r w:rsidRPr="00FB056C">
        <w:rPr>
          <w:sz w:val="18"/>
          <w:szCs w:val="18"/>
        </w:rPr>
        <w:t xml:space="preserve"> </w:t>
      </w:r>
      <w:r w:rsidR="00FB056C" w:rsidRPr="00FB056C">
        <w:rPr>
          <w:sz w:val="18"/>
          <w:szCs w:val="18"/>
        </w:rPr>
        <w:t>I</w:t>
      </w:r>
      <w:r w:rsidRPr="00FB056C">
        <w:rPr>
          <w:sz w:val="18"/>
          <w:szCs w:val="18"/>
        </w:rPr>
        <w:t>n the absence of empirical evaluation data, this was based on assumptions of the typical run pattern for televisions and computers in homes.</w:t>
      </w:r>
    </w:p>
  </w:footnote>
  <w:footnote w:id="9">
    <w:p w:rsidR="00A7055C" w:rsidRDefault="00A7055C" w:rsidP="00AF4D0D">
      <w:r w:rsidRPr="00FB056C">
        <w:rPr>
          <w:rStyle w:val="FootnoteReference"/>
          <w:rFonts w:asciiTheme="minorHAnsi" w:hAnsiTheme="minorHAnsi"/>
          <w:sz w:val="18"/>
          <w:szCs w:val="18"/>
        </w:rPr>
        <w:footnoteRef/>
      </w:r>
      <w:r w:rsidRPr="00FB056C">
        <w:rPr>
          <w:sz w:val="18"/>
          <w:szCs w:val="18"/>
        </w:rPr>
        <w:t xml:space="preserve"> </w:t>
      </w:r>
      <w:proofErr w:type="gramStart"/>
      <w:r w:rsidRPr="00FB056C">
        <w:rPr>
          <w:rFonts w:cs="Calibri"/>
          <w:sz w:val="18"/>
          <w:szCs w:val="18"/>
        </w:rPr>
        <w:t>Interactive effects of Tier 2 APS on space conditioning loads has</w:t>
      </w:r>
      <w:proofErr w:type="gramEnd"/>
      <w:r w:rsidRPr="00FB056C">
        <w:rPr>
          <w:rFonts w:cs="Calibri"/>
          <w:sz w:val="18"/>
          <w:szCs w:val="18"/>
        </w:rPr>
        <w:t xml:space="preserve"> not yet been adequately studied</w:t>
      </w:r>
      <w:r w:rsidR="00423E34">
        <w:rPr>
          <w:rFonts w:cs="Calibri"/>
          <w:sz w:val="18"/>
          <w:szCs w:val="18"/>
        </w:rPr>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0A4" w:rsidRPr="009F3C46" w:rsidRDefault="002E70A4" w:rsidP="002E70A4">
    <w:pPr>
      <w:pStyle w:val="HeaderIL"/>
      <w:pBdr>
        <w:bottom w:val="single" w:sz="4" w:space="2" w:color="auto"/>
      </w:pBdr>
    </w:pPr>
    <w:r w:rsidRPr="009F3C46">
      <w:t xml:space="preserve">Illinois Statewide Technical Reference Manual </w:t>
    </w:r>
    <w:r>
      <w:t>–</w:t>
    </w:r>
    <w:r w:rsidRPr="009F3C46">
      <w:t xml:space="preserve"> </w:t>
    </w:r>
    <w:r>
      <w:fldChar w:fldCharType="begin"/>
    </w:r>
    <w:r>
      <w:instrText xml:space="preserve"> REF _Ref353865763 \r \h </w:instrText>
    </w:r>
    <w:r>
      <w:fldChar w:fldCharType="separate"/>
    </w:r>
    <w:r>
      <w:fldChar w:fldCharType="end"/>
    </w:r>
    <w:r>
      <w:t xml:space="preserve"> </w:t>
    </w:r>
    <w:r>
      <w:t>Tier 2 Advanced Power Strips (APS) – Residential Audio Visual</w:t>
    </w:r>
  </w:p>
  <w:p w:rsidR="002E70A4" w:rsidRDefault="002E70A4">
    <w:pPr>
      <w:pStyle w:val="Header"/>
    </w:pPr>
  </w:p>
  <w:p w:rsidR="002E70A4" w:rsidRDefault="002E70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44645"/>
    <w:multiLevelType w:val="hybridMultilevel"/>
    <w:tmpl w:val="275659F6"/>
    <w:lvl w:ilvl="0" w:tplc="A52C18B4">
      <w:start w:val="1"/>
      <w:numFmt w:val="bullet"/>
      <w:lvlText w:val="•"/>
      <w:lvlJc w:val="left"/>
      <w:pPr>
        <w:tabs>
          <w:tab w:val="num" w:pos="720"/>
        </w:tabs>
        <w:ind w:left="720" w:hanging="360"/>
      </w:pPr>
      <w:rPr>
        <w:rFonts w:ascii="Arial" w:hAnsi="Arial" w:hint="default"/>
      </w:rPr>
    </w:lvl>
    <w:lvl w:ilvl="1" w:tplc="334E94F4">
      <w:start w:val="1316"/>
      <w:numFmt w:val="bullet"/>
      <w:lvlText w:val="–"/>
      <w:lvlJc w:val="left"/>
      <w:pPr>
        <w:tabs>
          <w:tab w:val="num" w:pos="1440"/>
        </w:tabs>
        <w:ind w:left="1440" w:hanging="360"/>
      </w:pPr>
      <w:rPr>
        <w:rFonts w:ascii="Arial" w:hAnsi="Arial" w:hint="default"/>
      </w:rPr>
    </w:lvl>
    <w:lvl w:ilvl="2" w:tplc="C75E03C8" w:tentative="1">
      <w:start w:val="1"/>
      <w:numFmt w:val="bullet"/>
      <w:lvlText w:val="•"/>
      <w:lvlJc w:val="left"/>
      <w:pPr>
        <w:tabs>
          <w:tab w:val="num" w:pos="2160"/>
        </w:tabs>
        <w:ind w:left="2160" w:hanging="360"/>
      </w:pPr>
      <w:rPr>
        <w:rFonts w:ascii="Arial" w:hAnsi="Arial" w:hint="default"/>
      </w:rPr>
    </w:lvl>
    <w:lvl w:ilvl="3" w:tplc="5E844CA2" w:tentative="1">
      <w:start w:val="1"/>
      <w:numFmt w:val="bullet"/>
      <w:lvlText w:val="•"/>
      <w:lvlJc w:val="left"/>
      <w:pPr>
        <w:tabs>
          <w:tab w:val="num" w:pos="2880"/>
        </w:tabs>
        <w:ind w:left="2880" w:hanging="360"/>
      </w:pPr>
      <w:rPr>
        <w:rFonts w:ascii="Arial" w:hAnsi="Arial" w:hint="default"/>
      </w:rPr>
    </w:lvl>
    <w:lvl w:ilvl="4" w:tplc="4A806E60" w:tentative="1">
      <w:start w:val="1"/>
      <w:numFmt w:val="bullet"/>
      <w:lvlText w:val="•"/>
      <w:lvlJc w:val="left"/>
      <w:pPr>
        <w:tabs>
          <w:tab w:val="num" w:pos="3600"/>
        </w:tabs>
        <w:ind w:left="3600" w:hanging="360"/>
      </w:pPr>
      <w:rPr>
        <w:rFonts w:ascii="Arial" w:hAnsi="Arial" w:hint="default"/>
      </w:rPr>
    </w:lvl>
    <w:lvl w:ilvl="5" w:tplc="B1F0E664" w:tentative="1">
      <w:start w:val="1"/>
      <w:numFmt w:val="bullet"/>
      <w:lvlText w:val="•"/>
      <w:lvlJc w:val="left"/>
      <w:pPr>
        <w:tabs>
          <w:tab w:val="num" w:pos="4320"/>
        </w:tabs>
        <w:ind w:left="4320" w:hanging="360"/>
      </w:pPr>
      <w:rPr>
        <w:rFonts w:ascii="Arial" w:hAnsi="Arial" w:hint="default"/>
      </w:rPr>
    </w:lvl>
    <w:lvl w:ilvl="6" w:tplc="14F8C9B2" w:tentative="1">
      <w:start w:val="1"/>
      <w:numFmt w:val="bullet"/>
      <w:lvlText w:val="•"/>
      <w:lvlJc w:val="left"/>
      <w:pPr>
        <w:tabs>
          <w:tab w:val="num" w:pos="5040"/>
        </w:tabs>
        <w:ind w:left="5040" w:hanging="360"/>
      </w:pPr>
      <w:rPr>
        <w:rFonts w:ascii="Arial" w:hAnsi="Arial" w:hint="default"/>
      </w:rPr>
    </w:lvl>
    <w:lvl w:ilvl="7" w:tplc="4984B3DE" w:tentative="1">
      <w:start w:val="1"/>
      <w:numFmt w:val="bullet"/>
      <w:lvlText w:val="•"/>
      <w:lvlJc w:val="left"/>
      <w:pPr>
        <w:tabs>
          <w:tab w:val="num" w:pos="5760"/>
        </w:tabs>
        <w:ind w:left="5760" w:hanging="360"/>
      </w:pPr>
      <w:rPr>
        <w:rFonts w:ascii="Arial" w:hAnsi="Arial" w:hint="default"/>
      </w:rPr>
    </w:lvl>
    <w:lvl w:ilvl="8" w:tplc="F3C464CC" w:tentative="1">
      <w:start w:val="1"/>
      <w:numFmt w:val="bullet"/>
      <w:lvlText w:val="•"/>
      <w:lvlJc w:val="left"/>
      <w:pPr>
        <w:tabs>
          <w:tab w:val="num" w:pos="6480"/>
        </w:tabs>
        <w:ind w:left="6480" w:hanging="360"/>
      </w:pPr>
      <w:rPr>
        <w:rFonts w:ascii="Arial" w:hAnsi="Arial" w:hint="default"/>
      </w:rPr>
    </w:lvl>
  </w:abstractNum>
  <w:abstractNum w:abstractNumId="1">
    <w:nsid w:val="0F1676A4"/>
    <w:multiLevelType w:val="hybridMultilevel"/>
    <w:tmpl w:val="80D01CDC"/>
    <w:lvl w:ilvl="0" w:tplc="73F89390">
      <w:start w:val="1"/>
      <w:numFmt w:val="bullet"/>
      <w:lvlText w:val="•"/>
      <w:lvlJc w:val="left"/>
      <w:pPr>
        <w:tabs>
          <w:tab w:val="num" w:pos="720"/>
        </w:tabs>
        <w:ind w:left="720" w:hanging="360"/>
      </w:pPr>
      <w:rPr>
        <w:rFonts w:ascii="Arial" w:hAnsi="Arial" w:hint="default"/>
      </w:rPr>
    </w:lvl>
    <w:lvl w:ilvl="1" w:tplc="7FA2CBD8">
      <w:start w:val="1316"/>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2">
    <w:nsid w:val="1B473848"/>
    <w:multiLevelType w:val="hybridMultilevel"/>
    <w:tmpl w:val="DF44F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4255F3"/>
    <w:multiLevelType w:val="hybridMultilevel"/>
    <w:tmpl w:val="3F3A037E"/>
    <w:lvl w:ilvl="0" w:tplc="84BEFA48">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E1B80CF6">
      <w:start w:val="1339"/>
      <w:numFmt w:val="bullet"/>
      <w:lvlText w:val=""/>
      <w:lvlJc w:val="left"/>
      <w:pPr>
        <w:tabs>
          <w:tab w:val="num" w:pos="1800"/>
        </w:tabs>
        <w:ind w:left="1800" w:hanging="360"/>
      </w:pPr>
      <w:rPr>
        <w:rFonts w:ascii="Wingdings" w:hAnsi="Wingdings" w:hint="default"/>
      </w:rPr>
    </w:lvl>
    <w:lvl w:ilvl="3" w:tplc="8A729BF0" w:tentative="1">
      <w:start w:val="1"/>
      <w:numFmt w:val="bullet"/>
      <w:lvlText w:val=""/>
      <w:lvlJc w:val="left"/>
      <w:pPr>
        <w:tabs>
          <w:tab w:val="num" w:pos="2520"/>
        </w:tabs>
        <w:ind w:left="2520" w:hanging="360"/>
      </w:pPr>
      <w:rPr>
        <w:rFonts w:ascii="Wingdings" w:hAnsi="Wingdings" w:hint="default"/>
      </w:rPr>
    </w:lvl>
    <w:lvl w:ilvl="4" w:tplc="EC08A082" w:tentative="1">
      <w:start w:val="1"/>
      <w:numFmt w:val="bullet"/>
      <w:lvlText w:val=""/>
      <w:lvlJc w:val="left"/>
      <w:pPr>
        <w:tabs>
          <w:tab w:val="num" w:pos="3240"/>
        </w:tabs>
        <w:ind w:left="3240" w:hanging="360"/>
      </w:pPr>
      <w:rPr>
        <w:rFonts w:ascii="Wingdings" w:hAnsi="Wingdings" w:hint="default"/>
      </w:rPr>
    </w:lvl>
    <w:lvl w:ilvl="5" w:tplc="3E8AA396" w:tentative="1">
      <w:start w:val="1"/>
      <w:numFmt w:val="bullet"/>
      <w:lvlText w:val=""/>
      <w:lvlJc w:val="left"/>
      <w:pPr>
        <w:tabs>
          <w:tab w:val="num" w:pos="3960"/>
        </w:tabs>
        <w:ind w:left="3960" w:hanging="360"/>
      </w:pPr>
      <w:rPr>
        <w:rFonts w:ascii="Wingdings" w:hAnsi="Wingdings" w:hint="default"/>
      </w:rPr>
    </w:lvl>
    <w:lvl w:ilvl="6" w:tplc="64F45EBA" w:tentative="1">
      <w:start w:val="1"/>
      <w:numFmt w:val="bullet"/>
      <w:lvlText w:val=""/>
      <w:lvlJc w:val="left"/>
      <w:pPr>
        <w:tabs>
          <w:tab w:val="num" w:pos="4680"/>
        </w:tabs>
        <w:ind w:left="4680" w:hanging="360"/>
      </w:pPr>
      <w:rPr>
        <w:rFonts w:ascii="Wingdings" w:hAnsi="Wingdings" w:hint="default"/>
      </w:rPr>
    </w:lvl>
    <w:lvl w:ilvl="7" w:tplc="630052D6" w:tentative="1">
      <w:start w:val="1"/>
      <w:numFmt w:val="bullet"/>
      <w:lvlText w:val=""/>
      <w:lvlJc w:val="left"/>
      <w:pPr>
        <w:tabs>
          <w:tab w:val="num" w:pos="5400"/>
        </w:tabs>
        <w:ind w:left="5400" w:hanging="360"/>
      </w:pPr>
      <w:rPr>
        <w:rFonts w:ascii="Wingdings" w:hAnsi="Wingdings" w:hint="default"/>
      </w:rPr>
    </w:lvl>
    <w:lvl w:ilvl="8" w:tplc="4024328E" w:tentative="1">
      <w:start w:val="1"/>
      <w:numFmt w:val="bullet"/>
      <w:lvlText w:val=""/>
      <w:lvlJc w:val="left"/>
      <w:pPr>
        <w:tabs>
          <w:tab w:val="num" w:pos="6120"/>
        </w:tabs>
        <w:ind w:left="6120" w:hanging="360"/>
      </w:pPr>
      <w:rPr>
        <w:rFonts w:ascii="Wingdings" w:hAnsi="Wingdings" w:hint="default"/>
      </w:rPr>
    </w:lvl>
  </w:abstractNum>
  <w:abstractNum w:abstractNumId="4">
    <w:nsid w:val="56FB2BDD"/>
    <w:multiLevelType w:val="hybridMultilevel"/>
    <w:tmpl w:val="F17CB55C"/>
    <w:lvl w:ilvl="0" w:tplc="73F89390">
      <w:start w:val="1"/>
      <w:numFmt w:val="bullet"/>
      <w:lvlText w:val="•"/>
      <w:lvlJc w:val="left"/>
      <w:pPr>
        <w:tabs>
          <w:tab w:val="num" w:pos="720"/>
        </w:tabs>
        <w:ind w:left="720" w:hanging="360"/>
      </w:pPr>
      <w:rPr>
        <w:rFonts w:ascii="Arial" w:hAnsi="Arial" w:hint="default"/>
      </w:rPr>
    </w:lvl>
    <w:lvl w:ilvl="1" w:tplc="73F89390">
      <w:start w:val="1"/>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5">
    <w:nsid w:val="6C291DE1"/>
    <w:multiLevelType w:val="hybridMultilevel"/>
    <w:tmpl w:val="F39A1A7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
    <w:nsid w:val="72D244BD"/>
    <w:multiLevelType w:val="hybridMultilevel"/>
    <w:tmpl w:val="A3D0D81C"/>
    <w:lvl w:ilvl="0" w:tplc="73F89390">
      <w:start w:val="1"/>
      <w:numFmt w:val="bullet"/>
      <w:lvlText w:val="•"/>
      <w:lvlJc w:val="left"/>
      <w:pPr>
        <w:tabs>
          <w:tab w:val="num" w:pos="720"/>
        </w:tabs>
        <w:ind w:left="720" w:hanging="360"/>
      </w:pPr>
      <w:rPr>
        <w:rFonts w:ascii="Arial" w:hAnsi="Arial" w:hint="default"/>
      </w:rPr>
    </w:lvl>
    <w:lvl w:ilvl="1" w:tplc="73F89390">
      <w:start w:val="1"/>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5"/>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A90"/>
    <w:rsid w:val="00046C6E"/>
    <w:rsid w:val="000D6338"/>
    <w:rsid w:val="001245A2"/>
    <w:rsid w:val="0019652D"/>
    <w:rsid w:val="002E70A4"/>
    <w:rsid w:val="00423E34"/>
    <w:rsid w:val="00463263"/>
    <w:rsid w:val="005428D9"/>
    <w:rsid w:val="00641BB0"/>
    <w:rsid w:val="00827253"/>
    <w:rsid w:val="0084176C"/>
    <w:rsid w:val="008A322F"/>
    <w:rsid w:val="008B7A90"/>
    <w:rsid w:val="00905D94"/>
    <w:rsid w:val="00A05D19"/>
    <w:rsid w:val="00A7055C"/>
    <w:rsid w:val="00A95679"/>
    <w:rsid w:val="00AF4D0D"/>
    <w:rsid w:val="00D5281E"/>
    <w:rsid w:val="00F70796"/>
    <w:rsid w:val="00FB0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90"/>
    <w:pPr>
      <w:widowControl w:val="0"/>
      <w:spacing w:after="240" w:line="240" w:lineRule="auto"/>
      <w:jc w:val="both"/>
    </w:pPr>
    <w:rPr>
      <w:rFonts w:eastAsia="Times New Roman" w:cs="Times New Roman"/>
      <w:sz w:val="20"/>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E70A4"/>
    <w:pPr>
      <w:spacing w:after="120" w:line="276" w:lineRule="auto"/>
      <w:ind w:right="-2880"/>
      <w:jc w:val="left"/>
      <w:outlineLvl w:val="2"/>
    </w:pPr>
    <w:rPr>
      <w:rFonts w:ascii="Calibri" w:eastAsiaTheme="minorEastAsia" w:hAnsi="Calibri"/>
      <w:bCs/>
      <w:sz w:val="24"/>
      <w:szCs w:val="24"/>
    </w:rPr>
  </w:style>
  <w:style w:type="paragraph" w:styleId="Heading6">
    <w:name w:val="heading 6"/>
    <w:basedOn w:val="Normal"/>
    <w:next w:val="Normal"/>
    <w:link w:val="Heading6Char"/>
    <w:autoRedefine/>
    <w:uiPriority w:val="99"/>
    <w:qFormat/>
    <w:rsid w:val="00FB056C"/>
    <w:pPr>
      <w:keepNext/>
      <w:keepLines/>
      <w:spacing w:before="120" w:after="120" w:line="276" w:lineRule="auto"/>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FB056C"/>
    <w:rPr>
      <w:rFonts w:eastAsiaTheme="majorEastAsia" w:cs="Times New Roman"/>
      <w:b/>
      <w:smallCaps/>
      <w:sz w:val="20"/>
    </w:rPr>
  </w:style>
  <w:style w:type="table" w:styleId="TableGrid">
    <w:name w:val="Table Grid"/>
    <w:basedOn w:val="TableNormal"/>
    <w:uiPriority w:val="59"/>
    <w:rsid w:val="008B7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8B7A90"/>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8B7A90"/>
    <w:rPr>
      <w:rFonts w:eastAsia="Times New Roman" w:cs="Times New Roman"/>
      <w:sz w:val="20"/>
    </w:rPr>
  </w:style>
  <w:style w:type="character" w:styleId="FootnoteReference">
    <w:name w:val="footnote reference"/>
    <w:aliases w:val="Footnote_Reference,o,fr"/>
    <w:uiPriority w:val="99"/>
    <w:qFormat/>
    <w:rsid w:val="008B7A90"/>
    <w:rPr>
      <w:rFonts w:ascii="Arial" w:hAnsi="Arial" w:cs="Times New Roman"/>
      <w:sz w:val="20"/>
      <w:vertAlign w:val="superscript"/>
    </w:rPr>
  </w:style>
  <w:style w:type="character" w:styleId="Hyperlink">
    <w:name w:val="Hyperlink"/>
    <w:uiPriority w:val="99"/>
    <w:rsid w:val="008B7A90"/>
    <w:rPr>
      <w:rFonts w:cs="Times New Roman"/>
      <w:color w:val="0000FF"/>
      <w:u w:val="single"/>
    </w:rPr>
  </w:style>
  <w:style w:type="paragraph" w:styleId="ListParagraph">
    <w:name w:val="List Paragraph"/>
    <w:aliases w:val="TT - List Paragraph"/>
    <w:basedOn w:val="Normal"/>
    <w:link w:val="ListParagraphChar"/>
    <w:uiPriority w:val="34"/>
    <w:qFormat/>
    <w:rsid w:val="008B7A90"/>
    <w:pPr>
      <w:ind w:left="720"/>
      <w:contextualSpacing/>
    </w:pPr>
  </w:style>
  <w:style w:type="paragraph" w:styleId="Caption">
    <w:name w:val="caption"/>
    <w:aliases w:val="Footnotes,Table Caption,Char"/>
    <w:basedOn w:val="Normal"/>
    <w:next w:val="Normal"/>
    <w:link w:val="CaptionChar"/>
    <w:autoRedefine/>
    <w:qFormat/>
    <w:rsid w:val="008B7A90"/>
    <w:pPr>
      <w:keepNext/>
      <w:tabs>
        <w:tab w:val="left" w:pos="1152"/>
      </w:tabs>
      <w:spacing w:after="0"/>
      <w:jc w:val="center"/>
    </w:pPr>
    <w:rPr>
      <w:rFonts w:asciiTheme="majorHAnsi" w:hAnsiTheme="majorHAnsi"/>
      <w:b/>
      <w:sz w:val="28"/>
      <w:szCs w:val="28"/>
      <w:vertAlign w:val="superscript"/>
    </w:rPr>
  </w:style>
  <w:style w:type="character" w:customStyle="1" w:styleId="CaptionChar">
    <w:name w:val="Caption Char"/>
    <w:aliases w:val="Footnotes Char,Table Caption Char,Char Char"/>
    <w:link w:val="Caption"/>
    <w:locked/>
    <w:rsid w:val="008B7A90"/>
    <w:rPr>
      <w:rFonts w:asciiTheme="majorHAnsi" w:eastAsia="Times New Roman" w:hAnsiTheme="majorHAnsi" w:cs="Times New Roman"/>
      <w:b/>
      <w:sz w:val="28"/>
      <w:szCs w:val="28"/>
      <w:vertAlign w:val="superscript"/>
    </w:rPr>
  </w:style>
  <w:style w:type="paragraph" w:customStyle="1" w:styleId="Footnote">
    <w:name w:val="Footnote"/>
    <w:basedOn w:val="Normal"/>
    <w:link w:val="FootnoteChar"/>
    <w:autoRedefine/>
    <w:qFormat/>
    <w:rsid w:val="008B7A90"/>
    <w:pPr>
      <w:spacing w:after="0"/>
      <w:jc w:val="left"/>
    </w:pPr>
    <w:rPr>
      <w:rFonts w:cstheme="minorHAnsi"/>
      <w:szCs w:val="20"/>
    </w:rPr>
  </w:style>
  <w:style w:type="character" w:customStyle="1" w:styleId="FootnoteChar">
    <w:name w:val="Footnote Char"/>
    <w:basedOn w:val="DefaultParagraphFont"/>
    <w:link w:val="Footnote"/>
    <w:rsid w:val="008B7A90"/>
    <w:rPr>
      <w:rFonts w:eastAsia="Times New Roman" w:cstheme="minorHAnsi"/>
      <w:sz w:val="20"/>
      <w:szCs w:val="20"/>
    </w:rPr>
  </w:style>
  <w:style w:type="paragraph" w:customStyle="1" w:styleId="AlgorithmHeading">
    <w:name w:val="Algorithm Heading"/>
    <w:basedOn w:val="Normal"/>
    <w:link w:val="AlgorithmHeadingChar"/>
    <w:qFormat/>
    <w:rsid w:val="008B7A9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8B7A90"/>
    <w:rPr>
      <w:rFonts w:eastAsia="Times New Roman" w:cstheme="minorHAnsi"/>
      <w:b/>
      <w:sz w:val="20"/>
      <w:szCs w:val="20"/>
    </w:rPr>
  </w:style>
  <w:style w:type="character" w:customStyle="1" w:styleId="ListParagraphChar">
    <w:name w:val="List Paragraph Char"/>
    <w:aliases w:val="TT - List Paragraph Char"/>
    <w:basedOn w:val="DefaultParagraphFont"/>
    <w:link w:val="ListParagraph"/>
    <w:uiPriority w:val="34"/>
    <w:locked/>
    <w:rsid w:val="008B7A90"/>
    <w:rPr>
      <w:rFonts w:eastAsia="Times New Roman" w:cs="Times New Roman"/>
      <w:sz w:val="20"/>
    </w:rPr>
  </w:style>
  <w:style w:type="paragraph" w:styleId="BalloonText">
    <w:name w:val="Balloon Text"/>
    <w:basedOn w:val="Normal"/>
    <w:link w:val="BalloonTextChar"/>
    <w:uiPriority w:val="99"/>
    <w:semiHidden/>
    <w:unhideWhenUsed/>
    <w:rsid w:val="008B7A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9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7055C"/>
    <w:rPr>
      <w:sz w:val="16"/>
      <w:szCs w:val="16"/>
    </w:rPr>
  </w:style>
  <w:style w:type="paragraph" w:styleId="CommentText">
    <w:name w:val="annotation text"/>
    <w:basedOn w:val="Normal"/>
    <w:link w:val="CommentTextChar"/>
    <w:uiPriority w:val="99"/>
    <w:semiHidden/>
    <w:unhideWhenUsed/>
    <w:rsid w:val="00A7055C"/>
    <w:rPr>
      <w:szCs w:val="20"/>
    </w:rPr>
  </w:style>
  <w:style w:type="character" w:customStyle="1" w:styleId="CommentTextChar">
    <w:name w:val="Comment Text Char"/>
    <w:basedOn w:val="DefaultParagraphFont"/>
    <w:link w:val="CommentText"/>
    <w:uiPriority w:val="99"/>
    <w:semiHidden/>
    <w:rsid w:val="00A7055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055C"/>
    <w:rPr>
      <w:b/>
      <w:bCs/>
    </w:rPr>
  </w:style>
  <w:style w:type="character" w:customStyle="1" w:styleId="CommentSubjectChar">
    <w:name w:val="Comment Subject Char"/>
    <w:basedOn w:val="CommentTextChar"/>
    <w:link w:val="CommentSubject"/>
    <w:uiPriority w:val="99"/>
    <w:semiHidden/>
    <w:rsid w:val="00A7055C"/>
    <w:rPr>
      <w:rFonts w:eastAsia="Times New Roman" w:cs="Times New Roman"/>
      <w:b/>
      <w:bCs/>
      <w:sz w:val="20"/>
      <w:szCs w:val="20"/>
    </w:rPr>
  </w:style>
  <w:style w:type="character" w:customStyle="1" w:styleId="Heading3Char">
    <w:name w:val="Heading 3 Char"/>
    <w:basedOn w:val="DefaultParagraphFont"/>
    <w:uiPriority w:val="9"/>
    <w:semiHidden/>
    <w:rsid w:val="002E70A4"/>
    <w:rPr>
      <w:rFonts w:asciiTheme="majorHAnsi" w:eastAsiaTheme="majorEastAsia" w:hAnsiTheme="majorHAnsi" w:cstheme="majorBidi"/>
      <w:b/>
      <w:bCs/>
      <w:color w:val="4F81BD" w:themeColor="accent1"/>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2E70A4"/>
    <w:rPr>
      <w:rFonts w:ascii="Calibri" w:eastAsiaTheme="minorEastAsia" w:hAnsi="Calibri" w:cs="Times New Roman"/>
      <w:bCs/>
      <w:sz w:val="24"/>
      <w:szCs w:val="24"/>
    </w:rPr>
  </w:style>
  <w:style w:type="paragraph" w:styleId="Header">
    <w:name w:val="header"/>
    <w:basedOn w:val="Normal"/>
    <w:link w:val="HeaderChar"/>
    <w:uiPriority w:val="99"/>
    <w:unhideWhenUsed/>
    <w:rsid w:val="002E70A4"/>
    <w:pPr>
      <w:tabs>
        <w:tab w:val="center" w:pos="4680"/>
        <w:tab w:val="right" w:pos="9360"/>
      </w:tabs>
      <w:spacing w:after="0"/>
    </w:pPr>
  </w:style>
  <w:style w:type="character" w:customStyle="1" w:styleId="HeaderChar">
    <w:name w:val="Header Char"/>
    <w:basedOn w:val="DefaultParagraphFont"/>
    <w:link w:val="Header"/>
    <w:uiPriority w:val="99"/>
    <w:rsid w:val="002E70A4"/>
    <w:rPr>
      <w:rFonts w:eastAsia="Times New Roman" w:cs="Times New Roman"/>
      <w:sz w:val="20"/>
    </w:rPr>
  </w:style>
  <w:style w:type="paragraph" w:styleId="Footer">
    <w:name w:val="footer"/>
    <w:basedOn w:val="Normal"/>
    <w:link w:val="FooterChar"/>
    <w:uiPriority w:val="99"/>
    <w:unhideWhenUsed/>
    <w:rsid w:val="002E70A4"/>
    <w:pPr>
      <w:tabs>
        <w:tab w:val="center" w:pos="4680"/>
        <w:tab w:val="right" w:pos="9360"/>
      </w:tabs>
      <w:spacing w:after="0"/>
    </w:pPr>
  </w:style>
  <w:style w:type="character" w:customStyle="1" w:styleId="FooterChar">
    <w:name w:val="Footer Char"/>
    <w:basedOn w:val="DefaultParagraphFont"/>
    <w:link w:val="Footer"/>
    <w:uiPriority w:val="99"/>
    <w:rsid w:val="002E70A4"/>
    <w:rPr>
      <w:rFonts w:eastAsia="Times New Roman" w:cs="Times New Roman"/>
      <w:sz w:val="20"/>
    </w:rPr>
  </w:style>
  <w:style w:type="paragraph" w:customStyle="1" w:styleId="HeaderIL">
    <w:name w:val="Header IL"/>
    <w:basedOn w:val="Header"/>
    <w:link w:val="HeaderILChar"/>
    <w:qFormat/>
    <w:rsid w:val="002E70A4"/>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E70A4"/>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90"/>
    <w:pPr>
      <w:widowControl w:val="0"/>
      <w:spacing w:after="240" w:line="240" w:lineRule="auto"/>
      <w:jc w:val="both"/>
    </w:pPr>
    <w:rPr>
      <w:rFonts w:eastAsia="Times New Roman" w:cs="Times New Roman"/>
      <w:sz w:val="20"/>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E70A4"/>
    <w:pPr>
      <w:spacing w:after="120" w:line="276" w:lineRule="auto"/>
      <w:ind w:right="-2880"/>
      <w:jc w:val="left"/>
      <w:outlineLvl w:val="2"/>
    </w:pPr>
    <w:rPr>
      <w:rFonts w:ascii="Calibri" w:eastAsiaTheme="minorEastAsia" w:hAnsi="Calibri"/>
      <w:bCs/>
      <w:sz w:val="24"/>
      <w:szCs w:val="24"/>
    </w:rPr>
  </w:style>
  <w:style w:type="paragraph" w:styleId="Heading6">
    <w:name w:val="heading 6"/>
    <w:basedOn w:val="Normal"/>
    <w:next w:val="Normal"/>
    <w:link w:val="Heading6Char"/>
    <w:autoRedefine/>
    <w:uiPriority w:val="99"/>
    <w:qFormat/>
    <w:rsid w:val="00FB056C"/>
    <w:pPr>
      <w:keepNext/>
      <w:keepLines/>
      <w:spacing w:before="120" w:after="120" w:line="276" w:lineRule="auto"/>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FB056C"/>
    <w:rPr>
      <w:rFonts w:eastAsiaTheme="majorEastAsia" w:cs="Times New Roman"/>
      <w:b/>
      <w:smallCaps/>
      <w:sz w:val="20"/>
    </w:rPr>
  </w:style>
  <w:style w:type="table" w:styleId="TableGrid">
    <w:name w:val="Table Grid"/>
    <w:basedOn w:val="TableNormal"/>
    <w:uiPriority w:val="59"/>
    <w:rsid w:val="008B7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8B7A90"/>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8B7A90"/>
    <w:rPr>
      <w:rFonts w:eastAsia="Times New Roman" w:cs="Times New Roman"/>
      <w:sz w:val="20"/>
    </w:rPr>
  </w:style>
  <w:style w:type="character" w:styleId="FootnoteReference">
    <w:name w:val="footnote reference"/>
    <w:aliases w:val="Footnote_Reference,o,fr"/>
    <w:uiPriority w:val="99"/>
    <w:qFormat/>
    <w:rsid w:val="008B7A90"/>
    <w:rPr>
      <w:rFonts w:ascii="Arial" w:hAnsi="Arial" w:cs="Times New Roman"/>
      <w:sz w:val="20"/>
      <w:vertAlign w:val="superscript"/>
    </w:rPr>
  </w:style>
  <w:style w:type="character" w:styleId="Hyperlink">
    <w:name w:val="Hyperlink"/>
    <w:uiPriority w:val="99"/>
    <w:rsid w:val="008B7A90"/>
    <w:rPr>
      <w:rFonts w:cs="Times New Roman"/>
      <w:color w:val="0000FF"/>
      <w:u w:val="single"/>
    </w:rPr>
  </w:style>
  <w:style w:type="paragraph" w:styleId="ListParagraph">
    <w:name w:val="List Paragraph"/>
    <w:aliases w:val="TT - List Paragraph"/>
    <w:basedOn w:val="Normal"/>
    <w:link w:val="ListParagraphChar"/>
    <w:uiPriority w:val="34"/>
    <w:qFormat/>
    <w:rsid w:val="008B7A90"/>
    <w:pPr>
      <w:ind w:left="720"/>
      <w:contextualSpacing/>
    </w:pPr>
  </w:style>
  <w:style w:type="paragraph" w:styleId="Caption">
    <w:name w:val="caption"/>
    <w:aliases w:val="Footnotes,Table Caption,Char"/>
    <w:basedOn w:val="Normal"/>
    <w:next w:val="Normal"/>
    <w:link w:val="CaptionChar"/>
    <w:autoRedefine/>
    <w:qFormat/>
    <w:rsid w:val="008B7A90"/>
    <w:pPr>
      <w:keepNext/>
      <w:tabs>
        <w:tab w:val="left" w:pos="1152"/>
      </w:tabs>
      <w:spacing w:after="0"/>
      <w:jc w:val="center"/>
    </w:pPr>
    <w:rPr>
      <w:rFonts w:asciiTheme="majorHAnsi" w:hAnsiTheme="majorHAnsi"/>
      <w:b/>
      <w:sz w:val="28"/>
      <w:szCs w:val="28"/>
      <w:vertAlign w:val="superscript"/>
    </w:rPr>
  </w:style>
  <w:style w:type="character" w:customStyle="1" w:styleId="CaptionChar">
    <w:name w:val="Caption Char"/>
    <w:aliases w:val="Footnotes Char,Table Caption Char,Char Char"/>
    <w:link w:val="Caption"/>
    <w:locked/>
    <w:rsid w:val="008B7A90"/>
    <w:rPr>
      <w:rFonts w:asciiTheme="majorHAnsi" w:eastAsia="Times New Roman" w:hAnsiTheme="majorHAnsi" w:cs="Times New Roman"/>
      <w:b/>
      <w:sz w:val="28"/>
      <w:szCs w:val="28"/>
      <w:vertAlign w:val="superscript"/>
    </w:rPr>
  </w:style>
  <w:style w:type="paragraph" w:customStyle="1" w:styleId="Footnote">
    <w:name w:val="Footnote"/>
    <w:basedOn w:val="Normal"/>
    <w:link w:val="FootnoteChar"/>
    <w:autoRedefine/>
    <w:qFormat/>
    <w:rsid w:val="008B7A90"/>
    <w:pPr>
      <w:spacing w:after="0"/>
      <w:jc w:val="left"/>
    </w:pPr>
    <w:rPr>
      <w:rFonts w:cstheme="minorHAnsi"/>
      <w:szCs w:val="20"/>
    </w:rPr>
  </w:style>
  <w:style w:type="character" w:customStyle="1" w:styleId="FootnoteChar">
    <w:name w:val="Footnote Char"/>
    <w:basedOn w:val="DefaultParagraphFont"/>
    <w:link w:val="Footnote"/>
    <w:rsid w:val="008B7A90"/>
    <w:rPr>
      <w:rFonts w:eastAsia="Times New Roman" w:cstheme="minorHAnsi"/>
      <w:sz w:val="20"/>
      <w:szCs w:val="20"/>
    </w:rPr>
  </w:style>
  <w:style w:type="paragraph" w:customStyle="1" w:styleId="AlgorithmHeading">
    <w:name w:val="Algorithm Heading"/>
    <w:basedOn w:val="Normal"/>
    <w:link w:val="AlgorithmHeadingChar"/>
    <w:qFormat/>
    <w:rsid w:val="008B7A9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8B7A90"/>
    <w:rPr>
      <w:rFonts w:eastAsia="Times New Roman" w:cstheme="minorHAnsi"/>
      <w:b/>
      <w:sz w:val="20"/>
      <w:szCs w:val="20"/>
    </w:rPr>
  </w:style>
  <w:style w:type="character" w:customStyle="1" w:styleId="ListParagraphChar">
    <w:name w:val="List Paragraph Char"/>
    <w:aliases w:val="TT - List Paragraph Char"/>
    <w:basedOn w:val="DefaultParagraphFont"/>
    <w:link w:val="ListParagraph"/>
    <w:uiPriority w:val="34"/>
    <w:locked/>
    <w:rsid w:val="008B7A90"/>
    <w:rPr>
      <w:rFonts w:eastAsia="Times New Roman" w:cs="Times New Roman"/>
      <w:sz w:val="20"/>
    </w:rPr>
  </w:style>
  <w:style w:type="paragraph" w:styleId="BalloonText">
    <w:name w:val="Balloon Text"/>
    <w:basedOn w:val="Normal"/>
    <w:link w:val="BalloonTextChar"/>
    <w:uiPriority w:val="99"/>
    <w:semiHidden/>
    <w:unhideWhenUsed/>
    <w:rsid w:val="008B7A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9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7055C"/>
    <w:rPr>
      <w:sz w:val="16"/>
      <w:szCs w:val="16"/>
    </w:rPr>
  </w:style>
  <w:style w:type="paragraph" w:styleId="CommentText">
    <w:name w:val="annotation text"/>
    <w:basedOn w:val="Normal"/>
    <w:link w:val="CommentTextChar"/>
    <w:uiPriority w:val="99"/>
    <w:semiHidden/>
    <w:unhideWhenUsed/>
    <w:rsid w:val="00A7055C"/>
    <w:rPr>
      <w:szCs w:val="20"/>
    </w:rPr>
  </w:style>
  <w:style w:type="character" w:customStyle="1" w:styleId="CommentTextChar">
    <w:name w:val="Comment Text Char"/>
    <w:basedOn w:val="DefaultParagraphFont"/>
    <w:link w:val="CommentText"/>
    <w:uiPriority w:val="99"/>
    <w:semiHidden/>
    <w:rsid w:val="00A7055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055C"/>
    <w:rPr>
      <w:b/>
      <w:bCs/>
    </w:rPr>
  </w:style>
  <w:style w:type="character" w:customStyle="1" w:styleId="CommentSubjectChar">
    <w:name w:val="Comment Subject Char"/>
    <w:basedOn w:val="CommentTextChar"/>
    <w:link w:val="CommentSubject"/>
    <w:uiPriority w:val="99"/>
    <w:semiHidden/>
    <w:rsid w:val="00A7055C"/>
    <w:rPr>
      <w:rFonts w:eastAsia="Times New Roman" w:cs="Times New Roman"/>
      <w:b/>
      <w:bCs/>
      <w:sz w:val="20"/>
      <w:szCs w:val="20"/>
    </w:rPr>
  </w:style>
  <w:style w:type="character" w:customStyle="1" w:styleId="Heading3Char">
    <w:name w:val="Heading 3 Char"/>
    <w:basedOn w:val="DefaultParagraphFont"/>
    <w:uiPriority w:val="9"/>
    <w:semiHidden/>
    <w:rsid w:val="002E70A4"/>
    <w:rPr>
      <w:rFonts w:asciiTheme="majorHAnsi" w:eastAsiaTheme="majorEastAsia" w:hAnsiTheme="majorHAnsi" w:cstheme="majorBidi"/>
      <w:b/>
      <w:bCs/>
      <w:color w:val="4F81BD" w:themeColor="accent1"/>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2E70A4"/>
    <w:rPr>
      <w:rFonts w:ascii="Calibri" w:eastAsiaTheme="minorEastAsia" w:hAnsi="Calibri" w:cs="Times New Roman"/>
      <w:bCs/>
      <w:sz w:val="24"/>
      <w:szCs w:val="24"/>
    </w:rPr>
  </w:style>
  <w:style w:type="paragraph" w:styleId="Header">
    <w:name w:val="header"/>
    <w:basedOn w:val="Normal"/>
    <w:link w:val="HeaderChar"/>
    <w:uiPriority w:val="99"/>
    <w:unhideWhenUsed/>
    <w:rsid w:val="002E70A4"/>
    <w:pPr>
      <w:tabs>
        <w:tab w:val="center" w:pos="4680"/>
        <w:tab w:val="right" w:pos="9360"/>
      </w:tabs>
      <w:spacing w:after="0"/>
    </w:pPr>
  </w:style>
  <w:style w:type="character" w:customStyle="1" w:styleId="HeaderChar">
    <w:name w:val="Header Char"/>
    <w:basedOn w:val="DefaultParagraphFont"/>
    <w:link w:val="Header"/>
    <w:uiPriority w:val="99"/>
    <w:rsid w:val="002E70A4"/>
    <w:rPr>
      <w:rFonts w:eastAsia="Times New Roman" w:cs="Times New Roman"/>
      <w:sz w:val="20"/>
    </w:rPr>
  </w:style>
  <w:style w:type="paragraph" w:styleId="Footer">
    <w:name w:val="footer"/>
    <w:basedOn w:val="Normal"/>
    <w:link w:val="FooterChar"/>
    <w:uiPriority w:val="99"/>
    <w:unhideWhenUsed/>
    <w:rsid w:val="002E70A4"/>
    <w:pPr>
      <w:tabs>
        <w:tab w:val="center" w:pos="4680"/>
        <w:tab w:val="right" w:pos="9360"/>
      </w:tabs>
      <w:spacing w:after="0"/>
    </w:pPr>
  </w:style>
  <w:style w:type="character" w:customStyle="1" w:styleId="FooterChar">
    <w:name w:val="Footer Char"/>
    <w:basedOn w:val="DefaultParagraphFont"/>
    <w:link w:val="Footer"/>
    <w:uiPriority w:val="99"/>
    <w:rsid w:val="002E70A4"/>
    <w:rPr>
      <w:rFonts w:eastAsia="Times New Roman" w:cs="Times New Roman"/>
      <w:sz w:val="20"/>
    </w:rPr>
  </w:style>
  <w:style w:type="paragraph" w:customStyle="1" w:styleId="HeaderIL">
    <w:name w:val="Header IL"/>
    <w:basedOn w:val="Header"/>
    <w:link w:val="HeaderILChar"/>
    <w:qFormat/>
    <w:rsid w:val="002E70A4"/>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E70A4"/>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521961">
      <w:bodyDiv w:val="1"/>
      <w:marLeft w:val="0"/>
      <w:marRight w:val="0"/>
      <w:marTop w:val="0"/>
      <w:marBottom w:val="0"/>
      <w:divBdr>
        <w:top w:val="none" w:sz="0" w:space="0" w:color="auto"/>
        <w:left w:val="none" w:sz="0" w:space="0" w:color="auto"/>
        <w:bottom w:val="none" w:sz="0" w:space="0" w:color="auto"/>
        <w:right w:val="none" w:sz="0" w:space="0" w:color="auto"/>
      </w:divBdr>
      <w:divsChild>
        <w:div w:id="1476558441">
          <w:marLeft w:val="547"/>
          <w:marRight w:val="0"/>
          <w:marTop w:val="86"/>
          <w:marBottom w:val="0"/>
          <w:divBdr>
            <w:top w:val="none" w:sz="0" w:space="0" w:color="auto"/>
            <w:left w:val="none" w:sz="0" w:space="0" w:color="auto"/>
            <w:bottom w:val="none" w:sz="0" w:space="0" w:color="auto"/>
            <w:right w:val="none" w:sz="0" w:space="0" w:color="auto"/>
          </w:divBdr>
        </w:div>
        <w:div w:id="1388381637">
          <w:marLeft w:val="1166"/>
          <w:marRight w:val="0"/>
          <w:marTop w:val="86"/>
          <w:marBottom w:val="0"/>
          <w:divBdr>
            <w:top w:val="none" w:sz="0" w:space="0" w:color="auto"/>
            <w:left w:val="none" w:sz="0" w:space="0" w:color="auto"/>
            <w:bottom w:val="none" w:sz="0" w:space="0" w:color="auto"/>
            <w:right w:val="none" w:sz="0" w:space="0" w:color="auto"/>
          </w:divBdr>
        </w:div>
        <w:div w:id="1117025169">
          <w:marLeft w:val="1166"/>
          <w:marRight w:val="0"/>
          <w:marTop w:val="86"/>
          <w:marBottom w:val="0"/>
          <w:divBdr>
            <w:top w:val="none" w:sz="0" w:space="0" w:color="auto"/>
            <w:left w:val="none" w:sz="0" w:space="0" w:color="auto"/>
            <w:bottom w:val="none" w:sz="0" w:space="0" w:color="auto"/>
            <w:right w:val="none" w:sz="0" w:space="0" w:color="auto"/>
          </w:divBdr>
        </w:div>
        <w:div w:id="822965109">
          <w:marLeft w:val="1166"/>
          <w:marRight w:val="0"/>
          <w:marTop w:val="86"/>
          <w:marBottom w:val="0"/>
          <w:divBdr>
            <w:top w:val="none" w:sz="0" w:space="0" w:color="auto"/>
            <w:left w:val="none" w:sz="0" w:space="0" w:color="auto"/>
            <w:bottom w:val="none" w:sz="0" w:space="0" w:color="auto"/>
            <w:right w:val="none" w:sz="0" w:space="0" w:color="auto"/>
          </w:divBdr>
        </w:div>
        <w:div w:id="877744512">
          <w:marLeft w:val="1166"/>
          <w:marRight w:val="0"/>
          <w:marTop w:val="86"/>
          <w:marBottom w:val="0"/>
          <w:divBdr>
            <w:top w:val="none" w:sz="0" w:space="0" w:color="auto"/>
            <w:left w:val="none" w:sz="0" w:space="0" w:color="auto"/>
            <w:bottom w:val="none" w:sz="0" w:space="0" w:color="auto"/>
            <w:right w:val="none" w:sz="0" w:space="0" w:color="auto"/>
          </w:divBdr>
        </w:div>
        <w:div w:id="2062051745">
          <w:marLeft w:val="1166"/>
          <w:marRight w:val="0"/>
          <w:marTop w:val="86"/>
          <w:marBottom w:val="0"/>
          <w:divBdr>
            <w:top w:val="none" w:sz="0" w:space="0" w:color="auto"/>
            <w:left w:val="none" w:sz="0" w:space="0" w:color="auto"/>
            <w:bottom w:val="none" w:sz="0" w:space="0" w:color="auto"/>
            <w:right w:val="none" w:sz="0" w:space="0" w:color="auto"/>
          </w:divBdr>
        </w:div>
        <w:div w:id="1002007985">
          <w:marLeft w:val="1166"/>
          <w:marRight w:val="0"/>
          <w:marTop w:val="86"/>
          <w:marBottom w:val="0"/>
          <w:divBdr>
            <w:top w:val="none" w:sz="0" w:space="0" w:color="auto"/>
            <w:left w:val="none" w:sz="0" w:space="0" w:color="auto"/>
            <w:bottom w:val="none" w:sz="0" w:space="0" w:color="auto"/>
            <w:right w:val="none" w:sz="0" w:space="0" w:color="auto"/>
          </w:divBdr>
        </w:div>
        <w:div w:id="1139885511">
          <w:marLeft w:val="1166"/>
          <w:marRight w:val="0"/>
          <w:marTop w:val="86"/>
          <w:marBottom w:val="0"/>
          <w:divBdr>
            <w:top w:val="none" w:sz="0" w:space="0" w:color="auto"/>
            <w:left w:val="none" w:sz="0" w:space="0" w:color="auto"/>
            <w:bottom w:val="none" w:sz="0" w:space="0" w:color="auto"/>
            <w:right w:val="none" w:sz="0" w:space="0" w:color="auto"/>
          </w:divBdr>
        </w:div>
      </w:divsChild>
    </w:div>
    <w:div w:id="470710651">
      <w:bodyDiv w:val="1"/>
      <w:marLeft w:val="0"/>
      <w:marRight w:val="0"/>
      <w:marTop w:val="0"/>
      <w:marBottom w:val="0"/>
      <w:divBdr>
        <w:top w:val="none" w:sz="0" w:space="0" w:color="auto"/>
        <w:left w:val="none" w:sz="0" w:space="0" w:color="auto"/>
        <w:bottom w:val="none" w:sz="0" w:space="0" w:color="auto"/>
        <w:right w:val="none" w:sz="0" w:space="0" w:color="auto"/>
      </w:divBdr>
      <w:divsChild>
        <w:div w:id="784539050">
          <w:marLeft w:val="547"/>
          <w:marRight w:val="0"/>
          <w:marTop w:val="106"/>
          <w:marBottom w:val="0"/>
          <w:divBdr>
            <w:top w:val="none" w:sz="0" w:space="0" w:color="auto"/>
            <w:left w:val="none" w:sz="0" w:space="0" w:color="auto"/>
            <w:bottom w:val="none" w:sz="0" w:space="0" w:color="auto"/>
            <w:right w:val="none" w:sz="0" w:space="0" w:color="auto"/>
          </w:divBdr>
        </w:div>
        <w:div w:id="225603656">
          <w:marLeft w:val="1166"/>
          <w:marRight w:val="0"/>
          <w:marTop w:val="101"/>
          <w:marBottom w:val="0"/>
          <w:divBdr>
            <w:top w:val="none" w:sz="0" w:space="0" w:color="auto"/>
            <w:left w:val="none" w:sz="0" w:space="0" w:color="auto"/>
            <w:bottom w:val="none" w:sz="0" w:space="0" w:color="auto"/>
            <w:right w:val="none" w:sz="0" w:space="0" w:color="auto"/>
          </w:divBdr>
        </w:div>
        <w:div w:id="172457767">
          <w:marLeft w:val="1166"/>
          <w:marRight w:val="0"/>
          <w:marTop w:val="101"/>
          <w:marBottom w:val="0"/>
          <w:divBdr>
            <w:top w:val="none" w:sz="0" w:space="0" w:color="auto"/>
            <w:left w:val="none" w:sz="0" w:space="0" w:color="auto"/>
            <w:bottom w:val="none" w:sz="0" w:space="0" w:color="auto"/>
            <w:right w:val="none" w:sz="0" w:space="0" w:color="auto"/>
          </w:divBdr>
        </w:div>
        <w:div w:id="31658254">
          <w:marLeft w:val="1166"/>
          <w:marRight w:val="0"/>
          <w:marTop w:val="101"/>
          <w:marBottom w:val="0"/>
          <w:divBdr>
            <w:top w:val="none" w:sz="0" w:space="0" w:color="auto"/>
            <w:left w:val="none" w:sz="0" w:space="0" w:color="auto"/>
            <w:bottom w:val="none" w:sz="0" w:space="0" w:color="auto"/>
            <w:right w:val="none" w:sz="0" w:space="0" w:color="auto"/>
          </w:divBdr>
        </w:div>
        <w:div w:id="1248736405">
          <w:marLeft w:val="1166"/>
          <w:marRight w:val="0"/>
          <w:marTop w:val="101"/>
          <w:marBottom w:val="0"/>
          <w:divBdr>
            <w:top w:val="none" w:sz="0" w:space="0" w:color="auto"/>
            <w:left w:val="none" w:sz="0" w:space="0" w:color="auto"/>
            <w:bottom w:val="none" w:sz="0" w:space="0" w:color="auto"/>
            <w:right w:val="none" w:sz="0" w:space="0" w:color="auto"/>
          </w:divBdr>
        </w:div>
        <w:div w:id="420760514">
          <w:marLeft w:val="1166"/>
          <w:marRight w:val="0"/>
          <w:marTop w:val="101"/>
          <w:marBottom w:val="0"/>
          <w:divBdr>
            <w:top w:val="none" w:sz="0" w:space="0" w:color="auto"/>
            <w:left w:val="none" w:sz="0" w:space="0" w:color="auto"/>
            <w:bottom w:val="none" w:sz="0" w:space="0" w:color="auto"/>
            <w:right w:val="none" w:sz="0" w:space="0" w:color="auto"/>
          </w:divBdr>
        </w:div>
        <w:div w:id="1662350063">
          <w:marLeft w:val="1166"/>
          <w:marRight w:val="0"/>
          <w:marTop w:val="101"/>
          <w:marBottom w:val="0"/>
          <w:divBdr>
            <w:top w:val="none" w:sz="0" w:space="0" w:color="auto"/>
            <w:left w:val="none" w:sz="0" w:space="0" w:color="auto"/>
            <w:bottom w:val="none" w:sz="0" w:space="0" w:color="auto"/>
            <w:right w:val="none" w:sz="0" w:space="0" w:color="auto"/>
          </w:divBdr>
        </w:div>
        <w:div w:id="1857646874">
          <w:marLeft w:val="1166"/>
          <w:marRight w:val="0"/>
          <w:marTop w:val="101"/>
          <w:marBottom w:val="0"/>
          <w:divBdr>
            <w:top w:val="none" w:sz="0" w:space="0" w:color="auto"/>
            <w:left w:val="none" w:sz="0" w:space="0" w:color="auto"/>
            <w:bottom w:val="none" w:sz="0" w:space="0" w:color="auto"/>
            <w:right w:val="none" w:sz="0" w:space="0" w:color="auto"/>
          </w:divBdr>
        </w:div>
      </w:divsChild>
    </w:div>
    <w:div w:id="16582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286</TotalTime>
  <Pages>4</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5</cp:revision>
  <dcterms:created xsi:type="dcterms:W3CDTF">2015-11-10T20:39:00Z</dcterms:created>
  <dcterms:modified xsi:type="dcterms:W3CDTF">2015-11-20T10:54:00Z</dcterms:modified>
</cp:coreProperties>
</file>