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5576B" w14:textId="77777777" w:rsidR="000869C8" w:rsidRPr="000869C8" w:rsidRDefault="000869C8" w:rsidP="000869C8">
      <w:pPr>
        <w:pStyle w:val="ListParagraph"/>
        <w:keepNext/>
        <w:numPr>
          <w:ilvl w:val="0"/>
          <w:numId w:val="1"/>
        </w:numPr>
        <w:contextualSpacing w:val="0"/>
        <w:outlineLvl w:val="0"/>
        <w:rPr>
          <w:rFonts w:ascii="Calibri" w:hAnsi="Calibri" w:cs="Arial"/>
          <w:bCs/>
          <w:vanish/>
          <w:kern w:val="32"/>
          <w:sz w:val="32"/>
          <w:szCs w:val="32"/>
        </w:rPr>
      </w:pPr>
      <w:bookmarkStart w:id="0" w:name="_Toc319489384"/>
      <w:bookmarkStart w:id="1" w:name="_Toc319662655"/>
      <w:bookmarkStart w:id="2" w:name="_Ref325436088"/>
      <w:bookmarkStart w:id="3" w:name="_Ref325436092"/>
      <w:bookmarkStart w:id="4" w:name="_Toc333219089"/>
      <w:bookmarkStart w:id="5" w:name="_Ref355961201"/>
      <w:bookmarkStart w:id="6" w:name="_Toc358366000"/>
      <w:bookmarkStart w:id="7" w:name="_Toc315447681"/>
    </w:p>
    <w:p w14:paraId="3D0A8D34" w14:textId="77777777" w:rsidR="000869C8" w:rsidRPr="000869C8" w:rsidRDefault="000869C8" w:rsidP="000869C8">
      <w:pPr>
        <w:pStyle w:val="ListParagraph"/>
        <w:keepNext/>
        <w:numPr>
          <w:ilvl w:val="0"/>
          <w:numId w:val="1"/>
        </w:numPr>
        <w:contextualSpacing w:val="0"/>
        <w:outlineLvl w:val="0"/>
        <w:rPr>
          <w:rFonts w:ascii="Calibri" w:hAnsi="Calibri" w:cs="Arial"/>
          <w:bCs/>
          <w:vanish/>
          <w:kern w:val="32"/>
          <w:sz w:val="32"/>
          <w:szCs w:val="32"/>
        </w:rPr>
      </w:pPr>
    </w:p>
    <w:p w14:paraId="6E1CCCB0" w14:textId="77777777" w:rsidR="000869C8" w:rsidRPr="000869C8" w:rsidRDefault="000869C8" w:rsidP="000869C8">
      <w:pPr>
        <w:pStyle w:val="ListParagraph"/>
        <w:keepNext/>
        <w:numPr>
          <w:ilvl w:val="0"/>
          <w:numId w:val="1"/>
        </w:numPr>
        <w:contextualSpacing w:val="0"/>
        <w:outlineLvl w:val="0"/>
        <w:rPr>
          <w:rFonts w:ascii="Calibri" w:hAnsi="Calibri" w:cs="Arial"/>
          <w:bCs/>
          <w:vanish/>
          <w:kern w:val="32"/>
          <w:sz w:val="32"/>
          <w:szCs w:val="32"/>
        </w:rPr>
      </w:pPr>
    </w:p>
    <w:p w14:paraId="38A7E78E" w14:textId="77777777" w:rsidR="000869C8" w:rsidRPr="000869C8" w:rsidRDefault="000869C8" w:rsidP="000869C8">
      <w:pPr>
        <w:pStyle w:val="ListParagraph"/>
        <w:keepNext/>
        <w:numPr>
          <w:ilvl w:val="0"/>
          <w:numId w:val="1"/>
        </w:numPr>
        <w:contextualSpacing w:val="0"/>
        <w:outlineLvl w:val="0"/>
        <w:rPr>
          <w:rFonts w:ascii="Calibri" w:hAnsi="Calibri" w:cs="Arial"/>
          <w:bCs/>
          <w:vanish/>
          <w:kern w:val="32"/>
          <w:sz w:val="32"/>
          <w:szCs w:val="32"/>
        </w:rPr>
      </w:pPr>
    </w:p>
    <w:p w14:paraId="4FEE389C" w14:textId="77777777" w:rsidR="000869C8" w:rsidRPr="000869C8" w:rsidRDefault="000869C8" w:rsidP="000869C8">
      <w:pPr>
        <w:pStyle w:val="ListParagraph"/>
        <w:keepNext/>
        <w:numPr>
          <w:ilvl w:val="0"/>
          <w:numId w:val="1"/>
        </w:numPr>
        <w:contextualSpacing w:val="0"/>
        <w:outlineLvl w:val="0"/>
        <w:rPr>
          <w:rFonts w:ascii="Calibri" w:hAnsi="Calibri" w:cs="Arial"/>
          <w:bCs/>
          <w:vanish/>
          <w:kern w:val="32"/>
          <w:sz w:val="32"/>
          <w:szCs w:val="32"/>
        </w:rPr>
      </w:pPr>
    </w:p>
    <w:p w14:paraId="697A5F5B" w14:textId="77777777" w:rsidR="000869C8" w:rsidRPr="000869C8" w:rsidRDefault="000869C8" w:rsidP="000869C8">
      <w:pPr>
        <w:pStyle w:val="ListParagraph"/>
        <w:keepNext/>
        <w:widowControl/>
        <w:numPr>
          <w:ilvl w:val="1"/>
          <w:numId w:val="1"/>
        </w:numPr>
        <w:contextualSpacing w:val="0"/>
        <w:outlineLvl w:val="1"/>
        <w:rPr>
          <w:rFonts w:ascii="Calibri" w:hAnsi="Calibri" w:cs="Arial"/>
          <w:bCs/>
          <w:iCs/>
          <w:vanish/>
          <w:sz w:val="28"/>
          <w:szCs w:val="28"/>
        </w:rPr>
      </w:pPr>
    </w:p>
    <w:p w14:paraId="6E147937" w14:textId="77777777" w:rsidR="000869C8" w:rsidRPr="000869C8" w:rsidRDefault="000869C8" w:rsidP="000869C8">
      <w:pPr>
        <w:pStyle w:val="ListParagraph"/>
        <w:keepNext/>
        <w:widowControl/>
        <w:numPr>
          <w:ilvl w:val="1"/>
          <w:numId w:val="1"/>
        </w:numPr>
        <w:contextualSpacing w:val="0"/>
        <w:outlineLvl w:val="1"/>
        <w:rPr>
          <w:rFonts w:ascii="Calibri" w:hAnsi="Calibri" w:cs="Arial"/>
          <w:bCs/>
          <w:iCs/>
          <w:vanish/>
          <w:sz w:val="28"/>
          <w:szCs w:val="28"/>
        </w:rPr>
      </w:pPr>
    </w:p>
    <w:p w14:paraId="66C9F8E6" w14:textId="77777777" w:rsidR="000869C8" w:rsidRPr="000869C8" w:rsidRDefault="000869C8" w:rsidP="000869C8">
      <w:pPr>
        <w:pStyle w:val="ListParagraph"/>
        <w:keepNext/>
        <w:widowControl/>
        <w:numPr>
          <w:ilvl w:val="1"/>
          <w:numId w:val="1"/>
        </w:numPr>
        <w:contextualSpacing w:val="0"/>
        <w:outlineLvl w:val="1"/>
        <w:rPr>
          <w:rFonts w:ascii="Calibri" w:hAnsi="Calibri" w:cs="Arial"/>
          <w:bCs/>
          <w:iCs/>
          <w:vanish/>
          <w:sz w:val="28"/>
          <w:szCs w:val="28"/>
        </w:rPr>
      </w:pPr>
    </w:p>
    <w:p w14:paraId="591CAAC2" w14:textId="227B1464" w:rsidR="00FC595C" w:rsidRPr="000B7BB6" w:rsidRDefault="000869C8" w:rsidP="00C9505A">
      <w:pPr>
        <w:pStyle w:val="Heading3"/>
        <w:numPr>
          <w:ilvl w:val="0"/>
          <w:numId w:val="0"/>
        </w:numPr>
        <w:ind w:left="720"/>
      </w:pPr>
      <w:r>
        <w:t>Advanced</w:t>
      </w:r>
      <w:r w:rsidR="00FC595C" w:rsidRPr="000B7BB6">
        <w:t xml:space="preserve"> Thermostats</w:t>
      </w:r>
      <w:bookmarkEnd w:id="0"/>
      <w:bookmarkEnd w:id="1"/>
      <w:bookmarkEnd w:id="2"/>
      <w:bookmarkEnd w:id="3"/>
      <w:bookmarkEnd w:id="4"/>
      <w:bookmarkEnd w:id="5"/>
      <w:bookmarkEnd w:id="6"/>
      <w:r w:rsidR="00FC595C" w:rsidRPr="000B7BB6">
        <w:t xml:space="preserve"> </w:t>
      </w:r>
      <w:bookmarkEnd w:id="7"/>
    </w:p>
    <w:p w14:paraId="591CAAC3" w14:textId="77777777" w:rsidR="00FC595C" w:rsidRPr="001A72F0" w:rsidRDefault="00FC595C" w:rsidP="001A72F0">
      <w:pPr>
        <w:pStyle w:val="Heading6"/>
      </w:pPr>
      <w:r w:rsidRPr="001A72F0">
        <w:t>Description</w:t>
      </w:r>
    </w:p>
    <w:p w14:paraId="591CAAC4" w14:textId="075D4DA1" w:rsidR="00FC595C" w:rsidRPr="000B7BB6" w:rsidRDefault="00FC595C" w:rsidP="00FC595C">
      <w:pPr>
        <w:rPr>
          <w:rFonts w:cstheme="minorHAnsi"/>
        </w:rPr>
      </w:pPr>
      <w:r w:rsidRPr="000B7BB6">
        <w:rPr>
          <w:rFonts w:cstheme="minorHAnsi"/>
        </w:rPr>
        <w:t xml:space="preserve">This measure characterizes the household energy savings from the installation </w:t>
      </w:r>
      <w:r>
        <w:rPr>
          <w:rFonts w:cstheme="minorHAnsi"/>
        </w:rPr>
        <w:t xml:space="preserve">of a new </w:t>
      </w:r>
      <w:r w:rsidR="00D64219">
        <w:rPr>
          <w:rFonts w:cstheme="minorHAnsi"/>
        </w:rPr>
        <w:t>thermostat</w:t>
      </w:r>
      <w:r w:rsidR="00193D81">
        <w:rPr>
          <w:rFonts w:cstheme="minorHAnsi"/>
        </w:rPr>
        <w:t>(s)</w:t>
      </w:r>
      <w:r w:rsidR="008E38C0">
        <w:rPr>
          <w:rFonts w:cstheme="minorHAnsi"/>
        </w:rPr>
        <w:t xml:space="preserve"> for reduced heating and cooling consumption through a configurable schedule of temperature </w:t>
      </w:r>
      <w:proofErr w:type="spellStart"/>
      <w:r w:rsidR="008E38C0">
        <w:rPr>
          <w:rFonts w:cstheme="minorHAnsi"/>
        </w:rPr>
        <w:t>setpoints</w:t>
      </w:r>
      <w:proofErr w:type="spellEnd"/>
      <w:r w:rsidR="008E38C0">
        <w:rPr>
          <w:rFonts w:cstheme="minorHAnsi"/>
        </w:rPr>
        <w:t xml:space="preserve"> (like a programmable thermostat) </w:t>
      </w:r>
      <w:r w:rsidR="008E38C0" w:rsidRPr="00D812CF">
        <w:rPr>
          <w:rFonts w:cstheme="minorHAnsi"/>
          <w:i/>
        </w:rPr>
        <w:t>and</w:t>
      </w:r>
      <w:r w:rsidR="008E38C0">
        <w:rPr>
          <w:rFonts w:cstheme="minorHAnsi"/>
        </w:rPr>
        <w:t xml:space="preserve"> automatic variations to that schedule</w:t>
      </w:r>
      <w:r w:rsidR="00D812CF">
        <w:rPr>
          <w:rFonts w:cstheme="minorHAnsi"/>
        </w:rPr>
        <w:t xml:space="preserve"> to better match HVAC system runtimes to meet occupant comfort needs</w:t>
      </w:r>
      <w:r w:rsidR="008E38C0">
        <w:rPr>
          <w:rFonts w:cstheme="minorHAnsi"/>
        </w:rPr>
        <w:t xml:space="preserve">. </w:t>
      </w:r>
      <w:r w:rsidR="00D812CF">
        <w:rPr>
          <w:rFonts w:cstheme="minorHAnsi"/>
        </w:rPr>
        <w:t xml:space="preserve">These schedules may be defaults, established through user interaction, and be changed manually at the device or remotely through a web or mobile app. Automatic variations to that schedule could be driven by local sensors and software algorithms, </w:t>
      </w:r>
      <w:r w:rsidR="00631219">
        <w:rPr>
          <w:rFonts w:cstheme="minorHAnsi"/>
        </w:rPr>
        <w:t>and</w:t>
      </w:r>
      <w:r w:rsidR="001A72F0">
        <w:rPr>
          <w:rFonts w:cstheme="minorHAnsi"/>
        </w:rPr>
        <w:t>/</w:t>
      </w:r>
      <w:r w:rsidR="00631219">
        <w:rPr>
          <w:rFonts w:cstheme="minorHAnsi"/>
        </w:rPr>
        <w:t xml:space="preserve">or through connectivity to an internet software service. Data triggers to automatic schedule changes might </w:t>
      </w:r>
      <w:r w:rsidR="00D812CF">
        <w:rPr>
          <w:rFonts w:cstheme="minorHAnsi"/>
        </w:rPr>
        <w:t>include</w:t>
      </w:r>
      <w:r w:rsidR="00631219">
        <w:rPr>
          <w:rFonts w:cstheme="minorHAnsi"/>
        </w:rPr>
        <w:t>, for example:</w:t>
      </w:r>
      <w:r w:rsidR="00D812CF">
        <w:rPr>
          <w:rFonts w:cstheme="minorHAnsi"/>
        </w:rPr>
        <w:t xml:space="preserve"> occupancy/activity detection, arrival &amp; departure of conditioned spaces, </w:t>
      </w:r>
      <w:r w:rsidR="00631219">
        <w:rPr>
          <w:rFonts w:cstheme="minorHAnsi"/>
        </w:rPr>
        <w:t>historical and population trends</w:t>
      </w:r>
      <w:r w:rsidR="00D812CF">
        <w:rPr>
          <w:rFonts w:cstheme="minorHAnsi"/>
        </w:rPr>
        <w:t>,</w:t>
      </w:r>
      <w:r w:rsidR="00631219">
        <w:rPr>
          <w:rFonts w:cstheme="minorHAnsi"/>
        </w:rPr>
        <w:t xml:space="preserve"> weather data and forecasts. This class of products and services are relatively new, diverse, and rapidly changing. </w:t>
      </w:r>
      <w:r w:rsidR="006C3A75">
        <w:rPr>
          <w:rFonts w:cstheme="minorHAnsi"/>
        </w:rPr>
        <w:t>Generally, the savings expected for this measure aren’t yet established at the level of individual features, but rather at the system level and how it performs overall. Like programmable thermostats, it is not suitable to assume that heating and cooling savings follow a similar pattern of usage and savings opportunity, and so here too this measure treats these savings independently. Note that it is a very active area of ongoing study to better map features to savings value, and establish standards of performance measurement based on field data so that a standard of efficiency can be developed.</w:t>
      </w:r>
      <w:r w:rsidR="006C3A75" w:rsidRPr="006C3A75">
        <w:rPr>
          <w:rStyle w:val="FootnoteReference"/>
          <w:rFonts w:cstheme="minorHAnsi"/>
        </w:rPr>
        <w:t xml:space="preserve"> </w:t>
      </w:r>
      <w:r w:rsidR="006C3A75" w:rsidRPr="000B7BB6">
        <w:rPr>
          <w:rStyle w:val="FootnoteReference"/>
          <w:rFonts w:cstheme="minorHAnsi"/>
        </w:rPr>
        <w:footnoteReference w:id="1"/>
      </w:r>
      <w:r w:rsidR="006C3A75">
        <w:rPr>
          <w:rFonts w:cstheme="minorHAnsi"/>
        </w:rPr>
        <w:t xml:space="preserve">  That work is not yet complete but does inform the treatment of some aspects of this characterization and recommendations.</w:t>
      </w:r>
      <w:r w:rsidRPr="000B7BB6">
        <w:rPr>
          <w:rFonts w:cstheme="minorHAnsi"/>
        </w:rPr>
        <w:t xml:space="preserve"> </w:t>
      </w:r>
      <w:r w:rsidR="00875027">
        <w:rPr>
          <w:rFonts w:cstheme="minorHAnsi"/>
        </w:rPr>
        <w:t xml:space="preserve">Energy savings are applicable at the household level; </w:t>
      </w:r>
      <w:r w:rsidR="00EF7B04">
        <w:rPr>
          <w:rFonts w:cstheme="minorHAnsi"/>
        </w:rPr>
        <w:t xml:space="preserve">all thermostats controlling household heat should be programmable and </w:t>
      </w:r>
      <w:r w:rsidR="00875027">
        <w:rPr>
          <w:rFonts w:cstheme="minorHAnsi"/>
        </w:rPr>
        <w:t>installation of multiple programmable thermostats per home does not accrue additional savings. </w:t>
      </w:r>
    </w:p>
    <w:p w14:paraId="591CAAC5" w14:textId="77777777" w:rsidR="00FC595C" w:rsidRPr="000B7BB6" w:rsidRDefault="00FC595C" w:rsidP="00FC595C">
      <w:pPr>
        <w:widowControl/>
        <w:spacing w:after="0"/>
        <w:jc w:val="left"/>
        <w:rPr>
          <w:rFonts w:cstheme="minorHAnsi"/>
          <w:szCs w:val="20"/>
        </w:rPr>
      </w:pPr>
      <w:r w:rsidRPr="000B7BB6">
        <w:rPr>
          <w:rFonts w:cstheme="minorHAnsi"/>
          <w:szCs w:val="20"/>
        </w:rPr>
        <w:t>This measure was developed to be applicable to the following program types:  TOS, NC, RF</w:t>
      </w:r>
      <w:r>
        <w:rPr>
          <w:rFonts w:cstheme="minorHAnsi"/>
          <w:szCs w:val="20"/>
        </w:rPr>
        <w:t>, DI</w:t>
      </w:r>
      <w:r w:rsidRPr="000B7BB6">
        <w:rPr>
          <w:rFonts w:cstheme="minorHAnsi"/>
          <w:szCs w:val="20"/>
        </w:rPr>
        <w:t xml:space="preserve">.  </w:t>
      </w:r>
    </w:p>
    <w:p w14:paraId="591CAAC6" w14:textId="77777777" w:rsidR="00FC595C" w:rsidRPr="000B7BB6" w:rsidRDefault="00FC595C" w:rsidP="00FC595C">
      <w:pPr>
        <w:widowControl/>
        <w:spacing w:after="0"/>
        <w:jc w:val="left"/>
        <w:rPr>
          <w:rFonts w:cstheme="minorHAnsi"/>
          <w:szCs w:val="20"/>
        </w:rPr>
      </w:pPr>
      <w:r w:rsidRPr="000B7BB6">
        <w:rPr>
          <w:rFonts w:cstheme="minorHAnsi"/>
          <w:szCs w:val="20"/>
        </w:rPr>
        <w:t>If applied to other program types, the measure savings should be verified.</w:t>
      </w:r>
    </w:p>
    <w:p w14:paraId="591CAAC7" w14:textId="77777777" w:rsidR="00FC595C" w:rsidRPr="000B7BB6" w:rsidRDefault="00FC595C" w:rsidP="001A72F0">
      <w:pPr>
        <w:pStyle w:val="Heading6"/>
      </w:pPr>
      <w:r w:rsidRPr="00B41203">
        <w:t>Definition of Efficient Equipment</w:t>
      </w:r>
    </w:p>
    <w:p w14:paraId="591CAAC9" w14:textId="3AA4FD34" w:rsidR="00FC595C" w:rsidRDefault="00FC595C" w:rsidP="00FC595C">
      <w:pPr>
        <w:rPr>
          <w:rFonts w:cstheme="minorHAnsi"/>
        </w:rPr>
      </w:pPr>
      <w:r w:rsidRPr="000B7BB6">
        <w:rPr>
          <w:rFonts w:cstheme="minorHAnsi"/>
        </w:rPr>
        <w:t>The criteria for this measure are established</w:t>
      </w:r>
      <w:r w:rsidR="00FA3605">
        <w:rPr>
          <w:rFonts w:cstheme="minorHAnsi"/>
        </w:rPr>
        <w:t xml:space="preserve"> by replacement of a manual-only</w:t>
      </w:r>
      <w:r w:rsidR="006C3A75">
        <w:rPr>
          <w:rFonts w:cstheme="minorHAnsi"/>
        </w:rPr>
        <w:t xml:space="preserve"> or programmable thermostat</w:t>
      </w:r>
      <w:r w:rsidRPr="000B7BB6">
        <w:rPr>
          <w:rFonts w:cstheme="minorHAnsi"/>
        </w:rPr>
        <w:t xml:space="preserve">, with one that has the capability to </w:t>
      </w:r>
      <w:r w:rsidR="006C3A75">
        <w:rPr>
          <w:rFonts w:cstheme="minorHAnsi"/>
        </w:rPr>
        <w:t xml:space="preserve">automatically establish and </w:t>
      </w:r>
      <w:r w:rsidRPr="000B7BB6">
        <w:rPr>
          <w:rFonts w:cstheme="minorHAnsi"/>
        </w:rPr>
        <w:t xml:space="preserve">adjust temperature </w:t>
      </w:r>
      <w:proofErr w:type="spellStart"/>
      <w:r w:rsidRPr="000B7BB6">
        <w:rPr>
          <w:rFonts w:cstheme="minorHAnsi"/>
        </w:rPr>
        <w:t>setpoints</w:t>
      </w:r>
      <w:proofErr w:type="spellEnd"/>
      <w:r w:rsidRPr="000B7BB6">
        <w:rPr>
          <w:rFonts w:cstheme="minorHAnsi"/>
        </w:rPr>
        <w:t xml:space="preserve"> according </w:t>
      </w:r>
      <w:r w:rsidR="006C3A75">
        <w:rPr>
          <w:rFonts w:cstheme="minorHAnsi"/>
        </w:rPr>
        <w:t xml:space="preserve">to </w:t>
      </w:r>
      <w:r w:rsidR="00FA3605">
        <w:rPr>
          <w:rFonts w:cstheme="minorHAnsi"/>
        </w:rPr>
        <w:t>driving device inputs above and beyond basic time and temperature data of conventional programmable thermostats</w:t>
      </w:r>
      <w:r w:rsidRPr="000B7BB6">
        <w:rPr>
          <w:rFonts w:cstheme="minorHAnsi"/>
        </w:rPr>
        <w:t xml:space="preserve">. </w:t>
      </w:r>
      <w:r w:rsidR="00FA3605">
        <w:rPr>
          <w:rFonts w:cstheme="minorHAnsi"/>
        </w:rPr>
        <w:t>As summarized in the description, t</w:t>
      </w:r>
      <w:r w:rsidRPr="000B7BB6">
        <w:rPr>
          <w:rFonts w:cstheme="minorHAnsi"/>
        </w:rPr>
        <w:t xml:space="preserve">his category of </w:t>
      </w:r>
      <w:r w:rsidR="00FA3605">
        <w:rPr>
          <w:rFonts w:cstheme="minorHAnsi"/>
        </w:rPr>
        <w:t>products and services</w:t>
      </w:r>
      <w:r w:rsidRPr="000B7BB6">
        <w:rPr>
          <w:rFonts w:cstheme="minorHAnsi"/>
        </w:rPr>
        <w:t xml:space="preserve"> is broad and rapidly advancing in regards to the capability, </w:t>
      </w:r>
      <w:r w:rsidR="004820CC">
        <w:rPr>
          <w:rFonts w:cstheme="minorHAnsi"/>
        </w:rPr>
        <w:t>usability, and sophistication, but at a minimum must be capable of two-way communication</w:t>
      </w:r>
      <w:r w:rsidR="004820CC">
        <w:rPr>
          <w:rStyle w:val="FootnoteReference"/>
        </w:rPr>
        <w:footnoteReference w:id="2"/>
      </w:r>
      <w:r w:rsidR="004820CC">
        <w:rPr>
          <w:rFonts w:cstheme="minorHAnsi"/>
        </w:rPr>
        <w:t xml:space="preserve"> and exceed the capabilities of manual and conventional programmable </w:t>
      </w:r>
      <w:commentRangeStart w:id="8"/>
      <w:r w:rsidR="004820CC">
        <w:rPr>
          <w:rFonts w:cstheme="minorHAnsi"/>
        </w:rPr>
        <w:t xml:space="preserve">thermostats. </w:t>
      </w:r>
      <w:commentRangeEnd w:id="8"/>
      <w:r w:rsidR="00C9505A">
        <w:rPr>
          <w:rStyle w:val="CommentReference"/>
        </w:rPr>
        <w:commentReference w:id="8"/>
      </w:r>
    </w:p>
    <w:p w14:paraId="591CAACA" w14:textId="77777777" w:rsidR="00FC595C" w:rsidRPr="000B7BB6" w:rsidRDefault="00FC595C" w:rsidP="001A72F0">
      <w:pPr>
        <w:pStyle w:val="Heading6"/>
      </w:pPr>
      <w:r w:rsidRPr="000B7BB6">
        <w:t>Definition of Baseline Equipment</w:t>
      </w:r>
    </w:p>
    <w:p w14:paraId="591CAACB" w14:textId="586FA732" w:rsidR="00FC595C" w:rsidRPr="008F033B" w:rsidRDefault="00FA1065" w:rsidP="00FC595C">
      <w:r>
        <w:rPr>
          <w:rFonts w:cstheme="minorHAnsi"/>
        </w:rPr>
        <w:t>T</w:t>
      </w:r>
      <w:r w:rsidR="00FC595C">
        <w:rPr>
          <w:rFonts w:cstheme="minorHAnsi"/>
        </w:rPr>
        <w:t xml:space="preserve">he baseline is </w:t>
      </w:r>
      <w:r w:rsidR="00FA3605">
        <w:rPr>
          <w:rFonts w:cstheme="minorHAnsi"/>
        </w:rPr>
        <w:t>either the actual type (manual or pro</w:t>
      </w:r>
      <w:r>
        <w:rPr>
          <w:rFonts w:cstheme="minorHAnsi"/>
        </w:rPr>
        <w:t xml:space="preserve">grammable) if it is </w:t>
      </w:r>
      <w:r w:rsidR="00FA3605">
        <w:rPr>
          <w:rFonts w:cstheme="minorHAnsi"/>
        </w:rPr>
        <w:t>known</w:t>
      </w:r>
      <w:r w:rsidR="00966D45">
        <w:rPr>
          <w:rFonts w:cstheme="minorHAnsi"/>
        </w:rPr>
        <w:t>,</w:t>
      </w:r>
      <w:r w:rsidR="00FA3605">
        <w:rPr>
          <w:rStyle w:val="FootnoteReference"/>
        </w:rPr>
        <w:footnoteReference w:id="3"/>
      </w:r>
      <w:r w:rsidR="00FA3605">
        <w:rPr>
          <w:rFonts w:cstheme="minorHAnsi"/>
        </w:rPr>
        <w:t xml:space="preserve"> or an assum</w:t>
      </w:r>
      <w:r>
        <w:rPr>
          <w:rFonts w:cstheme="minorHAnsi"/>
        </w:rPr>
        <w:t>ed</w:t>
      </w:r>
      <w:r w:rsidR="00FA3605">
        <w:rPr>
          <w:rFonts w:cstheme="minorHAnsi"/>
        </w:rPr>
        <w:t xml:space="preserve"> mix of these two types based upon information available from evaluations or surveys that represent the population of program participants.</w:t>
      </w:r>
      <w:r w:rsidR="00F865C4">
        <w:rPr>
          <w:rFonts w:cstheme="minorHAnsi"/>
        </w:rPr>
        <w:t xml:space="preserve"> This mix may vary by program, but as a default, 44% programmable and 56% manual thermostats may be assumed</w:t>
      </w:r>
      <w:r w:rsidR="00F865C4">
        <w:rPr>
          <w:rStyle w:val="FootnoteReference"/>
        </w:rPr>
        <w:footnoteReference w:id="4"/>
      </w:r>
      <w:r w:rsidR="00F865C4">
        <w:rPr>
          <w:rFonts w:cstheme="minorHAnsi"/>
        </w:rPr>
        <w:t>.</w:t>
      </w:r>
    </w:p>
    <w:p w14:paraId="591CAACC" w14:textId="1234C316" w:rsidR="00FC595C" w:rsidRPr="000B7BB6" w:rsidRDefault="00FC595C" w:rsidP="00FC595C">
      <w:pPr>
        <w:rPr>
          <w:rFonts w:cstheme="minorHAnsi"/>
          <w:b/>
          <w:iCs/>
        </w:rPr>
      </w:pPr>
    </w:p>
    <w:p w14:paraId="591CAACD" w14:textId="77777777" w:rsidR="00FC595C" w:rsidRPr="000B7BB6" w:rsidRDefault="00FC595C" w:rsidP="001A72F0">
      <w:pPr>
        <w:pStyle w:val="Heading6"/>
      </w:pPr>
      <w:r w:rsidRPr="000B7BB6">
        <w:lastRenderedPageBreak/>
        <w:t>Deemed Lifetime of Efficient Equipment</w:t>
      </w:r>
    </w:p>
    <w:p w14:paraId="591CAACE" w14:textId="1EDD5EB2" w:rsidR="00FC595C" w:rsidRPr="000B7BB6" w:rsidRDefault="00FC595C" w:rsidP="00FC595C">
      <w:pPr>
        <w:rPr>
          <w:rFonts w:cstheme="minorHAnsi"/>
        </w:rPr>
      </w:pPr>
      <w:r w:rsidRPr="000B7BB6">
        <w:rPr>
          <w:rFonts w:cstheme="minorHAnsi"/>
        </w:rPr>
        <w:t>The expected measure life</w:t>
      </w:r>
      <w:r>
        <w:rPr>
          <w:rFonts w:cstheme="minorHAnsi"/>
        </w:rPr>
        <w:t xml:space="preserve"> </w:t>
      </w:r>
      <w:r w:rsidR="00FA3605">
        <w:rPr>
          <w:rFonts w:cstheme="minorHAnsi"/>
        </w:rPr>
        <w:t xml:space="preserve">for advanced thermostats is assumed to be similar to that of a </w:t>
      </w:r>
      <w:r>
        <w:rPr>
          <w:rFonts w:cstheme="minorHAnsi"/>
        </w:rPr>
        <w:t>programmable thermostat</w:t>
      </w:r>
      <w:r w:rsidR="00FA3605">
        <w:rPr>
          <w:rFonts w:cstheme="minorHAnsi"/>
        </w:rPr>
        <w:t xml:space="preserve"> </w:t>
      </w:r>
      <w:r w:rsidRPr="000B7BB6">
        <w:rPr>
          <w:rFonts w:cstheme="minorHAnsi"/>
        </w:rPr>
        <w:t>10</w:t>
      </w:r>
      <w:r w:rsidRPr="000B7BB6">
        <w:rPr>
          <w:rFonts w:cstheme="minorHAnsi"/>
          <w:noProof/>
        </w:rPr>
        <w:t xml:space="preserve"> years</w:t>
      </w:r>
      <w:r w:rsidRPr="000B7BB6">
        <w:rPr>
          <w:rStyle w:val="FootnoteReference"/>
          <w:rFonts w:cstheme="minorHAnsi"/>
          <w:noProof/>
        </w:rPr>
        <w:footnoteReference w:id="5"/>
      </w:r>
      <w:r w:rsidRPr="00B41203">
        <w:rPr>
          <w:rFonts w:cstheme="minorHAnsi"/>
          <w:noProof/>
        </w:rPr>
        <w:t xml:space="preserve"> based upon equipment life only</w:t>
      </w:r>
      <w:r w:rsidR="00427C18">
        <w:rPr>
          <w:rFonts w:cstheme="minorHAnsi"/>
          <w:noProof/>
        </w:rPr>
        <w:t>.</w:t>
      </w:r>
      <w:r w:rsidRPr="000B7BB6">
        <w:rPr>
          <w:rStyle w:val="FootnoteReference"/>
          <w:rFonts w:cstheme="minorHAnsi"/>
          <w:noProof/>
        </w:rPr>
        <w:footnoteReference w:id="6"/>
      </w:r>
    </w:p>
    <w:p w14:paraId="591CAACF" w14:textId="77777777" w:rsidR="00FC595C" w:rsidRPr="000B7BB6" w:rsidRDefault="00FC595C" w:rsidP="001A72F0">
      <w:pPr>
        <w:pStyle w:val="Heading6"/>
      </w:pPr>
      <w:r w:rsidRPr="000B7BB6">
        <w:t xml:space="preserve">Deemed Measure Cost </w:t>
      </w:r>
    </w:p>
    <w:p w14:paraId="591CAAD0" w14:textId="5E454ACA" w:rsidR="00FC595C" w:rsidRPr="000B7BB6" w:rsidRDefault="00FC595C" w:rsidP="00FC595C">
      <w:pPr>
        <w:rPr>
          <w:rFonts w:cstheme="minorHAnsi"/>
        </w:rPr>
      </w:pPr>
      <w:r w:rsidRPr="000B7BB6">
        <w:rPr>
          <w:rFonts w:cstheme="minorHAnsi"/>
        </w:rPr>
        <w:t>Actual material and labor</w:t>
      </w:r>
      <w:r w:rsidR="00F865C4">
        <w:rPr>
          <w:rFonts w:cstheme="minorHAnsi"/>
        </w:rPr>
        <w:t>, and other</w:t>
      </w:r>
      <w:r w:rsidRPr="000B7BB6">
        <w:rPr>
          <w:rFonts w:cstheme="minorHAnsi"/>
        </w:rPr>
        <w:t xml:space="preserve"> costs should be used if the implementation method allows</w:t>
      </w:r>
      <w:r w:rsidR="00F865C4">
        <w:rPr>
          <w:rStyle w:val="FootnoteReference"/>
        </w:rPr>
        <w:footnoteReference w:id="7"/>
      </w:r>
      <w:r w:rsidRPr="000B7BB6">
        <w:rPr>
          <w:rFonts w:cstheme="minorHAnsi"/>
        </w:rPr>
        <w:t xml:space="preserve">. If unknown (e.g. through a retail program) the </w:t>
      </w:r>
      <w:r w:rsidR="00427C18">
        <w:rPr>
          <w:rFonts w:cstheme="minorHAnsi"/>
        </w:rPr>
        <w:t xml:space="preserve">average </w:t>
      </w:r>
      <w:r w:rsidR="00E30D29">
        <w:rPr>
          <w:rFonts w:cstheme="minorHAnsi"/>
        </w:rPr>
        <w:t>incremental</w:t>
      </w:r>
      <w:r w:rsidRPr="000B7BB6">
        <w:rPr>
          <w:rFonts w:cstheme="minorHAnsi"/>
        </w:rPr>
        <w:t xml:space="preserve"> cost for </w:t>
      </w:r>
      <w:r>
        <w:rPr>
          <w:rFonts w:cstheme="minorHAnsi"/>
        </w:rPr>
        <w:t xml:space="preserve">the new installation </w:t>
      </w:r>
      <w:r w:rsidR="00427C18">
        <w:rPr>
          <w:rFonts w:cstheme="minorHAnsi"/>
        </w:rPr>
        <w:t>measure is assumed to be $</w:t>
      </w:r>
      <w:r w:rsidR="00E30D29">
        <w:rPr>
          <w:rFonts w:cstheme="minorHAnsi"/>
        </w:rPr>
        <w:t>175</w:t>
      </w:r>
      <w:r w:rsidRPr="000B7BB6">
        <w:rPr>
          <w:rStyle w:val="FootnoteReference"/>
          <w:rFonts w:cstheme="minorHAnsi"/>
        </w:rPr>
        <w:footnoteReference w:id="8"/>
      </w:r>
      <w:r>
        <w:rPr>
          <w:rFonts w:cstheme="minorHAnsi"/>
        </w:rPr>
        <w:t>.</w:t>
      </w:r>
      <w:r w:rsidRPr="00B41203">
        <w:rPr>
          <w:rFonts w:cstheme="minorHAnsi"/>
        </w:rPr>
        <w:t xml:space="preserve"> </w:t>
      </w:r>
    </w:p>
    <w:p w14:paraId="591CAAD3" w14:textId="77777777" w:rsidR="00FC595C" w:rsidRDefault="00FC595C" w:rsidP="001A72F0">
      <w:pPr>
        <w:pStyle w:val="Heading6"/>
      </w:pPr>
      <w:proofErr w:type="spellStart"/>
      <w:r w:rsidRPr="000B7BB6">
        <w:t>Loadshape</w:t>
      </w:r>
      <w:proofErr w:type="spellEnd"/>
    </w:p>
    <w:p w14:paraId="53FF0503" w14:textId="25CF6C25" w:rsidR="00850831" w:rsidRPr="00850831" w:rsidRDefault="00850831" w:rsidP="00850831">
      <w:pPr>
        <w:spacing w:after="0"/>
        <w:rPr>
          <w:rFonts w:cstheme="minorHAnsi"/>
          <w:color w:val="000000"/>
          <w:szCs w:val="20"/>
        </w:rPr>
      </w:pPr>
      <w:r w:rsidRPr="000B7BB6">
        <w:rPr>
          <w:rFonts w:cstheme="minorHAnsi"/>
          <w:noProof/>
        </w:rPr>
        <w:t>ΔkWh</w:t>
      </w:r>
      <w:r>
        <w:rPr>
          <w:rFonts w:cstheme="minorHAnsi"/>
          <w:noProof/>
        </w:rPr>
        <w:t xml:space="preserve"> </w:t>
      </w:r>
      <w:r>
        <w:rPr>
          <w:rFonts w:cstheme="minorHAnsi"/>
          <w:noProof/>
        </w:rPr>
        <w:tab/>
      </w:r>
      <w:r>
        <w:rPr>
          <w:rFonts w:cstheme="minorHAnsi"/>
          <w:noProof/>
        </w:rPr>
        <w:tab/>
      </w:r>
      <w:r w:rsidRPr="00850831">
        <w:rPr>
          <w:rFonts w:cstheme="minorHAnsi"/>
          <w:noProof/>
        </w:rPr>
        <w:sym w:font="Wingdings" w:char="F0E0"/>
      </w:r>
      <w:r>
        <w:rPr>
          <w:rFonts w:cstheme="minorHAnsi"/>
          <w:noProof/>
        </w:rPr>
        <w:t xml:space="preserve"> </w:t>
      </w:r>
      <w:proofErr w:type="spellStart"/>
      <w:r>
        <w:rPr>
          <w:rFonts w:cstheme="minorHAnsi"/>
          <w:color w:val="000000"/>
          <w:szCs w:val="20"/>
        </w:rPr>
        <w:t>Loadshape</w:t>
      </w:r>
      <w:proofErr w:type="spellEnd"/>
      <w:r>
        <w:rPr>
          <w:rFonts w:cstheme="minorHAnsi"/>
          <w:color w:val="000000"/>
          <w:szCs w:val="20"/>
        </w:rPr>
        <w:t xml:space="preserve"> R10 - </w:t>
      </w:r>
      <w:r w:rsidRPr="007334E1">
        <w:t>Residential Electric Heating and Cooling</w:t>
      </w:r>
    </w:p>
    <w:p w14:paraId="4C05B954" w14:textId="77777777" w:rsidR="00850831" w:rsidRDefault="00C445A4" w:rsidP="00850831">
      <w:pPr>
        <w:spacing w:after="0"/>
      </w:pPr>
      <w:r w:rsidRPr="000B7BB6">
        <w:rPr>
          <w:rFonts w:cstheme="minorHAnsi"/>
          <w:noProof/>
        </w:rPr>
        <w:t>ΔkWh</w:t>
      </w:r>
      <w:r w:rsidRPr="00D55EAB">
        <w:rPr>
          <w:rFonts w:cstheme="minorHAnsi"/>
          <w:noProof/>
          <w:vertAlign w:val="subscript"/>
        </w:rPr>
        <w:t>heating</w:t>
      </w:r>
      <w:r>
        <w:rPr>
          <w:rFonts w:cstheme="minorHAnsi"/>
          <w:noProof/>
          <w:vertAlign w:val="subscript"/>
        </w:rPr>
        <w:t xml:space="preserve"> </w:t>
      </w:r>
      <w:r w:rsidR="00850831">
        <w:rPr>
          <w:rFonts w:cstheme="minorHAnsi"/>
          <w:noProof/>
          <w:vertAlign w:val="subscript"/>
        </w:rPr>
        <w:tab/>
      </w:r>
      <w:r>
        <w:sym w:font="Wingdings" w:char="F0E0"/>
      </w:r>
      <w:r>
        <w:t xml:space="preserve"> </w:t>
      </w:r>
      <w:proofErr w:type="spellStart"/>
      <w:r w:rsidR="00FC595C" w:rsidRPr="000B7BB6">
        <w:rPr>
          <w:rFonts w:cstheme="minorHAnsi"/>
          <w:color w:val="000000"/>
          <w:szCs w:val="20"/>
        </w:rPr>
        <w:t>Loadshape</w:t>
      </w:r>
      <w:proofErr w:type="spellEnd"/>
      <w:r w:rsidR="00FC595C" w:rsidRPr="000B7BB6">
        <w:rPr>
          <w:rFonts w:cstheme="minorHAnsi"/>
          <w:color w:val="000000"/>
          <w:szCs w:val="20"/>
        </w:rPr>
        <w:t xml:space="preserve"> R09 - Residential Electric Space Heat</w:t>
      </w:r>
    </w:p>
    <w:p w14:paraId="741D598F" w14:textId="12A3B7DD" w:rsidR="00F865C4" w:rsidRPr="00850831" w:rsidRDefault="00C445A4" w:rsidP="00850831">
      <w:pPr>
        <w:spacing w:after="0"/>
      </w:pPr>
      <w:r w:rsidRPr="000B7BB6">
        <w:rPr>
          <w:rFonts w:cstheme="minorHAnsi"/>
          <w:noProof/>
        </w:rPr>
        <w:t>ΔkWh</w:t>
      </w:r>
      <w:r>
        <w:rPr>
          <w:rFonts w:cstheme="minorHAnsi"/>
          <w:noProof/>
          <w:vertAlign w:val="subscript"/>
        </w:rPr>
        <w:t>cool</w:t>
      </w:r>
      <w:r w:rsidRPr="00D55EAB">
        <w:rPr>
          <w:rFonts w:cstheme="minorHAnsi"/>
          <w:noProof/>
          <w:vertAlign w:val="subscript"/>
        </w:rPr>
        <w:t>ing</w:t>
      </w:r>
      <w:r w:rsidRPr="000563D8">
        <w:rPr>
          <w:rFonts w:cstheme="minorHAnsi"/>
          <w:color w:val="000000"/>
          <w:szCs w:val="20"/>
        </w:rPr>
        <w:t xml:space="preserve"> </w:t>
      </w:r>
      <w:r w:rsidR="00850831">
        <w:rPr>
          <w:rFonts w:cstheme="minorHAnsi"/>
          <w:color w:val="000000"/>
          <w:szCs w:val="20"/>
        </w:rPr>
        <w:tab/>
      </w:r>
      <w:r w:rsidRPr="00C445A4">
        <w:rPr>
          <w:rFonts w:cstheme="minorHAnsi"/>
          <w:color w:val="000000"/>
          <w:szCs w:val="20"/>
        </w:rPr>
        <w:sym w:font="Wingdings" w:char="F0E0"/>
      </w:r>
      <w:r>
        <w:rPr>
          <w:rFonts w:cstheme="minorHAnsi"/>
          <w:color w:val="000000"/>
          <w:szCs w:val="20"/>
        </w:rPr>
        <w:t xml:space="preserve"> </w:t>
      </w:r>
      <w:proofErr w:type="spellStart"/>
      <w:r w:rsidR="00F865C4" w:rsidRPr="000563D8">
        <w:rPr>
          <w:rFonts w:cstheme="minorHAnsi"/>
          <w:color w:val="000000"/>
          <w:szCs w:val="20"/>
        </w:rPr>
        <w:t>Loadshape</w:t>
      </w:r>
      <w:proofErr w:type="spellEnd"/>
      <w:r w:rsidR="00F865C4" w:rsidRPr="000563D8">
        <w:rPr>
          <w:rFonts w:cstheme="minorHAnsi"/>
          <w:color w:val="000000"/>
          <w:szCs w:val="20"/>
        </w:rPr>
        <w:t xml:space="preserve"> R08 - Residential Cooling</w:t>
      </w:r>
    </w:p>
    <w:p w14:paraId="591CAAD5" w14:textId="77777777" w:rsidR="00FC595C" w:rsidRPr="000B7BB6" w:rsidRDefault="00FC595C" w:rsidP="001A72F0">
      <w:pPr>
        <w:pStyle w:val="Heading6"/>
      </w:pPr>
      <w:r w:rsidRPr="00B41203">
        <w:t>Coincidence Factor</w:t>
      </w:r>
    </w:p>
    <w:p w14:paraId="19F5F4C5" w14:textId="632052DF" w:rsidR="00F865C4" w:rsidRPr="000563D8" w:rsidRDefault="003B14F8" w:rsidP="00F865C4">
      <w:pPr>
        <w:rPr>
          <w:rFonts w:cstheme="minorHAnsi"/>
        </w:rPr>
      </w:pPr>
      <w:r w:rsidRPr="00260EAA">
        <w:rPr>
          <w:rFonts w:cstheme="minorHAnsi"/>
        </w:rPr>
        <w:t xml:space="preserve">As per the </w:t>
      </w:r>
      <w:r w:rsidRPr="00C747F8">
        <w:rPr>
          <w:rFonts w:cstheme="minorHAnsi"/>
          <w:highlight w:val="yellow"/>
        </w:rPr>
        <w:t>TBD consensus value</w:t>
      </w:r>
      <w:r w:rsidRPr="00260EAA">
        <w:rPr>
          <w:rFonts w:cstheme="minorHAnsi"/>
        </w:rPr>
        <w:t xml:space="preserve"> for Cooling Reduction, the summer peak coincidence factor may, in contrast to programmable thermostats, be non-zero</w:t>
      </w:r>
      <w:r w:rsidR="00C747F8" w:rsidRPr="00260EAA">
        <w:rPr>
          <w:rFonts w:cstheme="minorHAnsi"/>
        </w:rPr>
        <w:t xml:space="preserve">. </w:t>
      </w:r>
      <w:commentRangeStart w:id="9"/>
      <w:r w:rsidR="00C747F8" w:rsidRPr="00260EAA">
        <w:rPr>
          <w:rFonts w:cstheme="minorHAnsi"/>
        </w:rPr>
        <w:t xml:space="preserve">In the absence of </w:t>
      </w:r>
      <w:r w:rsidR="00260EAA">
        <w:rPr>
          <w:rFonts w:cstheme="minorHAnsi"/>
        </w:rPr>
        <w:t xml:space="preserve">conclusive results </w:t>
      </w:r>
      <w:commentRangeEnd w:id="9"/>
      <w:r w:rsidR="00137369">
        <w:rPr>
          <w:rStyle w:val="CommentReference"/>
        </w:rPr>
        <w:commentReference w:id="9"/>
      </w:r>
      <w:r w:rsidR="00260EAA">
        <w:rPr>
          <w:rFonts w:cstheme="minorHAnsi"/>
        </w:rPr>
        <w:t xml:space="preserve">from </w:t>
      </w:r>
      <w:r w:rsidR="00C747F8" w:rsidRPr="00260EAA">
        <w:rPr>
          <w:rFonts w:cstheme="minorHAnsi"/>
        </w:rPr>
        <w:t xml:space="preserve">empirical studies on peak savings, it is assumed that the coincidence of advanced thermostat savings with peak is consistent with that of the cooling coincidence with peak. It is therefore consistent with the TRM’s assumptions for </w:t>
      </w:r>
      <w:proofErr w:type="gramStart"/>
      <w:r w:rsidR="00C747F8" w:rsidRPr="00260EAA">
        <w:rPr>
          <w:rFonts w:cstheme="minorHAnsi"/>
        </w:rPr>
        <w:t>Central</w:t>
      </w:r>
      <w:proofErr w:type="gramEnd"/>
      <w:r w:rsidR="00C747F8" w:rsidRPr="00260EAA">
        <w:rPr>
          <w:rFonts w:cstheme="minorHAnsi"/>
        </w:rPr>
        <w:t xml:space="preserve"> cooling. Coincidence is </w:t>
      </w:r>
      <w:r w:rsidRPr="00260EAA">
        <w:rPr>
          <w:rFonts w:cstheme="minorHAnsi"/>
        </w:rPr>
        <w:t>calculated in two different ways below.</w:t>
      </w:r>
      <w:r w:rsidR="00F865C4" w:rsidRPr="00260EAA">
        <w:rPr>
          <w:rFonts w:cstheme="minorHAnsi"/>
        </w:rPr>
        <w:t xml:space="preserve"> The first is used to estimate peak savings during the utility peak hour and is most indicative of actual peak benefits, and the second represents the </w:t>
      </w:r>
      <w:r w:rsidR="00F865C4" w:rsidRPr="00260EAA">
        <w:rPr>
          <w:rFonts w:cstheme="minorHAnsi"/>
          <w:i/>
          <w:iCs/>
        </w:rPr>
        <w:t>average</w:t>
      </w:r>
      <w:r w:rsidR="00F865C4" w:rsidRPr="00260EAA">
        <w:rPr>
          <w:rFonts w:cstheme="minorHAnsi"/>
        </w:rPr>
        <w:t xml:space="preserve"> savings over the defined summer peak period, and is presented </w:t>
      </w:r>
      <w:r w:rsidR="00F865C4" w:rsidRPr="00354C0F">
        <w:rPr>
          <w:rFonts w:cstheme="minorHAnsi"/>
        </w:rPr>
        <w:t>so that savings can be bid into PJM’s Forward Capacity Market.</w:t>
      </w:r>
      <w:r w:rsidR="00F865C4" w:rsidRPr="000563D8">
        <w:rPr>
          <w:rFonts w:cstheme="minorHAnsi"/>
        </w:rPr>
        <w:t xml:space="preserve">  </w:t>
      </w:r>
    </w:p>
    <w:p w14:paraId="0BBBE24A" w14:textId="77777777" w:rsidR="00F865C4" w:rsidRPr="000563D8" w:rsidRDefault="00F865C4" w:rsidP="00F865C4">
      <w:pPr>
        <w:ind w:left="761"/>
        <w:contextualSpacing/>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r>
      <w:r w:rsidRPr="000563D8">
        <w:rPr>
          <w:rFonts w:cstheme="minorHAnsi"/>
        </w:rPr>
        <w:tab/>
        <w:t>= Summer System Peak Coincidence Factor for Central A/C (during system peak hour)</w:t>
      </w:r>
    </w:p>
    <w:p w14:paraId="41E4F79E" w14:textId="77777777" w:rsidR="00F865C4" w:rsidRPr="000563D8" w:rsidRDefault="00F865C4" w:rsidP="00F865C4">
      <w:pPr>
        <w:ind w:left="720" w:firstLine="720"/>
        <w:rPr>
          <w:rFonts w:cstheme="minorHAnsi"/>
        </w:rPr>
      </w:pPr>
      <w:r w:rsidRPr="000563D8">
        <w:rPr>
          <w:rFonts w:cstheme="minorHAnsi"/>
        </w:rPr>
        <w:tab/>
        <w:t>= 68%</w:t>
      </w:r>
      <w:r w:rsidRPr="000563D8">
        <w:rPr>
          <w:rFonts w:ascii="Arial" w:hAnsi="Arial" w:cstheme="minorHAnsi"/>
          <w:vertAlign w:val="superscript"/>
        </w:rPr>
        <w:footnoteReference w:id="9"/>
      </w:r>
    </w:p>
    <w:p w14:paraId="07FC2DDC" w14:textId="77777777" w:rsidR="00F865C4" w:rsidRPr="000563D8" w:rsidRDefault="00F865C4" w:rsidP="00CB3553">
      <w:pPr>
        <w:tabs>
          <w:tab w:val="left" w:pos="2160"/>
        </w:tabs>
        <w:ind w:left="2340" w:hanging="1579"/>
        <w:contextualSpacing/>
        <w:rPr>
          <w:rFonts w:cstheme="minorHAnsi"/>
        </w:rPr>
      </w:pPr>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p>
    <w:p w14:paraId="70781302" w14:textId="77777777" w:rsidR="00F865C4" w:rsidRDefault="00F865C4" w:rsidP="00F865C4">
      <w:pPr>
        <w:ind w:left="1440" w:firstLine="720"/>
        <w:rPr>
          <w:rFonts w:cstheme="minorHAnsi"/>
        </w:rPr>
      </w:pPr>
      <w:r w:rsidRPr="000563D8">
        <w:rPr>
          <w:rFonts w:cstheme="minorHAnsi"/>
        </w:rPr>
        <w:t>= 46.6%</w:t>
      </w:r>
      <w:r w:rsidRPr="000563D8">
        <w:rPr>
          <w:rFonts w:ascii="Arial" w:hAnsi="Arial" w:cstheme="minorHAnsi"/>
          <w:vertAlign w:val="superscript"/>
        </w:rPr>
        <w:footnoteReference w:id="10"/>
      </w:r>
    </w:p>
    <w:p w14:paraId="591CAAD8" w14:textId="48F5D4EA" w:rsidR="00FC595C" w:rsidRPr="000B7BB6" w:rsidRDefault="00FC595C" w:rsidP="00FC595C">
      <w:pPr>
        <w:rPr>
          <w:rFonts w:cstheme="minorHAnsi"/>
        </w:rPr>
      </w:pPr>
    </w:p>
    <w:p w14:paraId="591CAAD9" w14:textId="77777777" w:rsidR="00FC595C" w:rsidRPr="00A05FC2" w:rsidRDefault="00FC595C" w:rsidP="00FC595C">
      <w:pPr>
        <w:pStyle w:val="AlgorithmHeading"/>
      </w:pPr>
      <w:r w:rsidRPr="00A05FC2">
        <w:lastRenderedPageBreak/>
        <w:t>Algorithm</w:t>
      </w:r>
    </w:p>
    <w:p w14:paraId="591CAADA" w14:textId="77777777" w:rsidR="00FC595C" w:rsidRPr="000B7BB6" w:rsidRDefault="00FC595C" w:rsidP="001A72F0">
      <w:pPr>
        <w:pStyle w:val="Heading6"/>
      </w:pPr>
      <w:r w:rsidRPr="00B41203">
        <w:t xml:space="preserve">Calculation of Savings </w:t>
      </w:r>
    </w:p>
    <w:p w14:paraId="591CAADB" w14:textId="77777777" w:rsidR="00FC595C" w:rsidRPr="000B7BB6" w:rsidRDefault="00FC595C" w:rsidP="001A72F0">
      <w:pPr>
        <w:pStyle w:val="Heading6"/>
      </w:pPr>
      <w:r w:rsidRPr="000B7BB6">
        <w:t>Electric Energy Savings</w:t>
      </w:r>
    </w:p>
    <w:p w14:paraId="3CF8180C" w14:textId="1F284952" w:rsidR="001212F7" w:rsidRDefault="00FC595C" w:rsidP="00E72C3B">
      <w:pPr>
        <w:ind w:left="2160"/>
        <w:rPr>
          <w:rFonts w:cstheme="minorHAnsi"/>
          <w:noProof/>
        </w:rPr>
      </w:pPr>
      <w:r w:rsidRPr="000B7BB6">
        <w:rPr>
          <w:rFonts w:cstheme="minorHAnsi"/>
          <w:noProof/>
        </w:rPr>
        <w:t>ΔkWh</w:t>
      </w:r>
      <w:r w:rsidRPr="000B7BB6">
        <w:rPr>
          <w:rStyle w:val="FootnoteReference"/>
          <w:rFonts w:cstheme="minorHAnsi"/>
          <w:noProof/>
        </w:rPr>
        <w:footnoteReference w:id="11"/>
      </w:r>
      <w:r w:rsidRPr="00B41203">
        <w:rPr>
          <w:rFonts w:cstheme="minorHAnsi"/>
          <w:noProof/>
        </w:rPr>
        <w:t xml:space="preserve"> </w:t>
      </w:r>
      <w:r w:rsidR="00C747F8">
        <w:rPr>
          <w:rFonts w:cstheme="minorHAnsi"/>
          <w:noProof/>
        </w:rPr>
        <w:tab/>
      </w:r>
      <w:r w:rsidR="00D55EAB">
        <w:rPr>
          <w:rFonts w:cstheme="minorHAnsi"/>
          <w:noProof/>
        </w:rPr>
        <w:t xml:space="preserve">= </w:t>
      </w:r>
      <w:r w:rsidR="00D55EAB" w:rsidRPr="000B7BB6">
        <w:rPr>
          <w:rFonts w:cstheme="minorHAnsi"/>
          <w:noProof/>
        </w:rPr>
        <w:t>ΔkWh</w:t>
      </w:r>
      <w:r w:rsidR="00C445A4">
        <w:rPr>
          <w:rFonts w:cstheme="minorHAnsi"/>
          <w:noProof/>
          <w:vertAlign w:val="subscript"/>
        </w:rPr>
        <w:t>heating</w:t>
      </w:r>
      <w:r w:rsidR="00C445A4" w:rsidRPr="00C445A4">
        <w:rPr>
          <w:rFonts w:cstheme="minorHAnsi"/>
          <w:noProof/>
        </w:rPr>
        <w:t xml:space="preserve"> </w:t>
      </w:r>
      <w:r w:rsidR="00C445A4">
        <w:rPr>
          <w:rFonts w:cstheme="minorHAnsi"/>
          <w:noProof/>
        </w:rPr>
        <w:t xml:space="preserve">+ </w:t>
      </w:r>
      <w:r w:rsidR="00C445A4" w:rsidRPr="000B7BB6">
        <w:rPr>
          <w:rFonts w:cstheme="minorHAnsi"/>
          <w:noProof/>
        </w:rPr>
        <w:t>ΔkWh</w:t>
      </w:r>
      <w:r w:rsidR="00C445A4" w:rsidRPr="00D55EAB">
        <w:rPr>
          <w:rFonts w:cstheme="minorHAnsi"/>
          <w:noProof/>
          <w:vertAlign w:val="subscript"/>
        </w:rPr>
        <w:t>cool</w:t>
      </w:r>
      <w:r w:rsidR="00C445A4">
        <w:rPr>
          <w:rFonts w:cstheme="minorHAnsi"/>
          <w:noProof/>
          <w:vertAlign w:val="subscript"/>
        </w:rPr>
        <w:t>ing</w:t>
      </w:r>
      <w:r w:rsidR="00C445A4">
        <w:rPr>
          <w:rFonts w:cstheme="minorHAnsi"/>
          <w:noProof/>
        </w:rPr>
        <w:t xml:space="preserve"> </w:t>
      </w:r>
    </w:p>
    <w:p w14:paraId="489FD462" w14:textId="4D60FE34" w:rsidR="00D55EAB" w:rsidRDefault="001212F7" w:rsidP="00FB407D">
      <w:pPr>
        <w:tabs>
          <w:tab w:val="left" w:pos="2880"/>
        </w:tabs>
        <w:ind w:left="3060" w:hanging="1620"/>
        <w:rPr>
          <w:rFonts w:cstheme="minorHAnsi"/>
          <w:noProof/>
        </w:rPr>
      </w:pPr>
      <w:r w:rsidRPr="000B7BB6">
        <w:rPr>
          <w:rFonts w:cstheme="minorHAnsi"/>
          <w:noProof/>
        </w:rPr>
        <w:t>ΔkWh</w:t>
      </w:r>
      <w:r w:rsidRPr="00D55EAB">
        <w:rPr>
          <w:rFonts w:cstheme="minorHAnsi"/>
          <w:noProof/>
          <w:vertAlign w:val="subscript"/>
        </w:rPr>
        <w:t>heating</w:t>
      </w:r>
      <w:r>
        <w:rPr>
          <w:rFonts w:cstheme="minorHAnsi"/>
          <w:noProof/>
        </w:rPr>
        <w:t xml:space="preserve"> </w:t>
      </w:r>
      <w:r>
        <w:rPr>
          <w:rFonts w:cstheme="minorHAnsi"/>
          <w:noProof/>
        </w:rPr>
        <w:tab/>
      </w:r>
      <w:r w:rsidR="00D55EAB">
        <w:rPr>
          <w:rFonts w:cstheme="minorHAnsi"/>
          <w:noProof/>
        </w:rPr>
        <w:t xml:space="preserve">= </w:t>
      </w:r>
      <w:r w:rsidR="00D55EAB" w:rsidRPr="000B7BB6">
        <w:rPr>
          <w:rFonts w:cstheme="minorHAnsi"/>
          <w:szCs w:val="20"/>
        </w:rPr>
        <w:t>%</w:t>
      </w:r>
      <w:proofErr w:type="spellStart"/>
      <w:r w:rsidR="00D55EAB" w:rsidRPr="000B7BB6">
        <w:rPr>
          <w:rFonts w:cstheme="minorHAnsi"/>
          <w:szCs w:val="20"/>
        </w:rPr>
        <w:t>ElectricHeat</w:t>
      </w:r>
      <w:proofErr w:type="spellEnd"/>
      <w:r w:rsidR="00D55EAB" w:rsidRPr="000B7BB6">
        <w:rPr>
          <w:rFonts w:cstheme="minorHAnsi"/>
          <w:szCs w:val="20"/>
        </w:rPr>
        <w:t> </w:t>
      </w:r>
      <w:r w:rsidR="00D55EAB" w:rsidRPr="00B41203">
        <w:rPr>
          <w:rFonts w:cstheme="minorHAnsi"/>
          <w:noProof/>
        </w:rPr>
        <w:t>* Elec_Heating_Consumption * Heating_Reduction * HF * Eff_ISR + (</w:t>
      </w:r>
      <w:r w:rsidR="00D55EAB">
        <w:rPr>
          <w:rFonts w:cstheme="minorHAnsi"/>
          <w:noProof/>
        </w:rPr>
        <w:t>∆</w:t>
      </w:r>
      <w:r w:rsidR="00D55EAB" w:rsidRPr="00B41203">
        <w:rPr>
          <w:rFonts w:cstheme="minorHAnsi"/>
          <w:noProof/>
        </w:rPr>
        <w:t>Therms * F</w:t>
      </w:r>
      <w:r w:rsidR="00D55EAB" w:rsidRPr="000B7BB6">
        <w:rPr>
          <w:rFonts w:cstheme="minorHAnsi"/>
          <w:noProof/>
          <w:vertAlign w:val="subscript"/>
        </w:rPr>
        <w:t>e</w:t>
      </w:r>
      <w:r w:rsidR="00D55EAB" w:rsidRPr="000B7BB6">
        <w:rPr>
          <w:rFonts w:cstheme="minorHAnsi"/>
          <w:noProof/>
        </w:rPr>
        <w:t xml:space="preserve"> * 29.3)</w:t>
      </w:r>
    </w:p>
    <w:p w14:paraId="591CAADC" w14:textId="5AC44621" w:rsidR="00FC595C" w:rsidRPr="000B7BB6" w:rsidRDefault="001212F7" w:rsidP="00354C0F">
      <w:pPr>
        <w:tabs>
          <w:tab w:val="left" w:pos="3060"/>
        </w:tabs>
        <w:ind w:left="3060" w:hanging="1620"/>
        <w:rPr>
          <w:rFonts w:cstheme="minorHAnsi"/>
          <w:noProof/>
          <w:szCs w:val="20"/>
        </w:rPr>
      </w:pPr>
      <w:r w:rsidRPr="000B7BB6">
        <w:rPr>
          <w:rFonts w:cstheme="minorHAnsi"/>
          <w:noProof/>
        </w:rPr>
        <w:t>ΔkWh</w:t>
      </w:r>
      <w:r w:rsidRPr="00D55EAB">
        <w:rPr>
          <w:rFonts w:cstheme="minorHAnsi"/>
          <w:noProof/>
          <w:vertAlign w:val="subscript"/>
        </w:rPr>
        <w:t>cool</w:t>
      </w:r>
      <w:r w:rsidRPr="00B41203">
        <w:rPr>
          <w:rFonts w:cstheme="minorHAnsi"/>
          <w:noProof/>
        </w:rPr>
        <w:t xml:space="preserve"> </w:t>
      </w:r>
      <w:r>
        <w:rPr>
          <w:rFonts w:cstheme="minorHAnsi"/>
          <w:noProof/>
        </w:rPr>
        <w:tab/>
      </w:r>
      <w:r w:rsidRPr="00B41203">
        <w:rPr>
          <w:rFonts w:cstheme="minorHAnsi"/>
          <w:noProof/>
        </w:rPr>
        <w:t xml:space="preserve">= </w:t>
      </w:r>
      <w:r>
        <w:rPr>
          <w:rFonts w:cstheme="minorHAnsi"/>
          <w:szCs w:val="20"/>
        </w:rPr>
        <w:t xml:space="preserve">%AC * </w:t>
      </w:r>
      <w:r w:rsidR="00260EAA">
        <w:rPr>
          <w:rFonts w:cstheme="minorHAnsi"/>
          <w:szCs w:val="20"/>
        </w:rPr>
        <w:t>((</w:t>
      </w:r>
      <w:r>
        <w:rPr>
          <w:rFonts w:cstheme="minorHAnsi"/>
          <w:szCs w:val="20"/>
        </w:rPr>
        <w:t>FLH * Btu/</w:t>
      </w:r>
      <w:proofErr w:type="spellStart"/>
      <w:r>
        <w:rPr>
          <w:rFonts w:cstheme="minorHAnsi"/>
          <w:szCs w:val="20"/>
        </w:rPr>
        <w:t>hr</w:t>
      </w:r>
      <w:proofErr w:type="spellEnd"/>
      <w:r w:rsidR="00260EAA">
        <w:rPr>
          <w:rFonts w:cstheme="minorHAnsi"/>
          <w:szCs w:val="20"/>
        </w:rPr>
        <w:t xml:space="preserve"> </w:t>
      </w:r>
      <w:r>
        <w:rPr>
          <w:rFonts w:cstheme="minorHAnsi"/>
          <w:szCs w:val="20"/>
        </w:rPr>
        <w:t>*</w:t>
      </w:r>
      <w:r w:rsidR="00D651A8">
        <w:rPr>
          <w:rFonts w:cstheme="minorHAnsi"/>
          <w:szCs w:val="20"/>
        </w:rPr>
        <w:t xml:space="preserve"> </w:t>
      </w:r>
      <w:r w:rsidR="00E72C3B">
        <w:rPr>
          <w:rFonts w:cstheme="minorHAnsi"/>
          <w:szCs w:val="20"/>
        </w:rPr>
        <w:t>1/SEER</w:t>
      </w:r>
      <w:r w:rsidR="00260EAA">
        <w:rPr>
          <w:rFonts w:cstheme="minorHAnsi"/>
          <w:szCs w:val="20"/>
        </w:rPr>
        <w:t>)/1000)</w:t>
      </w:r>
      <w:r w:rsidR="00D651A8">
        <w:rPr>
          <w:rFonts w:cstheme="minorHAnsi"/>
          <w:szCs w:val="20"/>
        </w:rPr>
        <w:t xml:space="preserve"> </w:t>
      </w:r>
      <w:r w:rsidR="00E72C3B">
        <w:rPr>
          <w:rFonts w:cstheme="minorHAnsi"/>
          <w:szCs w:val="20"/>
        </w:rPr>
        <w:t>*</w:t>
      </w:r>
      <w:r>
        <w:rPr>
          <w:rFonts w:cstheme="minorHAnsi"/>
          <w:szCs w:val="20"/>
        </w:rPr>
        <w:t xml:space="preserve"> </w:t>
      </w:r>
      <w:proofErr w:type="spellStart"/>
      <w:r>
        <w:rPr>
          <w:rFonts w:cstheme="minorHAnsi"/>
          <w:szCs w:val="20"/>
        </w:rPr>
        <w:t>Cooling</w:t>
      </w:r>
      <w:r w:rsidR="00193D81">
        <w:rPr>
          <w:rFonts w:cstheme="minorHAnsi"/>
          <w:szCs w:val="20"/>
        </w:rPr>
        <w:t>_Reduction</w:t>
      </w:r>
      <w:proofErr w:type="spellEnd"/>
      <w:r w:rsidR="00193D81">
        <w:rPr>
          <w:rFonts w:cstheme="minorHAnsi"/>
          <w:szCs w:val="20"/>
        </w:rPr>
        <w:t xml:space="preserve"> * </w:t>
      </w:r>
      <w:proofErr w:type="spellStart"/>
      <w:r w:rsidR="00193D81">
        <w:rPr>
          <w:rFonts w:cstheme="minorHAnsi"/>
          <w:szCs w:val="20"/>
        </w:rPr>
        <w:t>Eff_ISR</w:t>
      </w:r>
      <w:proofErr w:type="spellEnd"/>
    </w:p>
    <w:p w14:paraId="591CAADD" w14:textId="77777777" w:rsidR="00FC595C" w:rsidRPr="000B7BB6" w:rsidRDefault="00FC595C" w:rsidP="00CB3553">
      <w:pPr>
        <w:ind w:left="720" w:hanging="720"/>
        <w:rPr>
          <w:rFonts w:cstheme="minorHAnsi"/>
          <w:noProof/>
        </w:rPr>
      </w:pPr>
      <w:r w:rsidRPr="00B41203">
        <w:rPr>
          <w:rFonts w:cstheme="minorHAnsi"/>
          <w:noProof/>
        </w:rPr>
        <w:t>Where:</w:t>
      </w:r>
    </w:p>
    <w:p w14:paraId="591CAADE" w14:textId="77777777" w:rsidR="00FC595C" w:rsidRPr="000B7BB6" w:rsidRDefault="00FC595C" w:rsidP="001B259A">
      <w:pPr>
        <w:ind w:left="720"/>
        <w:rPr>
          <w:rFonts w:cstheme="minorHAnsi"/>
          <w:szCs w:val="20"/>
        </w:rPr>
      </w:pPr>
      <w:r w:rsidRPr="000B7BB6">
        <w:rPr>
          <w:rFonts w:cstheme="minorHAnsi"/>
          <w:szCs w:val="20"/>
        </w:rPr>
        <w:t>%</w:t>
      </w:r>
      <w:proofErr w:type="spellStart"/>
      <w:r w:rsidRPr="000B7BB6">
        <w:rPr>
          <w:rFonts w:cstheme="minorHAnsi"/>
          <w:szCs w:val="20"/>
        </w:rPr>
        <w:t>ElectricHeat</w:t>
      </w:r>
      <w:proofErr w:type="spellEnd"/>
      <w:r>
        <w:rPr>
          <w:rFonts w:cstheme="minorHAnsi"/>
          <w:szCs w:val="20"/>
        </w:rPr>
        <w:tab/>
      </w:r>
      <w:r w:rsidRPr="000B7BB6">
        <w:rPr>
          <w:rFonts w:cstheme="minorHAnsi"/>
          <w:szCs w:val="20"/>
        </w:rPr>
        <w:t xml:space="preserve"> = Percentage of heating savings assumed to be electric</w:t>
      </w:r>
      <w:r w:rsidRPr="00B41203">
        <w:rPr>
          <w:rFonts w:cstheme="minorHAnsi"/>
          <w:szCs w:val="20"/>
        </w:rPr>
        <w:tab/>
      </w:r>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AE1" w14:textId="77777777" w:rsidTr="001B259A">
        <w:tc>
          <w:tcPr>
            <w:tcW w:w="2430" w:type="dxa"/>
            <w:shd w:val="clear" w:color="auto" w:fill="7F7F7F" w:themeFill="text1" w:themeFillTint="80"/>
            <w:tcMar>
              <w:top w:w="0" w:type="dxa"/>
              <w:left w:w="108" w:type="dxa"/>
              <w:bottom w:w="0" w:type="dxa"/>
              <w:right w:w="108" w:type="dxa"/>
            </w:tcMar>
            <w:hideMark/>
          </w:tcPr>
          <w:p w14:paraId="591CAADF"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Heating fuel</w:t>
            </w:r>
          </w:p>
        </w:tc>
        <w:tc>
          <w:tcPr>
            <w:tcW w:w="1774" w:type="dxa"/>
            <w:shd w:val="clear" w:color="auto" w:fill="7F7F7F" w:themeFill="text1" w:themeFillTint="80"/>
            <w:tcMar>
              <w:top w:w="0" w:type="dxa"/>
              <w:left w:w="108" w:type="dxa"/>
              <w:bottom w:w="0" w:type="dxa"/>
              <w:right w:w="108" w:type="dxa"/>
            </w:tcMar>
            <w:hideMark/>
          </w:tcPr>
          <w:p w14:paraId="591CAAE0"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w:t>
            </w:r>
            <w:proofErr w:type="spellStart"/>
            <w:r w:rsidRPr="000B7BB6">
              <w:rPr>
                <w:rFonts w:cstheme="minorHAnsi"/>
                <w:b/>
                <w:color w:val="FFFFFF" w:themeColor="background1"/>
                <w:szCs w:val="20"/>
              </w:rPr>
              <w:t>ElectricHeat</w:t>
            </w:r>
            <w:proofErr w:type="spellEnd"/>
            <w:r w:rsidRPr="000B7BB6">
              <w:rPr>
                <w:rFonts w:cstheme="minorHAnsi"/>
                <w:b/>
                <w:color w:val="FFFFFF" w:themeColor="background1"/>
                <w:szCs w:val="20"/>
              </w:rPr>
              <w:t> </w:t>
            </w:r>
          </w:p>
        </w:tc>
      </w:tr>
      <w:tr w:rsidR="00FC595C" w:rsidRPr="00A05FC2" w14:paraId="591CAAE4" w14:textId="77777777" w:rsidTr="001B259A">
        <w:tc>
          <w:tcPr>
            <w:tcW w:w="2430" w:type="dxa"/>
            <w:tcMar>
              <w:top w:w="0" w:type="dxa"/>
              <w:left w:w="108" w:type="dxa"/>
              <w:bottom w:w="0" w:type="dxa"/>
              <w:right w:w="108" w:type="dxa"/>
            </w:tcMar>
            <w:hideMark/>
          </w:tcPr>
          <w:p w14:paraId="591CAAE2" w14:textId="77777777" w:rsidR="00FC595C" w:rsidRPr="00875027" w:rsidRDefault="00FC595C" w:rsidP="00875027">
            <w:pPr>
              <w:pStyle w:val="BodyText"/>
              <w:spacing w:after="0"/>
              <w:rPr>
                <w:rFonts w:eastAsiaTheme="minorHAnsi"/>
                <w:sz w:val="20"/>
                <w:szCs w:val="20"/>
              </w:rPr>
            </w:pPr>
            <w:r w:rsidRPr="00875027">
              <w:rPr>
                <w:sz w:val="20"/>
                <w:szCs w:val="20"/>
              </w:rPr>
              <w:t>Electric</w:t>
            </w:r>
          </w:p>
        </w:tc>
        <w:tc>
          <w:tcPr>
            <w:tcW w:w="1774" w:type="dxa"/>
            <w:tcMar>
              <w:top w:w="0" w:type="dxa"/>
              <w:left w:w="108" w:type="dxa"/>
              <w:bottom w:w="0" w:type="dxa"/>
              <w:right w:w="108" w:type="dxa"/>
            </w:tcMar>
            <w:hideMark/>
          </w:tcPr>
          <w:p w14:paraId="591CAAE3" w14:textId="77777777" w:rsidR="00FC595C" w:rsidRPr="00875027" w:rsidRDefault="00FC595C" w:rsidP="001B259A">
            <w:pPr>
              <w:pStyle w:val="BodyText"/>
              <w:spacing w:after="0"/>
              <w:jc w:val="center"/>
              <w:rPr>
                <w:rFonts w:eastAsiaTheme="minorHAnsi"/>
                <w:sz w:val="20"/>
                <w:szCs w:val="20"/>
              </w:rPr>
            </w:pPr>
            <w:r w:rsidRPr="00875027">
              <w:rPr>
                <w:sz w:val="20"/>
                <w:szCs w:val="20"/>
              </w:rPr>
              <w:t>100%</w:t>
            </w:r>
          </w:p>
        </w:tc>
      </w:tr>
      <w:tr w:rsidR="00FC595C" w:rsidRPr="00A05FC2" w14:paraId="591CAAE7" w14:textId="77777777" w:rsidTr="001B259A">
        <w:tc>
          <w:tcPr>
            <w:tcW w:w="2430" w:type="dxa"/>
            <w:tcMar>
              <w:top w:w="0" w:type="dxa"/>
              <w:left w:w="108" w:type="dxa"/>
              <w:bottom w:w="0" w:type="dxa"/>
              <w:right w:w="108" w:type="dxa"/>
            </w:tcMar>
            <w:hideMark/>
          </w:tcPr>
          <w:p w14:paraId="591CAAE5" w14:textId="77777777" w:rsidR="00FC595C" w:rsidRPr="00875027" w:rsidRDefault="00FC595C" w:rsidP="00875027">
            <w:pPr>
              <w:pStyle w:val="BodyText"/>
              <w:spacing w:after="0"/>
              <w:rPr>
                <w:rFonts w:eastAsiaTheme="minorHAnsi"/>
                <w:sz w:val="20"/>
                <w:szCs w:val="20"/>
              </w:rPr>
            </w:pPr>
            <w:r w:rsidRPr="00875027">
              <w:rPr>
                <w:sz w:val="20"/>
                <w:szCs w:val="20"/>
              </w:rPr>
              <w:t>Natural Gas</w:t>
            </w:r>
          </w:p>
        </w:tc>
        <w:tc>
          <w:tcPr>
            <w:tcW w:w="1774" w:type="dxa"/>
            <w:tcMar>
              <w:top w:w="0" w:type="dxa"/>
              <w:left w:w="108" w:type="dxa"/>
              <w:bottom w:w="0" w:type="dxa"/>
              <w:right w:w="108" w:type="dxa"/>
            </w:tcMar>
            <w:hideMark/>
          </w:tcPr>
          <w:p w14:paraId="591CAAE6" w14:textId="77777777" w:rsidR="00FC595C" w:rsidRPr="00875027" w:rsidRDefault="00FC595C" w:rsidP="001B259A">
            <w:pPr>
              <w:pStyle w:val="BodyText"/>
              <w:spacing w:after="0"/>
              <w:jc w:val="center"/>
              <w:rPr>
                <w:rFonts w:eastAsiaTheme="minorHAnsi"/>
                <w:sz w:val="20"/>
                <w:szCs w:val="20"/>
              </w:rPr>
            </w:pPr>
            <w:r w:rsidRPr="00875027">
              <w:rPr>
                <w:sz w:val="20"/>
                <w:szCs w:val="20"/>
              </w:rPr>
              <w:t>0%</w:t>
            </w:r>
          </w:p>
        </w:tc>
      </w:tr>
      <w:tr w:rsidR="00FC595C" w:rsidRPr="00A05FC2" w14:paraId="591CAAEA" w14:textId="77777777" w:rsidTr="001B259A">
        <w:tc>
          <w:tcPr>
            <w:tcW w:w="2430" w:type="dxa"/>
            <w:tcMar>
              <w:top w:w="0" w:type="dxa"/>
              <w:left w:w="108" w:type="dxa"/>
              <w:bottom w:w="0" w:type="dxa"/>
              <w:right w:w="108" w:type="dxa"/>
            </w:tcMar>
            <w:hideMark/>
          </w:tcPr>
          <w:p w14:paraId="591CAAE8" w14:textId="77777777" w:rsidR="00FC595C" w:rsidRPr="00875027" w:rsidRDefault="00FC595C" w:rsidP="00875027">
            <w:pPr>
              <w:pStyle w:val="BodyText"/>
              <w:spacing w:after="0"/>
              <w:rPr>
                <w:rFonts w:eastAsiaTheme="minorHAnsi"/>
                <w:sz w:val="20"/>
                <w:szCs w:val="20"/>
              </w:rPr>
            </w:pPr>
            <w:r w:rsidRPr="00875027">
              <w:rPr>
                <w:sz w:val="20"/>
                <w:szCs w:val="20"/>
              </w:rPr>
              <w:t>Unknown</w:t>
            </w:r>
          </w:p>
        </w:tc>
        <w:tc>
          <w:tcPr>
            <w:tcW w:w="1774" w:type="dxa"/>
            <w:tcMar>
              <w:top w:w="0" w:type="dxa"/>
              <w:left w:w="108" w:type="dxa"/>
              <w:bottom w:w="0" w:type="dxa"/>
              <w:right w:w="108" w:type="dxa"/>
            </w:tcMar>
            <w:hideMark/>
          </w:tcPr>
          <w:p w14:paraId="591CAAE9" w14:textId="77777777" w:rsidR="00FC595C" w:rsidRPr="00875027" w:rsidRDefault="00FC595C" w:rsidP="001B259A">
            <w:pPr>
              <w:pStyle w:val="BodyText"/>
              <w:spacing w:after="0"/>
              <w:jc w:val="center"/>
              <w:rPr>
                <w:rFonts w:eastAsiaTheme="minorHAnsi"/>
                <w:sz w:val="20"/>
                <w:szCs w:val="20"/>
              </w:rPr>
            </w:pPr>
            <w:r w:rsidRPr="00875027">
              <w:rPr>
                <w:sz w:val="20"/>
                <w:szCs w:val="20"/>
              </w:rPr>
              <w:t>13%</w:t>
            </w:r>
            <w:r w:rsidRPr="00875027">
              <w:rPr>
                <w:rStyle w:val="FootnoteReference"/>
                <w:rFonts w:asciiTheme="minorHAnsi" w:hAnsiTheme="minorHAnsi" w:cstheme="minorHAnsi"/>
                <w:szCs w:val="20"/>
              </w:rPr>
              <w:footnoteReference w:id="12"/>
            </w:r>
          </w:p>
        </w:tc>
      </w:tr>
    </w:tbl>
    <w:p w14:paraId="591CAAEB" w14:textId="3A152D3C" w:rsidR="00FC595C" w:rsidRPr="000B7BB6" w:rsidRDefault="00FC595C" w:rsidP="001B259A">
      <w:pPr>
        <w:spacing w:before="240"/>
        <w:ind w:left="720" w:hanging="720"/>
        <w:rPr>
          <w:rFonts w:cstheme="minorHAnsi"/>
          <w:noProof/>
        </w:rPr>
      </w:pPr>
      <w:r w:rsidRPr="00B41203">
        <w:rPr>
          <w:rFonts w:cstheme="minorHAnsi"/>
        </w:rPr>
        <w:tab/>
      </w:r>
      <w:r w:rsidR="001212F7">
        <w:rPr>
          <w:rFonts w:cstheme="minorHAnsi"/>
          <w:noProof/>
        </w:rPr>
        <w:t>Elec_Heating_</w:t>
      </w:r>
      <w:r w:rsidRPr="000B7BB6">
        <w:rPr>
          <w:rFonts w:cstheme="minorHAnsi"/>
          <w:noProof/>
        </w:rPr>
        <w:t>Consumption</w:t>
      </w:r>
    </w:p>
    <w:p w14:paraId="591CAAEC" w14:textId="3152DCCD" w:rsidR="00FC595C" w:rsidRPr="00B41203" w:rsidRDefault="00FC595C" w:rsidP="001B259A">
      <w:pPr>
        <w:tabs>
          <w:tab w:val="left" w:pos="2880"/>
        </w:tabs>
        <w:ind w:left="2340" w:hanging="180"/>
        <w:rPr>
          <w:rFonts w:cstheme="minorHAnsi"/>
          <w:noProof/>
        </w:rPr>
      </w:pPr>
      <w:r w:rsidRPr="000B7BB6">
        <w:rPr>
          <w:rFonts w:cstheme="minorHAnsi"/>
          <w:noProof/>
        </w:rPr>
        <w:t>= Estimate of annual household heating consumption for electrically heated single-family homes</w:t>
      </w:r>
      <w:r w:rsidRPr="000B7BB6">
        <w:rPr>
          <w:rStyle w:val="FootnoteReference"/>
          <w:rFonts w:cstheme="minorHAnsi"/>
          <w:noProof/>
        </w:rPr>
        <w:footnoteReference w:id="13"/>
      </w:r>
      <w:r w:rsidRPr="00B41203">
        <w:rPr>
          <w:rFonts w:cstheme="minorHAnsi"/>
          <w:noProof/>
        </w:rPr>
        <w:t xml:space="preserve">. If location and heating type is unknown, assume </w:t>
      </w:r>
      <w:r w:rsidR="00B870D4">
        <w:rPr>
          <w:rFonts w:cstheme="minorHAnsi"/>
          <w:noProof/>
        </w:rPr>
        <w:t>1</w:t>
      </w:r>
      <w:r w:rsidR="00FA10E2">
        <w:rPr>
          <w:rFonts w:cstheme="minorHAnsi"/>
          <w:noProof/>
        </w:rPr>
        <w:t>5</w:t>
      </w:r>
      <w:r w:rsidR="00B870D4">
        <w:rPr>
          <w:rFonts w:cstheme="minorHAnsi"/>
          <w:noProof/>
        </w:rPr>
        <w:t>,</w:t>
      </w:r>
      <w:r w:rsidR="00FA10E2">
        <w:rPr>
          <w:rFonts w:cstheme="minorHAnsi"/>
          <w:noProof/>
        </w:rPr>
        <w:t>678</w:t>
      </w:r>
      <w:r w:rsidRPr="000B7BB6">
        <w:rPr>
          <w:rFonts w:cstheme="minorHAnsi"/>
          <w:noProof/>
        </w:rPr>
        <w:t xml:space="preserve"> kWh</w:t>
      </w:r>
      <w:r w:rsidRPr="000B7BB6">
        <w:rPr>
          <w:rStyle w:val="FootnoteReference"/>
          <w:rFonts w:cstheme="minorHAnsi"/>
          <w:noProof/>
        </w:rPr>
        <w:footnoteReference w:id="14"/>
      </w:r>
    </w:p>
    <w:tbl>
      <w:tblPr>
        <w:tblW w:w="5760" w:type="dxa"/>
        <w:jc w:val="center"/>
        <w:tblInd w:w="3078" w:type="dxa"/>
        <w:tblLook w:val="04A0" w:firstRow="1" w:lastRow="0" w:firstColumn="1" w:lastColumn="0" w:noHBand="0" w:noVBand="1"/>
      </w:tblPr>
      <w:tblGrid>
        <w:gridCol w:w="2160"/>
        <w:gridCol w:w="1791"/>
        <w:gridCol w:w="1809"/>
      </w:tblGrid>
      <w:tr w:rsidR="00FC595C" w:rsidRPr="00A05FC2" w14:paraId="591CAAF5" w14:textId="77777777" w:rsidTr="001B259A">
        <w:trPr>
          <w:trHeight w:val="270"/>
          <w:jc w:val="center"/>
        </w:trPr>
        <w:tc>
          <w:tcPr>
            <w:tcW w:w="2160"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p w14:paraId="591CAAED"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Climate Zone</w:t>
            </w:r>
          </w:p>
          <w:p w14:paraId="591CAAEE"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(City based upon)</w:t>
            </w:r>
          </w:p>
        </w:tc>
        <w:tc>
          <w:tcPr>
            <w:tcW w:w="179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591CAAEF" w14:textId="77777777" w:rsidR="00FC595C" w:rsidRPr="000B7BB6" w:rsidRDefault="00FC595C" w:rsidP="002570DF">
            <w:pPr>
              <w:spacing w:after="0"/>
              <w:jc w:val="center"/>
              <w:rPr>
                <w:rFonts w:cstheme="minorHAnsi"/>
                <w:b/>
                <w:color w:val="FFFFFF" w:themeColor="background1"/>
                <w:szCs w:val="20"/>
              </w:rPr>
            </w:pPr>
            <w:r w:rsidRPr="000B7BB6">
              <w:rPr>
                <w:rFonts w:cstheme="minorHAnsi"/>
                <w:b/>
                <w:color w:val="FFFFFF" w:themeColor="background1"/>
                <w:szCs w:val="20"/>
              </w:rPr>
              <w:t>Electric Resistance</w:t>
            </w:r>
          </w:p>
          <w:p w14:paraId="591CAAF0" w14:textId="77777777" w:rsidR="00FC595C" w:rsidRPr="000B7BB6" w:rsidRDefault="00FC595C">
            <w:pPr>
              <w:spacing w:after="0"/>
              <w:jc w:val="center"/>
              <w:rPr>
                <w:rFonts w:cstheme="minorHAnsi"/>
                <w:b/>
                <w:color w:val="FFFFFF" w:themeColor="background1"/>
                <w:szCs w:val="20"/>
              </w:rPr>
            </w:pPr>
            <w:proofErr w:type="spellStart"/>
            <w:r w:rsidRPr="000B7BB6">
              <w:rPr>
                <w:rFonts w:cstheme="minorHAnsi"/>
                <w:b/>
                <w:color w:val="FFFFFF" w:themeColor="background1"/>
                <w:szCs w:val="20"/>
              </w:rPr>
              <w:t>Elec_Heating</w:t>
            </w:r>
            <w:proofErr w:type="spellEnd"/>
            <w:r w:rsidRPr="000B7BB6">
              <w:rPr>
                <w:rFonts w:cstheme="minorHAnsi"/>
                <w:b/>
                <w:color w:val="FFFFFF" w:themeColor="background1"/>
                <w:szCs w:val="20"/>
              </w:rPr>
              <w:t>_ Consumption</w:t>
            </w:r>
          </w:p>
          <w:p w14:paraId="591CAAF1" w14:textId="77777777" w:rsidR="00FC595C" w:rsidRPr="000B7BB6" w:rsidRDefault="00FC595C">
            <w:pPr>
              <w:spacing w:after="0"/>
              <w:jc w:val="center"/>
              <w:rPr>
                <w:rFonts w:cstheme="minorHAnsi"/>
                <w:b/>
                <w:color w:val="FFFFFF" w:themeColor="background1"/>
                <w:szCs w:val="20"/>
              </w:rPr>
            </w:pPr>
            <w:r w:rsidRPr="000B7BB6">
              <w:rPr>
                <w:rFonts w:cstheme="minorHAnsi"/>
                <w:b/>
                <w:color w:val="FFFFFF" w:themeColor="background1"/>
                <w:szCs w:val="20"/>
              </w:rPr>
              <w:t>(kWh)</w:t>
            </w:r>
          </w:p>
        </w:tc>
        <w:tc>
          <w:tcPr>
            <w:tcW w:w="18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91CAAF2" w14:textId="77777777" w:rsidR="00FC595C" w:rsidRPr="000B7BB6" w:rsidRDefault="00FC595C">
            <w:pPr>
              <w:spacing w:after="0"/>
              <w:jc w:val="center"/>
              <w:rPr>
                <w:rFonts w:cstheme="minorHAnsi"/>
                <w:b/>
                <w:color w:val="FFFFFF" w:themeColor="background1"/>
                <w:szCs w:val="20"/>
              </w:rPr>
            </w:pPr>
            <w:r w:rsidRPr="000B7BB6">
              <w:rPr>
                <w:rFonts w:cstheme="minorHAnsi"/>
                <w:b/>
                <w:color w:val="FFFFFF" w:themeColor="background1"/>
                <w:szCs w:val="20"/>
              </w:rPr>
              <w:t>Electric Heat Pump</w:t>
            </w:r>
          </w:p>
          <w:p w14:paraId="591CAAF3" w14:textId="77777777" w:rsidR="00FC595C" w:rsidRPr="000B7BB6" w:rsidRDefault="00FC595C">
            <w:pPr>
              <w:spacing w:after="0"/>
              <w:jc w:val="center"/>
              <w:rPr>
                <w:rFonts w:cstheme="minorHAnsi"/>
                <w:b/>
                <w:color w:val="FFFFFF" w:themeColor="background1"/>
                <w:szCs w:val="20"/>
              </w:rPr>
            </w:pPr>
            <w:proofErr w:type="spellStart"/>
            <w:r w:rsidRPr="000B7BB6">
              <w:rPr>
                <w:rFonts w:cstheme="minorHAnsi"/>
                <w:b/>
                <w:color w:val="FFFFFF" w:themeColor="background1"/>
                <w:szCs w:val="20"/>
              </w:rPr>
              <w:t>Elec_Heating</w:t>
            </w:r>
            <w:proofErr w:type="spellEnd"/>
            <w:r w:rsidRPr="000B7BB6">
              <w:rPr>
                <w:rFonts w:cstheme="minorHAnsi"/>
                <w:b/>
                <w:color w:val="FFFFFF" w:themeColor="background1"/>
                <w:szCs w:val="20"/>
              </w:rPr>
              <w:t>_ Consumption</w:t>
            </w:r>
          </w:p>
          <w:p w14:paraId="591CAAF4" w14:textId="77777777" w:rsidR="00FC595C" w:rsidRPr="000B7BB6" w:rsidRDefault="00FC595C">
            <w:pPr>
              <w:spacing w:after="0"/>
              <w:jc w:val="center"/>
              <w:rPr>
                <w:rFonts w:cstheme="minorHAnsi"/>
                <w:b/>
                <w:color w:val="FFFFFF" w:themeColor="background1"/>
                <w:szCs w:val="20"/>
              </w:rPr>
            </w:pPr>
            <w:r w:rsidRPr="000B7BB6">
              <w:rPr>
                <w:rFonts w:cstheme="minorHAnsi"/>
                <w:b/>
                <w:color w:val="FFFFFF" w:themeColor="background1"/>
                <w:szCs w:val="20"/>
              </w:rPr>
              <w:t>(kWh)</w:t>
            </w:r>
          </w:p>
        </w:tc>
      </w:tr>
      <w:tr w:rsidR="00FA10E2" w:rsidRPr="00A05FC2" w14:paraId="591CAAF9"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AF6" w14:textId="77777777" w:rsidR="00FA10E2" w:rsidRPr="00875027" w:rsidRDefault="00FA10E2" w:rsidP="00036C0B">
            <w:pPr>
              <w:pStyle w:val="BodyText"/>
              <w:spacing w:after="0"/>
              <w:rPr>
                <w:sz w:val="20"/>
                <w:szCs w:val="20"/>
              </w:rPr>
            </w:pPr>
            <w:r w:rsidRPr="00875027">
              <w:rPr>
                <w:sz w:val="20"/>
                <w:szCs w:val="20"/>
              </w:rPr>
              <w:t>1 (Rockford)</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AF7" w14:textId="52ED7266" w:rsidR="00FA10E2" w:rsidRPr="00B870D4" w:rsidRDefault="00FA10E2" w:rsidP="001B259A">
            <w:pPr>
              <w:pStyle w:val="BodyText"/>
              <w:spacing w:after="0"/>
              <w:jc w:val="center"/>
              <w:rPr>
                <w:sz w:val="20"/>
                <w:szCs w:val="20"/>
              </w:rPr>
            </w:pPr>
            <w:r w:rsidRPr="00FA10E2">
              <w:rPr>
                <w:sz w:val="20"/>
                <w:szCs w:val="20"/>
              </w:rPr>
              <w:t>21,741</w:t>
            </w:r>
          </w:p>
        </w:tc>
        <w:tc>
          <w:tcPr>
            <w:tcW w:w="1809" w:type="dxa"/>
            <w:tcBorders>
              <w:top w:val="single" w:sz="4" w:space="0" w:color="auto"/>
              <w:left w:val="single" w:sz="4" w:space="0" w:color="auto"/>
              <w:bottom w:val="single" w:sz="4" w:space="0" w:color="auto"/>
              <w:right w:val="single" w:sz="4" w:space="0" w:color="auto"/>
            </w:tcBorders>
            <w:vAlign w:val="bottom"/>
          </w:tcPr>
          <w:p w14:paraId="591CAAF8" w14:textId="7A4A894B" w:rsidR="00FA10E2" w:rsidRPr="00B870D4" w:rsidRDefault="00FA10E2" w:rsidP="001B259A">
            <w:pPr>
              <w:pStyle w:val="BodyText"/>
              <w:spacing w:after="0"/>
              <w:jc w:val="center"/>
              <w:rPr>
                <w:sz w:val="20"/>
                <w:szCs w:val="20"/>
              </w:rPr>
            </w:pPr>
            <w:r w:rsidRPr="00B870D4">
              <w:rPr>
                <w:sz w:val="20"/>
                <w:szCs w:val="20"/>
              </w:rPr>
              <w:t>12,789</w:t>
            </w:r>
          </w:p>
        </w:tc>
      </w:tr>
      <w:tr w:rsidR="00FA10E2" w:rsidRPr="00A05FC2" w14:paraId="591CAAFD"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AFA" w14:textId="77777777" w:rsidR="00FA10E2" w:rsidRPr="00875027" w:rsidRDefault="00FA10E2" w:rsidP="00036C0B">
            <w:pPr>
              <w:pStyle w:val="BodyText"/>
              <w:spacing w:after="0"/>
              <w:rPr>
                <w:sz w:val="20"/>
                <w:szCs w:val="20"/>
              </w:rPr>
            </w:pPr>
            <w:r w:rsidRPr="00875027">
              <w:rPr>
                <w:sz w:val="20"/>
                <w:szCs w:val="20"/>
              </w:rPr>
              <w:t>2 (Chicago)</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AFB" w14:textId="18820513" w:rsidR="00FA10E2" w:rsidRPr="00B870D4" w:rsidRDefault="00FA10E2" w:rsidP="001B259A">
            <w:pPr>
              <w:pStyle w:val="BodyText"/>
              <w:spacing w:after="0"/>
              <w:jc w:val="center"/>
              <w:rPr>
                <w:sz w:val="20"/>
                <w:szCs w:val="20"/>
              </w:rPr>
            </w:pPr>
            <w:r w:rsidRPr="00FA10E2">
              <w:rPr>
                <w:sz w:val="20"/>
                <w:szCs w:val="20"/>
              </w:rPr>
              <w:t>20,771</w:t>
            </w:r>
          </w:p>
        </w:tc>
        <w:tc>
          <w:tcPr>
            <w:tcW w:w="1809" w:type="dxa"/>
            <w:tcBorders>
              <w:top w:val="single" w:sz="4" w:space="0" w:color="auto"/>
              <w:left w:val="single" w:sz="4" w:space="0" w:color="auto"/>
              <w:bottom w:val="single" w:sz="4" w:space="0" w:color="auto"/>
              <w:right w:val="single" w:sz="4" w:space="0" w:color="auto"/>
            </w:tcBorders>
            <w:vAlign w:val="bottom"/>
          </w:tcPr>
          <w:p w14:paraId="591CAAFC" w14:textId="4F0962EC" w:rsidR="00FA10E2" w:rsidRPr="00B870D4" w:rsidRDefault="00FA10E2" w:rsidP="001B259A">
            <w:pPr>
              <w:pStyle w:val="BodyText"/>
              <w:spacing w:after="0"/>
              <w:jc w:val="center"/>
              <w:rPr>
                <w:sz w:val="20"/>
                <w:szCs w:val="20"/>
              </w:rPr>
            </w:pPr>
            <w:r w:rsidRPr="000869C8">
              <w:rPr>
                <w:sz w:val="20"/>
                <w:szCs w:val="20"/>
              </w:rPr>
              <w:t>12,218</w:t>
            </w:r>
          </w:p>
        </w:tc>
      </w:tr>
      <w:tr w:rsidR="00FA10E2" w:rsidRPr="00A05FC2" w14:paraId="591CAB01"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AFE" w14:textId="77777777" w:rsidR="00FA10E2" w:rsidRPr="00875027" w:rsidRDefault="00FA10E2" w:rsidP="00036C0B">
            <w:pPr>
              <w:pStyle w:val="BodyText"/>
              <w:spacing w:after="0"/>
              <w:rPr>
                <w:sz w:val="20"/>
                <w:szCs w:val="20"/>
              </w:rPr>
            </w:pPr>
            <w:r w:rsidRPr="00875027">
              <w:rPr>
                <w:sz w:val="20"/>
                <w:szCs w:val="20"/>
              </w:rPr>
              <w:t>3 (Springfield)</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AFF" w14:textId="3624DA57" w:rsidR="00FA10E2" w:rsidRPr="00B870D4" w:rsidRDefault="00FA10E2" w:rsidP="001B259A">
            <w:pPr>
              <w:pStyle w:val="BodyText"/>
              <w:spacing w:after="0"/>
              <w:jc w:val="center"/>
              <w:rPr>
                <w:sz w:val="20"/>
                <w:szCs w:val="20"/>
              </w:rPr>
            </w:pPr>
            <w:r w:rsidRPr="00FA10E2">
              <w:rPr>
                <w:sz w:val="20"/>
                <w:szCs w:val="20"/>
              </w:rPr>
              <w:t>17,789</w:t>
            </w:r>
          </w:p>
        </w:tc>
        <w:tc>
          <w:tcPr>
            <w:tcW w:w="1809" w:type="dxa"/>
            <w:tcBorders>
              <w:top w:val="single" w:sz="4" w:space="0" w:color="auto"/>
              <w:left w:val="single" w:sz="4" w:space="0" w:color="auto"/>
              <w:bottom w:val="single" w:sz="4" w:space="0" w:color="auto"/>
              <w:right w:val="single" w:sz="4" w:space="0" w:color="auto"/>
            </w:tcBorders>
            <w:vAlign w:val="bottom"/>
          </w:tcPr>
          <w:p w14:paraId="591CAB00" w14:textId="3ED916F2" w:rsidR="00FA10E2" w:rsidRPr="00B870D4" w:rsidRDefault="00FA10E2" w:rsidP="001B259A">
            <w:pPr>
              <w:pStyle w:val="BodyText"/>
              <w:spacing w:after="0"/>
              <w:jc w:val="center"/>
              <w:rPr>
                <w:sz w:val="20"/>
                <w:szCs w:val="20"/>
              </w:rPr>
            </w:pPr>
            <w:r w:rsidRPr="00B870D4">
              <w:rPr>
                <w:sz w:val="20"/>
                <w:szCs w:val="20"/>
              </w:rPr>
              <w:t>10,464</w:t>
            </w:r>
          </w:p>
        </w:tc>
      </w:tr>
      <w:tr w:rsidR="00FA10E2" w:rsidRPr="00A05FC2" w14:paraId="591CAB05"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B02" w14:textId="77777777" w:rsidR="00FA10E2" w:rsidRPr="00875027" w:rsidRDefault="00FA10E2" w:rsidP="00036C0B">
            <w:pPr>
              <w:pStyle w:val="BodyText"/>
              <w:spacing w:after="0"/>
              <w:rPr>
                <w:sz w:val="20"/>
                <w:szCs w:val="20"/>
              </w:rPr>
            </w:pPr>
            <w:r w:rsidRPr="00875027">
              <w:rPr>
                <w:sz w:val="20"/>
                <w:szCs w:val="20"/>
              </w:rPr>
              <w:lastRenderedPageBreak/>
              <w:t>4 (Belleville)</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B03" w14:textId="29520580" w:rsidR="00FA10E2" w:rsidRPr="00B870D4" w:rsidRDefault="00FA10E2" w:rsidP="001B259A">
            <w:pPr>
              <w:pStyle w:val="BodyText"/>
              <w:spacing w:after="0"/>
              <w:jc w:val="center"/>
              <w:rPr>
                <w:sz w:val="20"/>
                <w:szCs w:val="20"/>
              </w:rPr>
            </w:pPr>
            <w:r w:rsidRPr="00FA10E2">
              <w:rPr>
                <w:sz w:val="20"/>
                <w:szCs w:val="20"/>
              </w:rPr>
              <w:t>13,722</w:t>
            </w:r>
          </w:p>
        </w:tc>
        <w:tc>
          <w:tcPr>
            <w:tcW w:w="1809" w:type="dxa"/>
            <w:tcBorders>
              <w:top w:val="single" w:sz="4" w:space="0" w:color="auto"/>
              <w:left w:val="single" w:sz="4" w:space="0" w:color="auto"/>
              <w:bottom w:val="single" w:sz="4" w:space="0" w:color="auto"/>
              <w:right w:val="single" w:sz="4" w:space="0" w:color="auto"/>
            </w:tcBorders>
            <w:vAlign w:val="bottom"/>
          </w:tcPr>
          <w:p w14:paraId="591CAB04" w14:textId="4AA9D332" w:rsidR="00FA10E2" w:rsidRPr="00B870D4" w:rsidRDefault="00FA10E2" w:rsidP="001B259A">
            <w:pPr>
              <w:pStyle w:val="BodyText"/>
              <w:spacing w:after="0"/>
              <w:jc w:val="center"/>
              <w:rPr>
                <w:sz w:val="20"/>
                <w:szCs w:val="20"/>
              </w:rPr>
            </w:pPr>
            <w:r w:rsidRPr="00B870D4">
              <w:rPr>
                <w:sz w:val="20"/>
                <w:szCs w:val="20"/>
              </w:rPr>
              <w:t>8,072</w:t>
            </w:r>
          </w:p>
        </w:tc>
      </w:tr>
      <w:tr w:rsidR="00FA10E2" w:rsidRPr="00A05FC2" w14:paraId="591CAB09"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B06" w14:textId="77777777" w:rsidR="00FA10E2" w:rsidRPr="00875027" w:rsidRDefault="00FA10E2" w:rsidP="00036C0B">
            <w:pPr>
              <w:pStyle w:val="BodyText"/>
              <w:spacing w:after="0"/>
              <w:rPr>
                <w:sz w:val="20"/>
                <w:szCs w:val="20"/>
              </w:rPr>
            </w:pPr>
            <w:r w:rsidRPr="00875027">
              <w:rPr>
                <w:sz w:val="20"/>
                <w:szCs w:val="20"/>
              </w:rPr>
              <w:t>5 (Marion)</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B07" w14:textId="7017FAE1" w:rsidR="00FA10E2" w:rsidRPr="00B870D4" w:rsidRDefault="00FA10E2" w:rsidP="001B259A">
            <w:pPr>
              <w:pStyle w:val="BodyText"/>
              <w:spacing w:after="0"/>
              <w:jc w:val="center"/>
              <w:rPr>
                <w:sz w:val="20"/>
                <w:szCs w:val="20"/>
              </w:rPr>
            </w:pPr>
            <w:r w:rsidRPr="00FA10E2">
              <w:rPr>
                <w:sz w:val="20"/>
                <w:szCs w:val="20"/>
              </w:rPr>
              <w:t>13,966</w:t>
            </w:r>
          </w:p>
        </w:tc>
        <w:tc>
          <w:tcPr>
            <w:tcW w:w="1809" w:type="dxa"/>
            <w:tcBorders>
              <w:top w:val="single" w:sz="4" w:space="0" w:color="auto"/>
              <w:left w:val="single" w:sz="4" w:space="0" w:color="auto"/>
              <w:bottom w:val="single" w:sz="4" w:space="0" w:color="auto"/>
              <w:right w:val="single" w:sz="4" w:space="0" w:color="auto"/>
            </w:tcBorders>
            <w:vAlign w:val="bottom"/>
          </w:tcPr>
          <w:p w14:paraId="591CAB08" w14:textId="63008225" w:rsidR="00FA10E2" w:rsidRPr="00B870D4" w:rsidRDefault="00FA10E2" w:rsidP="001B259A">
            <w:pPr>
              <w:pStyle w:val="BodyText"/>
              <w:spacing w:after="0"/>
              <w:jc w:val="center"/>
              <w:rPr>
                <w:sz w:val="20"/>
                <w:szCs w:val="20"/>
              </w:rPr>
            </w:pPr>
            <w:r w:rsidRPr="00B870D4">
              <w:rPr>
                <w:sz w:val="20"/>
                <w:szCs w:val="20"/>
              </w:rPr>
              <w:t>8,215</w:t>
            </w:r>
          </w:p>
        </w:tc>
      </w:tr>
      <w:tr w:rsidR="00FA10E2" w:rsidRPr="00A05FC2" w14:paraId="591CAB0D"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B0A" w14:textId="77777777" w:rsidR="00FA10E2" w:rsidRPr="00875027" w:rsidRDefault="00FA10E2" w:rsidP="00036C0B">
            <w:pPr>
              <w:pStyle w:val="BodyText"/>
              <w:spacing w:after="0"/>
              <w:rPr>
                <w:sz w:val="20"/>
                <w:szCs w:val="20"/>
              </w:rPr>
            </w:pPr>
            <w:r w:rsidRPr="00875027">
              <w:rPr>
                <w:sz w:val="20"/>
                <w:szCs w:val="20"/>
              </w:rPr>
              <w:t>Average</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B0B" w14:textId="258DC1C0" w:rsidR="00FA10E2" w:rsidRPr="001B259A" w:rsidRDefault="00FA10E2" w:rsidP="001B259A">
            <w:pPr>
              <w:pStyle w:val="BodyText"/>
              <w:spacing w:after="0"/>
              <w:jc w:val="center"/>
              <w:rPr>
                <w:sz w:val="20"/>
                <w:szCs w:val="20"/>
              </w:rPr>
            </w:pPr>
            <w:r w:rsidRPr="001B259A">
              <w:rPr>
                <w:sz w:val="20"/>
                <w:szCs w:val="20"/>
              </w:rPr>
              <w:t>19,743</w:t>
            </w:r>
          </w:p>
        </w:tc>
        <w:tc>
          <w:tcPr>
            <w:tcW w:w="1809" w:type="dxa"/>
            <w:tcBorders>
              <w:top w:val="single" w:sz="4" w:space="0" w:color="auto"/>
              <w:left w:val="single" w:sz="4" w:space="0" w:color="auto"/>
              <w:bottom w:val="single" w:sz="4" w:space="0" w:color="auto"/>
              <w:right w:val="single" w:sz="4" w:space="0" w:color="auto"/>
            </w:tcBorders>
            <w:vAlign w:val="bottom"/>
          </w:tcPr>
          <w:p w14:paraId="591CAB0C" w14:textId="4A4EA356" w:rsidR="00FA10E2" w:rsidRPr="00C747F8" w:rsidRDefault="00FA10E2" w:rsidP="001B259A">
            <w:pPr>
              <w:pStyle w:val="BodyText"/>
              <w:spacing w:after="0"/>
              <w:jc w:val="center"/>
              <w:rPr>
                <w:sz w:val="20"/>
                <w:szCs w:val="20"/>
              </w:rPr>
            </w:pPr>
            <w:r w:rsidRPr="001B259A">
              <w:rPr>
                <w:bCs/>
                <w:sz w:val="20"/>
                <w:szCs w:val="20"/>
              </w:rPr>
              <w:t>11,613</w:t>
            </w:r>
          </w:p>
        </w:tc>
      </w:tr>
    </w:tbl>
    <w:p w14:paraId="591CAB0E" w14:textId="77777777" w:rsidR="00FC595C" w:rsidRPr="00B41203" w:rsidRDefault="00FC595C" w:rsidP="00C747F8">
      <w:pPr>
        <w:jc w:val="center"/>
        <w:rPr>
          <w:rFonts w:cstheme="minorHAnsi"/>
          <w:noProof/>
        </w:rPr>
      </w:pPr>
    </w:p>
    <w:p w14:paraId="591CAB0F" w14:textId="7A82E209" w:rsidR="00FC595C" w:rsidRPr="000B7BB6" w:rsidRDefault="00850831" w:rsidP="001B259A">
      <w:pPr>
        <w:tabs>
          <w:tab w:val="left" w:pos="3600"/>
        </w:tabs>
        <w:ind w:left="3060" w:hanging="2340"/>
        <w:rPr>
          <w:rFonts w:cstheme="minorHAnsi"/>
          <w:noProof/>
        </w:rPr>
      </w:pPr>
      <w:r>
        <w:rPr>
          <w:rFonts w:cstheme="minorHAnsi"/>
          <w:noProof/>
        </w:rPr>
        <w:t xml:space="preserve">Heating_Reduction </w:t>
      </w:r>
      <w:r>
        <w:rPr>
          <w:rFonts w:cstheme="minorHAnsi"/>
          <w:noProof/>
        </w:rPr>
        <w:tab/>
      </w:r>
      <w:r w:rsidRPr="00850831">
        <w:rPr>
          <w:rFonts w:cstheme="minorHAnsi"/>
          <w:noProof/>
          <w:szCs w:val="20"/>
        </w:rPr>
        <w:t xml:space="preserve">= </w:t>
      </w:r>
      <w:r w:rsidR="00FC595C" w:rsidRPr="00850831">
        <w:rPr>
          <w:rFonts w:cstheme="minorHAnsi"/>
          <w:noProof/>
          <w:szCs w:val="20"/>
        </w:rPr>
        <w:t xml:space="preserve">Assumed percentage reduction in </w:t>
      </w:r>
      <w:r w:rsidR="00875027" w:rsidRPr="00850831">
        <w:rPr>
          <w:rFonts w:cstheme="minorHAnsi"/>
          <w:noProof/>
          <w:szCs w:val="20"/>
        </w:rPr>
        <w:t xml:space="preserve">total household </w:t>
      </w:r>
      <w:r w:rsidR="00FC595C" w:rsidRPr="00850831">
        <w:rPr>
          <w:rFonts w:cstheme="minorHAnsi"/>
          <w:noProof/>
          <w:szCs w:val="20"/>
        </w:rPr>
        <w:t>heating energy consumption</w:t>
      </w:r>
      <w:r w:rsidR="00FC595C" w:rsidRPr="000B7BB6">
        <w:rPr>
          <w:rFonts w:cstheme="minorHAnsi"/>
          <w:noProof/>
        </w:rPr>
        <w:t xml:space="preserve"> due to </w:t>
      </w:r>
      <w:r w:rsidR="001212F7">
        <w:rPr>
          <w:rFonts w:cstheme="minorHAnsi"/>
          <w:noProof/>
        </w:rPr>
        <w:t>advance</w:t>
      </w:r>
      <w:r w:rsidR="00EB778E">
        <w:rPr>
          <w:rFonts w:cstheme="minorHAnsi"/>
          <w:noProof/>
        </w:rPr>
        <w:t>d</w:t>
      </w:r>
      <w:r w:rsidR="00FC595C" w:rsidRPr="000B7BB6">
        <w:rPr>
          <w:rFonts w:cstheme="minorHAnsi"/>
          <w:noProof/>
        </w:rPr>
        <w:t xml:space="preserve"> thermostat</w:t>
      </w:r>
    </w:p>
    <w:p w14:paraId="591CAB10" w14:textId="4D0F07EC" w:rsidR="00FC595C" w:rsidRPr="00B41203" w:rsidRDefault="00FC595C" w:rsidP="00E72C3B">
      <w:pPr>
        <w:tabs>
          <w:tab w:val="left" w:pos="3600"/>
        </w:tabs>
        <w:ind w:left="3060" w:hanging="720"/>
        <w:rPr>
          <w:rFonts w:cstheme="minorHAnsi"/>
          <w:noProof/>
        </w:rPr>
      </w:pPr>
      <w:r w:rsidRPr="000B7BB6">
        <w:rPr>
          <w:rFonts w:cstheme="minorHAnsi"/>
          <w:noProof/>
        </w:rPr>
        <w:tab/>
        <w:t xml:space="preserve">= </w:t>
      </w:r>
      <w:commentRangeStart w:id="10"/>
      <w:r w:rsidR="00C445A4" w:rsidRPr="00C445A4">
        <w:rPr>
          <w:rFonts w:cstheme="minorHAnsi"/>
          <w:noProof/>
          <w:highlight w:val="yellow"/>
        </w:rPr>
        <w:t>X.X</w:t>
      </w:r>
      <w:r w:rsidRPr="00C445A4">
        <w:rPr>
          <w:rFonts w:cstheme="minorHAnsi"/>
          <w:noProof/>
          <w:highlight w:val="yellow"/>
        </w:rPr>
        <w:t>%</w:t>
      </w:r>
      <w:commentRangeEnd w:id="10"/>
      <w:r w:rsidR="001B259A">
        <w:rPr>
          <w:rStyle w:val="CommentReference"/>
        </w:rPr>
        <w:commentReference w:id="10"/>
      </w:r>
    </w:p>
    <w:p w14:paraId="591CAB11" w14:textId="710A3135" w:rsidR="00FC595C" w:rsidRPr="00A05FC2" w:rsidRDefault="00850831" w:rsidP="00E72C3B">
      <w:pPr>
        <w:tabs>
          <w:tab w:val="left" w:pos="3600"/>
        </w:tabs>
        <w:ind w:left="3060" w:hanging="2340"/>
        <w:rPr>
          <w:rFonts w:cstheme="minorHAnsi"/>
          <w:noProof/>
          <w:szCs w:val="20"/>
        </w:rPr>
      </w:pPr>
      <w:r>
        <w:rPr>
          <w:rFonts w:cstheme="minorHAnsi"/>
          <w:noProof/>
        </w:rPr>
        <w:t>HF</w:t>
      </w:r>
      <w:r>
        <w:rPr>
          <w:rFonts w:cstheme="minorHAnsi"/>
          <w:noProof/>
        </w:rPr>
        <w:tab/>
      </w:r>
      <w:r w:rsidR="00FC595C" w:rsidRPr="000B7BB6">
        <w:rPr>
          <w:rFonts w:cstheme="minorHAnsi"/>
          <w:noProof/>
        </w:rPr>
        <w:t>= Household factor, to adjust heating consumption for non-single-</w:t>
      </w:r>
      <w:r w:rsidR="00FC595C" w:rsidRPr="00A05FC2">
        <w:rPr>
          <w:rFonts w:cstheme="minorHAnsi"/>
          <w:noProof/>
          <w:szCs w:val="20"/>
        </w:rPr>
        <w:t>family households.</w:t>
      </w:r>
      <w:r w:rsidR="00FC595C" w:rsidRPr="00A05FC2">
        <w:rPr>
          <w:rFonts w:cstheme="minorHAnsi"/>
          <w:noProof/>
          <w:szCs w:val="20"/>
        </w:rPr>
        <w:tab/>
      </w:r>
    </w:p>
    <w:tbl>
      <w:tblPr>
        <w:tblW w:w="0" w:type="auto"/>
        <w:jc w:val="center"/>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B14" w14:textId="77777777" w:rsidTr="00E72C3B">
        <w:trPr>
          <w:jc w:val="center"/>
        </w:trPr>
        <w:tc>
          <w:tcPr>
            <w:tcW w:w="2430" w:type="dxa"/>
            <w:shd w:val="clear" w:color="auto" w:fill="7F7F7F" w:themeFill="text1" w:themeFillTint="80"/>
            <w:tcMar>
              <w:top w:w="0" w:type="dxa"/>
              <w:left w:w="108" w:type="dxa"/>
              <w:bottom w:w="0" w:type="dxa"/>
              <w:right w:w="108" w:type="dxa"/>
            </w:tcMar>
            <w:hideMark/>
          </w:tcPr>
          <w:p w14:paraId="591CAB12"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Household Type</w:t>
            </w:r>
          </w:p>
        </w:tc>
        <w:tc>
          <w:tcPr>
            <w:tcW w:w="1774" w:type="dxa"/>
            <w:shd w:val="clear" w:color="auto" w:fill="7F7F7F" w:themeFill="text1" w:themeFillTint="80"/>
            <w:tcMar>
              <w:top w:w="0" w:type="dxa"/>
              <w:left w:w="108" w:type="dxa"/>
              <w:bottom w:w="0" w:type="dxa"/>
              <w:right w:w="108" w:type="dxa"/>
            </w:tcMar>
            <w:hideMark/>
          </w:tcPr>
          <w:p w14:paraId="591CAB13"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HF</w:t>
            </w:r>
          </w:p>
        </w:tc>
      </w:tr>
      <w:tr w:rsidR="00FC595C" w:rsidRPr="00A05FC2" w14:paraId="591CAB17" w14:textId="77777777" w:rsidTr="00E72C3B">
        <w:trPr>
          <w:jc w:val="center"/>
        </w:trPr>
        <w:tc>
          <w:tcPr>
            <w:tcW w:w="2430" w:type="dxa"/>
            <w:tcMar>
              <w:top w:w="0" w:type="dxa"/>
              <w:left w:w="108" w:type="dxa"/>
              <w:bottom w:w="0" w:type="dxa"/>
              <w:right w:w="108" w:type="dxa"/>
            </w:tcMar>
            <w:hideMark/>
          </w:tcPr>
          <w:p w14:paraId="591CAB15" w14:textId="77777777" w:rsidR="00FC595C" w:rsidRPr="00875027" w:rsidRDefault="00FC595C" w:rsidP="00036C0B">
            <w:pPr>
              <w:pStyle w:val="BodyText"/>
              <w:spacing w:after="0"/>
              <w:rPr>
                <w:rFonts w:eastAsiaTheme="minorHAnsi"/>
                <w:sz w:val="20"/>
              </w:rPr>
            </w:pPr>
            <w:r w:rsidRPr="00875027">
              <w:rPr>
                <w:sz w:val="20"/>
              </w:rPr>
              <w:t>Single-Family</w:t>
            </w:r>
          </w:p>
        </w:tc>
        <w:tc>
          <w:tcPr>
            <w:tcW w:w="1774" w:type="dxa"/>
            <w:tcMar>
              <w:top w:w="0" w:type="dxa"/>
              <w:left w:w="108" w:type="dxa"/>
              <w:bottom w:w="0" w:type="dxa"/>
              <w:right w:w="108" w:type="dxa"/>
            </w:tcMar>
            <w:hideMark/>
          </w:tcPr>
          <w:p w14:paraId="591CAB16" w14:textId="77777777" w:rsidR="00FC595C" w:rsidRPr="00875027" w:rsidRDefault="00FC595C" w:rsidP="00E72C3B">
            <w:pPr>
              <w:pStyle w:val="BodyText"/>
              <w:spacing w:after="0"/>
              <w:jc w:val="center"/>
              <w:rPr>
                <w:rFonts w:eastAsiaTheme="minorHAnsi"/>
                <w:sz w:val="20"/>
              </w:rPr>
            </w:pPr>
            <w:r w:rsidRPr="00875027">
              <w:rPr>
                <w:sz w:val="20"/>
              </w:rPr>
              <w:t>100%</w:t>
            </w:r>
          </w:p>
        </w:tc>
      </w:tr>
      <w:tr w:rsidR="00FC595C" w:rsidRPr="00A05FC2" w14:paraId="591CAB1A" w14:textId="77777777" w:rsidTr="00E72C3B">
        <w:trPr>
          <w:jc w:val="center"/>
        </w:trPr>
        <w:tc>
          <w:tcPr>
            <w:tcW w:w="2430" w:type="dxa"/>
            <w:tcMar>
              <w:top w:w="0" w:type="dxa"/>
              <w:left w:w="108" w:type="dxa"/>
              <w:bottom w:w="0" w:type="dxa"/>
              <w:right w:w="108" w:type="dxa"/>
            </w:tcMar>
            <w:hideMark/>
          </w:tcPr>
          <w:p w14:paraId="591CAB18" w14:textId="77777777" w:rsidR="00FC595C" w:rsidRPr="00875027" w:rsidRDefault="00FC595C" w:rsidP="00036C0B">
            <w:pPr>
              <w:pStyle w:val="BodyText"/>
              <w:spacing w:after="0"/>
              <w:rPr>
                <w:rFonts w:eastAsiaTheme="minorHAnsi"/>
                <w:sz w:val="20"/>
              </w:rPr>
            </w:pPr>
            <w:r w:rsidRPr="00875027">
              <w:rPr>
                <w:sz w:val="20"/>
              </w:rPr>
              <w:t>Multi-Family</w:t>
            </w:r>
          </w:p>
        </w:tc>
        <w:tc>
          <w:tcPr>
            <w:tcW w:w="1774" w:type="dxa"/>
            <w:tcMar>
              <w:top w:w="0" w:type="dxa"/>
              <w:left w:w="108" w:type="dxa"/>
              <w:bottom w:w="0" w:type="dxa"/>
              <w:right w:w="108" w:type="dxa"/>
            </w:tcMar>
            <w:hideMark/>
          </w:tcPr>
          <w:p w14:paraId="591CAB19" w14:textId="77777777" w:rsidR="00FC595C" w:rsidRPr="00875027" w:rsidRDefault="00FC595C" w:rsidP="00E72C3B">
            <w:pPr>
              <w:pStyle w:val="BodyText"/>
              <w:spacing w:after="0"/>
              <w:jc w:val="center"/>
              <w:rPr>
                <w:rFonts w:eastAsiaTheme="minorHAnsi"/>
                <w:sz w:val="20"/>
              </w:rPr>
            </w:pPr>
            <w:r w:rsidRPr="00875027">
              <w:rPr>
                <w:sz w:val="20"/>
              </w:rPr>
              <w:t>65%</w:t>
            </w:r>
            <w:r w:rsidRPr="00875027">
              <w:rPr>
                <w:rStyle w:val="FootnoteReference"/>
                <w:rFonts w:asciiTheme="minorHAnsi" w:hAnsiTheme="minorHAnsi" w:cstheme="minorHAnsi"/>
              </w:rPr>
              <w:footnoteReference w:id="15"/>
            </w:r>
          </w:p>
        </w:tc>
      </w:tr>
      <w:tr w:rsidR="00FC595C" w:rsidRPr="00A05FC2" w14:paraId="591CAB1D" w14:textId="77777777" w:rsidTr="00E72C3B">
        <w:trPr>
          <w:jc w:val="center"/>
        </w:trPr>
        <w:tc>
          <w:tcPr>
            <w:tcW w:w="2430" w:type="dxa"/>
            <w:tcMar>
              <w:top w:w="0" w:type="dxa"/>
              <w:left w:w="108" w:type="dxa"/>
              <w:bottom w:w="0" w:type="dxa"/>
              <w:right w:w="108" w:type="dxa"/>
            </w:tcMar>
            <w:hideMark/>
          </w:tcPr>
          <w:p w14:paraId="591CAB1B" w14:textId="77777777" w:rsidR="00FC595C" w:rsidRPr="00875027" w:rsidRDefault="00FC595C" w:rsidP="00036C0B">
            <w:pPr>
              <w:pStyle w:val="BodyText"/>
              <w:spacing w:after="0"/>
              <w:rPr>
                <w:rFonts w:eastAsiaTheme="minorHAnsi"/>
                <w:sz w:val="20"/>
              </w:rPr>
            </w:pPr>
            <w:r w:rsidRPr="00875027">
              <w:rPr>
                <w:sz w:val="20"/>
              </w:rPr>
              <w:t>Actual</w:t>
            </w:r>
          </w:p>
        </w:tc>
        <w:tc>
          <w:tcPr>
            <w:tcW w:w="1774" w:type="dxa"/>
            <w:tcMar>
              <w:top w:w="0" w:type="dxa"/>
              <w:left w:w="108" w:type="dxa"/>
              <w:bottom w:w="0" w:type="dxa"/>
              <w:right w:w="108" w:type="dxa"/>
            </w:tcMar>
            <w:hideMark/>
          </w:tcPr>
          <w:p w14:paraId="591CAB1C" w14:textId="77777777" w:rsidR="00FC595C" w:rsidRPr="00875027" w:rsidRDefault="00FC595C" w:rsidP="00E72C3B">
            <w:pPr>
              <w:pStyle w:val="BodyText"/>
              <w:spacing w:after="0"/>
              <w:jc w:val="center"/>
              <w:rPr>
                <w:rFonts w:eastAsiaTheme="minorHAnsi"/>
                <w:sz w:val="20"/>
              </w:rPr>
            </w:pPr>
            <w:r w:rsidRPr="00875027">
              <w:rPr>
                <w:sz w:val="20"/>
              </w:rPr>
              <w:t>Custom</w:t>
            </w:r>
            <w:r w:rsidRPr="00875027">
              <w:rPr>
                <w:rStyle w:val="FootnoteReference"/>
                <w:rFonts w:asciiTheme="minorHAnsi" w:hAnsiTheme="minorHAnsi" w:cstheme="minorHAnsi"/>
              </w:rPr>
              <w:footnoteReference w:id="16"/>
            </w:r>
          </w:p>
        </w:tc>
      </w:tr>
    </w:tbl>
    <w:p w14:paraId="591CAB1E" w14:textId="77777777" w:rsidR="00FC595C" w:rsidRPr="00A05FC2" w:rsidRDefault="00FC595C" w:rsidP="00E72C3B">
      <w:pPr>
        <w:tabs>
          <w:tab w:val="left" w:pos="3600"/>
        </w:tabs>
        <w:ind w:left="3060" w:hanging="2340"/>
        <w:rPr>
          <w:rFonts w:cstheme="minorHAnsi"/>
          <w:noProof/>
          <w:szCs w:val="20"/>
        </w:rPr>
      </w:pPr>
    </w:p>
    <w:p w14:paraId="591CAB1F" w14:textId="54AFB622" w:rsidR="00FC595C" w:rsidRPr="00A05FC2" w:rsidRDefault="00FC595C" w:rsidP="00E72C3B">
      <w:pPr>
        <w:tabs>
          <w:tab w:val="left" w:pos="3600"/>
        </w:tabs>
        <w:ind w:left="3060" w:hanging="2340"/>
        <w:rPr>
          <w:rFonts w:cstheme="minorHAnsi"/>
          <w:noProof/>
          <w:szCs w:val="20"/>
        </w:rPr>
      </w:pPr>
      <w:r w:rsidRPr="00A05FC2">
        <w:rPr>
          <w:rFonts w:cstheme="minorHAnsi"/>
          <w:noProof/>
          <w:szCs w:val="20"/>
        </w:rPr>
        <w:t>Eff_ISR</w:t>
      </w:r>
      <w:r w:rsidRPr="00A05FC2">
        <w:rPr>
          <w:rFonts w:cstheme="minorHAnsi"/>
          <w:noProof/>
          <w:szCs w:val="20"/>
        </w:rPr>
        <w:tab/>
        <w:t>=</w:t>
      </w:r>
      <w:r w:rsidR="00C747F8">
        <w:rPr>
          <w:rFonts w:cstheme="minorHAnsi"/>
          <w:noProof/>
          <w:szCs w:val="20"/>
        </w:rPr>
        <w:t xml:space="preserve"> </w:t>
      </w:r>
      <w:r w:rsidRPr="00A05FC2">
        <w:rPr>
          <w:rFonts w:cstheme="minorHAnsi"/>
          <w:noProof/>
          <w:szCs w:val="20"/>
        </w:rPr>
        <w:t xml:space="preserve">Effective In-Service Rate, the percentage of thermostats installed and </w:t>
      </w:r>
      <w:r w:rsidR="00504062">
        <w:rPr>
          <w:rFonts w:cstheme="minorHAnsi"/>
          <w:noProof/>
          <w:szCs w:val="20"/>
        </w:rPr>
        <w:t>configured</w:t>
      </w:r>
      <w:r w:rsidRPr="00A05FC2">
        <w:rPr>
          <w:rFonts w:cstheme="minorHAnsi"/>
          <w:noProof/>
          <w:szCs w:val="20"/>
        </w:rPr>
        <w:t xml:space="preserve"> effectively</w:t>
      </w:r>
      <w:r w:rsidR="00504062">
        <w:rPr>
          <w:rFonts w:cstheme="minorHAnsi"/>
          <w:noProof/>
          <w:szCs w:val="20"/>
        </w:rPr>
        <w:t xml:space="preserve"> for 2-way communication</w:t>
      </w:r>
      <w:r w:rsidRPr="00A05FC2">
        <w:rPr>
          <w:rFonts w:cstheme="minorHAnsi"/>
          <w:noProof/>
          <w:szCs w:val="20"/>
        </w:rPr>
        <w:tab/>
      </w:r>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B22" w14:textId="77777777" w:rsidTr="00E72C3B">
        <w:tc>
          <w:tcPr>
            <w:tcW w:w="2430" w:type="dxa"/>
            <w:shd w:val="clear" w:color="auto" w:fill="7F7F7F" w:themeFill="text1" w:themeFillTint="80"/>
            <w:tcMar>
              <w:top w:w="0" w:type="dxa"/>
              <w:left w:w="108" w:type="dxa"/>
              <w:bottom w:w="0" w:type="dxa"/>
              <w:right w:w="108" w:type="dxa"/>
            </w:tcMar>
            <w:hideMark/>
          </w:tcPr>
          <w:p w14:paraId="591CAB20"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Program Delivery</w:t>
            </w:r>
          </w:p>
        </w:tc>
        <w:tc>
          <w:tcPr>
            <w:tcW w:w="1774" w:type="dxa"/>
            <w:shd w:val="clear" w:color="auto" w:fill="7F7F7F" w:themeFill="text1" w:themeFillTint="80"/>
            <w:tcMar>
              <w:top w:w="0" w:type="dxa"/>
              <w:left w:w="108" w:type="dxa"/>
              <w:bottom w:w="0" w:type="dxa"/>
              <w:right w:w="108" w:type="dxa"/>
            </w:tcMar>
            <w:hideMark/>
          </w:tcPr>
          <w:p w14:paraId="591CAB21" w14:textId="77777777" w:rsidR="00FC595C" w:rsidRPr="000B7BB6" w:rsidRDefault="00FC595C" w:rsidP="004D77A7">
            <w:pPr>
              <w:spacing w:after="0"/>
              <w:jc w:val="center"/>
              <w:rPr>
                <w:rFonts w:cstheme="minorHAnsi"/>
                <w:b/>
                <w:color w:val="FFFFFF" w:themeColor="background1"/>
                <w:szCs w:val="20"/>
              </w:rPr>
            </w:pPr>
            <w:proofErr w:type="spellStart"/>
            <w:r w:rsidRPr="000B7BB6">
              <w:rPr>
                <w:rFonts w:cstheme="minorHAnsi"/>
                <w:b/>
                <w:color w:val="FFFFFF" w:themeColor="background1"/>
                <w:szCs w:val="20"/>
              </w:rPr>
              <w:t>Eff_ISR</w:t>
            </w:r>
            <w:proofErr w:type="spellEnd"/>
          </w:p>
        </w:tc>
      </w:tr>
      <w:tr w:rsidR="00FC595C" w:rsidRPr="00A05FC2" w14:paraId="591CAB25" w14:textId="77777777" w:rsidTr="00E72C3B">
        <w:tc>
          <w:tcPr>
            <w:tcW w:w="2430" w:type="dxa"/>
            <w:tcMar>
              <w:top w:w="0" w:type="dxa"/>
              <w:left w:w="108" w:type="dxa"/>
              <w:bottom w:w="0" w:type="dxa"/>
              <w:right w:w="108" w:type="dxa"/>
            </w:tcMar>
            <w:hideMark/>
          </w:tcPr>
          <w:p w14:paraId="591CAB23" w14:textId="77777777" w:rsidR="00FC595C" w:rsidRPr="00875027" w:rsidRDefault="00FC595C" w:rsidP="00036C0B">
            <w:pPr>
              <w:pStyle w:val="BodyText"/>
              <w:spacing w:after="0"/>
              <w:rPr>
                <w:rFonts w:eastAsiaTheme="minorHAnsi"/>
                <w:sz w:val="20"/>
              </w:rPr>
            </w:pPr>
            <w:r w:rsidRPr="00875027">
              <w:rPr>
                <w:sz w:val="20"/>
              </w:rPr>
              <w:t>Direct Install</w:t>
            </w:r>
          </w:p>
        </w:tc>
        <w:tc>
          <w:tcPr>
            <w:tcW w:w="1774" w:type="dxa"/>
            <w:tcMar>
              <w:top w:w="0" w:type="dxa"/>
              <w:left w:w="108" w:type="dxa"/>
              <w:bottom w:w="0" w:type="dxa"/>
              <w:right w:w="108" w:type="dxa"/>
            </w:tcMar>
            <w:hideMark/>
          </w:tcPr>
          <w:p w14:paraId="591CAB24" w14:textId="77777777" w:rsidR="00FC595C" w:rsidRPr="00875027" w:rsidRDefault="00FC595C" w:rsidP="003908C4">
            <w:pPr>
              <w:pStyle w:val="BodyText"/>
              <w:spacing w:after="0"/>
              <w:jc w:val="center"/>
              <w:rPr>
                <w:rFonts w:eastAsiaTheme="minorHAnsi"/>
                <w:sz w:val="20"/>
              </w:rPr>
            </w:pPr>
            <w:r w:rsidRPr="00875027">
              <w:rPr>
                <w:sz w:val="20"/>
              </w:rPr>
              <w:t>100%</w:t>
            </w:r>
          </w:p>
        </w:tc>
      </w:tr>
      <w:tr w:rsidR="00504062" w:rsidRPr="00A05FC2" w14:paraId="591CAB28" w14:textId="77777777" w:rsidTr="00354C0F">
        <w:trPr>
          <w:trHeight w:val="62"/>
        </w:trPr>
        <w:tc>
          <w:tcPr>
            <w:tcW w:w="2430" w:type="dxa"/>
            <w:tcMar>
              <w:top w:w="0" w:type="dxa"/>
              <w:left w:w="108" w:type="dxa"/>
              <w:bottom w:w="0" w:type="dxa"/>
              <w:right w:w="108" w:type="dxa"/>
            </w:tcMar>
          </w:tcPr>
          <w:p w14:paraId="591CAB26" w14:textId="187045EF" w:rsidR="00504062" w:rsidRPr="00875027" w:rsidRDefault="00504062" w:rsidP="00036C0B">
            <w:pPr>
              <w:pStyle w:val="BodyText"/>
              <w:spacing w:after="0"/>
              <w:rPr>
                <w:rFonts w:eastAsiaTheme="minorHAnsi"/>
                <w:sz w:val="20"/>
              </w:rPr>
            </w:pPr>
            <w:r>
              <w:rPr>
                <w:rFonts w:eastAsiaTheme="minorHAnsi"/>
                <w:sz w:val="20"/>
              </w:rPr>
              <w:t>Other</w:t>
            </w:r>
          </w:p>
        </w:tc>
        <w:tc>
          <w:tcPr>
            <w:tcW w:w="1774" w:type="dxa"/>
            <w:tcMar>
              <w:top w:w="0" w:type="dxa"/>
              <w:left w:w="108" w:type="dxa"/>
              <w:bottom w:w="0" w:type="dxa"/>
              <w:right w:w="108" w:type="dxa"/>
            </w:tcMar>
          </w:tcPr>
          <w:p w14:paraId="591CAB27" w14:textId="5B750098" w:rsidR="00504062" w:rsidRPr="00875027" w:rsidRDefault="00504062" w:rsidP="003908C4">
            <w:pPr>
              <w:pStyle w:val="BodyText"/>
              <w:spacing w:after="0"/>
              <w:jc w:val="center"/>
              <w:rPr>
                <w:rFonts w:eastAsiaTheme="minorHAnsi"/>
                <w:sz w:val="20"/>
              </w:rPr>
            </w:pPr>
            <w:r w:rsidRPr="00354C0F">
              <w:rPr>
                <w:sz w:val="20"/>
              </w:rPr>
              <w:t>Actual, or</w:t>
            </w:r>
            <w:r w:rsidRPr="00504062">
              <w:rPr>
                <w:sz w:val="20"/>
                <w:highlight w:val="yellow"/>
              </w:rPr>
              <w:t xml:space="preserve"> </w:t>
            </w:r>
            <w:commentRangeStart w:id="11"/>
            <w:r w:rsidRPr="00504062">
              <w:rPr>
                <w:sz w:val="20"/>
                <w:highlight w:val="yellow"/>
              </w:rPr>
              <w:t>XX%</w:t>
            </w:r>
            <w:commentRangeEnd w:id="11"/>
            <w:r w:rsidR="00354C0F">
              <w:rPr>
                <w:rStyle w:val="CommentReference"/>
              </w:rPr>
              <w:commentReference w:id="11"/>
            </w:r>
          </w:p>
        </w:tc>
      </w:tr>
    </w:tbl>
    <w:p w14:paraId="591CAB29" w14:textId="77777777" w:rsidR="00FC595C" w:rsidRPr="000B7BB6" w:rsidRDefault="00FC595C" w:rsidP="00354C0F">
      <w:pPr>
        <w:tabs>
          <w:tab w:val="left" w:pos="3600"/>
        </w:tabs>
        <w:spacing w:before="240"/>
        <w:ind w:left="3060" w:hanging="2340"/>
        <w:rPr>
          <w:rFonts w:cstheme="minorHAnsi"/>
          <w:noProof/>
        </w:rPr>
      </w:pPr>
      <w:r w:rsidRPr="00A05FC2">
        <w:rPr>
          <w:rFonts w:cstheme="minorHAnsi"/>
          <w:noProof/>
          <w:szCs w:val="20"/>
        </w:rPr>
        <w:t xml:space="preserve">∆Therms </w:t>
      </w:r>
      <w:r w:rsidRPr="00A05FC2">
        <w:rPr>
          <w:rFonts w:cstheme="minorHAnsi"/>
          <w:noProof/>
          <w:szCs w:val="20"/>
        </w:rPr>
        <w:tab/>
        <w:t xml:space="preserve">= Therm savings if </w:t>
      </w:r>
      <w:r>
        <w:rPr>
          <w:rFonts w:cstheme="minorHAnsi"/>
          <w:noProof/>
          <w:szCs w:val="20"/>
        </w:rPr>
        <w:t>Natural Gas</w:t>
      </w:r>
      <w:r w:rsidRPr="00B41203">
        <w:rPr>
          <w:rFonts w:cstheme="minorHAnsi"/>
          <w:noProof/>
        </w:rPr>
        <w:t xml:space="preserve"> heating system</w:t>
      </w:r>
    </w:p>
    <w:p w14:paraId="591CAB2A" w14:textId="77777777" w:rsidR="00FC595C" w:rsidRPr="00A05FC2" w:rsidRDefault="00FC595C" w:rsidP="00354C0F">
      <w:pPr>
        <w:tabs>
          <w:tab w:val="left" w:pos="3600"/>
        </w:tabs>
        <w:spacing w:before="240"/>
        <w:ind w:left="3060" w:hanging="2340"/>
        <w:rPr>
          <w:rFonts w:cstheme="minorHAnsi"/>
          <w:noProof/>
        </w:rPr>
      </w:pPr>
      <w:r w:rsidRPr="000B7BB6">
        <w:rPr>
          <w:rFonts w:cstheme="minorHAnsi"/>
          <w:noProof/>
        </w:rPr>
        <w:tab/>
        <w:t xml:space="preserve">= See calculation in </w:t>
      </w:r>
      <w:r>
        <w:rPr>
          <w:rFonts w:cstheme="minorHAnsi"/>
          <w:noProof/>
        </w:rPr>
        <w:t>Natural Gas</w:t>
      </w:r>
      <w:r w:rsidRPr="000B7BB6">
        <w:rPr>
          <w:rFonts w:cstheme="minorHAnsi"/>
          <w:noProof/>
        </w:rPr>
        <w:t xml:space="preserve"> section below</w:t>
      </w:r>
    </w:p>
    <w:p w14:paraId="591CAB2B" w14:textId="77777777" w:rsidR="00FC595C" w:rsidRPr="000B7BB6" w:rsidRDefault="00FC595C" w:rsidP="00354C0F">
      <w:pPr>
        <w:tabs>
          <w:tab w:val="left" w:pos="3600"/>
        </w:tabs>
        <w:spacing w:before="240"/>
        <w:ind w:left="3060" w:hanging="2340"/>
        <w:rPr>
          <w:rFonts w:cstheme="minorHAnsi"/>
          <w:noProof/>
        </w:rPr>
      </w:pPr>
      <w:r w:rsidRPr="00B41203">
        <w:rPr>
          <w:rFonts w:cstheme="minorHAnsi"/>
          <w:noProof/>
        </w:rPr>
        <w:t>F</w:t>
      </w:r>
      <w:r w:rsidRPr="000B7BB6">
        <w:rPr>
          <w:rFonts w:cstheme="minorHAnsi"/>
          <w:noProof/>
          <w:vertAlign w:val="subscript"/>
        </w:rPr>
        <w:t>e</w:t>
      </w:r>
      <w:r w:rsidRPr="000B7BB6">
        <w:rPr>
          <w:rFonts w:cstheme="minorHAnsi"/>
          <w:noProof/>
        </w:rPr>
        <w:tab/>
        <w:t>= Furnace Fan energy consumption as a percentage of annual fuel consumption</w:t>
      </w:r>
    </w:p>
    <w:p w14:paraId="591CAB2C" w14:textId="77777777" w:rsidR="00FC595C" w:rsidRPr="00B41203" w:rsidRDefault="00FC595C" w:rsidP="00354C0F">
      <w:pPr>
        <w:tabs>
          <w:tab w:val="left" w:pos="3600"/>
        </w:tabs>
        <w:ind w:left="3060" w:hanging="2340"/>
        <w:rPr>
          <w:rFonts w:cstheme="minorHAnsi"/>
          <w:noProof/>
        </w:rPr>
      </w:pPr>
      <w:r w:rsidRPr="000B7BB6">
        <w:rPr>
          <w:rFonts w:cstheme="minorHAnsi"/>
          <w:noProof/>
        </w:rPr>
        <w:tab/>
        <w:t>= 3.14%</w:t>
      </w:r>
      <w:r w:rsidRPr="000B7BB6">
        <w:rPr>
          <w:rStyle w:val="FootnoteReference"/>
          <w:rFonts w:cstheme="minorHAnsi"/>
          <w:noProof/>
        </w:rPr>
        <w:footnoteReference w:id="17"/>
      </w:r>
    </w:p>
    <w:p w14:paraId="591CAB2D" w14:textId="77777777" w:rsidR="00FC595C" w:rsidRDefault="00FC595C" w:rsidP="00354C0F">
      <w:pPr>
        <w:tabs>
          <w:tab w:val="left" w:pos="3600"/>
        </w:tabs>
        <w:ind w:left="3060" w:hanging="2340"/>
        <w:rPr>
          <w:rFonts w:cstheme="minorHAnsi"/>
          <w:noProof/>
        </w:rPr>
      </w:pPr>
      <w:r w:rsidRPr="000B7BB6">
        <w:rPr>
          <w:rFonts w:cstheme="minorHAnsi"/>
          <w:noProof/>
        </w:rPr>
        <w:t>29.3</w:t>
      </w:r>
      <w:r w:rsidRPr="000B7BB6">
        <w:rPr>
          <w:rFonts w:cstheme="minorHAnsi"/>
          <w:noProof/>
        </w:rPr>
        <w:tab/>
        <w:t>= kWh per therm</w:t>
      </w:r>
    </w:p>
    <w:p w14:paraId="091934F5" w14:textId="3BD98537" w:rsidR="00504062" w:rsidRDefault="00504062" w:rsidP="00354C0F">
      <w:pPr>
        <w:tabs>
          <w:tab w:val="left" w:pos="3600"/>
        </w:tabs>
        <w:ind w:left="3060" w:hanging="2340"/>
        <w:rPr>
          <w:rFonts w:cstheme="minorHAnsi"/>
          <w:szCs w:val="20"/>
        </w:rPr>
      </w:pPr>
      <w:r>
        <w:rPr>
          <w:rFonts w:cstheme="minorHAnsi"/>
          <w:szCs w:val="20"/>
        </w:rPr>
        <w:t xml:space="preserve">%AC </w:t>
      </w:r>
      <w:r>
        <w:rPr>
          <w:rFonts w:cstheme="minorHAnsi"/>
          <w:szCs w:val="20"/>
        </w:rPr>
        <w:tab/>
        <w:t xml:space="preserve">= </w:t>
      </w:r>
      <w:r w:rsidR="00EB778E">
        <w:rPr>
          <w:rFonts w:cstheme="minorHAnsi"/>
          <w:szCs w:val="20"/>
        </w:rPr>
        <w:t>Fraction of customers with thermostat-controlled air-conditioning</w:t>
      </w:r>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504062" w:rsidRPr="00A05FC2" w14:paraId="71F7AC37" w14:textId="77777777" w:rsidTr="00354C0F">
        <w:tc>
          <w:tcPr>
            <w:tcW w:w="2430" w:type="dxa"/>
            <w:shd w:val="clear" w:color="auto" w:fill="7F7F7F" w:themeFill="text1" w:themeFillTint="80"/>
            <w:tcMar>
              <w:top w:w="0" w:type="dxa"/>
              <w:left w:w="108" w:type="dxa"/>
              <w:bottom w:w="0" w:type="dxa"/>
              <w:right w:w="108" w:type="dxa"/>
            </w:tcMar>
            <w:hideMark/>
          </w:tcPr>
          <w:p w14:paraId="32C40A9F" w14:textId="119C6715" w:rsidR="00504062" w:rsidRPr="000B7BB6" w:rsidRDefault="00354C0F" w:rsidP="00354C0F">
            <w:pPr>
              <w:spacing w:after="0"/>
              <w:jc w:val="center"/>
              <w:rPr>
                <w:rFonts w:cstheme="minorHAnsi"/>
                <w:b/>
                <w:color w:val="FFFFFF" w:themeColor="background1"/>
                <w:szCs w:val="20"/>
              </w:rPr>
            </w:pPr>
            <w:r>
              <w:rPr>
                <w:rFonts w:cstheme="minorHAnsi"/>
                <w:b/>
                <w:color w:val="FFFFFF" w:themeColor="background1"/>
                <w:szCs w:val="20"/>
              </w:rPr>
              <w:t>Thermostat control of air conditioning?</w:t>
            </w:r>
          </w:p>
        </w:tc>
        <w:tc>
          <w:tcPr>
            <w:tcW w:w="1774" w:type="dxa"/>
            <w:shd w:val="clear" w:color="auto" w:fill="7F7F7F" w:themeFill="text1" w:themeFillTint="80"/>
            <w:tcMar>
              <w:top w:w="0" w:type="dxa"/>
              <w:left w:w="108" w:type="dxa"/>
              <w:bottom w:w="0" w:type="dxa"/>
              <w:right w:w="108" w:type="dxa"/>
            </w:tcMar>
            <w:hideMark/>
          </w:tcPr>
          <w:p w14:paraId="25D831B5" w14:textId="368F20C5" w:rsidR="00504062" w:rsidRPr="000B7BB6" w:rsidRDefault="00EB778E" w:rsidP="00EB778E">
            <w:pPr>
              <w:spacing w:after="0"/>
              <w:jc w:val="center"/>
              <w:rPr>
                <w:rFonts w:cstheme="minorHAnsi"/>
                <w:b/>
                <w:color w:val="FFFFFF" w:themeColor="background1"/>
                <w:szCs w:val="20"/>
              </w:rPr>
            </w:pPr>
            <w:r>
              <w:rPr>
                <w:rFonts w:cstheme="minorHAnsi"/>
                <w:b/>
                <w:color w:val="FFFFFF" w:themeColor="background1"/>
                <w:szCs w:val="20"/>
              </w:rPr>
              <w:t>%AC</w:t>
            </w:r>
          </w:p>
        </w:tc>
      </w:tr>
      <w:tr w:rsidR="00504062" w:rsidRPr="00A05FC2" w14:paraId="69849531" w14:textId="77777777" w:rsidTr="004D4192">
        <w:tc>
          <w:tcPr>
            <w:tcW w:w="2430" w:type="dxa"/>
            <w:tcMar>
              <w:top w:w="0" w:type="dxa"/>
              <w:left w:w="108" w:type="dxa"/>
              <w:bottom w:w="0" w:type="dxa"/>
              <w:right w:w="108" w:type="dxa"/>
            </w:tcMar>
            <w:hideMark/>
          </w:tcPr>
          <w:p w14:paraId="4596B46A" w14:textId="619A9B4C" w:rsidR="00504062" w:rsidRPr="00875027" w:rsidRDefault="00354C0F" w:rsidP="003908C4">
            <w:pPr>
              <w:pStyle w:val="BodyText"/>
              <w:spacing w:after="0"/>
              <w:jc w:val="center"/>
              <w:rPr>
                <w:rFonts w:eastAsiaTheme="minorHAnsi"/>
                <w:sz w:val="20"/>
              </w:rPr>
            </w:pPr>
            <w:r>
              <w:rPr>
                <w:sz w:val="20"/>
              </w:rPr>
              <w:t>Yes</w:t>
            </w:r>
          </w:p>
        </w:tc>
        <w:tc>
          <w:tcPr>
            <w:tcW w:w="1774" w:type="dxa"/>
            <w:tcMar>
              <w:top w:w="0" w:type="dxa"/>
              <w:left w:w="108" w:type="dxa"/>
              <w:bottom w:w="0" w:type="dxa"/>
              <w:right w:w="108" w:type="dxa"/>
            </w:tcMar>
            <w:hideMark/>
          </w:tcPr>
          <w:p w14:paraId="419418B4" w14:textId="70381F71" w:rsidR="00504062" w:rsidRPr="00875027" w:rsidRDefault="00354C0F" w:rsidP="003908C4">
            <w:pPr>
              <w:pStyle w:val="BodyText"/>
              <w:spacing w:after="0"/>
              <w:jc w:val="center"/>
              <w:rPr>
                <w:rFonts w:eastAsiaTheme="minorHAnsi"/>
                <w:sz w:val="20"/>
              </w:rPr>
            </w:pPr>
            <w:r>
              <w:rPr>
                <w:sz w:val="20"/>
              </w:rPr>
              <w:t>100%</w:t>
            </w:r>
          </w:p>
        </w:tc>
      </w:tr>
      <w:tr w:rsidR="00354C0F" w:rsidRPr="00A05FC2" w14:paraId="60AAC94B" w14:textId="77777777" w:rsidTr="00C747F8">
        <w:trPr>
          <w:trHeight w:val="62"/>
        </w:trPr>
        <w:tc>
          <w:tcPr>
            <w:tcW w:w="2430" w:type="dxa"/>
            <w:tcMar>
              <w:top w:w="0" w:type="dxa"/>
              <w:left w:w="108" w:type="dxa"/>
              <w:bottom w:w="0" w:type="dxa"/>
              <w:right w:w="108" w:type="dxa"/>
            </w:tcMar>
          </w:tcPr>
          <w:p w14:paraId="548A83E6" w14:textId="0344A69A" w:rsidR="00354C0F" w:rsidRDefault="00354C0F" w:rsidP="003908C4">
            <w:pPr>
              <w:pStyle w:val="BodyText"/>
              <w:spacing w:after="0"/>
              <w:jc w:val="center"/>
              <w:rPr>
                <w:rFonts w:eastAsiaTheme="minorHAnsi"/>
                <w:sz w:val="20"/>
              </w:rPr>
            </w:pPr>
            <w:r>
              <w:rPr>
                <w:rFonts w:eastAsiaTheme="minorHAnsi"/>
                <w:sz w:val="20"/>
              </w:rPr>
              <w:lastRenderedPageBreak/>
              <w:t>No</w:t>
            </w:r>
          </w:p>
        </w:tc>
        <w:tc>
          <w:tcPr>
            <w:tcW w:w="1774" w:type="dxa"/>
            <w:tcMar>
              <w:top w:w="0" w:type="dxa"/>
              <w:left w:w="108" w:type="dxa"/>
              <w:bottom w:w="0" w:type="dxa"/>
              <w:right w:w="108" w:type="dxa"/>
            </w:tcMar>
          </w:tcPr>
          <w:p w14:paraId="60F2E0E6" w14:textId="7BB81C50" w:rsidR="00354C0F" w:rsidRPr="00504062" w:rsidRDefault="00354C0F" w:rsidP="003908C4">
            <w:pPr>
              <w:pStyle w:val="BodyText"/>
              <w:spacing w:after="0"/>
              <w:jc w:val="center"/>
              <w:rPr>
                <w:sz w:val="20"/>
                <w:highlight w:val="yellow"/>
              </w:rPr>
            </w:pPr>
            <w:r w:rsidRPr="00354C0F">
              <w:rPr>
                <w:sz w:val="20"/>
              </w:rPr>
              <w:t>0%</w:t>
            </w:r>
          </w:p>
        </w:tc>
      </w:tr>
      <w:tr w:rsidR="00504062" w:rsidRPr="00A05FC2" w14:paraId="2ED0B6B9" w14:textId="77777777" w:rsidTr="004D4192">
        <w:trPr>
          <w:trHeight w:val="62"/>
        </w:trPr>
        <w:tc>
          <w:tcPr>
            <w:tcW w:w="2430" w:type="dxa"/>
            <w:tcMar>
              <w:top w:w="0" w:type="dxa"/>
              <w:left w:w="108" w:type="dxa"/>
              <w:bottom w:w="0" w:type="dxa"/>
              <w:right w:w="108" w:type="dxa"/>
            </w:tcMar>
          </w:tcPr>
          <w:p w14:paraId="1E5C76E8" w14:textId="0671F4E0" w:rsidR="00504062" w:rsidRPr="00875027" w:rsidRDefault="003908C4" w:rsidP="003908C4">
            <w:pPr>
              <w:pStyle w:val="BodyText"/>
              <w:spacing w:after="0"/>
              <w:jc w:val="center"/>
              <w:rPr>
                <w:rFonts w:eastAsiaTheme="minorHAnsi"/>
                <w:sz w:val="20"/>
              </w:rPr>
            </w:pPr>
            <w:r>
              <w:rPr>
                <w:rFonts w:eastAsiaTheme="minorHAnsi"/>
                <w:sz w:val="20"/>
              </w:rPr>
              <w:t>Unknown</w:t>
            </w:r>
          </w:p>
        </w:tc>
        <w:tc>
          <w:tcPr>
            <w:tcW w:w="1774" w:type="dxa"/>
            <w:tcMar>
              <w:top w:w="0" w:type="dxa"/>
              <w:left w:w="108" w:type="dxa"/>
              <w:bottom w:w="0" w:type="dxa"/>
              <w:right w:w="108" w:type="dxa"/>
            </w:tcMar>
          </w:tcPr>
          <w:p w14:paraId="5C4A70A8" w14:textId="461E62FB" w:rsidR="00504062" w:rsidRPr="00875027" w:rsidRDefault="00504062" w:rsidP="003908C4">
            <w:pPr>
              <w:pStyle w:val="BodyText"/>
              <w:spacing w:after="0"/>
              <w:jc w:val="center"/>
              <w:rPr>
                <w:rFonts w:eastAsiaTheme="minorHAnsi"/>
                <w:sz w:val="20"/>
              </w:rPr>
            </w:pPr>
            <w:commentRangeStart w:id="12"/>
            <w:r w:rsidRPr="00504062">
              <w:rPr>
                <w:sz w:val="20"/>
                <w:highlight w:val="yellow"/>
              </w:rPr>
              <w:t>Actual</w:t>
            </w:r>
            <w:commentRangeEnd w:id="12"/>
            <w:r w:rsidR="00354C0F">
              <w:rPr>
                <w:rStyle w:val="CommentReference"/>
              </w:rPr>
              <w:commentReference w:id="12"/>
            </w:r>
            <w:r w:rsidRPr="00354C0F">
              <w:rPr>
                <w:sz w:val="20"/>
              </w:rPr>
              <w:t xml:space="preserve">, or </w:t>
            </w:r>
            <w:r w:rsidR="00354C0F" w:rsidRPr="00354C0F">
              <w:rPr>
                <w:sz w:val="20"/>
              </w:rPr>
              <w:t>66</w:t>
            </w:r>
            <w:r w:rsidRPr="00504062">
              <w:rPr>
                <w:sz w:val="20"/>
                <w:highlight w:val="yellow"/>
              </w:rPr>
              <w:t>%</w:t>
            </w:r>
            <w:r w:rsidR="00354C0F">
              <w:rPr>
                <w:rStyle w:val="FootnoteReference"/>
                <w:highlight w:val="yellow"/>
              </w:rPr>
              <w:footnoteReference w:id="18"/>
            </w:r>
          </w:p>
        </w:tc>
      </w:tr>
    </w:tbl>
    <w:p w14:paraId="34A1AE95" w14:textId="77777777" w:rsidR="00504062" w:rsidRDefault="00504062" w:rsidP="004D4192">
      <w:pPr>
        <w:tabs>
          <w:tab w:val="left" w:pos="3600"/>
        </w:tabs>
        <w:ind w:left="3060" w:hanging="2340"/>
        <w:rPr>
          <w:rFonts w:cstheme="minorHAnsi"/>
          <w:szCs w:val="20"/>
        </w:rPr>
      </w:pPr>
    </w:p>
    <w:p w14:paraId="1E0FCFB9" w14:textId="16C805B6" w:rsidR="00EB778E" w:rsidRPr="00334D69" w:rsidRDefault="00EB778E" w:rsidP="004D4192">
      <w:pPr>
        <w:tabs>
          <w:tab w:val="left" w:pos="2880"/>
        </w:tabs>
        <w:ind w:left="3060" w:hanging="2160"/>
        <w:rPr>
          <w:rFonts w:cstheme="minorHAnsi"/>
          <w:noProof/>
        </w:rPr>
      </w:pPr>
      <w:r>
        <w:rPr>
          <w:rFonts w:cstheme="minorHAnsi"/>
          <w:szCs w:val="20"/>
        </w:rPr>
        <w:t>FLH</w:t>
      </w:r>
      <w:r>
        <w:rPr>
          <w:rFonts w:cstheme="minorHAnsi"/>
          <w:szCs w:val="20"/>
        </w:rPr>
        <w:tab/>
      </w:r>
      <w:r w:rsidR="00504062" w:rsidRPr="00EB778E">
        <w:rPr>
          <w:rFonts w:cstheme="minorHAnsi"/>
          <w:noProof/>
        </w:rPr>
        <w:t xml:space="preserve">= </w:t>
      </w:r>
      <w:r w:rsidRPr="000B7BB6">
        <w:rPr>
          <w:rFonts w:cstheme="minorHAnsi"/>
          <w:noProof/>
        </w:rPr>
        <w:t xml:space="preserve">Estimate of annual household </w:t>
      </w:r>
      <w:r>
        <w:rPr>
          <w:rFonts w:cstheme="minorHAnsi"/>
          <w:noProof/>
        </w:rPr>
        <w:t>full load cooling hours for air conditioning equipment based on location</w:t>
      </w:r>
      <w:r w:rsidR="00850831">
        <w:rPr>
          <w:rFonts w:cstheme="minorHAnsi"/>
          <w:noProof/>
        </w:rPr>
        <w:t xml:space="preserve"> and</w:t>
      </w:r>
      <w:r>
        <w:rPr>
          <w:rFonts w:cstheme="minorHAnsi"/>
          <w:noProof/>
        </w:rPr>
        <w:t xml:space="preserve"> home type. If location and cooling type are</w:t>
      </w:r>
      <w:r w:rsidRPr="00B41203">
        <w:rPr>
          <w:rFonts w:cstheme="minorHAnsi"/>
          <w:noProof/>
        </w:rPr>
        <w:t xml:space="preserve"> unknown, </w:t>
      </w:r>
      <w:r>
        <w:rPr>
          <w:rFonts w:cstheme="minorHAnsi"/>
          <w:noProof/>
        </w:rPr>
        <w:t>assume the weighted average.</w:t>
      </w:r>
    </w:p>
    <w:tbl>
      <w:tblPr>
        <w:tblW w:w="7053" w:type="dxa"/>
        <w:tblInd w:w="2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32"/>
        <w:gridCol w:w="1601"/>
        <w:gridCol w:w="1710"/>
        <w:gridCol w:w="1710"/>
      </w:tblGrid>
      <w:tr w:rsidR="00C2686E" w:rsidRPr="00A05FC2" w14:paraId="68B50E54" w14:textId="68E39675" w:rsidTr="001B259A">
        <w:trPr>
          <w:trHeight w:val="638"/>
        </w:trPr>
        <w:tc>
          <w:tcPr>
            <w:tcW w:w="2032" w:type="dxa"/>
            <w:shd w:val="clear" w:color="auto" w:fill="7F7F7F" w:themeFill="text1" w:themeFillTint="80"/>
            <w:tcMar>
              <w:top w:w="0" w:type="dxa"/>
              <w:left w:w="108" w:type="dxa"/>
              <w:bottom w:w="0" w:type="dxa"/>
              <w:right w:w="108" w:type="dxa"/>
            </w:tcMar>
            <w:hideMark/>
          </w:tcPr>
          <w:p w14:paraId="11178ED6" w14:textId="77777777" w:rsidR="00C2686E" w:rsidRDefault="00C2686E" w:rsidP="00850831">
            <w:pPr>
              <w:spacing w:after="0"/>
              <w:jc w:val="center"/>
              <w:rPr>
                <w:rFonts w:cstheme="minorHAnsi"/>
                <w:b/>
                <w:color w:val="FFFFFF" w:themeColor="background1"/>
                <w:szCs w:val="20"/>
              </w:rPr>
            </w:pPr>
            <w:r>
              <w:rPr>
                <w:rFonts w:cstheme="minorHAnsi"/>
                <w:b/>
                <w:color w:val="FFFFFF" w:themeColor="background1"/>
                <w:szCs w:val="20"/>
              </w:rPr>
              <w:t>Climate zone</w:t>
            </w:r>
          </w:p>
          <w:p w14:paraId="5FA0B0B1" w14:textId="4FCF7046" w:rsidR="00C2686E" w:rsidRPr="000B7BB6" w:rsidRDefault="00C2686E" w:rsidP="00850831">
            <w:pPr>
              <w:spacing w:after="0"/>
              <w:jc w:val="center"/>
              <w:rPr>
                <w:rFonts w:cstheme="minorHAnsi"/>
                <w:b/>
                <w:color w:val="FFFFFF" w:themeColor="background1"/>
                <w:szCs w:val="20"/>
              </w:rPr>
            </w:pPr>
            <w:r>
              <w:rPr>
                <w:rFonts w:cstheme="minorHAnsi"/>
                <w:b/>
                <w:color w:val="FFFFFF" w:themeColor="background1"/>
                <w:szCs w:val="20"/>
              </w:rPr>
              <w:t xml:space="preserve"> (city based upon)</w:t>
            </w:r>
          </w:p>
        </w:tc>
        <w:tc>
          <w:tcPr>
            <w:tcW w:w="1601" w:type="dxa"/>
            <w:shd w:val="clear" w:color="auto" w:fill="7F7F7F" w:themeFill="text1" w:themeFillTint="80"/>
          </w:tcPr>
          <w:p w14:paraId="6FE7A89C" w14:textId="77777777" w:rsidR="00C2686E" w:rsidRDefault="00C2686E" w:rsidP="00850831">
            <w:pPr>
              <w:spacing w:after="0"/>
              <w:jc w:val="center"/>
              <w:rPr>
                <w:rFonts w:cstheme="minorHAnsi"/>
                <w:b/>
                <w:color w:val="FFFFFF" w:themeColor="background1"/>
                <w:szCs w:val="20"/>
              </w:rPr>
            </w:pPr>
            <w:r>
              <w:rPr>
                <w:rFonts w:cstheme="minorHAnsi"/>
                <w:b/>
                <w:color w:val="FFFFFF" w:themeColor="background1"/>
                <w:szCs w:val="20"/>
              </w:rPr>
              <w:t xml:space="preserve">FLH </w:t>
            </w:r>
          </w:p>
          <w:p w14:paraId="57D70575" w14:textId="583D2671" w:rsidR="00C2686E" w:rsidRPr="000B7BB6" w:rsidRDefault="00C2686E" w:rsidP="00850831">
            <w:pPr>
              <w:spacing w:after="0"/>
              <w:jc w:val="center"/>
              <w:rPr>
                <w:rFonts w:cstheme="minorHAnsi"/>
                <w:b/>
                <w:color w:val="FFFFFF" w:themeColor="background1"/>
                <w:szCs w:val="20"/>
              </w:rPr>
            </w:pPr>
            <w:r>
              <w:rPr>
                <w:rFonts w:cstheme="minorHAnsi"/>
                <w:b/>
                <w:color w:val="FFFFFF" w:themeColor="background1"/>
                <w:szCs w:val="20"/>
              </w:rPr>
              <w:t>(single family)</w:t>
            </w:r>
            <w:r w:rsidRPr="00C703D4">
              <w:rPr>
                <w:rStyle w:val="FootnoteTextChar"/>
                <w:rFonts w:eastAsiaTheme="minorEastAsia"/>
                <w:b/>
                <w:noProof/>
                <w:color w:val="FFFFFF" w:themeColor="background1"/>
              </w:rPr>
              <w:t xml:space="preserve"> </w:t>
            </w:r>
            <w:r w:rsidRPr="00C703D4">
              <w:rPr>
                <w:rStyle w:val="FootnoteReference"/>
                <w:rFonts w:eastAsiaTheme="minorEastAsia"/>
                <w:b/>
                <w:noProof/>
                <w:color w:val="FFFFFF" w:themeColor="background1"/>
              </w:rPr>
              <w:footnoteReference w:id="19"/>
            </w:r>
          </w:p>
        </w:tc>
        <w:tc>
          <w:tcPr>
            <w:tcW w:w="1710" w:type="dxa"/>
            <w:shd w:val="clear" w:color="auto" w:fill="7F7F7F" w:themeFill="text1" w:themeFillTint="80"/>
          </w:tcPr>
          <w:p w14:paraId="2ACD17F2" w14:textId="77777777" w:rsidR="00C2686E" w:rsidRPr="00E72C3B" w:rsidRDefault="00C2686E" w:rsidP="00850831">
            <w:pPr>
              <w:spacing w:after="0"/>
              <w:jc w:val="center"/>
              <w:rPr>
                <w:rFonts w:cstheme="minorHAnsi"/>
                <w:b/>
                <w:color w:val="FFFFFF" w:themeColor="background1"/>
                <w:szCs w:val="20"/>
              </w:rPr>
            </w:pPr>
            <w:r w:rsidRPr="00E72C3B">
              <w:rPr>
                <w:rFonts w:cstheme="minorHAnsi"/>
                <w:b/>
                <w:color w:val="FFFFFF" w:themeColor="background1"/>
                <w:szCs w:val="20"/>
              </w:rPr>
              <w:t xml:space="preserve">FLH </w:t>
            </w:r>
          </w:p>
          <w:p w14:paraId="6EF9300B" w14:textId="45EF269F" w:rsidR="00C2686E" w:rsidRPr="00E72C3B" w:rsidRDefault="00C2686E" w:rsidP="00850831">
            <w:pPr>
              <w:spacing w:after="0"/>
              <w:jc w:val="center"/>
              <w:rPr>
                <w:rFonts w:cstheme="minorHAnsi"/>
                <w:b/>
                <w:color w:val="FFFFFF" w:themeColor="background1"/>
                <w:szCs w:val="20"/>
              </w:rPr>
            </w:pPr>
            <w:r w:rsidRPr="00E72C3B">
              <w:rPr>
                <w:rFonts w:cstheme="minorHAnsi"/>
                <w:b/>
                <w:color w:val="FFFFFF" w:themeColor="background1"/>
                <w:szCs w:val="20"/>
              </w:rPr>
              <w:t>(general multifamily)</w:t>
            </w:r>
            <w:bookmarkStart w:id="13" w:name="_Ref433220888"/>
            <w:r w:rsidRPr="00E72C3B">
              <w:rPr>
                <w:rStyle w:val="FootnoteTextChar"/>
                <w:noProof/>
                <w:color w:val="FFFFFF" w:themeColor="background1"/>
              </w:rPr>
              <w:t xml:space="preserve"> </w:t>
            </w:r>
            <w:r w:rsidRPr="00E72C3B">
              <w:rPr>
                <w:rStyle w:val="FootnoteReference"/>
                <w:noProof/>
                <w:color w:val="FFFFFF" w:themeColor="background1"/>
              </w:rPr>
              <w:footnoteReference w:id="20"/>
            </w:r>
            <w:bookmarkEnd w:id="13"/>
          </w:p>
        </w:tc>
        <w:tc>
          <w:tcPr>
            <w:tcW w:w="1710" w:type="dxa"/>
            <w:shd w:val="clear" w:color="auto" w:fill="7F7F7F" w:themeFill="text1" w:themeFillTint="80"/>
          </w:tcPr>
          <w:p w14:paraId="11D50250" w14:textId="7656173F" w:rsidR="00C2686E" w:rsidRPr="00E72C3B" w:rsidRDefault="00C2686E" w:rsidP="00850831">
            <w:pPr>
              <w:spacing w:after="0"/>
              <w:jc w:val="center"/>
              <w:rPr>
                <w:rFonts w:cstheme="minorHAnsi"/>
                <w:b/>
                <w:color w:val="FFFFFF" w:themeColor="background1"/>
                <w:szCs w:val="20"/>
              </w:rPr>
            </w:pPr>
            <w:proofErr w:type="spellStart"/>
            <w:r w:rsidRPr="00E72C3B">
              <w:rPr>
                <w:b/>
                <w:color w:val="FFFFFF" w:themeColor="background1"/>
              </w:rPr>
              <w:t>FLH_cooling</w:t>
            </w:r>
            <w:proofErr w:type="spellEnd"/>
            <w:r w:rsidRPr="00E72C3B">
              <w:rPr>
                <w:b/>
                <w:color w:val="FFFFFF" w:themeColor="background1"/>
              </w:rPr>
              <w:t xml:space="preserve">  (weatherized </w:t>
            </w:r>
            <w:proofErr w:type="spellStart"/>
            <w:r w:rsidRPr="00E72C3B">
              <w:rPr>
                <w:b/>
                <w:color w:val="FFFFFF" w:themeColor="background1"/>
              </w:rPr>
              <w:t>multi family</w:t>
            </w:r>
            <w:proofErr w:type="spellEnd"/>
            <w:r w:rsidRPr="00E72C3B">
              <w:rPr>
                <w:b/>
                <w:color w:val="FFFFFF" w:themeColor="background1"/>
              </w:rPr>
              <w:t xml:space="preserve">) </w:t>
            </w:r>
            <w:r w:rsidRPr="00E72C3B">
              <w:rPr>
                <w:rStyle w:val="FootnoteReference"/>
                <w:noProof/>
                <w:color w:val="FFFFFF" w:themeColor="background1"/>
              </w:rPr>
              <w:footnoteReference w:id="21"/>
            </w:r>
          </w:p>
        </w:tc>
      </w:tr>
      <w:tr w:rsidR="00C2686E" w:rsidRPr="00A05FC2" w14:paraId="2107850C" w14:textId="45EFB5AB" w:rsidTr="001B259A">
        <w:tc>
          <w:tcPr>
            <w:tcW w:w="2032" w:type="dxa"/>
            <w:tcMar>
              <w:top w:w="0" w:type="dxa"/>
              <w:left w:w="108" w:type="dxa"/>
              <w:bottom w:w="0" w:type="dxa"/>
              <w:right w:w="108" w:type="dxa"/>
            </w:tcMar>
            <w:hideMark/>
          </w:tcPr>
          <w:p w14:paraId="04F3A1C8" w14:textId="77777777" w:rsidR="00C2686E" w:rsidRPr="00875027" w:rsidRDefault="00C2686E" w:rsidP="008B6BB9">
            <w:pPr>
              <w:pStyle w:val="BodyText"/>
              <w:rPr>
                <w:rFonts w:eastAsiaTheme="minorHAnsi"/>
                <w:sz w:val="20"/>
                <w:szCs w:val="20"/>
              </w:rPr>
            </w:pPr>
            <w:r>
              <w:rPr>
                <w:sz w:val="20"/>
                <w:szCs w:val="20"/>
              </w:rPr>
              <w:t>1 (Rockford)</w:t>
            </w:r>
          </w:p>
        </w:tc>
        <w:tc>
          <w:tcPr>
            <w:tcW w:w="1601" w:type="dxa"/>
            <w:vAlign w:val="center"/>
          </w:tcPr>
          <w:p w14:paraId="30CA9D4F" w14:textId="77777777" w:rsidR="00C2686E" w:rsidRPr="00334D69" w:rsidRDefault="00C2686E" w:rsidP="008B6BB9">
            <w:pPr>
              <w:pStyle w:val="BodyText"/>
              <w:jc w:val="center"/>
              <w:rPr>
                <w:sz w:val="20"/>
                <w:szCs w:val="20"/>
              </w:rPr>
            </w:pPr>
            <w:r w:rsidRPr="00334D69">
              <w:rPr>
                <w:rFonts w:ascii="Calibri" w:hAnsi="Calibri"/>
                <w:color w:val="000000"/>
                <w:sz w:val="20"/>
              </w:rPr>
              <w:t>512</w:t>
            </w:r>
          </w:p>
        </w:tc>
        <w:tc>
          <w:tcPr>
            <w:tcW w:w="1710" w:type="dxa"/>
            <w:vAlign w:val="center"/>
          </w:tcPr>
          <w:p w14:paraId="68019D96" w14:textId="77777777" w:rsidR="00C2686E" w:rsidRPr="00334D69" w:rsidRDefault="00C2686E" w:rsidP="008B6BB9">
            <w:pPr>
              <w:pStyle w:val="BodyText"/>
              <w:jc w:val="center"/>
              <w:rPr>
                <w:sz w:val="20"/>
                <w:szCs w:val="20"/>
              </w:rPr>
            </w:pPr>
            <w:r w:rsidRPr="00334D69">
              <w:rPr>
                <w:rFonts w:ascii="Calibri" w:hAnsi="Calibri"/>
                <w:color w:val="000000"/>
                <w:sz w:val="20"/>
              </w:rPr>
              <w:t>467</w:t>
            </w:r>
          </w:p>
        </w:tc>
        <w:tc>
          <w:tcPr>
            <w:tcW w:w="1710" w:type="dxa"/>
            <w:vAlign w:val="center"/>
          </w:tcPr>
          <w:p w14:paraId="60844430" w14:textId="665459C3" w:rsidR="00C2686E" w:rsidRPr="00C2686E" w:rsidRDefault="00C2686E" w:rsidP="008B6BB9">
            <w:pPr>
              <w:pStyle w:val="BodyText"/>
              <w:jc w:val="center"/>
              <w:rPr>
                <w:rFonts w:ascii="Calibri" w:hAnsi="Calibri"/>
                <w:color w:val="000000"/>
                <w:sz w:val="20"/>
                <w:szCs w:val="20"/>
              </w:rPr>
            </w:pPr>
            <w:r w:rsidRPr="00C2686E">
              <w:rPr>
                <w:sz w:val="20"/>
                <w:szCs w:val="20"/>
              </w:rPr>
              <w:t>243</w:t>
            </w:r>
          </w:p>
        </w:tc>
      </w:tr>
      <w:tr w:rsidR="00C2686E" w:rsidRPr="00A05FC2" w14:paraId="42344D2F" w14:textId="1DA3E243" w:rsidTr="001B259A">
        <w:tc>
          <w:tcPr>
            <w:tcW w:w="2032" w:type="dxa"/>
            <w:tcMar>
              <w:top w:w="0" w:type="dxa"/>
              <w:left w:w="108" w:type="dxa"/>
              <w:bottom w:w="0" w:type="dxa"/>
              <w:right w:w="108" w:type="dxa"/>
            </w:tcMar>
            <w:hideMark/>
          </w:tcPr>
          <w:p w14:paraId="3887D302" w14:textId="77777777" w:rsidR="00C2686E" w:rsidRPr="00875027" w:rsidRDefault="00C2686E" w:rsidP="008B6BB9">
            <w:pPr>
              <w:pStyle w:val="BodyText"/>
              <w:rPr>
                <w:rFonts w:eastAsiaTheme="minorHAnsi"/>
                <w:sz w:val="20"/>
                <w:szCs w:val="20"/>
              </w:rPr>
            </w:pPr>
            <w:r>
              <w:rPr>
                <w:sz w:val="20"/>
                <w:szCs w:val="20"/>
              </w:rPr>
              <w:t>2 (Chicago)</w:t>
            </w:r>
          </w:p>
        </w:tc>
        <w:tc>
          <w:tcPr>
            <w:tcW w:w="1601" w:type="dxa"/>
            <w:vAlign w:val="center"/>
          </w:tcPr>
          <w:p w14:paraId="794981B9" w14:textId="77777777" w:rsidR="00C2686E" w:rsidRPr="00334D69" w:rsidRDefault="00C2686E" w:rsidP="008B6BB9">
            <w:pPr>
              <w:pStyle w:val="BodyText"/>
              <w:jc w:val="center"/>
              <w:rPr>
                <w:sz w:val="20"/>
                <w:szCs w:val="20"/>
              </w:rPr>
            </w:pPr>
            <w:r w:rsidRPr="00334D69">
              <w:rPr>
                <w:rFonts w:ascii="Calibri" w:hAnsi="Calibri"/>
                <w:color w:val="000000"/>
                <w:sz w:val="20"/>
              </w:rPr>
              <w:t>570</w:t>
            </w:r>
          </w:p>
        </w:tc>
        <w:tc>
          <w:tcPr>
            <w:tcW w:w="1710" w:type="dxa"/>
            <w:vAlign w:val="center"/>
          </w:tcPr>
          <w:p w14:paraId="140295AA" w14:textId="77777777" w:rsidR="00C2686E" w:rsidRPr="00334D69" w:rsidRDefault="00C2686E" w:rsidP="008B6BB9">
            <w:pPr>
              <w:pStyle w:val="BodyText"/>
              <w:jc w:val="center"/>
              <w:rPr>
                <w:sz w:val="20"/>
                <w:szCs w:val="20"/>
              </w:rPr>
            </w:pPr>
            <w:r w:rsidRPr="00334D69">
              <w:rPr>
                <w:rFonts w:ascii="Calibri" w:hAnsi="Calibri"/>
                <w:color w:val="000000"/>
                <w:sz w:val="20"/>
              </w:rPr>
              <w:t>506</w:t>
            </w:r>
          </w:p>
        </w:tc>
        <w:tc>
          <w:tcPr>
            <w:tcW w:w="1710" w:type="dxa"/>
            <w:vAlign w:val="center"/>
          </w:tcPr>
          <w:p w14:paraId="174ADEBB" w14:textId="4D0475B1" w:rsidR="00C2686E" w:rsidRPr="00C2686E" w:rsidRDefault="00C2686E" w:rsidP="008B6BB9">
            <w:pPr>
              <w:pStyle w:val="BodyText"/>
              <w:jc w:val="center"/>
              <w:rPr>
                <w:rFonts w:ascii="Calibri" w:hAnsi="Calibri"/>
                <w:color w:val="000000"/>
                <w:sz w:val="20"/>
                <w:szCs w:val="20"/>
              </w:rPr>
            </w:pPr>
            <w:r w:rsidRPr="00C2686E">
              <w:rPr>
                <w:sz w:val="20"/>
                <w:szCs w:val="20"/>
              </w:rPr>
              <w:t>263</w:t>
            </w:r>
          </w:p>
        </w:tc>
      </w:tr>
      <w:tr w:rsidR="00C2686E" w:rsidRPr="00A05FC2" w14:paraId="72B6139F" w14:textId="367022AA" w:rsidTr="001B259A">
        <w:tc>
          <w:tcPr>
            <w:tcW w:w="2032" w:type="dxa"/>
            <w:tcMar>
              <w:top w:w="0" w:type="dxa"/>
              <w:left w:w="108" w:type="dxa"/>
              <w:bottom w:w="0" w:type="dxa"/>
              <w:right w:w="108" w:type="dxa"/>
            </w:tcMar>
            <w:hideMark/>
          </w:tcPr>
          <w:p w14:paraId="6B81E747" w14:textId="77777777" w:rsidR="00C2686E" w:rsidRPr="00875027" w:rsidRDefault="00C2686E" w:rsidP="008B6BB9">
            <w:pPr>
              <w:pStyle w:val="BodyText"/>
              <w:rPr>
                <w:rFonts w:eastAsiaTheme="minorHAnsi"/>
                <w:sz w:val="20"/>
                <w:szCs w:val="20"/>
              </w:rPr>
            </w:pPr>
            <w:r>
              <w:rPr>
                <w:sz w:val="20"/>
                <w:szCs w:val="20"/>
              </w:rPr>
              <w:t>3 (Springfield)</w:t>
            </w:r>
          </w:p>
        </w:tc>
        <w:tc>
          <w:tcPr>
            <w:tcW w:w="1601" w:type="dxa"/>
            <w:vAlign w:val="center"/>
          </w:tcPr>
          <w:p w14:paraId="1B994003" w14:textId="77777777" w:rsidR="00C2686E" w:rsidRPr="00334D69" w:rsidRDefault="00C2686E" w:rsidP="008B6BB9">
            <w:pPr>
              <w:pStyle w:val="BodyText"/>
              <w:jc w:val="center"/>
              <w:rPr>
                <w:sz w:val="20"/>
                <w:szCs w:val="20"/>
              </w:rPr>
            </w:pPr>
            <w:r w:rsidRPr="00334D69">
              <w:rPr>
                <w:rFonts w:ascii="Calibri" w:hAnsi="Calibri"/>
                <w:color w:val="000000"/>
                <w:sz w:val="20"/>
              </w:rPr>
              <w:t>730</w:t>
            </w:r>
          </w:p>
        </w:tc>
        <w:tc>
          <w:tcPr>
            <w:tcW w:w="1710" w:type="dxa"/>
            <w:vAlign w:val="center"/>
          </w:tcPr>
          <w:p w14:paraId="61396A76" w14:textId="77777777" w:rsidR="00C2686E" w:rsidRPr="00334D69" w:rsidRDefault="00C2686E" w:rsidP="008B6BB9">
            <w:pPr>
              <w:pStyle w:val="BodyText"/>
              <w:jc w:val="center"/>
              <w:rPr>
                <w:sz w:val="20"/>
                <w:szCs w:val="20"/>
              </w:rPr>
            </w:pPr>
            <w:r w:rsidRPr="00334D69">
              <w:rPr>
                <w:rFonts w:ascii="Calibri" w:hAnsi="Calibri"/>
                <w:color w:val="000000"/>
                <w:sz w:val="20"/>
              </w:rPr>
              <w:t>663</w:t>
            </w:r>
          </w:p>
        </w:tc>
        <w:tc>
          <w:tcPr>
            <w:tcW w:w="1710" w:type="dxa"/>
            <w:vAlign w:val="center"/>
          </w:tcPr>
          <w:p w14:paraId="398FC857" w14:textId="3F23D7B3" w:rsidR="00C2686E" w:rsidRPr="00C2686E" w:rsidRDefault="00C2686E" w:rsidP="008B6BB9">
            <w:pPr>
              <w:pStyle w:val="BodyText"/>
              <w:jc w:val="center"/>
              <w:rPr>
                <w:rFonts w:ascii="Calibri" w:hAnsi="Calibri"/>
                <w:color w:val="000000"/>
                <w:sz w:val="20"/>
                <w:szCs w:val="20"/>
              </w:rPr>
            </w:pPr>
            <w:r w:rsidRPr="00C2686E">
              <w:rPr>
                <w:sz w:val="20"/>
                <w:szCs w:val="20"/>
              </w:rPr>
              <w:t>345</w:t>
            </w:r>
          </w:p>
        </w:tc>
      </w:tr>
      <w:tr w:rsidR="00C2686E" w:rsidRPr="00A05FC2" w14:paraId="269C34A4" w14:textId="0C4A667C" w:rsidTr="001B259A">
        <w:tc>
          <w:tcPr>
            <w:tcW w:w="2032" w:type="dxa"/>
            <w:tcMar>
              <w:top w:w="0" w:type="dxa"/>
              <w:left w:w="108" w:type="dxa"/>
              <w:bottom w:w="0" w:type="dxa"/>
              <w:right w:w="108" w:type="dxa"/>
            </w:tcMar>
          </w:tcPr>
          <w:p w14:paraId="4E1BA409" w14:textId="77777777" w:rsidR="00C2686E" w:rsidRPr="00875027" w:rsidRDefault="00C2686E" w:rsidP="008B6BB9">
            <w:pPr>
              <w:pStyle w:val="BodyText"/>
              <w:rPr>
                <w:sz w:val="20"/>
                <w:szCs w:val="20"/>
              </w:rPr>
            </w:pPr>
            <w:r>
              <w:rPr>
                <w:sz w:val="20"/>
                <w:szCs w:val="20"/>
              </w:rPr>
              <w:t>4 (Belleville)</w:t>
            </w:r>
          </w:p>
        </w:tc>
        <w:tc>
          <w:tcPr>
            <w:tcW w:w="1601" w:type="dxa"/>
            <w:vAlign w:val="center"/>
          </w:tcPr>
          <w:p w14:paraId="23C40123" w14:textId="77777777" w:rsidR="00C2686E" w:rsidRPr="00334D69" w:rsidRDefault="00C2686E" w:rsidP="008B6BB9">
            <w:pPr>
              <w:pStyle w:val="BodyText"/>
              <w:jc w:val="center"/>
              <w:rPr>
                <w:sz w:val="20"/>
                <w:szCs w:val="20"/>
              </w:rPr>
            </w:pPr>
            <w:r w:rsidRPr="00334D69">
              <w:rPr>
                <w:rFonts w:ascii="Calibri" w:hAnsi="Calibri"/>
                <w:color w:val="000000"/>
                <w:sz w:val="20"/>
              </w:rPr>
              <w:t>1035</w:t>
            </w:r>
          </w:p>
        </w:tc>
        <w:tc>
          <w:tcPr>
            <w:tcW w:w="1710" w:type="dxa"/>
            <w:vAlign w:val="center"/>
          </w:tcPr>
          <w:p w14:paraId="316C6645" w14:textId="77777777" w:rsidR="00C2686E" w:rsidRPr="00334D69" w:rsidRDefault="00C2686E" w:rsidP="008B6BB9">
            <w:pPr>
              <w:pStyle w:val="BodyText"/>
              <w:jc w:val="center"/>
              <w:rPr>
                <w:sz w:val="20"/>
                <w:szCs w:val="20"/>
              </w:rPr>
            </w:pPr>
            <w:r w:rsidRPr="00334D69">
              <w:rPr>
                <w:rFonts w:ascii="Calibri" w:hAnsi="Calibri"/>
                <w:color w:val="000000"/>
                <w:sz w:val="20"/>
              </w:rPr>
              <w:t>940</w:t>
            </w:r>
          </w:p>
        </w:tc>
        <w:tc>
          <w:tcPr>
            <w:tcW w:w="1710" w:type="dxa"/>
            <w:vAlign w:val="center"/>
          </w:tcPr>
          <w:p w14:paraId="581D301E" w14:textId="5D16C40B" w:rsidR="00C2686E" w:rsidRPr="00C2686E" w:rsidRDefault="00C2686E" w:rsidP="008B6BB9">
            <w:pPr>
              <w:pStyle w:val="BodyText"/>
              <w:jc w:val="center"/>
              <w:rPr>
                <w:rFonts w:ascii="Calibri" w:hAnsi="Calibri"/>
                <w:color w:val="000000"/>
                <w:sz w:val="20"/>
                <w:szCs w:val="20"/>
              </w:rPr>
            </w:pPr>
            <w:r w:rsidRPr="00C2686E">
              <w:rPr>
                <w:sz w:val="20"/>
                <w:szCs w:val="20"/>
              </w:rPr>
              <w:t>489</w:t>
            </w:r>
          </w:p>
        </w:tc>
      </w:tr>
      <w:tr w:rsidR="00C2686E" w:rsidRPr="00A05FC2" w14:paraId="452DA379" w14:textId="46C6B149" w:rsidTr="001B259A">
        <w:tc>
          <w:tcPr>
            <w:tcW w:w="2032" w:type="dxa"/>
            <w:tcMar>
              <w:top w:w="0" w:type="dxa"/>
              <w:left w:w="108" w:type="dxa"/>
              <w:bottom w:w="0" w:type="dxa"/>
              <w:right w:w="108" w:type="dxa"/>
            </w:tcMar>
          </w:tcPr>
          <w:p w14:paraId="519C4DAC" w14:textId="77777777" w:rsidR="00C2686E" w:rsidRPr="00875027" w:rsidRDefault="00C2686E" w:rsidP="008B6BB9">
            <w:pPr>
              <w:pStyle w:val="BodyText"/>
              <w:rPr>
                <w:sz w:val="20"/>
                <w:szCs w:val="20"/>
              </w:rPr>
            </w:pPr>
            <w:r>
              <w:rPr>
                <w:sz w:val="20"/>
                <w:szCs w:val="20"/>
              </w:rPr>
              <w:t>5 (Marion)</w:t>
            </w:r>
          </w:p>
        </w:tc>
        <w:tc>
          <w:tcPr>
            <w:tcW w:w="1601" w:type="dxa"/>
            <w:vAlign w:val="center"/>
          </w:tcPr>
          <w:p w14:paraId="1DC0CA5B" w14:textId="77777777" w:rsidR="00C2686E" w:rsidRPr="00334D69" w:rsidRDefault="00C2686E" w:rsidP="008B6BB9">
            <w:pPr>
              <w:pStyle w:val="BodyText"/>
              <w:jc w:val="center"/>
              <w:rPr>
                <w:sz w:val="20"/>
                <w:szCs w:val="20"/>
              </w:rPr>
            </w:pPr>
            <w:r w:rsidRPr="00334D69">
              <w:rPr>
                <w:rFonts w:ascii="Calibri" w:hAnsi="Calibri"/>
                <w:color w:val="000000"/>
                <w:sz w:val="20"/>
              </w:rPr>
              <w:t>903</w:t>
            </w:r>
          </w:p>
        </w:tc>
        <w:tc>
          <w:tcPr>
            <w:tcW w:w="1710" w:type="dxa"/>
            <w:vAlign w:val="center"/>
          </w:tcPr>
          <w:p w14:paraId="081FC0A1" w14:textId="77777777" w:rsidR="00C2686E" w:rsidRPr="00334D69" w:rsidRDefault="00C2686E" w:rsidP="008B6BB9">
            <w:pPr>
              <w:pStyle w:val="BodyText"/>
              <w:jc w:val="center"/>
              <w:rPr>
                <w:sz w:val="20"/>
                <w:szCs w:val="20"/>
              </w:rPr>
            </w:pPr>
            <w:r w:rsidRPr="00334D69">
              <w:rPr>
                <w:rFonts w:ascii="Calibri" w:hAnsi="Calibri"/>
                <w:color w:val="000000"/>
                <w:sz w:val="20"/>
              </w:rPr>
              <w:t>820</w:t>
            </w:r>
          </w:p>
        </w:tc>
        <w:tc>
          <w:tcPr>
            <w:tcW w:w="1710" w:type="dxa"/>
            <w:vAlign w:val="center"/>
          </w:tcPr>
          <w:p w14:paraId="0E4E32EE" w14:textId="4D6BC7EA" w:rsidR="00C2686E" w:rsidRPr="00C2686E" w:rsidRDefault="00C2686E" w:rsidP="008B6BB9">
            <w:pPr>
              <w:pStyle w:val="BodyText"/>
              <w:jc w:val="center"/>
              <w:rPr>
                <w:rFonts w:ascii="Calibri" w:hAnsi="Calibri"/>
                <w:color w:val="000000"/>
                <w:sz w:val="20"/>
                <w:szCs w:val="20"/>
              </w:rPr>
            </w:pPr>
            <w:r w:rsidRPr="00C2686E">
              <w:rPr>
                <w:sz w:val="20"/>
                <w:szCs w:val="20"/>
              </w:rPr>
              <w:t>426</w:t>
            </w:r>
          </w:p>
        </w:tc>
      </w:tr>
      <w:tr w:rsidR="00C2686E" w:rsidRPr="00A05FC2" w14:paraId="383BE6AE" w14:textId="4ADC47F1" w:rsidTr="001B259A">
        <w:tc>
          <w:tcPr>
            <w:tcW w:w="2032" w:type="dxa"/>
            <w:tcMar>
              <w:top w:w="0" w:type="dxa"/>
              <w:left w:w="108" w:type="dxa"/>
              <w:bottom w:w="0" w:type="dxa"/>
              <w:right w:w="108" w:type="dxa"/>
            </w:tcMar>
          </w:tcPr>
          <w:p w14:paraId="02E541A3" w14:textId="77777777" w:rsidR="00C2686E" w:rsidRPr="00875027" w:rsidRDefault="00C2686E" w:rsidP="008B6BB9">
            <w:pPr>
              <w:pStyle w:val="BodyText"/>
              <w:rPr>
                <w:sz w:val="20"/>
                <w:szCs w:val="20"/>
              </w:rPr>
            </w:pPr>
            <w:r>
              <w:rPr>
                <w:sz w:val="20"/>
                <w:szCs w:val="20"/>
              </w:rPr>
              <w:t>Weighted average</w:t>
            </w:r>
            <w:r>
              <w:rPr>
                <w:rStyle w:val="FootnoteReference"/>
                <w:szCs w:val="20"/>
              </w:rPr>
              <w:footnoteReference w:id="22"/>
            </w:r>
          </w:p>
        </w:tc>
        <w:tc>
          <w:tcPr>
            <w:tcW w:w="1601" w:type="dxa"/>
            <w:vAlign w:val="center"/>
          </w:tcPr>
          <w:p w14:paraId="7EF3F165" w14:textId="77777777" w:rsidR="00C2686E" w:rsidRPr="00334D69" w:rsidRDefault="00C2686E" w:rsidP="008B6BB9">
            <w:pPr>
              <w:pStyle w:val="BodyText"/>
              <w:jc w:val="center"/>
              <w:rPr>
                <w:sz w:val="20"/>
                <w:szCs w:val="20"/>
              </w:rPr>
            </w:pPr>
            <w:r w:rsidRPr="00334D69">
              <w:rPr>
                <w:rFonts w:ascii="Calibri" w:hAnsi="Calibri"/>
                <w:color w:val="000000"/>
                <w:sz w:val="20"/>
              </w:rPr>
              <w:t>629</w:t>
            </w:r>
          </w:p>
        </w:tc>
        <w:tc>
          <w:tcPr>
            <w:tcW w:w="1710" w:type="dxa"/>
            <w:vAlign w:val="center"/>
          </w:tcPr>
          <w:p w14:paraId="6F80B8BC" w14:textId="77777777" w:rsidR="00C2686E" w:rsidRPr="00334D69" w:rsidRDefault="00C2686E" w:rsidP="008B6BB9">
            <w:pPr>
              <w:pStyle w:val="BodyText"/>
              <w:jc w:val="center"/>
              <w:rPr>
                <w:sz w:val="20"/>
                <w:szCs w:val="20"/>
              </w:rPr>
            </w:pPr>
            <w:r w:rsidRPr="00334D69">
              <w:rPr>
                <w:rFonts w:ascii="Calibri" w:hAnsi="Calibri"/>
                <w:color w:val="000000"/>
                <w:sz w:val="20"/>
              </w:rPr>
              <w:t>564</w:t>
            </w:r>
          </w:p>
        </w:tc>
        <w:tc>
          <w:tcPr>
            <w:tcW w:w="1710" w:type="dxa"/>
            <w:vAlign w:val="center"/>
          </w:tcPr>
          <w:p w14:paraId="7091B4D2" w14:textId="3AE147C1" w:rsidR="00C2686E" w:rsidRPr="00C2686E" w:rsidRDefault="00C2686E" w:rsidP="008B6BB9">
            <w:pPr>
              <w:pStyle w:val="BodyText"/>
              <w:jc w:val="center"/>
              <w:rPr>
                <w:rFonts w:ascii="Calibri" w:hAnsi="Calibri"/>
                <w:color w:val="000000"/>
                <w:sz w:val="20"/>
                <w:szCs w:val="20"/>
              </w:rPr>
            </w:pPr>
            <w:r w:rsidRPr="00C2686E">
              <w:rPr>
                <w:sz w:val="20"/>
                <w:szCs w:val="20"/>
              </w:rPr>
              <w:t>293</w:t>
            </w:r>
          </w:p>
        </w:tc>
      </w:tr>
    </w:tbl>
    <w:p w14:paraId="6D0D67B7" w14:textId="77777777" w:rsidR="00EB778E" w:rsidRDefault="00EB778E" w:rsidP="00C747F8">
      <w:pPr>
        <w:rPr>
          <w:rFonts w:cstheme="minorHAnsi"/>
          <w:noProof/>
          <w:szCs w:val="20"/>
        </w:rPr>
      </w:pPr>
    </w:p>
    <w:p w14:paraId="23E85E29" w14:textId="466760F1" w:rsidR="00EB778E" w:rsidRPr="000B7BB6" w:rsidRDefault="00504062" w:rsidP="001B259A">
      <w:pPr>
        <w:tabs>
          <w:tab w:val="left" w:pos="3600"/>
        </w:tabs>
        <w:ind w:left="3060" w:hanging="2340"/>
        <w:rPr>
          <w:rFonts w:cstheme="minorHAnsi"/>
          <w:szCs w:val="20"/>
        </w:rPr>
      </w:pPr>
      <w:r>
        <w:rPr>
          <w:rFonts w:cstheme="minorHAnsi"/>
          <w:szCs w:val="20"/>
        </w:rPr>
        <w:t>Btu/</w:t>
      </w:r>
      <w:proofErr w:type="spellStart"/>
      <w:r>
        <w:rPr>
          <w:rFonts w:cstheme="minorHAnsi"/>
          <w:szCs w:val="20"/>
        </w:rPr>
        <w:t>hr</w:t>
      </w:r>
      <w:proofErr w:type="spellEnd"/>
      <w:r>
        <w:rPr>
          <w:rFonts w:cstheme="minorHAnsi"/>
          <w:szCs w:val="20"/>
        </w:rPr>
        <w:t xml:space="preserve"> </w:t>
      </w:r>
      <w:r>
        <w:rPr>
          <w:rFonts w:cstheme="minorHAnsi"/>
          <w:szCs w:val="20"/>
        </w:rPr>
        <w:tab/>
        <w:t>=</w:t>
      </w:r>
      <w:r w:rsidR="00EB778E">
        <w:rPr>
          <w:rFonts w:cstheme="minorHAnsi"/>
          <w:szCs w:val="20"/>
        </w:rPr>
        <w:t xml:space="preserve"> Size of AC unit</w:t>
      </w:r>
      <w:r w:rsidR="00EB778E">
        <w:rPr>
          <w:rStyle w:val="FootnoteReference"/>
          <w:szCs w:val="20"/>
        </w:rPr>
        <w:footnoteReference w:id="23"/>
      </w:r>
      <w:r w:rsidR="00EB778E">
        <w:rPr>
          <w:rFonts w:cstheme="minorHAnsi"/>
          <w:szCs w:val="20"/>
        </w:rPr>
        <w:t xml:space="preserve">. (Note: </w:t>
      </w:r>
      <w:r w:rsidR="00EB778E" w:rsidRPr="00BE4417">
        <w:rPr>
          <w:rFonts w:cs="Arial"/>
          <w:szCs w:val="20"/>
          <w:shd w:val="clear" w:color="auto" w:fill="FFFFFF"/>
        </w:rPr>
        <w:t>One refrigeration ton is equal to 12,000 Btu/hr.</w:t>
      </w:r>
      <w:r w:rsidR="00EB778E">
        <w:rPr>
          <w:rFonts w:cs="Arial"/>
          <w:szCs w:val="20"/>
          <w:shd w:val="clear" w:color="auto" w:fill="FFFFFF"/>
        </w:rPr>
        <w:t>)</w:t>
      </w:r>
    </w:p>
    <w:tbl>
      <w:tblPr>
        <w:tblW w:w="0" w:type="auto"/>
        <w:tblInd w:w="2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03"/>
        <w:gridCol w:w="1774"/>
      </w:tblGrid>
      <w:tr w:rsidR="00EB778E" w:rsidRPr="00A05FC2" w14:paraId="0DA2C0DA" w14:textId="77777777" w:rsidTr="001B259A">
        <w:tc>
          <w:tcPr>
            <w:tcW w:w="3803" w:type="dxa"/>
            <w:shd w:val="clear" w:color="auto" w:fill="7F7F7F" w:themeFill="text1" w:themeFillTint="80"/>
            <w:tcMar>
              <w:top w:w="0" w:type="dxa"/>
              <w:left w:w="108" w:type="dxa"/>
              <w:bottom w:w="0" w:type="dxa"/>
              <w:right w:w="108" w:type="dxa"/>
            </w:tcMar>
            <w:hideMark/>
          </w:tcPr>
          <w:p w14:paraId="24710E8F" w14:textId="35C74561" w:rsidR="00EB778E" w:rsidRPr="000B7BB6" w:rsidRDefault="00EB778E" w:rsidP="008B6BB9">
            <w:pPr>
              <w:jc w:val="center"/>
              <w:rPr>
                <w:rFonts w:cstheme="minorHAnsi"/>
                <w:b/>
                <w:color w:val="FFFFFF" w:themeColor="background1"/>
                <w:szCs w:val="20"/>
              </w:rPr>
            </w:pPr>
            <w:r>
              <w:rPr>
                <w:rFonts w:cstheme="minorHAnsi"/>
                <w:b/>
                <w:color w:val="FFFFFF" w:themeColor="background1"/>
                <w:szCs w:val="20"/>
              </w:rPr>
              <w:t>Program Delivery</w:t>
            </w:r>
          </w:p>
        </w:tc>
        <w:tc>
          <w:tcPr>
            <w:tcW w:w="1774" w:type="dxa"/>
            <w:shd w:val="clear" w:color="auto" w:fill="7F7F7F" w:themeFill="text1" w:themeFillTint="80"/>
            <w:tcMar>
              <w:top w:w="0" w:type="dxa"/>
              <w:left w:w="108" w:type="dxa"/>
              <w:bottom w:w="0" w:type="dxa"/>
              <w:right w:w="108" w:type="dxa"/>
            </w:tcMar>
            <w:hideMark/>
          </w:tcPr>
          <w:p w14:paraId="20483840" w14:textId="77777777" w:rsidR="00EB778E" w:rsidRPr="000B7BB6" w:rsidRDefault="00EB778E" w:rsidP="008B6BB9">
            <w:pPr>
              <w:jc w:val="center"/>
              <w:rPr>
                <w:rFonts w:cstheme="minorHAnsi"/>
                <w:b/>
                <w:color w:val="FFFFFF" w:themeColor="background1"/>
                <w:szCs w:val="20"/>
              </w:rPr>
            </w:pPr>
            <w:r>
              <w:rPr>
                <w:rFonts w:cstheme="minorHAnsi"/>
                <w:b/>
                <w:color w:val="FFFFFF" w:themeColor="background1"/>
                <w:szCs w:val="20"/>
              </w:rPr>
              <w:t>Btu/</w:t>
            </w:r>
            <w:proofErr w:type="spellStart"/>
            <w:r>
              <w:rPr>
                <w:rFonts w:cstheme="minorHAnsi"/>
                <w:b/>
                <w:color w:val="FFFFFF" w:themeColor="background1"/>
                <w:szCs w:val="20"/>
              </w:rPr>
              <w:t>hr</w:t>
            </w:r>
            <w:proofErr w:type="spellEnd"/>
          </w:p>
        </w:tc>
      </w:tr>
      <w:tr w:rsidR="00EB778E" w:rsidRPr="00A05FC2" w14:paraId="2E9FAABF" w14:textId="77777777" w:rsidTr="001B259A">
        <w:tc>
          <w:tcPr>
            <w:tcW w:w="3803" w:type="dxa"/>
            <w:tcMar>
              <w:top w:w="0" w:type="dxa"/>
              <w:left w:w="108" w:type="dxa"/>
              <w:bottom w:w="0" w:type="dxa"/>
              <w:right w:w="108" w:type="dxa"/>
            </w:tcMar>
            <w:hideMark/>
          </w:tcPr>
          <w:p w14:paraId="37CD1741" w14:textId="7FDCC0BD" w:rsidR="00EB778E" w:rsidRPr="00875027" w:rsidRDefault="00EB778E" w:rsidP="008B6BB9">
            <w:pPr>
              <w:pStyle w:val="BodyText"/>
              <w:rPr>
                <w:rFonts w:eastAsiaTheme="minorHAnsi"/>
                <w:sz w:val="20"/>
                <w:szCs w:val="20"/>
              </w:rPr>
            </w:pPr>
            <w:r>
              <w:rPr>
                <w:sz w:val="20"/>
                <w:szCs w:val="20"/>
              </w:rPr>
              <w:t>Direct Install (Single Family known, or MF)</w:t>
            </w:r>
          </w:p>
        </w:tc>
        <w:tc>
          <w:tcPr>
            <w:tcW w:w="1774" w:type="dxa"/>
            <w:tcMar>
              <w:top w:w="0" w:type="dxa"/>
              <w:left w:w="108" w:type="dxa"/>
              <w:bottom w:w="0" w:type="dxa"/>
              <w:right w:w="108" w:type="dxa"/>
            </w:tcMar>
            <w:hideMark/>
          </w:tcPr>
          <w:p w14:paraId="5201EAF5" w14:textId="5B0F785A" w:rsidR="00EB778E" w:rsidRPr="00875027" w:rsidRDefault="00EB778E" w:rsidP="008B6BB9">
            <w:pPr>
              <w:pStyle w:val="BodyText"/>
              <w:jc w:val="center"/>
              <w:rPr>
                <w:rFonts w:eastAsiaTheme="minorHAnsi"/>
                <w:sz w:val="20"/>
                <w:szCs w:val="20"/>
              </w:rPr>
            </w:pPr>
            <w:r>
              <w:rPr>
                <w:sz w:val="20"/>
                <w:szCs w:val="20"/>
              </w:rPr>
              <w:t>Actual</w:t>
            </w:r>
          </w:p>
        </w:tc>
      </w:tr>
      <w:tr w:rsidR="00EB778E" w:rsidRPr="00A05FC2" w14:paraId="1811BA81" w14:textId="77777777" w:rsidTr="001B259A">
        <w:tc>
          <w:tcPr>
            <w:tcW w:w="3803" w:type="dxa"/>
            <w:tcMar>
              <w:top w:w="0" w:type="dxa"/>
              <w:left w:w="108" w:type="dxa"/>
              <w:bottom w:w="0" w:type="dxa"/>
              <w:right w:w="108" w:type="dxa"/>
            </w:tcMar>
          </w:tcPr>
          <w:p w14:paraId="2E1C77D4" w14:textId="4D09BED5" w:rsidR="00EB778E" w:rsidRDefault="00EB778E" w:rsidP="008B6BB9">
            <w:pPr>
              <w:pStyle w:val="BodyText"/>
              <w:rPr>
                <w:sz w:val="20"/>
                <w:szCs w:val="20"/>
              </w:rPr>
            </w:pPr>
            <w:r>
              <w:rPr>
                <w:sz w:val="20"/>
                <w:szCs w:val="20"/>
              </w:rPr>
              <w:t>Unknown (Single family home only)</w:t>
            </w:r>
          </w:p>
        </w:tc>
        <w:tc>
          <w:tcPr>
            <w:tcW w:w="1774" w:type="dxa"/>
            <w:tcMar>
              <w:top w:w="0" w:type="dxa"/>
              <w:left w:w="108" w:type="dxa"/>
              <w:bottom w:w="0" w:type="dxa"/>
              <w:right w:w="108" w:type="dxa"/>
            </w:tcMar>
          </w:tcPr>
          <w:p w14:paraId="152DC600" w14:textId="77777777" w:rsidR="00EB778E" w:rsidRPr="00875027" w:rsidRDefault="00EB778E" w:rsidP="008B6BB9">
            <w:pPr>
              <w:pStyle w:val="BodyText"/>
              <w:jc w:val="center"/>
              <w:rPr>
                <w:sz w:val="20"/>
                <w:szCs w:val="20"/>
              </w:rPr>
            </w:pPr>
            <w:r>
              <w:rPr>
                <w:sz w:val="20"/>
                <w:szCs w:val="20"/>
              </w:rPr>
              <w:t>33,600</w:t>
            </w:r>
          </w:p>
        </w:tc>
      </w:tr>
    </w:tbl>
    <w:p w14:paraId="6B046B57" w14:textId="77777777" w:rsidR="00E72C3B" w:rsidRDefault="00E72C3B" w:rsidP="00E72C3B">
      <w:pPr>
        <w:tabs>
          <w:tab w:val="left" w:pos="3600"/>
        </w:tabs>
        <w:ind w:left="2880" w:hanging="2160"/>
        <w:rPr>
          <w:rFonts w:cstheme="minorHAnsi"/>
          <w:noProof/>
        </w:rPr>
      </w:pPr>
    </w:p>
    <w:p w14:paraId="7B2CABCB" w14:textId="69F283D1" w:rsidR="00EB778E" w:rsidRDefault="00E72C3B" w:rsidP="00D651A8">
      <w:pPr>
        <w:tabs>
          <w:tab w:val="left" w:pos="3600"/>
        </w:tabs>
        <w:ind w:left="2880" w:hanging="2160"/>
        <w:rPr>
          <w:rFonts w:cstheme="minorHAnsi"/>
          <w:noProof/>
        </w:rPr>
      </w:pPr>
      <w:r>
        <w:rPr>
          <w:rFonts w:cstheme="minorHAnsi"/>
          <w:noProof/>
        </w:rPr>
        <w:t>SEER</w:t>
      </w:r>
      <w:r w:rsidRPr="000B7BB6">
        <w:rPr>
          <w:rFonts w:cstheme="minorHAnsi"/>
          <w:noProof/>
        </w:rPr>
        <w:t xml:space="preserve"> </w:t>
      </w:r>
      <w:r w:rsidRPr="000B7BB6">
        <w:rPr>
          <w:rFonts w:cstheme="minorHAnsi"/>
          <w:noProof/>
        </w:rPr>
        <w:tab/>
        <w:t>=</w:t>
      </w:r>
      <w:r>
        <w:rPr>
          <w:rFonts w:cstheme="minorHAnsi"/>
          <w:noProof/>
        </w:rPr>
        <w:t xml:space="preserve"> </w:t>
      </w:r>
      <w:r w:rsidR="00D651A8">
        <w:rPr>
          <w:rFonts w:cstheme="minorHAnsi"/>
          <w:noProof/>
        </w:rPr>
        <w:t xml:space="preserve"> </w:t>
      </w:r>
      <w:r>
        <w:rPr>
          <w:rFonts w:cstheme="minorHAnsi"/>
          <w:noProof/>
        </w:rPr>
        <w:t xml:space="preserve">the </w:t>
      </w:r>
      <w:r w:rsidR="00D651A8">
        <w:rPr>
          <w:rFonts w:cstheme="minorHAnsi"/>
          <w:noProof/>
        </w:rPr>
        <w:t>cooling equipment’s</w:t>
      </w:r>
      <w:r w:rsidRPr="000B7BB6">
        <w:rPr>
          <w:rFonts w:cstheme="minorHAnsi"/>
          <w:noProof/>
        </w:rPr>
        <w:t xml:space="preserve"> </w:t>
      </w:r>
      <w:r>
        <w:rPr>
          <w:rFonts w:cstheme="minorHAnsi"/>
          <w:noProof/>
        </w:rPr>
        <w:t xml:space="preserve">Seasonal Energy Efficiency </w:t>
      </w:r>
      <w:r w:rsidR="00D651A8">
        <w:rPr>
          <w:rFonts w:cstheme="minorHAnsi"/>
          <w:noProof/>
        </w:rPr>
        <w:t>Ratio r</w:t>
      </w:r>
      <w:r>
        <w:rPr>
          <w:rFonts w:cstheme="minorHAnsi"/>
          <w:noProof/>
        </w:rPr>
        <w:t>ating</w:t>
      </w:r>
      <w:r w:rsidR="00D651A8">
        <w:rPr>
          <w:rFonts w:cstheme="minorHAnsi"/>
          <w:noProof/>
        </w:rPr>
        <w:t xml:space="preserve"> (kBtu/kWh) </w:t>
      </w:r>
    </w:p>
    <w:p w14:paraId="71349538" w14:textId="793F895D" w:rsidR="00D651A8" w:rsidRDefault="00D651A8" w:rsidP="00D651A8">
      <w:pPr>
        <w:tabs>
          <w:tab w:val="left" w:pos="2880"/>
        </w:tabs>
        <w:ind w:left="3060" w:hanging="2340"/>
        <w:rPr>
          <w:rFonts w:cstheme="minorHAnsi"/>
          <w:noProof/>
        </w:rPr>
      </w:pPr>
      <w:r>
        <w:rPr>
          <w:rFonts w:cstheme="minorHAnsi"/>
          <w:noProof/>
        </w:rPr>
        <w:lastRenderedPageBreak/>
        <w:tab/>
        <w:t xml:space="preserve">= </w:t>
      </w:r>
      <w:r w:rsidRPr="000B7BB6">
        <w:rPr>
          <w:rFonts w:cstheme="minorHAnsi"/>
          <w:noProof/>
        </w:rPr>
        <w:t>Use actual SEER rating where it is possible to measure or reasonably estimate.</w:t>
      </w:r>
    </w:p>
    <w:tbl>
      <w:tblPr>
        <w:tblStyle w:val="TableGrid"/>
        <w:tblW w:w="0" w:type="auto"/>
        <w:tblInd w:w="2309" w:type="dxa"/>
        <w:tblLook w:val="04A0" w:firstRow="1" w:lastRow="0" w:firstColumn="1" w:lastColumn="0" w:noHBand="0" w:noVBand="1"/>
      </w:tblPr>
      <w:tblGrid>
        <w:gridCol w:w="3257"/>
        <w:gridCol w:w="2327"/>
      </w:tblGrid>
      <w:tr w:rsidR="00D651A8" w:rsidRPr="00F40C53" w14:paraId="1EC2E70E" w14:textId="77777777" w:rsidTr="00D651A8">
        <w:tc>
          <w:tcPr>
            <w:tcW w:w="3257" w:type="dxa"/>
            <w:shd w:val="clear" w:color="auto" w:fill="7F7F7F" w:themeFill="text1" w:themeFillTint="80"/>
            <w:vAlign w:val="center"/>
          </w:tcPr>
          <w:p w14:paraId="094D7117" w14:textId="190DEB7E" w:rsidR="00D651A8" w:rsidRPr="009C362B" w:rsidRDefault="00D651A8" w:rsidP="002003D0">
            <w:pPr>
              <w:pStyle w:val="TableText"/>
              <w:rPr>
                <w:b/>
                <w:color w:val="FFFFFF" w:themeColor="background1"/>
              </w:rPr>
            </w:pPr>
            <w:r w:rsidRPr="009C362B">
              <w:rPr>
                <w:b/>
                <w:color w:val="FFFFFF" w:themeColor="background1"/>
              </w:rPr>
              <w:t>Cooling System</w:t>
            </w:r>
          </w:p>
        </w:tc>
        <w:tc>
          <w:tcPr>
            <w:tcW w:w="2327" w:type="dxa"/>
            <w:shd w:val="clear" w:color="auto" w:fill="7F7F7F" w:themeFill="text1" w:themeFillTint="80"/>
            <w:vAlign w:val="center"/>
          </w:tcPr>
          <w:p w14:paraId="7AF832D4" w14:textId="27D8662A" w:rsidR="00D651A8" w:rsidRPr="009C362B" w:rsidRDefault="00D651A8" w:rsidP="002003D0">
            <w:pPr>
              <w:pStyle w:val="TableText"/>
              <w:rPr>
                <w:b/>
                <w:color w:val="FFFFFF" w:themeColor="background1"/>
              </w:rPr>
            </w:pPr>
            <w:r>
              <w:rPr>
                <w:b/>
                <w:color w:val="FFFFFF" w:themeColor="background1"/>
              </w:rPr>
              <w:t>SEER</w:t>
            </w:r>
            <w:r w:rsidRPr="009C362B">
              <w:rPr>
                <w:rFonts w:eastAsiaTheme="minorEastAsia"/>
                <w:b/>
                <w:color w:val="FFFFFF" w:themeColor="background1"/>
                <w:vertAlign w:val="superscript"/>
              </w:rPr>
              <w:footnoteReference w:id="24"/>
            </w:r>
          </w:p>
        </w:tc>
      </w:tr>
      <w:tr w:rsidR="00D651A8" w:rsidRPr="000563D8" w14:paraId="1E898198" w14:textId="77777777" w:rsidTr="00D651A8">
        <w:tc>
          <w:tcPr>
            <w:tcW w:w="3257" w:type="dxa"/>
          </w:tcPr>
          <w:p w14:paraId="3626B71D" w14:textId="77777777" w:rsidR="00D651A8" w:rsidRPr="000563D8" w:rsidRDefault="00D651A8" w:rsidP="002003D0">
            <w:pPr>
              <w:pStyle w:val="TableText"/>
              <w:rPr>
                <w:rFonts w:asciiTheme="minorHAnsi" w:hAnsiTheme="minorHAnsi"/>
                <w:szCs w:val="22"/>
              </w:rPr>
            </w:pPr>
            <w:r w:rsidRPr="000563D8">
              <w:t>Air Source Heat Pump</w:t>
            </w:r>
          </w:p>
        </w:tc>
        <w:tc>
          <w:tcPr>
            <w:tcW w:w="2327" w:type="dxa"/>
          </w:tcPr>
          <w:p w14:paraId="064BA1C4" w14:textId="77777777" w:rsidR="00D651A8" w:rsidRPr="000563D8" w:rsidRDefault="00D651A8" w:rsidP="002003D0">
            <w:pPr>
              <w:pStyle w:val="TableText"/>
              <w:rPr>
                <w:rFonts w:asciiTheme="minorHAnsi" w:hAnsiTheme="minorHAnsi"/>
                <w:szCs w:val="22"/>
              </w:rPr>
            </w:pPr>
            <w:r w:rsidRPr="000563D8">
              <w:t>9.12</w:t>
            </w:r>
          </w:p>
        </w:tc>
      </w:tr>
      <w:tr w:rsidR="00D651A8" w:rsidRPr="000563D8" w14:paraId="0F7C13E2" w14:textId="77777777" w:rsidTr="00D651A8">
        <w:tc>
          <w:tcPr>
            <w:tcW w:w="3257" w:type="dxa"/>
          </w:tcPr>
          <w:p w14:paraId="1C3D7033" w14:textId="77777777" w:rsidR="00D651A8" w:rsidRPr="000563D8" w:rsidRDefault="00D651A8" w:rsidP="002003D0">
            <w:pPr>
              <w:pStyle w:val="TableText"/>
              <w:rPr>
                <w:rFonts w:asciiTheme="minorHAnsi" w:hAnsiTheme="minorHAnsi"/>
                <w:szCs w:val="22"/>
              </w:rPr>
            </w:pPr>
            <w:r w:rsidRPr="000563D8">
              <w:t>Central AC</w:t>
            </w:r>
          </w:p>
        </w:tc>
        <w:tc>
          <w:tcPr>
            <w:tcW w:w="2327" w:type="dxa"/>
          </w:tcPr>
          <w:p w14:paraId="7C060F0B" w14:textId="77777777" w:rsidR="00D651A8" w:rsidRPr="000563D8" w:rsidRDefault="00D651A8" w:rsidP="002003D0">
            <w:pPr>
              <w:pStyle w:val="TableText"/>
              <w:rPr>
                <w:rFonts w:asciiTheme="minorHAnsi" w:hAnsiTheme="minorHAnsi"/>
                <w:szCs w:val="22"/>
              </w:rPr>
            </w:pPr>
            <w:r w:rsidRPr="000563D8">
              <w:t>8.60</w:t>
            </w:r>
          </w:p>
        </w:tc>
      </w:tr>
    </w:tbl>
    <w:p w14:paraId="4EFCFDF1" w14:textId="77777777" w:rsidR="00260EAA" w:rsidRDefault="00260EAA" w:rsidP="00260EAA">
      <w:pPr>
        <w:tabs>
          <w:tab w:val="left" w:pos="3600"/>
        </w:tabs>
        <w:ind w:left="2880" w:hanging="2160"/>
        <w:rPr>
          <w:rFonts w:cstheme="minorHAnsi"/>
          <w:noProof/>
        </w:rPr>
      </w:pPr>
    </w:p>
    <w:p w14:paraId="2B073806" w14:textId="2C723AFC" w:rsidR="00260EAA" w:rsidRDefault="00260EAA" w:rsidP="00260EAA">
      <w:pPr>
        <w:tabs>
          <w:tab w:val="left" w:pos="3600"/>
        </w:tabs>
        <w:ind w:left="2880" w:hanging="2160"/>
        <w:rPr>
          <w:rFonts w:cstheme="minorHAnsi"/>
          <w:noProof/>
        </w:rPr>
      </w:pPr>
      <w:r>
        <w:rPr>
          <w:rFonts w:cstheme="minorHAnsi"/>
          <w:noProof/>
        </w:rPr>
        <w:t>1/1000</w:t>
      </w:r>
      <w:r w:rsidRPr="000B7BB6">
        <w:rPr>
          <w:rFonts w:cstheme="minorHAnsi"/>
          <w:noProof/>
        </w:rPr>
        <w:t xml:space="preserve"> </w:t>
      </w:r>
      <w:r w:rsidRPr="000B7BB6">
        <w:rPr>
          <w:rFonts w:cstheme="minorHAnsi"/>
          <w:noProof/>
        </w:rPr>
        <w:tab/>
        <w:t>=</w:t>
      </w:r>
      <w:r>
        <w:rPr>
          <w:rFonts w:cstheme="minorHAnsi"/>
          <w:noProof/>
        </w:rPr>
        <w:t xml:space="preserve">  kBtu per Btu </w:t>
      </w:r>
    </w:p>
    <w:p w14:paraId="354D9F94" w14:textId="77777777" w:rsidR="00260EAA" w:rsidRDefault="00260EAA" w:rsidP="00260EAA">
      <w:pPr>
        <w:tabs>
          <w:tab w:val="left" w:pos="3600"/>
        </w:tabs>
        <w:ind w:left="2880" w:hanging="2160"/>
        <w:rPr>
          <w:rFonts w:cstheme="minorHAnsi"/>
          <w:noProof/>
        </w:rPr>
      </w:pPr>
    </w:p>
    <w:p w14:paraId="7BC78F24" w14:textId="5B77E620" w:rsidR="00EB778E" w:rsidRDefault="00EB778E" w:rsidP="001B259A">
      <w:pPr>
        <w:tabs>
          <w:tab w:val="left" w:pos="3600"/>
        </w:tabs>
        <w:ind w:left="2880" w:hanging="2160"/>
        <w:rPr>
          <w:rFonts w:cstheme="minorHAnsi"/>
          <w:noProof/>
        </w:rPr>
      </w:pPr>
      <w:r>
        <w:rPr>
          <w:rFonts w:cstheme="minorHAnsi"/>
          <w:noProof/>
        </w:rPr>
        <w:t>Cooling</w:t>
      </w:r>
      <w:r w:rsidRPr="000B7BB6">
        <w:rPr>
          <w:rFonts w:cstheme="minorHAnsi"/>
          <w:noProof/>
        </w:rPr>
        <w:t xml:space="preserve">_Reduction </w:t>
      </w:r>
      <w:r w:rsidRPr="000B7BB6">
        <w:rPr>
          <w:rFonts w:cstheme="minorHAnsi"/>
          <w:noProof/>
        </w:rPr>
        <w:tab/>
        <w:t xml:space="preserve">= </w:t>
      </w:r>
      <w:r>
        <w:rPr>
          <w:rFonts w:cstheme="minorHAnsi"/>
          <w:noProof/>
        </w:rPr>
        <w:t>A</w:t>
      </w:r>
      <w:r w:rsidRPr="000B7BB6">
        <w:rPr>
          <w:rFonts w:cstheme="minorHAnsi"/>
          <w:noProof/>
        </w:rPr>
        <w:t xml:space="preserve">ssumed percentage reduction in </w:t>
      </w:r>
      <w:r>
        <w:rPr>
          <w:rFonts w:cstheme="minorHAnsi"/>
          <w:noProof/>
        </w:rPr>
        <w:t>total household cooling</w:t>
      </w:r>
      <w:r w:rsidRPr="000B7BB6">
        <w:rPr>
          <w:rFonts w:cstheme="minorHAnsi"/>
          <w:noProof/>
        </w:rPr>
        <w:t xml:space="preserve"> energy consumption due to </w:t>
      </w:r>
      <w:r>
        <w:rPr>
          <w:rFonts w:cstheme="minorHAnsi"/>
          <w:noProof/>
        </w:rPr>
        <w:t>installation of advanced</w:t>
      </w:r>
      <w:r w:rsidRPr="000B7BB6">
        <w:rPr>
          <w:rFonts w:cstheme="minorHAnsi"/>
          <w:noProof/>
        </w:rPr>
        <w:t xml:space="preserve"> thermostat</w:t>
      </w:r>
    </w:p>
    <w:p w14:paraId="745F26B0" w14:textId="73405697" w:rsidR="00504062" w:rsidRPr="000B7BB6" w:rsidRDefault="00EB778E" w:rsidP="00193D81">
      <w:pPr>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w:t>
      </w:r>
      <w:commentRangeStart w:id="14"/>
      <w:r w:rsidRPr="000B7BB6">
        <w:rPr>
          <w:rFonts w:cstheme="minorHAnsi"/>
          <w:noProof/>
        </w:rPr>
        <w:t xml:space="preserve"> </w:t>
      </w:r>
      <w:r w:rsidRPr="00C445A4">
        <w:rPr>
          <w:rFonts w:cstheme="minorHAnsi"/>
          <w:noProof/>
          <w:highlight w:val="yellow"/>
        </w:rPr>
        <w:t>X.X%</w:t>
      </w:r>
      <w:commentRangeEnd w:id="14"/>
      <w:r w:rsidR="001B259A">
        <w:rPr>
          <w:rStyle w:val="CommentReference"/>
        </w:rPr>
        <w:commentReference w:id="14"/>
      </w:r>
    </w:p>
    <w:p w14:paraId="591CAB2E" w14:textId="77777777" w:rsidR="00FC595C" w:rsidRDefault="00F82E34" w:rsidP="00FC595C">
      <w:pPr>
        <w:tabs>
          <w:tab w:val="left" w:pos="3600"/>
        </w:tabs>
        <w:ind w:left="3780" w:hanging="3780"/>
        <w:rPr>
          <w:rFonts w:cstheme="minorHAnsi"/>
        </w:rPr>
      </w:pPr>
      <w:r>
        <w:rPr>
          <w:rFonts w:cstheme="minorHAnsi"/>
          <w:noProof/>
        </w:rPr>
        <mc:AlternateContent>
          <mc:Choice Requires="wps">
            <w:drawing>
              <wp:inline distT="0" distB="0" distL="0" distR="0" wp14:anchorId="591CAB61" wp14:editId="28D58E74">
                <wp:extent cx="5830570" cy="1794295"/>
                <wp:effectExtent l="0" t="0" r="17780" b="15875"/>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1794295"/>
                        </a:xfrm>
                        <a:prstGeom prst="rect">
                          <a:avLst/>
                        </a:prstGeom>
                        <a:solidFill>
                          <a:srgbClr val="FFFFFF"/>
                        </a:solidFill>
                        <a:ln w="9525">
                          <a:solidFill>
                            <a:srgbClr val="000000"/>
                          </a:solidFill>
                          <a:miter lim="800000"/>
                          <a:headEnd/>
                          <a:tailEnd/>
                        </a:ln>
                      </wps:spPr>
                      <wps:txbx>
                        <w:txbxContent>
                          <w:p w14:paraId="591CAB79" w14:textId="5684FDCD" w:rsidR="00EF7B04" w:rsidRPr="002F2634" w:rsidRDefault="00EF7B04" w:rsidP="00FC595C">
                            <w:pPr>
                              <w:rPr>
                                <w:rFonts w:cstheme="minorHAnsi"/>
                              </w:rPr>
                            </w:pPr>
                            <w:r w:rsidRPr="002F2634">
                              <w:rPr>
                                <w:rFonts w:cstheme="minorHAnsi"/>
                              </w:rPr>
                              <w:t>For example, a programmable thermostat directly installed in an electric resistance heated, single-family home in Springfield</w:t>
                            </w:r>
                            <w:r w:rsidR="00850831">
                              <w:rPr>
                                <w:rFonts w:cstheme="minorHAnsi"/>
                              </w:rPr>
                              <w:t xml:space="preserve"> with </w:t>
                            </w:r>
                            <w:r w:rsidR="00B817FB">
                              <w:rPr>
                                <w:rFonts w:cstheme="minorHAnsi"/>
                              </w:rPr>
                              <w:t xml:space="preserve">advanced thermostat-controlled </w:t>
                            </w:r>
                            <w:r w:rsidR="00850831">
                              <w:rPr>
                                <w:rFonts w:cstheme="minorHAnsi"/>
                              </w:rPr>
                              <w:t>air conditioning</w:t>
                            </w:r>
                            <w:r w:rsidR="004D4192">
                              <w:rPr>
                                <w:rFonts w:cstheme="minorHAnsi"/>
                              </w:rPr>
                              <w:t xml:space="preserve"> of a system of unknown size and seasonal efficiency rating</w:t>
                            </w:r>
                            <w:r w:rsidRPr="002F2634">
                              <w:rPr>
                                <w:rFonts w:cstheme="minorHAnsi"/>
                              </w:rPr>
                              <w:t>:</w:t>
                            </w:r>
                          </w:p>
                          <w:p w14:paraId="29FA7FBE" w14:textId="20667BA2" w:rsidR="00850831" w:rsidRDefault="00EF7B04" w:rsidP="00850831">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00850831">
                              <w:rPr>
                                <w:rFonts w:cstheme="minorHAnsi"/>
                              </w:rPr>
                              <w:t xml:space="preserve">= </w:t>
                            </w:r>
                            <w:r w:rsidR="00850831" w:rsidRPr="000B7BB6">
                              <w:rPr>
                                <w:rFonts w:cstheme="minorHAnsi"/>
                                <w:noProof/>
                              </w:rPr>
                              <w:t>ΔkWh</w:t>
                            </w:r>
                            <w:r w:rsidR="00850831">
                              <w:rPr>
                                <w:rFonts w:cstheme="minorHAnsi"/>
                                <w:noProof/>
                                <w:vertAlign w:val="subscript"/>
                              </w:rPr>
                              <w:t>heating</w:t>
                            </w:r>
                            <w:r w:rsidR="00850831" w:rsidRPr="00C445A4">
                              <w:rPr>
                                <w:rFonts w:cstheme="minorHAnsi"/>
                                <w:noProof/>
                              </w:rPr>
                              <w:t xml:space="preserve"> </w:t>
                            </w:r>
                            <w:r w:rsidR="00850831">
                              <w:rPr>
                                <w:rFonts w:cstheme="minorHAnsi"/>
                                <w:noProof/>
                              </w:rPr>
                              <w:t xml:space="preserve">+ </w:t>
                            </w:r>
                            <w:r w:rsidR="00850831" w:rsidRPr="000B7BB6">
                              <w:rPr>
                                <w:rFonts w:cstheme="minorHAnsi"/>
                                <w:noProof/>
                              </w:rPr>
                              <w:t>ΔkWh</w:t>
                            </w:r>
                            <w:r w:rsidR="00850831" w:rsidRPr="00D55EAB">
                              <w:rPr>
                                <w:rFonts w:cstheme="minorHAnsi"/>
                                <w:noProof/>
                                <w:vertAlign w:val="subscript"/>
                              </w:rPr>
                              <w:t>cool</w:t>
                            </w:r>
                            <w:r w:rsidR="00850831">
                              <w:rPr>
                                <w:rFonts w:cstheme="minorHAnsi"/>
                                <w:noProof/>
                                <w:vertAlign w:val="subscript"/>
                              </w:rPr>
                              <w:t>ing</w:t>
                            </w:r>
                            <w:r w:rsidR="00850831">
                              <w:rPr>
                                <w:rFonts w:cstheme="minorHAnsi"/>
                                <w:noProof/>
                              </w:rPr>
                              <w:t xml:space="preserve"> </w:t>
                            </w:r>
                          </w:p>
                          <w:p w14:paraId="36679937" w14:textId="499AE38E" w:rsidR="00260EAA" w:rsidRPr="004D4192" w:rsidRDefault="00EF7B04" w:rsidP="004D4192">
                            <w:pPr>
                              <w:tabs>
                                <w:tab w:val="left" w:pos="1440"/>
                              </w:tabs>
                              <w:ind w:left="1620" w:hanging="180"/>
                              <w:rPr>
                                <w:rFonts w:cstheme="minorHAnsi"/>
                                <w:szCs w:val="20"/>
                              </w:rPr>
                            </w:pPr>
                            <w:r w:rsidRPr="00354C0F">
                              <w:rPr>
                                <w:rFonts w:cstheme="minorHAnsi"/>
                                <w:highlight w:val="yellow"/>
                              </w:rPr>
                              <w:t>= 1 * 20,</w:t>
                            </w:r>
                            <w:r w:rsidR="00B870D4" w:rsidRPr="00354C0F">
                              <w:rPr>
                                <w:rFonts w:cstheme="minorHAnsi"/>
                                <w:highlight w:val="yellow"/>
                              </w:rPr>
                              <w:t>928</w:t>
                            </w:r>
                            <w:r w:rsidRPr="00354C0F">
                              <w:rPr>
                                <w:rFonts w:cstheme="minorHAnsi"/>
                                <w:highlight w:val="yellow"/>
                              </w:rPr>
                              <w:t xml:space="preserve">* </w:t>
                            </w:r>
                            <w:r w:rsidR="00850831" w:rsidRPr="00354C0F">
                              <w:rPr>
                                <w:rFonts w:cstheme="minorHAnsi"/>
                                <w:highlight w:val="yellow"/>
                              </w:rPr>
                              <w:t>X.X%</w:t>
                            </w:r>
                            <w:r w:rsidRPr="00354C0F">
                              <w:rPr>
                                <w:rFonts w:cstheme="minorHAnsi"/>
                                <w:highlight w:val="yellow"/>
                              </w:rPr>
                              <w:t xml:space="preserve"> * 100% * 100% + (0 * 0.0314 * 29.3)</w:t>
                            </w:r>
                            <w:r w:rsidR="00260EAA" w:rsidRPr="00354C0F">
                              <w:rPr>
                                <w:rFonts w:cstheme="minorHAnsi"/>
                                <w:highlight w:val="yellow"/>
                              </w:rPr>
                              <w:t xml:space="preserve"> + 100%</w:t>
                            </w:r>
                            <w:r w:rsidR="00260EAA" w:rsidRPr="00354C0F">
                              <w:rPr>
                                <w:rFonts w:cstheme="minorHAnsi"/>
                                <w:szCs w:val="20"/>
                                <w:highlight w:val="yellow"/>
                              </w:rPr>
                              <w:t xml:space="preserve"> * ((</w:t>
                            </w:r>
                            <w:r w:rsidR="004D4192">
                              <w:rPr>
                                <w:rFonts w:cstheme="minorHAnsi"/>
                                <w:szCs w:val="20"/>
                                <w:highlight w:val="yellow"/>
                              </w:rPr>
                              <w:t>730</w:t>
                            </w:r>
                            <w:r w:rsidR="00260EAA" w:rsidRPr="00354C0F">
                              <w:rPr>
                                <w:rFonts w:cstheme="minorHAnsi"/>
                                <w:szCs w:val="20"/>
                                <w:highlight w:val="yellow"/>
                              </w:rPr>
                              <w:t xml:space="preserve"> * </w:t>
                            </w:r>
                            <w:r w:rsidR="004D4192">
                              <w:rPr>
                                <w:rFonts w:cstheme="minorHAnsi"/>
                                <w:szCs w:val="20"/>
                                <w:highlight w:val="yellow"/>
                              </w:rPr>
                              <w:t>33,600</w:t>
                            </w:r>
                            <w:r w:rsidR="00260EAA" w:rsidRPr="00354C0F">
                              <w:rPr>
                                <w:rFonts w:cstheme="minorHAnsi"/>
                                <w:szCs w:val="20"/>
                                <w:highlight w:val="yellow"/>
                              </w:rPr>
                              <w:t xml:space="preserve"> * </w:t>
                            </w:r>
                            <w:r w:rsidR="004D4192">
                              <w:rPr>
                                <w:rFonts w:cstheme="minorHAnsi"/>
                                <w:szCs w:val="20"/>
                                <w:highlight w:val="yellow"/>
                              </w:rPr>
                              <w:t>1/9.12</w:t>
                            </w:r>
                            <w:r w:rsidR="00260EAA" w:rsidRPr="00354C0F">
                              <w:rPr>
                                <w:rFonts w:cstheme="minorHAnsi"/>
                                <w:szCs w:val="20"/>
                                <w:highlight w:val="yellow"/>
                              </w:rPr>
                              <w:t xml:space="preserve">)/1000) * </w:t>
                            </w:r>
                            <w:r w:rsidR="004D4192">
                              <w:rPr>
                                <w:rFonts w:cstheme="minorHAnsi"/>
                                <w:szCs w:val="20"/>
                                <w:highlight w:val="yellow"/>
                              </w:rPr>
                              <w:t>X.X%</w:t>
                            </w:r>
                            <w:r w:rsidR="00260EAA" w:rsidRPr="00354C0F">
                              <w:rPr>
                                <w:rFonts w:cstheme="minorHAnsi"/>
                                <w:szCs w:val="20"/>
                                <w:highlight w:val="yellow"/>
                              </w:rPr>
                              <w:t xml:space="preserve"> * </w:t>
                            </w:r>
                            <w:r w:rsidR="004D4192">
                              <w:rPr>
                                <w:rFonts w:cstheme="minorHAnsi"/>
                                <w:szCs w:val="20"/>
                                <w:highlight w:val="yellow"/>
                              </w:rPr>
                              <w:t>100%</w:t>
                            </w:r>
                          </w:p>
                          <w:p w14:paraId="591CAB7B" w14:textId="32E19659" w:rsidR="00EF7B04" w:rsidRPr="002F2634" w:rsidRDefault="00EF7B04" w:rsidP="00FC595C">
                            <w:pPr>
                              <w:ind w:left="1440"/>
                              <w:rPr>
                                <w:rFonts w:cstheme="minorHAnsi"/>
                              </w:rPr>
                            </w:pPr>
                            <w:r w:rsidRPr="002F2634">
                              <w:rPr>
                                <w:rFonts w:cstheme="minorHAnsi"/>
                              </w:rPr>
                              <w:t xml:space="preserve">= </w:t>
                            </w:r>
                            <w:r w:rsidR="00850831">
                              <w:rPr>
                                <w:rFonts w:cstheme="minorHAnsi"/>
                              </w:rPr>
                              <w:t>XXXX</w:t>
                            </w:r>
                            <w:r w:rsidR="00B870D4" w:rsidRPr="002F2634">
                              <w:rPr>
                                <w:rFonts w:cstheme="minorHAnsi"/>
                              </w:rPr>
                              <w:t xml:space="preserve"> </w:t>
                            </w:r>
                            <w:r w:rsidRPr="002F2634">
                              <w:rPr>
                                <w:rFonts w:cstheme="minorHAnsi"/>
                              </w:rPr>
                              <w:t>kWh</w:t>
                            </w:r>
                          </w:p>
                          <w:p w14:paraId="591CAB7C" w14:textId="77777777" w:rsidR="00EF7B04" w:rsidRDefault="00EF7B04" w:rsidP="00FC595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2" o:spid="_x0000_s1026" type="#_x0000_t202" style="width:459.1pt;height:1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">
                <v:textbox>
                  <w:txbxContent>
                    <w:p w14:paraId="591CAB79" w14:textId="5684FDCD" w:rsidR="00EF7B04" w:rsidRPr="002F2634" w:rsidRDefault="00EF7B04" w:rsidP="00FC595C">
                      <w:pPr>
                        <w:rPr>
                          <w:rFonts w:cstheme="minorHAnsi"/>
                        </w:rPr>
                      </w:pPr>
                      <w:r w:rsidRPr="002F2634">
                        <w:rPr>
                          <w:rFonts w:cstheme="minorHAnsi"/>
                        </w:rPr>
                        <w:t>For example, a programmable thermostat directly installed in an electric resistance heated, single-family home in Springfield</w:t>
                      </w:r>
                      <w:r w:rsidR="00850831">
                        <w:rPr>
                          <w:rFonts w:cstheme="minorHAnsi"/>
                        </w:rPr>
                        <w:t xml:space="preserve"> with </w:t>
                      </w:r>
                      <w:r w:rsidR="00B817FB">
                        <w:rPr>
                          <w:rFonts w:cstheme="minorHAnsi"/>
                        </w:rPr>
                        <w:t xml:space="preserve">advanced thermostat-controlled </w:t>
                      </w:r>
                      <w:r w:rsidR="00850831">
                        <w:rPr>
                          <w:rFonts w:cstheme="minorHAnsi"/>
                        </w:rPr>
                        <w:t>air conditioning</w:t>
                      </w:r>
                      <w:r w:rsidR="004D4192">
                        <w:rPr>
                          <w:rFonts w:cstheme="minorHAnsi"/>
                        </w:rPr>
                        <w:t xml:space="preserve"> of a system of unknown size and seasonal efficiency rating</w:t>
                      </w:r>
                      <w:r w:rsidRPr="002F2634">
                        <w:rPr>
                          <w:rFonts w:cstheme="minorHAnsi"/>
                        </w:rPr>
                        <w:t>:</w:t>
                      </w:r>
                    </w:p>
                    <w:p w14:paraId="29FA7FBE" w14:textId="20667BA2" w:rsidR="00850831" w:rsidRDefault="00EF7B04" w:rsidP="00850831">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00850831">
                        <w:rPr>
                          <w:rFonts w:cstheme="minorHAnsi"/>
                        </w:rPr>
                        <w:t xml:space="preserve">= </w:t>
                      </w:r>
                      <w:r w:rsidR="00850831" w:rsidRPr="000B7BB6">
                        <w:rPr>
                          <w:rFonts w:cstheme="minorHAnsi"/>
                          <w:noProof/>
                        </w:rPr>
                        <w:t>ΔkWh</w:t>
                      </w:r>
                      <w:r w:rsidR="00850831">
                        <w:rPr>
                          <w:rFonts w:cstheme="minorHAnsi"/>
                          <w:noProof/>
                          <w:vertAlign w:val="subscript"/>
                        </w:rPr>
                        <w:t>heating</w:t>
                      </w:r>
                      <w:r w:rsidR="00850831" w:rsidRPr="00C445A4">
                        <w:rPr>
                          <w:rFonts w:cstheme="minorHAnsi"/>
                          <w:noProof/>
                        </w:rPr>
                        <w:t xml:space="preserve"> </w:t>
                      </w:r>
                      <w:r w:rsidR="00850831">
                        <w:rPr>
                          <w:rFonts w:cstheme="minorHAnsi"/>
                          <w:noProof/>
                        </w:rPr>
                        <w:t xml:space="preserve">+ </w:t>
                      </w:r>
                      <w:r w:rsidR="00850831" w:rsidRPr="000B7BB6">
                        <w:rPr>
                          <w:rFonts w:cstheme="minorHAnsi"/>
                          <w:noProof/>
                        </w:rPr>
                        <w:t>ΔkWh</w:t>
                      </w:r>
                      <w:r w:rsidR="00850831" w:rsidRPr="00D55EAB">
                        <w:rPr>
                          <w:rFonts w:cstheme="minorHAnsi"/>
                          <w:noProof/>
                          <w:vertAlign w:val="subscript"/>
                        </w:rPr>
                        <w:t>cool</w:t>
                      </w:r>
                      <w:r w:rsidR="00850831">
                        <w:rPr>
                          <w:rFonts w:cstheme="minorHAnsi"/>
                          <w:noProof/>
                          <w:vertAlign w:val="subscript"/>
                        </w:rPr>
                        <w:t>ing</w:t>
                      </w:r>
                      <w:r w:rsidR="00850831">
                        <w:rPr>
                          <w:rFonts w:cstheme="minorHAnsi"/>
                          <w:noProof/>
                        </w:rPr>
                        <w:t xml:space="preserve"> </w:t>
                      </w:r>
                    </w:p>
                    <w:p w14:paraId="36679937" w14:textId="499AE38E" w:rsidR="00260EAA" w:rsidRPr="004D4192" w:rsidRDefault="00EF7B04" w:rsidP="004D4192">
                      <w:pPr>
                        <w:tabs>
                          <w:tab w:val="left" w:pos="1440"/>
                        </w:tabs>
                        <w:ind w:left="1620" w:hanging="180"/>
                        <w:rPr>
                          <w:rFonts w:cstheme="minorHAnsi"/>
                          <w:szCs w:val="20"/>
                        </w:rPr>
                      </w:pPr>
                      <w:r w:rsidRPr="00354C0F">
                        <w:rPr>
                          <w:rFonts w:cstheme="minorHAnsi"/>
                          <w:highlight w:val="yellow"/>
                        </w:rPr>
                        <w:t>= 1 * 20,</w:t>
                      </w:r>
                      <w:r w:rsidR="00B870D4" w:rsidRPr="00354C0F">
                        <w:rPr>
                          <w:rFonts w:cstheme="minorHAnsi"/>
                          <w:highlight w:val="yellow"/>
                        </w:rPr>
                        <w:t>928</w:t>
                      </w:r>
                      <w:r w:rsidRPr="00354C0F">
                        <w:rPr>
                          <w:rFonts w:cstheme="minorHAnsi"/>
                          <w:highlight w:val="yellow"/>
                        </w:rPr>
                        <w:t xml:space="preserve">* </w:t>
                      </w:r>
                      <w:r w:rsidR="00850831" w:rsidRPr="00354C0F">
                        <w:rPr>
                          <w:rFonts w:cstheme="minorHAnsi"/>
                          <w:highlight w:val="yellow"/>
                        </w:rPr>
                        <w:t>X.X%</w:t>
                      </w:r>
                      <w:r w:rsidRPr="00354C0F">
                        <w:rPr>
                          <w:rFonts w:cstheme="minorHAnsi"/>
                          <w:highlight w:val="yellow"/>
                        </w:rPr>
                        <w:t xml:space="preserve"> * 100% * 100% + (0 * 0.0314 * 29.3)</w:t>
                      </w:r>
                      <w:r w:rsidR="00260EAA" w:rsidRPr="00354C0F">
                        <w:rPr>
                          <w:rFonts w:cstheme="minorHAnsi"/>
                          <w:highlight w:val="yellow"/>
                        </w:rPr>
                        <w:t xml:space="preserve"> + 100%</w:t>
                      </w:r>
                      <w:r w:rsidR="00260EAA" w:rsidRPr="00354C0F">
                        <w:rPr>
                          <w:rFonts w:cstheme="minorHAnsi"/>
                          <w:szCs w:val="20"/>
                          <w:highlight w:val="yellow"/>
                        </w:rPr>
                        <w:t xml:space="preserve"> </w:t>
                      </w:r>
                      <w:r w:rsidR="00260EAA" w:rsidRPr="00354C0F">
                        <w:rPr>
                          <w:rFonts w:cstheme="minorHAnsi"/>
                          <w:szCs w:val="20"/>
                          <w:highlight w:val="yellow"/>
                        </w:rPr>
                        <w:t>* ((</w:t>
                      </w:r>
                      <w:r w:rsidR="004D4192">
                        <w:rPr>
                          <w:rFonts w:cstheme="minorHAnsi"/>
                          <w:szCs w:val="20"/>
                          <w:highlight w:val="yellow"/>
                        </w:rPr>
                        <w:t>730</w:t>
                      </w:r>
                      <w:r w:rsidR="00260EAA" w:rsidRPr="00354C0F">
                        <w:rPr>
                          <w:rFonts w:cstheme="minorHAnsi"/>
                          <w:szCs w:val="20"/>
                          <w:highlight w:val="yellow"/>
                        </w:rPr>
                        <w:t xml:space="preserve"> * </w:t>
                      </w:r>
                      <w:r w:rsidR="004D4192">
                        <w:rPr>
                          <w:rFonts w:cstheme="minorHAnsi"/>
                          <w:szCs w:val="20"/>
                          <w:highlight w:val="yellow"/>
                        </w:rPr>
                        <w:t>33,600</w:t>
                      </w:r>
                      <w:r w:rsidR="00260EAA" w:rsidRPr="00354C0F">
                        <w:rPr>
                          <w:rFonts w:cstheme="minorHAnsi"/>
                          <w:szCs w:val="20"/>
                          <w:highlight w:val="yellow"/>
                        </w:rPr>
                        <w:t xml:space="preserve"> * </w:t>
                      </w:r>
                      <w:r w:rsidR="004D4192">
                        <w:rPr>
                          <w:rFonts w:cstheme="minorHAnsi"/>
                          <w:szCs w:val="20"/>
                          <w:highlight w:val="yellow"/>
                        </w:rPr>
                        <w:t>1/9.12</w:t>
                      </w:r>
                      <w:r w:rsidR="00260EAA" w:rsidRPr="00354C0F">
                        <w:rPr>
                          <w:rFonts w:cstheme="minorHAnsi"/>
                          <w:szCs w:val="20"/>
                          <w:highlight w:val="yellow"/>
                        </w:rPr>
                        <w:t xml:space="preserve">)/1000) * </w:t>
                      </w:r>
                      <w:r w:rsidR="004D4192">
                        <w:rPr>
                          <w:rFonts w:cstheme="minorHAnsi"/>
                          <w:szCs w:val="20"/>
                          <w:highlight w:val="yellow"/>
                        </w:rPr>
                        <w:t>X.X%</w:t>
                      </w:r>
                      <w:r w:rsidR="00260EAA" w:rsidRPr="00354C0F">
                        <w:rPr>
                          <w:rFonts w:cstheme="minorHAnsi"/>
                          <w:szCs w:val="20"/>
                          <w:highlight w:val="yellow"/>
                        </w:rPr>
                        <w:t xml:space="preserve"> * </w:t>
                      </w:r>
                      <w:r w:rsidR="004D4192">
                        <w:rPr>
                          <w:rFonts w:cstheme="minorHAnsi"/>
                          <w:szCs w:val="20"/>
                          <w:highlight w:val="yellow"/>
                        </w:rPr>
                        <w:t>100%</w:t>
                      </w:r>
                    </w:p>
                    <w:p w14:paraId="591CAB7B" w14:textId="32E19659" w:rsidR="00EF7B04" w:rsidRPr="002F2634" w:rsidRDefault="00EF7B04" w:rsidP="00FC595C">
                      <w:pPr>
                        <w:ind w:left="1440"/>
                        <w:rPr>
                          <w:rFonts w:cstheme="minorHAnsi"/>
                        </w:rPr>
                      </w:pPr>
                      <w:r w:rsidRPr="002F2634">
                        <w:rPr>
                          <w:rFonts w:cstheme="minorHAnsi"/>
                        </w:rPr>
                        <w:t xml:space="preserve">= </w:t>
                      </w:r>
                      <w:r w:rsidR="00850831">
                        <w:rPr>
                          <w:rFonts w:cstheme="minorHAnsi"/>
                        </w:rPr>
                        <w:t>XXXX</w:t>
                      </w:r>
                      <w:r w:rsidR="00B870D4" w:rsidRPr="002F2634">
                        <w:rPr>
                          <w:rFonts w:cstheme="minorHAnsi"/>
                        </w:rPr>
                        <w:t xml:space="preserve"> </w:t>
                      </w:r>
                      <w:r w:rsidRPr="002F2634">
                        <w:rPr>
                          <w:rFonts w:cstheme="minorHAnsi"/>
                        </w:rPr>
                        <w:t>kWh</w:t>
                      </w:r>
                    </w:p>
                    <w:p w14:paraId="591CAB7C" w14:textId="77777777" w:rsidR="00EF7B04" w:rsidRDefault="00EF7B04" w:rsidP="00FC595C"/>
                  </w:txbxContent>
                </v:textbox>
                <w10:anchorlock/>
              </v:shape>
            </w:pict>
          </mc:Fallback>
        </mc:AlternateContent>
      </w:r>
      <w:r w:rsidR="00FC595C" w:rsidRPr="00B41203">
        <w:rPr>
          <w:rFonts w:cstheme="minorHAnsi"/>
          <w:noProof/>
        </w:rPr>
        <w:tab/>
      </w:r>
    </w:p>
    <w:p w14:paraId="591CAB2F" w14:textId="77777777" w:rsidR="00FC595C" w:rsidRPr="000B7BB6" w:rsidRDefault="00FC595C" w:rsidP="001A72F0">
      <w:pPr>
        <w:pStyle w:val="Heading6"/>
      </w:pPr>
      <w:r w:rsidRPr="000B7BB6">
        <w:t>Summer Coincident Peak Demand Savings</w:t>
      </w:r>
    </w:p>
    <w:p w14:paraId="2A771F69" w14:textId="45ED2117" w:rsidR="00B817FB" w:rsidRDefault="00B817FB" w:rsidP="00B817FB">
      <w:pPr>
        <w:ind w:left="1440" w:hanging="720"/>
        <w:rPr>
          <w:rFonts w:cstheme="minorHAnsi"/>
          <w:noProof/>
          <w:lang w:val="nl-NL"/>
        </w:rPr>
      </w:pPr>
      <w:r w:rsidRPr="000563D8">
        <w:rPr>
          <w:rFonts w:cstheme="minorHAnsi"/>
          <w:noProof/>
        </w:rPr>
        <w:t>Δ</w:t>
      </w:r>
      <w:r w:rsidRPr="000563D8">
        <w:rPr>
          <w:rFonts w:cstheme="minorHAnsi"/>
          <w:noProof/>
          <w:lang w:val="nl-NL"/>
        </w:rPr>
        <w:t xml:space="preserve">kW </w:t>
      </w:r>
      <w:r w:rsidRPr="000563D8">
        <w:rPr>
          <w:rFonts w:cstheme="minorHAnsi"/>
          <w:noProof/>
          <w:lang w:val="nl-NL"/>
        </w:rPr>
        <w:tab/>
        <w:t>= (</w:t>
      </w:r>
      <w:r w:rsidR="002570DF">
        <w:rPr>
          <w:rFonts w:cstheme="minorHAnsi"/>
          <w:noProof/>
        </w:rPr>
        <w:t>Cooling</w:t>
      </w:r>
      <w:r w:rsidR="002570DF" w:rsidRPr="000B7BB6">
        <w:rPr>
          <w:rFonts w:cstheme="minorHAnsi"/>
          <w:noProof/>
        </w:rPr>
        <w:t xml:space="preserve">_Reduction </w:t>
      </w:r>
      <w:r w:rsidR="002570DF">
        <w:rPr>
          <w:rFonts w:cstheme="minorHAnsi"/>
          <w:noProof/>
        </w:rPr>
        <w:t xml:space="preserve">* </w:t>
      </w:r>
      <w:r>
        <w:rPr>
          <w:rFonts w:cstheme="minorHAnsi"/>
          <w:noProof/>
        </w:rPr>
        <w:t>Btu/hr</w:t>
      </w:r>
      <w:r w:rsidRPr="000563D8">
        <w:rPr>
          <w:rFonts w:cstheme="minorHAnsi"/>
          <w:noProof/>
        </w:rPr>
        <w:t xml:space="preserve"> </w:t>
      </w:r>
      <w:r>
        <w:rPr>
          <w:rFonts w:cstheme="minorHAnsi"/>
          <w:noProof/>
          <w:lang w:val="nl-NL"/>
        </w:rPr>
        <w:t>* (1/EER</w:t>
      </w:r>
      <w:r w:rsidRPr="000563D8">
        <w:rPr>
          <w:rFonts w:cstheme="minorHAnsi"/>
          <w:noProof/>
          <w:lang w:val="nl-NL"/>
        </w:rPr>
        <w:t>))/1000 * CF</w:t>
      </w:r>
    </w:p>
    <w:p w14:paraId="22014263" w14:textId="77777777" w:rsidR="00B817FB" w:rsidRDefault="00B817FB" w:rsidP="00B817FB">
      <w:pPr>
        <w:rPr>
          <w:rFonts w:cstheme="minorHAnsi"/>
          <w:noProof/>
          <w:lang w:val="nl-NL"/>
        </w:rPr>
      </w:pPr>
      <w:r>
        <w:rPr>
          <w:rFonts w:cstheme="minorHAnsi"/>
          <w:noProof/>
          <w:lang w:val="nl-NL"/>
        </w:rPr>
        <w:t>Where:</w:t>
      </w:r>
    </w:p>
    <w:p w14:paraId="39EBD190" w14:textId="7A218B27" w:rsidR="004D4192" w:rsidRPr="000B7BB6" w:rsidRDefault="004D4192" w:rsidP="004D4192">
      <w:pPr>
        <w:ind w:left="720"/>
        <w:rPr>
          <w:rFonts w:cstheme="minorHAnsi"/>
          <w:noProof/>
          <w:lang w:val="nl-NL"/>
        </w:rPr>
      </w:pPr>
      <w:r>
        <w:rPr>
          <w:rFonts w:cstheme="minorHAnsi"/>
          <w:noProof/>
          <w:lang w:val="nl-NL"/>
        </w:rPr>
        <w:t>EER</w:t>
      </w:r>
      <w:r>
        <w:rPr>
          <w:rFonts w:cstheme="minorHAnsi"/>
          <w:noProof/>
          <w:lang w:val="nl-NL"/>
        </w:rPr>
        <w:tab/>
      </w:r>
      <w:r w:rsidRPr="000B7BB6">
        <w:rPr>
          <w:rFonts w:cstheme="minorHAnsi"/>
          <w:noProof/>
          <w:lang w:val="nl-NL"/>
        </w:rPr>
        <w:tab/>
        <w:t xml:space="preserve">= Energy Efficiency Ratio of </w:t>
      </w:r>
      <w:r>
        <w:rPr>
          <w:rFonts w:cstheme="minorHAnsi"/>
          <w:noProof/>
          <w:lang w:val="nl-NL"/>
        </w:rPr>
        <w:t>existing</w:t>
      </w:r>
      <w:r w:rsidRPr="000B7BB6">
        <w:rPr>
          <w:rFonts w:cstheme="minorHAnsi"/>
          <w:noProof/>
          <w:lang w:val="nl-NL"/>
        </w:rPr>
        <w:t xml:space="preserve"> </w:t>
      </w:r>
      <w:r>
        <w:rPr>
          <w:rFonts w:cstheme="minorHAnsi"/>
          <w:noProof/>
          <w:lang w:val="nl-NL"/>
        </w:rPr>
        <w:t>cooling system</w:t>
      </w:r>
      <w:r w:rsidRPr="000B7BB6">
        <w:rPr>
          <w:rFonts w:cstheme="minorHAnsi"/>
          <w:noProof/>
          <w:lang w:val="nl-NL"/>
        </w:rPr>
        <w:t xml:space="preserve"> (k</w:t>
      </w:r>
      <w:r>
        <w:rPr>
          <w:rFonts w:cstheme="minorHAnsi"/>
          <w:noProof/>
          <w:lang w:val="nl-NL"/>
        </w:rPr>
        <w:t>Btu/hr</w:t>
      </w:r>
      <w:r w:rsidRPr="000B7BB6">
        <w:rPr>
          <w:rFonts w:cstheme="minorHAnsi"/>
          <w:noProof/>
          <w:lang w:val="nl-NL"/>
        </w:rPr>
        <w:t xml:space="preserve"> / kW)</w:t>
      </w:r>
    </w:p>
    <w:p w14:paraId="26D3596E" w14:textId="34B69F47" w:rsidR="004D4192" w:rsidRDefault="004D4192" w:rsidP="004D4192">
      <w:pPr>
        <w:tabs>
          <w:tab w:val="left" w:pos="2880"/>
        </w:tabs>
        <w:ind w:left="3060" w:hanging="900"/>
        <w:rPr>
          <w:rFonts w:cstheme="minorHAnsi"/>
          <w:noProof/>
        </w:rPr>
      </w:pPr>
      <w:r>
        <w:rPr>
          <w:rFonts w:cstheme="minorHAnsi"/>
          <w:noProof/>
        </w:rPr>
        <w:tab/>
        <w:t xml:space="preserve">= Use actual </w:t>
      </w:r>
      <w:r w:rsidRPr="000B7BB6">
        <w:rPr>
          <w:rFonts w:cstheme="minorHAnsi"/>
          <w:noProof/>
        </w:rPr>
        <w:t>EER rating where it is possible to measure or reasonably estimate.</w:t>
      </w:r>
      <w:r>
        <w:rPr>
          <w:rFonts w:cstheme="minorHAnsi"/>
          <w:noProof/>
        </w:rPr>
        <w:t xml:space="preserve"> If EER unknown but SEER available convert using the equation:</w:t>
      </w:r>
    </w:p>
    <w:p w14:paraId="151A9BD1" w14:textId="7920ED3D" w:rsidR="004D4192" w:rsidRDefault="004D4192" w:rsidP="004D4192">
      <w:pPr>
        <w:ind w:left="3060"/>
      </w:pPr>
      <w:r>
        <w:t xml:space="preserve">EER = </w:t>
      </w:r>
      <w:r w:rsidRPr="00287BA4">
        <w:t>(-0.02 * SEER</w:t>
      </w:r>
      <w:r>
        <w:t>_exist</w:t>
      </w:r>
      <w:r w:rsidRPr="00AE7545">
        <w:rPr>
          <w:vertAlign w:val="superscript"/>
        </w:rPr>
        <w:t>2</w:t>
      </w:r>
      <w:r w:rsidRPr="00287BA4">
        <w:t xml:space="preserve">) + (1.12 * </w:t>
      </w:r>
      <w:proofErr w:type="spellStart"/>
      <w:r w:rsidRPr="00287BA4">
        <w:t>SEER</w:t>
      </w:r>
      <w:r>
        <w:t>_exist</w:t>
      </w:r>
      <w:proofErr w:type="spellEnd"/>
      <w:r w:rsidRPr="00287BA4">
        <w:t>)</w:t>
      </w:r>
      <w:r>
        <w:t xml:space="preserve">  </w:t>
      </w:r>
      <w:r>
        <w:rPr>
          <w:rStyle w:val="FootnoteReference"/>
          <w:rFonts w:eastAsiaTheme="minorEastAsia"/>
        </w:rPr>
        <w:footnoteReference w:id="25"/>
      </w:r>
      <w:r w:rsidRPr="00287BA4">
        <w:t xml:space="preserve"> </w:t>
      </w:r>
    </w:p>
    <w:p w14:paraId="38D86603" w14:textId="77777777" w:rsidR="004D4192" w:rsidRDefault="004D4192" w:rsidP="004D4192">
      <w:pPr>
        <w:ind w:left="3060"/>
        <w:rPr>
          <w:rFonts w:cstheme="minorHAnsi"/>
          <w:noProof/>
        </w:rPr>
      </w:pPr>
      <w:r>
        <w:t>If SEER or EER rating unavailable use:</w:t>
      </w:r>
    </w:p>
    <w:tbl>
      <w:tblPr>
        <w:tblStyle w:val="TableGrid"/>
        <w:tblW w:w="0" w:type="auto"/>
        <w:tblInd w:w="3335" w:type="dxa"/>
        <w:tblLook w:val="04A0" w:firstRow="1" w:lastRow="0" w:firstColumn="1" w:lastColumn="0" w:noHBand="0" w:noVBand="1"/>
      </w:tblPr>
      <w:tblGrid>
        <w:gridCol w:w="3262"/>
        <w:gridCol w:w="2327"/>
      </w:tblGrid>
      <w:tr w:rsidR="004D4192" w:rsidRPr="000563D8" w14:paraId="6049F943" w14:textId="77777777" w:rsidTr="003908C4">
        <w:trPr>
          <w:tblHeader/>
        </w:trPr>
        <w:tc>
          <w:tcPr>
            <w:tcW w:w="3262" w:type="dxa"/>
            <w:shd w:val="clear" w:color="auto" w:fill="7F7F7F" w:themeFill="text1" w:themeFillTint="80"/>
            <w:vAlign w:val="center"/>
          </w:tcPr>
          <w:p w14:paraId="60CE46B2" w14:textId="589534F6" w:rsidR="004D4192" w:rsidRPr="000563D8" w:rsidRDefault="004D4192" w:rsidP="002003D0">
            <w:pPr>
              <w:jc w:val="center"/>
              <w:rPr>
                <w:rFonts w:asciiTheme="minorHAnsi" w:hAnsiTheme="minorHAnsi"/>
                <w:b/>
                <w:color w:val="FFFFFF" w:themeColor="background1"/>
              </w:rPr>
            </w:pPr>
            <w:r w:rsidRPr="000563D8">
              <w:rPr>
                <w:rFonts w:asciiTheme="minorHAnsi" w:hAnsiTheme="minorHAnsi"/>
                <w:b/>
                <w:color w:val="FFFFFF" w:themeColor="background1"/>
              </w:rPr>
              <w:t>Cooling System</w:t>
            </w:r>
          </w:p>
        </w:tc>
        <w:tc>
          <w:tcPr>
            <w:tcW w:w="2327" w:type="dxa"/>
            <w:shd w:val="clear" w:color="auto" w:fill="7F7F7F" w:themeFill="text1" w:themeFillTint="80"/>
            <w:vAlign w:val="center"/>
          </w:tcPr>
          <w:p w14:paraId="647B110D" w14:textId="67271058" w:rsidR="004D4192" w:rsidRPr="000563D8" w:rsidRDefault="004D4192" w:rsidP="002003D0">
            <w:pPr>
              <w:jc w:val="center"/>
              <w:rPr>
                <w:rFonts w:asciiTheme="minorHAnsi" w:hAnsiTheme="minorHAnsi"/>
                <w:b/>
                <w:color w:val="FFFFFF" w:themeColor="background1"/>
              </w:rPr>
            </w:pPr>
            <w:r>
              <w:rPr>
                <w:rFonts w:asciiTheme="minorHAnsi" w:hAnsiTheme="minorHAnsi"/>
                <w:b/>
                <w:color w:val="FFFFFF" w:themeColor="background1"/>
              </w:rPr>
              <w:t>EER</w:t>
            </w:r>
            <w:r w:rsidRPr="009C362B">
              <w:rPr>
                <w:rFonts w:eastAsiaTheme="minorEastAsia"/>
                <w:b/>
                <w:color w:val="FFFFFF" w:themeColor="background1"/>
                <w:vertAlign w:val="superscript"/>
              </w:rPr>
              <w:footnoteReference w:id="26"/>
            </w:r>
          </w:p>
        </w:tc>
      </w:tr>
      <w:tr w:rsidR="004D4192" w:rsidRPr="000563D8" w14:paraId="67165A99" w14:textId="77777777" w:rsidTr="004D4192">
        <w:tc>
          <w:tcPr>
            <w:tcW w:w="3262" w:type="dxa"/>
          </w:tcPr>
          <w:p w14:paraId="10EC5B81" w14:textId="77777777" w:rsidR="004D4192" w:rsidRPr="000563D8" w:rsidRDefault="004D4192" w:rsidP="002003D0">
            <w:pPr>
              <w:rPr>
                <w:rFonts w:asciiTheme="minorHAnsi" w:hAnsiTheme="minorHAnsi"/>
              </w:rPr>
            </w:pPr>
            <w:r w:rsidRPr="000563D8">
              <w:rPr>
                <w:rFonts w:asciiTheme="minorHAnsi" w:hAnsiTheme="minorHAnsi"/>
              </w:rPr>
              <w:lastRenderedPageBreak/>
              <w:t>Air Source Heat Pump</w:t>
            </w:r>
          </w:p>
        </w:tc>
        <w:tc>
          <w:tcPr>
            <w:tcW w:w="2327" w:type="dxa"/>
          </w:tcPr>
          <w:p w14:paraId="567F275F" w14:textId="77777777" w:rsidR="004D4192" w:rsidRPr="000563D8" w:rsidRDefault="004D4192" w:rsidP="002003D0">
            <w:pPr>
              <w:jc w:val="center"/>
              <w:rPr>
                <w:rFonts w:asciiTheme="minorHAnsi" w:hAnsiTheme="minorHAnsi"/>
                <w:szCs w:val="22"/>
              </w:rPr>
            </w:pPr>
            <w:r w:rsidRPr="000563D8">
              <w:rPr>
                <w:rFonts w:asciiTheme="minorHAnsi" w:hAnsiTheme="minorHAnsi"/>
              </w:rPr>
              <w:t>8.55</w:t>
            </w:r>
          </w:p>
        </w:tc>
      </w:tr>
      <w:tr w:rsidR="004D4192" w:rsidRPr="000563D8" w14:paraId="294E66B1" w14:textId="77777777" w:rsidTr="004D4192">
        <w:tc>
          <w:tcPr>
            <w:tcW w:w="3262" w:type="dxa"/>
          </w:tcPr>
          <w:p w14:paraId="5F9E9FC8" w14:textId="77777777" w:rsidR="004D4192" w:rsidRPr="000563D8" w:rsidRDefault="004D4192" w:rsidP="002003D0">
            <w:pPr>
              <w:rPr>
                <w:rFonts w:asciiTheme="minorHAnsi" w:hAnsiTheme="minorHAnsi"/>
              </w:rPr>
            </w:pPr>
            <w:r w:rsidRPr="000563D8">
              <w:rPr>
                <w:rFonts w:asciiTheme="minorHAnsi" w:hAnsiTheme="minorHAnsi"/>
              </w:rPr>
              <w:t>Central AC</w:t>
            </w:r>
          </w:p>
        </w:tc>
        <w:tc>
          <w:tcPr>
            <w:tcW w:w="2327" w:type="dxa"/>
          </w:tcPr>
          <w:p w14:paraId="6364B3B1" w14:textId="77777777" w:rsidR="004D4192" w:rsidRPr="000563D8" w:rsidRDefault="004D4192" w:rsidP="002003D0">
            <w:pPr>
              <w:jc w:val="center"/>
              <w:rPr>
                <w:rFonts w:asciiTheme="minorHAnsi" w:hAnsiTheme="minorHAnsi"/>
                <w:szCs w:val="22"/>
              </w:rPr>
            </w:pPr>
            <w:r w:rsidRPr="000563D8">
              <w:rPr>
                <w:rFonts w:asciiTheme="minorHAnsi" w:hAnsiTheme="minorHAnsi"/>
              </w:rPr>
              <w:t>8.15</w:t>
            </w:r>
          </w:p>
        </w:tc>
      </w:tr>
    </w:tbl>
    <w:p w14:paraId="1390F2E1" w14:textId="77777777" w:rsidR="004D4192" w:rsidRDefault="004D4192" w:rsidP="004D4192">
      <w:pPr>
        <w:ind w:left="1440"/>
        <w:rPr>
          <w:rFonts w:cstheme="minorHAnsi"/>
          <w:noProof/>
          <w:lang w:val="nl-NL"/>
        </w:rPr>
      </w:pPr>
    </w:p>
    <w:p w14:paraId="52A499BB" w14:textId="6F1DB235" w:rsidR="00B817FB" w:rsidRDefault="00B817FB" w:rsidP="004D4192">
      <w:pPr>
        <w:tabs>
          <w:tab w:val="left" w:pos="3600"/>
        </w:tabs>
        <w:contextualSpacing/>
        <w:rPr>
          <w:rFonts w:cstheme="minorHAnsi"/>
          <w:szCs w:val="20"/>
        </w:rPr>
      </w:pPr>
    </w:p>
    <w:p w14:paraId="37F26F5E" w14:textId="1B3B0824" w:rsidR="002570DF" w:rsidRPr="000563D8" w:rsidRDefault="002570DF" w:rsidP="004D4192">
      <w:pPr>
        <w:tabs>
          <w:tab w:val="left" w:pos="2880"/>
        </w:tabs>
        <w:ind w:left="3060" w:hanging="1620"/>
        <w:contextualSpacing/>
        <w:rPr>
          <w:rFonts w:cstheme="minorHAnsi"/>
        </w:rPr>
      </w:pPr>
      <w:r w:rsidRPr="000563D8">
        <w:rPr>
          <w:rFonts w:cstheme="minorHAnsi"/>
        </w:rPr>
        <w:t>CF</w:t>
      </w:r>
      <w:r w:rsidRPr="000563D8">
        <w:rPr>
          <w:rFonts w:cstheme="minorHAnsi"/>
          <w:vertAlign w:val="subscript"/>
        </w:rPr>
        <w:t>SSP</w:t>
      </w:r>
      <w:r w:rsidR="004D4192">
        <w:rPr>
          <w:rFonts w:cstheme="minorHAnsi"/>
        </w:rPr>
        <w:t xml:space="preserve"> </w:t>
      </w:r>
      <w:r w:rsidR="004D4192">
        <w:rPr>
          <w:rFonts w:cstheme="minorHAnsi"/>
        </w:rPr>
        <w:tab/>
      </w:r>
      <w:r w:rsidRPr="000563D8">
        <w:rPr>
          <w:rFonts w:cstheme="minorHAnsi"/>
        </w:rPr>
        <w:t>= Summer System Peak Coincidence Factor for Central A/C (during system peak hour)</w:t>
      </w:r>
    </w:p>
    <w:p w14:paraId="6AA74442" w14:textId="77777777" w:rsidR="002570DF" w:rsidRPr="000563D8" w:rsidRDefault="002570DF" w:rsidP="004D4192">
      <w:pPr>
        <w:ind w:left="2880" w:hanging="1440"/>
        <w:rPr>
          <w:rFonts w:cstheme="minorHAnsi"/>
        </w:rPr>
      </w:pPr>
      <w:r w:rsidRPr="000563D8">
        <w:rPr>
          <w:rFonts w:cstheme="minorHAnsi"/>
        </w:rPr>
        <w:tab/>
        <w:t>= 68%</w:t>
      </w:r>
      <w:r w:rsidRPr="000563D8">
        <w:rPr>
          <w:rFonts w:ascii="Arial" w:hAnsi="Arial" w:cstheme="minorHAnsi"/>
          <w:vertAlign w:val="superscript"/>
        </w:rPr>
        <w:footnoteReference w:id="27"/>
      </w:r>
    </w:p>
    <w:p w14:paraId="2DF29363" w14:textId="77777777" w:rsidR="002570DF" w:rsidRPr="000563D8" w:rsidRDefault="002570DF" w:rsidP="004D4192">
      <w:pPr>
        <w:tabs>
          <w:tab w:val="left" w:pos="2880"/>
        </w:tabs>
        <w:ind w:left="3060" w:hanging="1620"/>
        <w:contextualSpacing/>
        <w:rPr>
          <w:rFonts w:cstheme="minorHAnsi"/>
        </w:rPr>
      </w:pPr>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p>
    <w:p w14:paraId="4E0CF6A9" w14:textId="42B41D8E" w:rsidR="002570DF" w:rsidRDefault="004D4192" w:rsidP="004D4192">
      <w:pPr>
        <w:tabs>
          <w:tab w:val="left" w:pos="2880"/>
        </w:tabs>
        <w:ind w:left="3060" w:hanging="900"/>
        <w:rPr>
          <w:rFonts w:cstheme="minorHAnsi"/>
        </w:rPr>
      </w:pPr>
      <w:r>
        <w:rPr>
          <w:rFonts w:cstheme="minorHAnsi"/>
        </w:rPr>
        <w:tab/>
      </w:r>
      <w:r w:rsidR="002570DF" w:rsidRPr="000563D8">
        <w:rPr>
          <w:rFonts w:cstheme="minorHAnsi"/>
        </w:rPr>
        <w:t>= 46.6%</w:t>
      </w:r>
      <w:r w:rsidR="002570DF" w:rsidRPr="000563D8">
        <w:rPr>
          <w:rFonts w:ascii="Arial" w:hAnsi="Arial" w:cstheme="minorHAnsi"/>
          <w:vertAlign w:val="superscript"/>
        </w:rPr>
        <w:footnoteReference w:id="28"/>
      </w:r>
    </w:p>
    <w:p w14:paraId="2436E10B" w14:textId="77777777" w:rsidR="00B817FB" w:rsidRPr="000563D8" w:rsidRDefault="00B817FB" w:rsidP="00B817FB">
      <w:pPr>
        <w:ind w:left="1440" w:hanging="720"/>
        <w:rPr>
          <w:rFonts w:cstheme="minorHAnsi"/>
          <w:noProof/>
          <w:lang w:val="nl-NL"/>
        </w:rPr>
      </w:pPr>
    </w:p>
    <w:p w14:paraId="591CAB31" w14:textId="77777777" w:rsidR="00FC595C" w:rsidRPr="000B7BB6" w:rsidRDefault="00FC595C" w:rsidP="001A72F0">
      <w:pPr>
        <w:pStyle w:val="Heading6"/>
      </w:pPr>
      <w:r>
        <w:t>Natural Gas</w:t>
      </w:r>
      <w:r w:rsidRPr="000B7BB6">
        <w:t xml:space="preserve"> Energy Savings</w:t>
      </w:r>
    </w:p>
    <w:p w14:paraId="591CAB32" w14:textId="77777777" w:rsidR="00FC595C" w:rsidRPr="000B7BB6" w:rsidRDefault="00FC595C" w:rsidP="003908C4">
      <w:pPr>
        <w:ind w:left="1440"/>
        <w:rPr>
          <w:rFonts w:cstheme="minorHAnsi"/>
          <w:noProof/>
        </w:rPr>
      </w:pPr>
      <w:bookmarkStart w:id="15" w:name="_GoBack"/>
      <w:bookmarkEnd w:id="15"/>
      <w:r>
        <w:rPr>
          <w:rFonts w:cstheme="minorHAnsi"/>
          <w:noProof/>
        </w:rPr>
        <w:t>∆</w:t>
      </w:r>
      <w:r w:rsidRPr="00B41203">
        <w:rPr>
          <w:rFonts w:cstheme="minorHAnsi"/>
          <w:noProof/>
        </w:rPr>
        <w:t xml:space="preserve">Therms  = </w:t>
      </w:r>
      <w:r w:rsidRPr="000B7BB6">
        <w:rPr>
          <w:rFonts w:cstheme="minorHAnsi"/>
          <w:szCs w:val="20"/>
        </w:rPr>
        <w:t>%</w:t>
      </w:r>
      <w:proofErr w:type="spellStart"/>
      <w:r w:rsidRPr="000B7BB6">
        <w:rPr>
          <w:rFonts w:cstheme="minorHAnsi"/>
          <w:szCs w:val="20"/>
        </w:rPr>
        <w:t>FossilHeat</w:t>
      </w:r>
      <w:proofErr w:type="spellEnd"/>
      <w:r w:rsidRPr="00B41203">
        <w:rPr>
          <w:rFonts w:cstheme="minorHAnsi"/>
          <w:noProof/>
        </w:rPr>
        <w:t xml:space="preserve"> * Gas_Heating_Consumption * Heating_Reduction * HF * Eff_ISR</w:t>
      </w:r>
    </w:p>
    <w:p w14:paraId="591CAB33" w14:textId="77777777" w:rsidR="00FC595C" w:rsidRPr="000B7BB6" w:rsidRDefault="00FC595C" w:rsidP="004D4192">
      <w:pPr>
        <w:ind w:left="720" w:hanging="720"/>
        <w:rPr>
          <w:rFonts w:cstheme="minorHAnsi"/>
          <w:noProof/>
          <w:lang w:val="nl-NL"/>
        </w:rPr>
      </w:pPr>
      <w:r w:rsidRPr="000B7BB6">
        <w:rPr>
          <w:rFonts w:cstheme="minorHAnsi"/>
          <w:noProof/>
          <w:lang w:val="nl-NL"/>
        </w:rPr>
        <w:t>Where:</w:t>
      </w:r>
    </w:p>
    <w:p w14:paraId="591CAB34" w14:textId="77777777" w:rsidR="00FC595C" w:rsidRPr="000B7BB6" w:rsidRDefault="00FC595C" w:rsidP="004D4192">
      <w:pPr>
        <w:ind w:left="2160" w:hanging="1440"/>
        <w:jc w:val="left"/>
        <w:rPr>
          <w:rFonts w:cstheme="minorHAnsi"/>
          <w:szCs w:val="20"/>
        </w:rPr>
      </w:pPr>
      <w:r w:rsidRPr="000B7BB6">
        <w:rPr>
          <w:rFonts w:cstheme="minorHAnsi"/>
          <w:szCs w:val="20"/>
        </w:rPr>
        <w:t>%</w:t>
      </w:r>
      <w:proofErr w:type="spellStart"/>
      <w:r w:rsidRPr="000B7BB6">
        <w:rPr>
          <w:rFonts w:cstheme="minorHAnsi"/>
          <w:szCs w:val="20"/>
        </w:rPr>
        <w:t>FossilHeat</w:t>
      </w:r>
      <w:proofErr w:type="spellEnd"/>
      <w:r>
        <w:rPr>
          <w:rFonts w:cstheme="minorHAnsi"/>
          <w:szCs w:val="20"/>
        </w:rPr>
        <w:tab/>
      </w:r>
      <w:r w:rsidRPr="000B7BB6">
        <w:rPr>
          <w:rFonts w:cstheme="minorHAnsi"/>
          <w:szCs w:val="20"/>
        </w:rPr>
        <w:t xml:space="preserve"> = Percentage of heating savings assumed to be </w:t>
      </w:r>
      <w:r>
        <w:rPr>
          <w:rFonts w:cstheme="minorHAnsi"/>
          <w:szCs w:val="20"/>
        </w:rPr>
        <w:t>Natural Gas</w:t>
      </w:r>
    </w:p>
    <w:tbl>
      <w:tblPr>
        <w:tblW w:w="0" w:type="auto"/>
        <w:jc w:val="center"/>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B37" w14:textId="77777777" w:rsidTr="004D77A7">
        <w:trPr>
          <w:jc w:val="center"/>
        </w:trPr>
        <w:tc>
          <w:tcPr>
            <w:tcW w:w="2430" w:type="dxa"/>
            <w:shd w:val="clear" w:color="auto" w:fill="7F7F7F" w:themeFill="text1" w:themeFillTint="80"/>
            <w:tcMar>
              <w:top w:w="0" w:type="dxa"/>
              <w:left w:w="108" w:type="dxa"/>
              <w:bottom w:w="0" w:type="dxa"/>
              <w:right w:w="108" w:type="dxa"/>
            </w:tcMar>
            <w:hideMark/>
          </w:tcPr>
          <w:p w14:paraId="591CAB35" w14:textId="77777777" w:rsidR="00FC595C" w:rsidRPr="000B7BB6" w:rsidRDefault="00FC595C" w:rsidP="00036C0B">
            <w:pPr>
              <w:spacing w:after="100" w:afterAutospacing="1"/>
              <w:jc w:val="center"/>
              <w:rPr>
                <w:rFonts w:cstheme="minorHAnsi"/>
                <w:b/>
                <w:color w:val="FFFFFF" w:themeColor="background1"/>
                <w:szCs w:val="20"/>
              </w:rPr>
            </w:pPr>
            <w:r w:rsidRPr="000B7BB6">
              <w:rPr>
                <w:rFonts w:cstheme="minorHAnsi"/>
                <w:b/>
                <w:color w:val="FFFFFF" w:themeColor="background1"/>
                <w:szCs w:val="20"/>
              </w:rPr>
              <w:t>Heating fuel</w:t>
            </w:r>
          </w:p>
        </w:tc>
        <w:tc>
          <w:tcPr>
            <w:tcW w:w="1774" w:type="dxa"/>
            <w:shd w:val="clear" w:color="auto" w:fill="7F7F7F" w:themeFill="text1" w:themeFillTint="80"/>
            <w:tcMar>
              <w:top w:w="0" w:type="dxa"/>
              <w:left w:w="108" w:type="dxa"/>
              <w:bottom w:w="0" w:type="dxa"/>
              <w:right w:w="108" w:type="dxa"/>
            </w:tcMar>
            <w:hideMark/>
          </w:tcPr>
          <w:p w14:paraId="591CAB36" w14:textId="77777777" w:rsidR="00FC595C" w:rsidRPr="000B7BB6" w:rsidRDefault="00FC595C" w:rsidP="00036C0B">
            <w:pPr>
              <w:spacing w:after="100" w:afterAutospacing="1"/>
              <w:jc w:val="center"/>
              <w:rPr>
                <w:rFonts w:cstheme="minorHAnsi"/>
                <w:b/>
                <w:color w:val="FFFFFF" w:themeColor="background1"/>
                <w:szCs w:val="20"/>
              </w:rPr>
            </w:pPr>
            <w:r w:rsidRPr="000B7BB6">
              <w:rPr>
                <w:rFonts w:cstheme="minorHAnsi"/>
                <w:b/>
                <w:color w:val="FFFFFF" w:themeColor="background1"/>
                <w:szCs w:val="20"/>
              </w:rPr>
              <w:t>%</w:t>
            </w:r>
            <w:proofErr w:type="spellStart"/>
            <w:r w:rsidRPr="000B7BB6">
              <w:rPr>
                <w:rFonts w:cstheme="minorHAnsi"/>
                <w:b/>
                <w:color w:val="FFFFFF" w:themeColor="background1"/>
                <w:szCs w:val="20"/>
              </w:rPr>
              <w:t>FossilHea</w:t>
            </w:r>
            <w:r w:rsidRPr="00A05FC2">
              <w:rPr>
                <w:rFonts w:cstheme="minorHAnsi"/>
                <w:b/>
                <w:color w:val="FFFFFF" w:themeColor="background1"/>
                <w:szCs w:val="20"/>
              </w:rPr>
              <w:t>t</w:t>
            </w:r>
            <w:proofErr w:type="spellEnd"/>
          </w:p>
        </w:tc>
      </w:tr>
      <w:tr w:rsidR="00FC595C" w:rsidRPr="00A05FC2" w14:paraId="591CAB3A" w14:textId="77777777" w:rsidTr="004D77A7">
        <w:trPr>
          <w:jc w:val="center"/>
        </w:trPr>
        <w:tc>
          <w:tcPr>
            <w:tcW w:w="2430" w:type="dxa"/>
            <w:tcMar>
              <w:top w:w="0" w:type="dxa"/>
              <w:left w:w="108" w:type="dxa"/>
              <w:bottom w:w="0" w:type="dxa"/>
              <w:right w:w="108" w:type="dxa"/>
            </w:tcMar>
            <w:hideMark/>
          </w:tcPr>
          <w:p w14:paraId="591CAB38" w14:textId="77777777" w:rsidR="00FC595C" w:rsidRPr="00875027" w:rsidRDefault="00FC595C" w:rsidP="00036C0B">
            <w:pPr>
              <w:pStyle w:val="BodyText"/>
              <w:spacing w:after="100" w:afterAutospacing="1"/>
              <w:rPr>
                <w:rFonts w:eastAsiaTheme="minorHAnsi"/>
                <w:sz w:val="20"/>
              </w:rPr>
            </w:pPr>
            <w:r w:rsidRPr="00875027">
              <w:rPr>
                <w:sz w:val="20"/>
              </w:rPr>
              <w:t>Electric</w:t>
            </w:r>
          </w:p>
        </w:tc>
        <w:tc>
          <w:tcPr>
            <w:tcW w:w="1774" w:type="dxa"/>
            <w:tcMar>
              <w:top w:w="0" w:type="dxa"/>
              <w:left w:w="108" w:type="dxa"/>
              <w:bottom w:w="0" w:type="dxa"/>
              <w:right w:w="108" w:type="dxa"/>
            </w:tcMar>
            <w:hideMark/>
          </w:tcPr>
          <w:p w14:paraId="591CAB39" w14:textId="77777777" w:rsidR="00FC595C" w:rsidRPr="00875027" w:rsidRDefault="00FC595C" w:rsidP="004D4192">
            <w:pPr>
              <w:pStyle w:val="BodyText"/>
              <w:spacing w:after="100" w:afterAutospacing="1"/>
              <w:jc w:val="center"/>
              <w:rPr>
                <w:rFonts w:eastAsiaTheme="minorHAnsi"/>
                <w:sz w:val="20"/>
              </w:rPr>
            </w:pPr>
            <w:r w:rsidRPr="00875027">
              <w:rPr>
                <w:sz w:val="20"/>
              </w:rPr>
              <w:t>0%</w:t>
            </w:r>
          </w:p>
        </w:tc>
      </w:tr>
      <w:tr w:rsidR="00FC595C" w:rsidRPr="00A05FC2" w14:paraId="591CAB3D" w14:textId="77777777" w:rsidTr="004D77A7">
        <w:trPr>
          <w:jc w:val="center"/>
        </w:trPr>
        <w:tc>
          <w:tcPr>
            <w:tcW w:w="2430" w:type="dxa"/>
            <w:tcMar>
              <w:top w:w="0" w:type="dxa"/>
              <w:left w:w="108" w:type="dxa"/>
              <w:bottom w:w="0" w:type="dxa"/>
              <w:right w:w="108" w:type="dxa"/>
            </w:tcMar>
            <w:hideMark/>
          </w:tcPr>
          <w:p w14:paraId="591CAB3B" w14:textId="77777777" w:rsidR="00FC595C" w:rsidRPr="00875027" w:rsidRDefault="00FC595C" w:rsidP="00036C0B">
            <w:pPr>
              <w:pStyle w:val="BodyText"/>
              <w:spacing w:after="100" w:afterAutospacing="1"/>
              <w:rPr>
                <w:rFonts w:eastAsiaTheme="minorHAnsi"/>
                <w:sz w:val="20"/>
              </w:rPr>
            </w:pPr>
            <w:r w:rsidRPr="00875027">
              <w:rPr>
                <w:sz w:val="20"/>
              </w:rPr>
              <w:t>Natural Gas</w:t>
            </w:r>
          </w:p>
        </w:tc>
        <w:tc>
          <w:tcPr>
            <w:tcW w:w="1774" w:type="dxa"/>
            <w:tcMar>
              <w:top w:w="0" w:type="dxa"/>
              <w:left w:w="108" w:type="dxa"/>
              <w:bottom w:w="0" w:type="dxa"/>
              <w:right w:w="108" w:type="dxa"/>
            </w:tcMar>
            <w:hideMark/>
          </w:tcPr>
          <w:p w14:paraId="591CAB3C" w14:textId="77777777" w:rsidR="00FC595C" w:rsidRPr="00875027" w:rsidRDefault="00FC595C" w:rsidP="004D4192">
            <w:pPr>
              <w:pStyle w:val="BodyText"/>
              <w:spacing w:after="100" w:afterAutospacing="1"/>
              <w:jc w:val="center"/>
              <w:rPr>
                <w:rFonts w:eastAsiaTheme="minorHAnsi"/>
                <w:sz w:val="20"/>
              </w:rPr>
            </w:pPr>
            <w:r w:rsidRPr="00875027">
              <w:rPr>
                <w:sz w:val="20"/>
              </w:rPr>
              <w:t>100%</w:t>
            </w:r>
          </w:p>
        </w:tc>
      </w:tr>
      <w:tr w:rsidR="00FC595C" w:rsidRPr="00A05FC2" w14:paraId="591CAB40" w14:textId="77777777" w:rsidTr="004D77A7">
        <w:trPr>
          <w:jc w:val="center"/>
        </w:trPr>
        <w:tc>
          <w:tcPr>
            <w:tcW w:w="2430" w:type="dxa"/>
            <w:tcMar>
              <w:top w:w="0" w:type="dxa"/>
              <w:left w:w="108" w:type="dxa"/>
              <w:bottom w:w="0" w:type="dxa"/>
              <w:right w:w="108" w:type="dxa"/>
            </w:tcMar>
            <w:hideMark/>
          </w:tcPr>
          <w:p w14:paraId="591CAB3E" w14:textId="77777777" w:rsidR="00FC595C" w:rsidRPr="00875027" w:rsidRDefault="00FC595C" w:rsidP="00036C0B">
            <w:pPr>
              <w:pStyle w:val="BodyText"/>
              <w:spacing w:after="100" w:afterAutospacing="1"/>
              <w:rPr>
                <w:rFonts w:eastAsiaTheme="minorHAnsi"/>
                <w:sz w:val="20"/>
              </w:rPr>
            </w:pPr>
            <w:r w:rsidRPr="00875027">
              <w:rPr>
                <w:sz w:val="20"/>
              </w:rPr>
              <w:t>Unknown</w:t>
            </w:r>
          </w:p>
        </w:tc>
        <w:tc>
          <w:tcPr>
            <w:tcW w:w="1774" w:type="dxa"/>
            <w:tcMar>
              <w:top w:w="0" w:type="dxa"/>
              <w:left w:w="108" w:type="dxa"/>
              <w:bottom w:w="0" w:type="dxa"/>
              <w:right w:w="108" w:type="dxa"/>
            </w:tcMar>
            <w:hideMark/>
          </w:tcPr>
          <w:p w14:paraId="591CAB3F" w14:textId="77777777" w:rsidR="00FC595C" w:rsidRPr="00875027" w:rsidRDefault="00FC595C" w:rsidP="004D4192">
            <w:pPr>
              <w:pStyle w:val="BodyText"/>
              <w:spacing w:after="100" w:afterAutospacing="1"/>
              <w:jc w:val="center"/>
              <w:rPr>
                <w:rFonts w:eastAsiaTheme="minorHAnsi"/>
                <w:sz w:val="20"/>
              </w:rPr>
            </w:pPr>
            <w:r w:rsidRPr="00875027">
              <w:rPr>
                <w:sz w:val="20"/>
              </w:rPr>
              <w:t>87%</w:t>
            </w:r>
            <w:r w:rsidRPr="00875027">
              <w:rPr>
                <w:rStyle w:val="FootnoteReference"/>
                <w:rFonts w:asciiTheme="minorHAnsi" w:hAnsiTheme="minorHAnsi" w:cstheme="minorHAnsi"/>
              </w:rPr>
              <w:footnoteReference w:id="29"/>
            </w:r>
          </w:p>
        </w:tc>
      </w:tr>
    </w:tbl>
    <w:p w14:paraId="591CAB41" w14:textId="77777777" w:rsidR="00FC595C" w:rsidRPr="00A05FC2" w:rsidRDefault="00FC595C" w:rsidP="004D4192">
      <w:pPr>
        <w:spacing w:before="240"/>
        <w:ind w:left="720"/>
        <w:rPr>
          <w:rFonts w:cstheme="minorHAnsi"/>
          <w:noProof/>
          <w:szCs w:val="20"/>
        </w:rPr>
      </w:pPr>
      <w:r w:rsidRPr="00A05FC2">
        <w:rPr>
          <w:rFonts w:cstheme="minorHAnsi"/>
          <w:noProof/>
          <w:szCs w:val="20"/>
        </w:rPr>
        <w:t>Gas_Heating_Consumption</w:t>
      </w:r>
    </w:p>
    <w:p w14:paraId="591CAB42" w14:textId="77777777" w:rsidR="00FC595C" w:rsidRPr="00A05FC2" w:rsidRDefault="00FC595C" w:rsidP="004D4192">
      <w:pPr>
        <w:ind w:left="2160"/>
        <w:rPr>
          <w:rFonts w:cstheme="minorHAnsi"/>
          <w:szCs w:val="20"/>
        </w:rPr>
      </w:pPr>
      <w:r w:rsidRPr="00A05FC2">
        <w:rPr>
          <w:rFonts w:cstheme="minorHAnsi"/>
          <w:noProof/>
          <w:szCs w:val="20"/>
        </w:rPr>
        <w:t>= Estimate of annual household heating consumption for gas heated single-family homes. If location is unknown, assume the average below</w:t>
      </w:r>
      <w:r w:rsidRPr="00A05FC2">
        <w:rPr>
          <w:rStyle w:val="FootnoteReference"/>
          <w:rFonts w:cstheme="minorHAnsi"/>
          <w:noProof/>
          <w:szCs w:val="20"/>
        </w:rPr>
        <w:footnoteReference w:id="30"/>
      </w:r>
      <w:r w:rsidRPr="00A05FC2">
        <w:rPr>
          <w:rFonts w:cstheme="minorHAnsi"/>
          <w:noProof/>
          <w:szCs w:val="20"/>
        </w:rPr>
        <w:t>.</w:t>
      </w:r>
    </w:p>
    <w:tbl>
      <w:tblPr>
        <w:tblW w:w="4230" w:type="dxa"/>
        <w:jc w:val="center"/>
        <w:tblInd w:w="3708" w:type="dxa"/>
        <w:tblLook w:val="04A0" w:firstRow="1" w:lastRow="0" w:firstColumn="1" w:lastColumn="0" w:noHBand="0" w:noVBand="1"/>
      </w:tblPr>
      <w:tblGrid>
        <w:gridCol w:w="2610"/>
        <w:gridCol w:w="1620"/>
      </w:tblGrid>
      <w:tr w:rsidR="00FC595C" w:rsidRPr="00A05FC2" w14:paraId="591CAB47" w14:textId="77777777" w:rsidTr="004D77A7">
        <w:trPr>
          <w:trHeight w:val="223"/>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591CAB43"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lastRenderedPageBreak/>
              <w:t>Climate Zone</w:t>
            </w:r>
          </w:p>
          <w:p w14:paraId="591CAB44"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p w14:paraId="591CAB45" w14:textId="77777777" w:rsidR="00FC595C" w:rsidRPr="000B7BB6" w:rsidRDefault="00FC595C" w:rsidP="004D77A7">
            <w:pPr>
              <w:spacing w:after="0"/>
              <w:jc w:val="center"/>
              <w:rPr>
                <w:rFonts w:cstheme="minorHAnsi"/>
                <w:b/>
                <w:color w:val="FFFFFF" w:themeColor="background1"/>
                <w:szCs w:val="20"/>
              </w:rPr>
            </w:pPr>
            <w:proofErr w:type="spellStart"/>
            <w:r w:rsidRPr="000B7BB6">
              <w:rPr>
                <w:rFonts w:cstheme="minorHAnsi"/>
                <w:b/>
                <w:color w:val="FFFFFF" w:themeColor="background1"/>
                <w:szCs w:val="20"/>
              </w:rPr>
              <w:t>Gas_Heating</w:t>
            </w:r>
            <w:proofErr w:type="spellEnd"/>
            <w:r w:rsidRPr="000B7BB6">
              <w:rPr>
                <w:rFonts w:cstheme="minorHAnsi"/>
                <w:b/>
                <w:color w:val="FFFFFF" w:themeColor="background1"/>
                <w:szCs w:val="20"/>
              </w:rPr>
              <w:t>_ Consumption</w:t>
            </w:r>
          </w:p>
          <w:p w14:paraId="591CAB46"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(therms)</w:t>
            </w:r>
          </w:p>
        </w:tc>
      </w:tr>
      <w:tr w:rsidR="00E26ED5" w:rsidRPr="00A05FC2" w14:paraId="591CAB4A"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48" w14:textId="77777777" w:rsidR="00E26ED5" w:rsidRPr="00E26ED5" w:rsidRDefault="00E26ED5" w:rsidP="004D77A7">
            <w:pPr>
              <w:pStyle w:val="BodyText"/>
              <w:spacing w:after="0"/>
              <w:rPr>
                <w:sz w:val="20"/>
                <w:szCs w:val="20"/>
              </w:rPr>
            </w:pPr>
            <w:r w:rsidRPr="00E26ED5">
              <w:rPr>
                <w:sz w:val="20"/>
                <w:szCs w:val="20"/>
              </w:rPr>
              <w:t>1 (Rockford)</w:t>
            </w:r>
          </w:p>
        </w:tc>
        <w:tc>
          <w:tcPr>
            <w:tcW w:w="1620" w:type="dxa"/>
            <w:tcBorders>
              <w:top w:val="nil"/>
              <w:left w:val="nil"/>
              <w:bottom w:val="single" w:sz="8" w:space="0" w:color="auto"/>
              <w:right w:val="single" w:sz="8" w:space="0" w:color="auto"/>
            </w:tcBorders>
            <w:shd w:val="clear" w:color="auto" w:fill="auto"/>
            <w:noWrap/>
            <w:vAlign w:val="bottom"/>
          </w:tcPr>
          <w:p w14:paraId="591CAB49" w14:textId="4BD9B547" w:rsidR="00E26ED5" w:rsidRPr="00E26ED5" w:rsidRDefault="00E26ED5" w:rsidP="004D4192">
            <w:pPr>
              <w:pStyle w:val="BodyText"/>
              <w:spacing w:after="0"/>
              <w:jc w:val="center"/>
              <w:rPr>
                <w:sz w:val="20"/>
                <w:szCs w:val="20"/>
              </w:rPr>
            </w:pPr>
            <w:r w:rsidRPr="00E26ED5">
              <w:rPr>
                <w:sz w:val="20"/>
                <w:szCs w:val="20"/>
              </w:rPr>
              <w:t>1,0</w:t>
            </w:r>
            <w:r w:rsidR="00B870D4">
              <w:rPr>
                <w:sz w:val="20"/>
                <w:szCs w:val="20"/>
              </w:rPr>
              <w:t>52</w:t>
            </w:r>
          </w:p>
        </w:tc>
      </w:tr>
      <w:tr w:rsidR="00E26ED5" w:rsidRPr="00A05FC2" w14:paraId="591CAB4D"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4B" w14:textId="77777777" w:rsidR="00E26ED5" w:rsidRPr="00E26ED5" w:rsidRDefault="00E26ED5" w:rsidP="004D77A7">
            <w:pPr>
              <w:pStyle w:val="BodyText"/>
              <w:spacing w:after="0"/>
              <w:rPr>
                <w:sz w:val="20"/>
                <w:szCs w:val="20"/>
              </w:rPr>
            </w:pPr>
            <w:r w:rsidRPr="00E26ED5">
              <w:rPr>
                <w:sz w:val="20"/>
                <w:szCs w:val="20"/>
              </w:rPr>
              <w:t>2 (Chicago)</w:t>
            </w:r>
          </w:p>
        </w:tc>
        <w:tc>
          <w:tcPr>
            <w:tcW w:w="1620" w:type="dxa"/>
            <w:tcBorders>
              <w:top w:val="nil"/>
              <w:left w:val="nil"/>
              <w:bottom w:val="single" w:sz="8" w:space="0" w:color="auto"/>
              <w:right w:val="single" w:sz="8" w:space="0" w:color="auto"/>
            </w:tcBorders>
            <w:shd w:val="clear" w:color="auto" w:fill="auto"/>
            <w:noWrap/>
            <w:vAlign w:val="bottom"/>
          </w:tcPr>
          <w:p w14:paraId="591CAB4C" w14:textId="7A0C4E37" w:rsidR="00E26ED5" w:rsidRPr="00E26ED5" w:rsidRDefault="00B870D4" w:rsidP="004D4192">
            <w:pPr>
              <w:pStyle w:val="BodyText"/>
              <w:spacing w:after="0"/>
              <w:jc w:val="center"/>
              <w:rPr>
                <w:sz w:val="20"/>
                <w:szCs w:val="20"/>
              </w:rPr>
            </w:pPr>
            <w:r>
              <w:rPr>
                <w:sz w:val="20"/>
                <w:szCs w:val="20"/>
              </w:rPr>
              <w:t>1,005</w:t>
            </w:r>
          </w:p>
        </w:tc>
      </w:tr>
      <w:tr w:rsidR="00E26ED5" w:rsidRPr="00A05FC2" w14:paraId="591CAB50"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4E" w14:textId="77777777" w:rsidR="00E26ED5" w:rsidRPr="00E26ED5" w:rsidRDefault="00E26ED5" w:rsidP="004D77A7">
            <w:pPr>
              <w:pStyle w:val="BodyText"/>
              <w:spacing w:after="0"/>
              <w:rPr>
                <w:sz w:val="20"/>
                <w:szCs w:val="20"/>
              </w:rPr>
            </w:pPr>
            <w:r w:rsidRPr="00E26ED5">
              <w:rPr>
                <w:sz w:val="20"/>
                <w:szCs w:val="20"/>
              </w:rPr>
              <w:t>3 (Springfield)</w:t>
            </w:r>
          </w:p>
        </w:tc>
        <w:tc>
          <w:tcPr>
            <w:tcW w:w="1620" w:type="dxa"/>
            <w:tcBorders>
              <w:top w:val="nil"/>
              <w:left w:val="nil"/>
              <w:bottom w:val="single" w:sz="8" w:space="0" w:color="auto"/>
              <w:right w:val="single" w:sz="8" w:space="0" w:color="auto"/>
            </w:tcBorders>
            <w:shd w:val="clear" w:color="auto" w:fill="auto"/>
            <w:noWrap/>
            <w:vAlign w:val="bottom"/>
          </w:tcPr>
          <w:p w14:paraId="591CAB4F" w14:textId="452183A0" w:rsidR="00E26ED5" w:rsidRPr="00E26ED5" w:rsidRDefault="00B870D4" w:rsidP="004D4192">
            <w:pPr>
              <w:pStyle w:val="BodyText"/>
              <w:spacing w:after="0"/>
              <w:jc w:val="center"/>
              <w:rPr>
                <w:sz w:val="20"/>
                <w:szCs w:val="20"/>
              </w:rPr>
            </w:pPr>
            <w:r>
              <w:rPr>
                <w:sz w:val="20"/>
                <w:szCs w:val="20"/>
              </w:rPr>
              <w:t>861</w:t>
            </w:r>
          </w:p>
        </w:tc>
      </w:tr>
      <w:tr w:rsidR="00E26ED5" w:rsidRPr="00A05FC2" w14:paraId="591CAB53"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51" w14:textId="77777777" w:rsidR="00E26ED5" w:rsidRPr="00E26ED5" w:rsidRDefault="00E26ED5" w:rsidP="004D77A7">
            <w:pPr>
              <w:pStyle w:val="BodyText"/>
              <w:spacing w:after="0"/>
              <w:rPr>
                <w:sz w:val="20"/>
                <w:szCs w:val="20"/>
              </w:rPr>
            </w:pPr>
            <w:r w:rsidRPr="00E26ED5">
              <w:rPr>
                <w:sz w:val="20"/>
                <w:szCs w:val="20"/>
              </w:rPr>
              <w:t>4 (Belleville)</w:t>
            </w:r>
          </w:p>
        </w:tc>
        <w:tc>
          <w:tcPr>
            <w:tcW w:w="1620" w:type="dxa"/>
            <w:tcBorders>
              <w:top w:val="nil"/>
              <w:left w:val="nil"/>
              <w:bottom w:val="single" w:sz="8" w:space="0" w:color="auto"/>
              <w:right w:val="single" w:sz="8" w:space="0" w:color="auto"/>
            </w:tcBorders>
            <w:shd w:val="clear" w:color="auto" w:fill="auto"/>
            <w:noWrap/>
            <w:vAlign w:val="bottom"/>
          </w:tcPr>
          <w:p w14:paraId="591CAB52" w14:textId="31C35D54" w:rsidR="00E26ED5" w:rsidRPr="00E26ED5" w:rsidRDefault="00B870D4" w:rsidP="004D4192">
            <w:pPr>
              <w:pStyle w:val="BodyText"/>
              <w:spacing w:after="0"/>
              <w:jc w:val="center"/>
              <w:rPr>
                <w:sz w:val="20"/>
                <w:szCs w:val="20"/>
              </w:rPr>
            </w:pPr>
            <w:r>
              <w:rPr>
                <w:sz w:val="20"/>
                <w:szCs w:val="20"/>
              </w:rPr>
              <w:t>664</w:t>
            </w:r>
          </w:p>
        </w:tc>
      </w:tr>
      <w:tr w:rsidR="00E26ED5" w:rsidRPr="00A05FC2" w14:paraId="591CAB56"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54" w14:textId="77777777" w:rsidR="00E26ED5" w:rsidRPr="00E26ED5" w:rsidRDefault="00E26ED5" w:rsidP="004D77A7">
            <w:pPr>
              <w:pStyle w:val="BodyText"/>
              <w:spacing w:after="0"/>
              <w:rPr>
                <w:sz w:val="20"/>
                <w:szCs w:val="20"/>
              </w:rPr>
            </w:pPr>
            <w:r w:rsidRPr="00E26ED5">
              <w:rPr>
                <w:sz w:val="20"/>
                <w:szCs w:val="20"/>
              </w:rPr>
              <w:t>5 (Marion)</w:t>
            </w:r>
          </w:p>
        </w:tc>
        <w:tc>
          <w:tcPr>
            <w:tcW w:w="1620" w:type="dxa"/>
            <w:tcBorders>
              <w:top w:val="nil"/>
              <w:left w:val="nil"/>
              <w:bottom w:val="single" w:sz="8" w:space="0" w:color="auto"/>
              <w:right w:val="single" w:sz="8" w:space="0" w:color="auto"/>
            </w:tcBorders>
            <w:shd w:val="clear" w:color="auto" w:fill="auto"/>
            <w:noWrap/>
            <w:vAlign w:val="bottom"/>
          </w:tcPr>
          <w:p w14:paraId="591CAB55" w14:textId="2EE02EF1" w:rsidR="00E26ED5" w:rsidRPr="00E26ED5" w:rsidRDefault="00B870D4" w:rsidP="004D4192">
            <w:pPr>
              <w:pStyle w:val="BodyText"/>
              <w:spacing w:after="0"/>
              <w:jc w:val="center"/>
              <w:rPr>
                <w:sz w:val="20"/>
                <w:szCs w:val="20"/>
              </w:rPr>
            </w:pPr>
            <w:r>
              <w:rPr>
                <w:sz w:val="20"/>
                <w:szCs w:val="20"/>
              </w:rPr>
              <w:t>676</w:t>
            </w:r>
          </w:p>
        </w:tc>
      </w:tr>
      <w:tr w:rsidR="00E26ED5" w:rsidRPr="00A05FC2" w14:paraId="591CAB59"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57" w14:textId="77777777" w:rsidR="00E26ED5" w:rsidRPr="00E26ED5" w:rsidRDefault="00E26ED5" w:rsidP="004D77A7">
            <w:pPr>
              <w:pStyle w:val="BodyText"/>
              <w:spacing w:after="0"/>
              <w:rPr>
                <w:sz w:val="20"/>
                <w:szCs w:val="20"/>
              </w:rPr>
            </w:pPr>
            <w:r w:rsidRPr="00E26ED5">
              <w:rPr>
                <w:sz w:val="20"/>
                <w:szCs w:val="20"/>
              </w:rPr>
              <w:t>Average</w:t>
            </w:r>
          </w:p>
        </w:tc>
        <w:tc>
          <w:tcPr>
            <w:tcW w:w="1620" w:type="dxa"/>
            <w:tcBorders>
              <w:top w:val="nil"/>
              <w:left w:val="nil"/>
              <w:bottom w:val="single" w:sz="8" w:space="0" w:color="auto"/>
              <w:right w:val="single" w:sz="8" w:space="0" w:color="auto"/>
            </w:tcBorders>
            <w:shd w:val="clear" w:color="auto" w:fill="auto"/>
            <w:noWrap/>
            <w:vAlign w:val="bottom"/>
          </w:tcPr>
          <w:p w14:paraId="591CAB58" w14:textId="69759BB4" w:rsidR="00E26ED5" w:rsidRPr="00E26ED5" w:rsidRDefault="00B870D4" w:rsidP="004D4192">
            <w:pPr>
              <w:pStyle w:val="BodyText"/>
              <w:spacing w:after="0"/>
              <w:jc w:val="center"/>
              <w:rPr>
                <w:sz w:val="20"/>
                <w:szCs w:val="20"/>
              </w:rPr>
            </w:pPr>
            <w:r>
              <w:rPr>
                <w:sz w:val="20"/>
                <w:szCs w:val="20"/>
              </w:rPr>
              <w:t>955</w:t>
            </w:r>
          </w:p>
        </w:tc>
      </w:tr>
    </w:tbl>
    <w:p w14:paraId="591CAB5A" w14:textId="77777777" w:rsidR="00FC595C" w:rsidRDefault="00FC595C" w:rsidP="00FC595C">
      <w:pPr>
        <w:rPr>
          <w:rFonts w:cstheme="minorHAnsi"/>
        </w:rPr>
      </w:pPr>
    </w:p>
    <w:p w14:paraId="7DCA0151" w14:textId="55827EA2" w:rsidR="002570DF" w:rsidRDefault="002570DF" w:rsidP="00FC595C">
      <w:pPr>
        <w:rPr>
          <w:rFonts w:cstheme="minorHAnsi"/>
        </w:rPr>
      </w:pPr>
      <w:r>
        <w:rPr>
          <w:rFonts w:cstheme="minorHAnsi"/>
        </w:rPr>
        <w:tab/>
        <w:t>Other variables as provided above</w:t>
      </w:r>
    </w:p>
    <w:p w14:paraId="591CAB5B" w14:textId="77777777" w:rsidR="00FC595C" w:rsidRPr="00B41203" w:rsidRDefault="00F82E34" w:rsidP="00FC595C">
      <w:pPr>
        <w:rPr>
          <w:rFonts w:cstheme="minorHAnsi"/>
        </w:rPr>
      </w:pPr>
      <w:r>
        <w:rPr>
          <w:rFonts w:cstheme="minorHAnsi"/>
          <w:noProof/>
        </w:rPr>
        <mc:AlternateContent>
          <mc:Choice Requires="wps">
            <w:drawing>
              <wp:inline distT="0" distB="0" distL="0" distR="0" wp14:anchorId="591CAB63" wp14:editId="591CAB64">
                <wp:extent cx="5669280" cy="935990"/>
                <wp:effectExtent l="0" t="0" r="26670" b="16510"/>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935990"/>
                        </a:xfrm>
                        <a:prstGeom prst="rect">
                          <a:avLst/>
                        </a:prstGeom>
                        <a:solidFill>
                          <a:srgbClr val="FFFFFF"/>
                        </a:solidFill>
                        <a:ln w="9525">
                          <a:solidFill>
                            <a:srgbClr val="000000"/>
                          </a:solidFill>
                          <a:miter lim="800000"/>
                          <a:headEnd/>
                          <a:tailEnd/>
                        </a:ln>
                      </wps:spPr>
                      <wps:txbx>
                        <w:txbxContent>
                          <w:p w14:paraId="591CAB7D" w14:textId="77777777" w:rsidR="00EF7B04" w:rsidRPr="002F2634" w:rsidRDefault="00EF7B04" w:rsidP="00FC595C">
                            <w:pPr>
                              <w:rPr>
                                <w:rFonts w:cstheme="minorHAnsi"/>
                              </w:rPr>
                            </w:pPr>
                            <w:r w:rsidRPr="002F2634">
                              <w:rPr>
                                <w:rFonts w:cstheme="minorHAnsi"/>
                              </w:rPr>
                              <w:t>For example, a programmable thermostat directly-installed in a gas heated single-family home in Chicago:</w:t>
                            </w:r>
                          </w:p>
                          <w:p w14:paraId="591CAB7E" w14:textId="7EBCC3E3" w:rsidR="00EF7B04" w:rsidRPr="002F2634" w:rsidRDefault="00EF7B04" w:rsidP="00FC595C">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sidR="00B870D4">
                              <w:rPr>
                                <w:rFonts w:cstheme="minorHAnsi"/>
                                <w:noProof/>
                              </w:rPr>
                              <w:t>1005</w:t>
                            </w:r>
                            <w:r>
                              <w:rPr>
                                <w:rFonts w:cstheme="minorHAnsi"/>
                                <w:noProof/>
                              </w:rPr>
                              <w:t xml:space="preserve"> </w:t>
                            </w:r>
                            <w:r w:rsidRPr="002F2634">
                              <w:rPr>
                                <w:rFonts w:cstheme="minorHAnsi"/>
                                <w:noProof/>
                              </w:rPr>
                              <w:t xml:space="preserve">* </w:t>
                            </w:r>
                            <w:r w:rsidR="00FC1C1B" w:rsidRPr="00FC1C1B">
                              <w:rPr>
                                <w:rFonts w:cstheme="minorHAnsi"/>
                                <w:noProof/>
                                <w:highlight w:val="yellow"/>
                              </w:rPr>
                              <w:t>X.X%</w:t>
                            </w:r>
                            <w:r w:rsidRPr="002F2634">
                              <w:rPr>
                                <w:rFonts w:cstheme="minorHAnsi"/>
                                <w:noProof/>
                              </w:rPr>
                              <w:t xml:space="preserve"> * 100% * 100%</w:t>
                            </w:r>
                          </w:p>
                          <w:p w14:paraId="591CAB7F" w14:textId="6F9DD5E1" w:rsidR="00EF7B04" w:rsidRPr="002F2634" w:rsidRDefault="00EF7B04" w:rsidP="00FC595C">
                            <w:pPr>
                              <w:ind w:left="1440" w:hanging="720"/>
                              <w:rPr>
                                <w:rFonts w:cstheme="minorHAnsi"/>
                              </w:rPr>
                            </w:pPr>
                            <w:r w:rsidRPr="002F2634">
                              <w:rPr>
                                <w:rFonts w:cstheme="minorHAnsi"/>
                              </w:rPr>
                              <w:tab/>
                            </w:r>
                            <w:r w:rsidRPr="002F2634">
                              <w:rPr>
                                <w:rFonts w:cstheme="minorHAnsi"/>
                              </w:rPr>
                              <w:tab/>
                              <w:t xml:space="preserve">= </w:t>
                            </w:r>
                            <w:r w:rsidR="00FC1C1B" w:rsidRPr="00FC1C1B">
                              <w:rPr>
                                <w:rFonts w:cstheme="minorHAnsi"/>
                                <w:highlight w:val="yellow"/>
                              </w:rPr>
                              <w:t>XX.X</w:t>
                            </w:r>
                            <w:r w:rsidRPr="002F2634">
                              <w:rPr>
                                <w:rFonts w:cstheme="minorHAnsi"/>
                              </w:rPr>
                              <w:t xml:space="preserve"> therms</w:t>
                            </w:r>
                          </w:p>
                          <w:p w14:paraId="591CAB80" w14:textId="77777777" w:rsidR="00EF7B04" w:rsidRDefault="00EF7B04" w:rsidP="00FC595C"/>
                        </w:txbxContent>
                      </wps:txbx>
                      <wps:bodyPr rot="0" vert="horz" wrap="square" lIns="91440" tIns="45720" rIns="91440" bIns="45720" anchor="t" anchorCtr="0">
                        <a:noAutofit/>
                      </wps:bodyPr>
                    </wps:wsp>
                  </a:graphicData>
                </a:graphic>
              </wp:inline>
            </w:drawing>
          </mc:Choice>
          <mc:Fallback>
            <w:pict>
              <v:shape id="Text Box 51" o:spid="_x0000_s1027" type="#_x0000_t202" style="width:446.4pt;height:7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">
                <v:textbox>
                  <w:txbxContent>
                    <w:p w14:paraId="591CAB7D" w14:textId="77777777" w:rsidR="00EF7B04" w:rsidRPr="002F2634" w:rsidRDefault="00EF7B04" w:rsidP="00FC595C">
                      <w:pPr>
                        <w:rPr>
                          <w:rFonts w:cstheme="minorHAnsi"/>
                        </w:rPr>
                      </w:pPr>
                      <w:r w:rsidRPr="002F2634">
                        <w:rPr>
                          <w:rFonts w:cstheme="minorHAnsi"/>
                        </w:rPr>
                        <w:t>For example, a programmable thermostat directly-installed in a gas heated single-family home in Chicago:</w:t>
                      </w:r>
                    </w:p>
                    <w:p w14:paraId="591CAB7E" w14:textId="7EBCC3E3" w:rsidR="00EF7B04" w:rsidRPr="002F2634" w:rsidRDefault="00EF7B04" w:rsidP="00FC595C">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sidR="00B870D4">
                        <w:rPr>
                          <w:rFonts w:cstheme="minorHAnsi"/>
                          <w:noProof/>
                        </w:rPr>
                        <w:t>1005</w:t>
                      </w:r>
                      <w:r>
                        <w:rPr>
                          <w:rFonts w:cstheme="minorHAnsi"/>
                          <w:noProof/>
                        </w:rPr>
                        <w:t xml:space="preserve"> </w:t>
                      </w:r>
                      <w:r w:rsidRPr="002F2634">
                        <w:rPr>
                          <w:rFonts w:cstheme="minorHAnsi"/>
                          <w:noProof/>
                        </w:rPr>
                        <w:t xml:space="preserve">* </w:t>
                      </w:r>
                      <w:r w:rsidR="00FC1C1B" w:rsidRPr="00FC1C1B">
                        <w:rPr>
                          <w:rFonts w:cstheme="minorHAnsi"/>
                          <w:noProof/>
                          <w:highlight w:val="yellow"/>
                        </w:rPr>
                        <w:t>X.X%</w:t>
                      </w:r>
                      <w:r w:rsidRPr="002F2634">
                        <w:rPr>
                          <w:rFonts w:cstheme="minorHAnsi"/>
                          <w:noProof/>
                        </w:rPr>
                        <w:t xml:space="preserve"> * 100% * 100%</w:t>
                      </w:r>
                    </w:p>
                    <w:p w14:paraId="591CAB7F" w14:textId="6F9DD5E1" w:rsidR="00EF7B04" w:rsidRPr="002F2634" w:rsidRDefault="00EF7B04" w:rsidP="00FC595C">
                      <w:pPr>
                        <w:ind w:left="1440" w:hanging="720"/>
                        <w:rPr>
                          <w:rFonts w:cstheme="minorHAnsi"/>
                        </w:rPr>
                      </w:pPr>
                      <w:r w:rsidRPr="002F2634">
                        <w:rPr>
                          <w:rFonts w:cstheme="minorHAnsi"/>
                        </w:rPr>
                        <w:tab/>
                      </w:r>
                      <w:r w:rsidRPr="002F2634">
                        <w:rPr>
                          <w:rFonts w:cstheme="minorHAnsi"/>
                        </w:rPr>
                        <w:tab/>
                        <w:t xml:space="preserve">= </w:t>
                      </w:r>
                      <w:r w:rsidR="00FC1C1B" w:rsidRPr="00FC1C1B">
                        <w:rPr>
                          <w:rFonts w:cstheme="minorHAnsi"/>
                          <w:highlight w:val="yellow"/>
                        </w:rPr>
                        <w:t>XX.X</w:t>
                      </w:r>
                      <w:r w:rsidRPr="002F2634">
                        <w:rPr>
                          <w:rFonts w:cstheme="minorHAnsi"/>
                        </w:rPr>
                        <w:t xml:space="preserve"> therms</w:t>
                      </w:r>
                    </w:p>
                    <w:p w14:paraId="591CAB80" w14:textId="77777777" w:rsidR="00EF7B04" w:rsidRDefault="00EF7B04" w:rsidP="00FC595C"/>
                  </w:txbxContent>
                </v:textbox>
                <w10:anchorlock/>
              </v:shape>
            </w:pict>
          </mc:Fallback>
        </mc:AlternateContent>
      </w:r>
    </w:p>
    <w:p w14:paraId="591CAB5C" w14:textId="77777777" w:rsidR="00FC595C" w:rsidRPr="000B7BB6" w:rsidRDefault="00FC595C" w:rsidP="001A72F0">
      <w:pPr>
        <w:pStyle w:val="Heading6"/>
      </w:pPr>
      <w:r w:rsidRPr="000B7BB6">
        <w:t xml:space="preserve">Water Impact Descriptions and Calculation  </w:t>
      </w:r>
    </w:p>
    <w:p w14:paraId="591CAB5D" w14:textId="77777777" w:rsidR="00FC595C" w:rsidRPr="000B7BB6" w:rsidRDefault="00FC595C" w:rsidP="00FC595C">
      <w:pPr>
        <w:rPr>
          <w:rFonts w:cstheme="minorHAnsi"/>
        </w:rPr>
      </w:pPr>
      <w:r w:rsidRPr="000B7BB6">
        <w:rPr>
          <w:rFonts w:cstheme="minorHAnsi"/>
        </w:rPr>
        <w:t>N/A</w:t>
      </w:r>
    </w:p>
    <w:p w14:paraId="591CAB5E" w14:textId="77777777" w:rsidR="00FC595C" w:rsidRPr="000B7BB6" w:rsidRDefault="00FC595C" w:rsidP="001A72F0">
      <w:pPr>
        <w:pStyle w:val="Heading6"/>
      </w:pPr>
      <w:r w:rsidRPr="000B7BB6">
        <w:t>Deemed O&amp;M Cost Adjustment Calculation</w:t>
      </w:r>
    </w:p>
    <w:p w14:paraId="591CAB5F" w14:textId="77777777" w:rsidR="00FC595C" w:rsidRPr="000B7BB6" w:rsidRDefault="00FC595C" w:rsidP="00FC595C">
      <w:pPr>
        <w:rPr>
          <w:rFonts w:cstheme="minorHAnsi"/>
        </w:rPr>
      </w:pPr>
      <w:r w:rsidRPr="000B7BB6">
        <w:rPr>
          <w:rFonts w:cstheme="minorHAnsi"/>
        </w:rPr>
        <w:t>N/A</w:t>
      </w:r>
    </w:p>
    <w:p w14:paraId="591CAB60" w14:textId="70D85314" w:rsidR="004D77A7" w:rsidRDefault="00FC595C" w:rsidP="001A72F0">
      <w:pPr>
        <w:pStyle w:val="Heading6"/>
      </w:pPr>
      <w:r w:rsidRPr="00394DB9">
        <w:t>Measure Code: RS-HVC-</w:t>
      </w:r>
      <w:r w:rsidR="002570DF" w:rsidRPr="00394DB9">
        <w:t>ADTH</w:t>
      </w:r>
      <w:r w:rsidRPr="00394DB9">
        <w:t>-V0</w:t>
      </w:r>
      <w:r w:rsidR="002570DF" w:rsidRPr="00394DB9">
        <w:t>1</w:t>
      </w:r>
      <w:r w:rsidRPr="00394DB9">
        <w:t>-</w:t>
      </w:r>
      <w:r w:rsidR="002570DF" w:rsidRPr="002570DF">
        <w:t>160601</w:t>
      </w:r>
    </w:p>
    <w:sectPr w:rsidR="004D77A7" w:rsidSect="00E132C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Nick Lange" w:date="2015-11-25T11:39:00Z" w:initials="NL">
    <w:p w14:paraId="2F1692EA" w14:textId="62A7A748" w:rsidR="00C9505A" w:rsidRDefault="00C9505A" w:rsidP="003908C4">
      <w:r w:rsidRPr="003908C4">
        <w:rPr>
          <w:rStyle w:val="CommentReference"/>
        </w:rPr>
        <w:annotationRef/>
      </w:r>
      <w:r w:rsidRPr="003908C4">
        <w:t xml:space="preserve">11/25/2015 - NOTE: In absence of industry standards, such as ENERGY STAR designation or an efficiency testing standard, a consensus position needs to be developed to describe any additional details of the standard of proof of savings. For example, in addition to the above </w:t>
      </w:r>
      <w:proofErr w:type="spellStart"/>
      <w:r w:rsidRPr="003908C4">
        <w:t>featureset</w:t>
      </w:r>
      <w:proofErr w:type="spellEnd"/>
      <w:r w:rsidRPr="003908C4">
        <w:t>, requirements could include specifics around level and verification of savings, methodological integrity, and their suitability to heating or cooling savings in IL programs.</w:t>
      </w:r>
      <w:r w:rsidRPr="00FA3605">
        <w:t xml:space="preserve"> </w:t>
      </w:r>
    </w:p>
  </w:comment>
  <w:comment w:id="9" w:author="Nick Lange" w:date="2015-11-25T11:39:00Z" w:initials="NL">
    <w:p w14:paraId="5823A679" w14:textId="2008BEAD" w:rsidR="00137369" w:rsidRDefault="00137369">
      <w:pPr>
        <w:pStyle w:val="CommentText"/>
      </w:pPr>
      <w:r w:rsidRPr="003908C4">
        <w:t>VEIC will investigate whether there is a basis for a separate demand savings factor instead of using the energy savings and coincidence factor.</w:t>
      </w:r>
      <w:r>
        <w:t xml:space="preserve"> </w:t>
      </w:r>
    </w:p>
  </w:comment>
  <w:comment w:id="10" w:author="Nick Lange" w:date="2015-11-25T11:39:00Z" w:initials="NL">
    <w:p w14:paraId="39037D21" w14:textId="2FA310FD" w:rsidR="001B259A" w:rsidRDefault="001B259A">
      <w:pPr>
        <w:pStyle w:val="CommentText"/>
      </w:pPr>
      <w:r>
        <w:rPr>
          <w:rStyle w:val="CommentReference"/>
        </w:rPr>
        <w:annotationRef/>
      </w:r>
      <w:r w:rsidRPr="003908C4">
        <w:t>This value is still TBD, as it will be developed through collaborative application of results from local and other evaluations of advanced thermostats to IL.  This process will address the multiple factors that affect savings, and to the extent possible, establish a value which best represents expected savings for programs applying this measure characterization.  It is expected that higher and lower values may be justified based upon specifics of program design and delivery. Future program planning and evaluation work should assess program specific impacts to adjust this value where appropriate.</w:t>
      </w:r>
    </w:p>
  </w:comment>
  <w:comment w:id="11" w:author="Nick Lange" w:date="2015-11-25T11:39:00Z" w:initials="NL">
    <w:p w14:paraId="6ABB25EB" w14:textId="54C957FC" w:rsidR="00354C0F" w:rsidRDefault="00354C0F">
      <w:pPr>
        <w:pStyle w:val="CommentText"/>
      </w:pPr>
      <w:r>
        <w:rPr>
          <w:rStyle w:val="CommentReference"/>
        </w:rPr>
        <w:annotationRef/>
      </w:r>
      <w:r w:rsidRPr="003908C4">
        <w:t>TBD based upon data soon to be provided by vendors and review of evaluations of retail programs.</w:t>
      </w:r>
      <w:r w:rsidR="00193D81">
        <w:t xml:space="preserve"> </w:t>
      </w:r>
    </w:p>
  </w:comment>
  <w:comment w:id="12" w:author="Nick Lange" w:date="2015-11-25T08:57:00Z" w:initials="NL">
    <w:p w14:paraId="2DE072A7" w14:textId="5A4D5F86" w:rsidR="00354C0F" w:rsidRDefault="00354C0F">
      <w:pPr>
        <w:pStyle w:val="CommentText"/>
      </w:pPr>
      <w:r>
        <w:rPr>
          <w:rStyle w:val="CommentReference"/>
        </w:rPr>
        <w:annotationRef/>
      </w:r>
      <w:r w:rsidRPr="00504062">
        <w:rPr>
          <w:highlight w:val="yellow"/>
        </w:rPr>
        <w:t>TBD based upon data provided by review of evaluat</w:t>
      </w:r>
      <w:r>
        <w:rPr>
          <w:highlight w:val="yellow"/>
        </w:rPr>
        <w:t>ions of retail programs and vendor</w:t>
      </w:r>
      <w:r w:rsidRPr="00504062">
        <w:rPr>
          <w:highlight w:val="yellow"/>
        </w:rPr>
        <w:t xml:space="preserve"> data if available.</w:t>
      </w:r>
    </w:p>
  </w:comment>
  <w:comment w:id="14" w:author="Nick Lange" w:date="2015-11-25T08:05:00Z" w:initials="NL">
    <w:p w14:paraId="297DFE83" w14:textId="77777777" w:rsidR="001B259A" w:rsidRDefault="001B259A" w:rsidP="001B259A">
      <w:pPr>
        <w:pStyle w:val="CommentText"/>
      </w:pPr>
      <w:r>
        <w:rPr>
          <w:rStyle w:val="CommentReference"/>
        </w:rPr>
        <w:annotationRef/>
      </w:r>
      <w:r>
        <w:t>This value is still TBD, as it will be developed through collaborative application of results from local and other evaluations of advanced thermostats to IL.  This process will address the multiple factors that affect savings, and to the extent possible, establish a value which best represents expected savings for programs applying this measure characterization.  It is expected that h</w:t>
      </w:r>
      <w:r w:rsidRPr="00EC6CF5">
        <w:t xml:space="preserve">igher and lower values </w:t>
      </w:r>
      <w:r>
        <w:t>may</w:t>
      </w:r>
      <w:r w:rsidRPr="00EC6CF5">
        <w:t xml:space="preserve"> be justified</w:t>
      </w:r>
      <w:r>
        <w:t xml:space="preserve"> in the future</w:t>
      </w:r>
      <w:r w:rsidRPr="00EC6CF5">
        <w:t xml:space="preserve"> based upon</w:t>
      </w:r>
      <w:r>
        <w:t xml:space="preserve"> new findings and specifics of program design and delivery.</w:t>
      </w:r>
      <w:r w:rsidRPr="00EC6CF5">
        <w:t xml:space="preserve"> Future </w:t>
      </w:r>
      <w:r>
        <w:t xml:space="preserve">program planning and </w:t>
      </w:r>
      <w:r w:rsidRPr="00EC6CF5">
        <w:t>evaluation work should assess program specific impacts</w:t>
      </w:r>
      <w:r>
        <w:t xml:space="preserve"> to adjust this value where appropriate.</w:t>
      </w:r>
    </w:p>
    <w:p w14:paraId="7E9334DC" w14:textId="705FE26A" w:rsidR="001B259A" w:rsidRDefault="001B259A">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CAB67" w14:textId="77777777" w:rsidR="00EF7B04" w:rsidRDefault="00EF7B04" w:rsidP="00FC595C">
      <w:pPr>
        <w:spacing w:after="0"/>
      </w:pPr>
      <w:r>
        <w:separator/>
      </w:r>
    </w:p>
  </w:endnote>
  <w:endnote w:type="continuationSeparator" w:id="0">
    <w:p w14:paraId="591CAB68" w14:textId="77777777" w:rsidR="00EF7B04" w:rsidRDefault="00EF7B04" w:rsidP="00FC59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CAB65" w14:textId="77777777" w:rsidR="00EF7B04" w:rsidRDefault="00EF7B04" w:rsidP="00FC595C">
      <w:pPr>
        <w:spacing w:after="0"/>
      </w:pPr>
      <w:r>
        <w:separator/>
      </w:r>
    </w:p>
  </w:footnote>
  <w:footnote w:type="continuationSeparator" w:id="0">
    <w:p w14:paraId="591CAB66" w14:textId="77777777" w:rsidR="00EF7B04" w:rsidRDefault="00EF7B04" w:rsidP="00FC595C">
      <w:pPr>
        <w:spacing w:after="0"/>
      </w:pPr>
      <w:r>
        <w:continuationSeparator/>
      </w:r>
    </w:p>
  </w:footnote>
  <w:footnote w:id="1">
    <w:p w14:paraId="516AB4C9" w14:textId="51E58F34" w:rsidR="006C3A75" w:rsidRPr="000B7BB6" w:rsidRDefault="006C3A75" w:rsidP="006C3A75">
      <w:pPr>
        <w:pStyle w:val="FootnoteText"/>
        <w:rPr>
          <w:rFonts w:cstheme="minorHAnsi"/>
          <w:szCs w:val="20"/>
        </w:rPr>
      </w:pPr>
      <w:r w:rsidRPr="00ED2A08">
        <w:rPr>
          <w:rStyle w:val="FootnoteReference"/>
          <w:rFonts w:cstheme="minorHAnsi"/>
          <w:szCs w:val="20"/>
        </w:rPr>
        <w:footnoteRef/>
      </w:r>
      <w:r w:rsidRPr="00B41203">
        <w:rPr>
          <w:rFonts w:cstheme="minorHAnsi"/>
          <w:szCs w:val="20"/>
        </w:rPr>
        <w:t xml:space="preserve"> </w:t>
      </w:r>
      <w:r w:rsidRPr="000B7BB6">
        <w:rPr>
          <w:rFonts w:cstheme="minorHAnsi"/>
          <w:szCs w:val="20"/>
        </w:rPr>
        <w:t>The</w:t>
      </w:r>
      <w:r w:rsidR="00FA3605">
        <w:rPr>
          <w:rFonts w:cstheme="minorHAnsi"/>
          <w:szCs w:val="20"/>
        </w:rPr>
        <w:t xml:space="preserve"> ENERGY STAR</w:t>
      </w:r>
      <w:r w:rsidRPr="000B7BB6">
        <w:rPr>
          <w:rFonts w:cstheme="minorHAnsi"/>
          <w:szCs w:val="20"/>
        </w:rPr>
        <w:t xml:space="preserve"> program discontinued its support for </w:t>
      </w:r>
      <w:r w:rsidR="001A72F0">
        <w:rPr>
          <w:rFonts w:cstheme="minorHAnsi"/>
          <w:szCs w:val="20"/>
        </w:rPr>
        <w:t>basic programmable thermostats</w:t>
      </w:r>
      <w:r w:rsidRPr="000B7BB6">
        <w:rPr>
          <w:rFonts w:cstheme="minorHAnsi"/>
          <w:szCs w:val="20"/>
        </w:rPr>
        <w:t xml:space="preserve"> effective 12/31/09, and is presently developing a new specification for ‘Residential Climate Controls’. </w:t>
      </w:r>
    </w:p>
  </w:footnote>
  <w:footnote w:id="2">
    <w:p w14:paraId="66927FB7" w14:textId="2F985DAA" w:rsidR="004820CC" w:rsidRDefault="004820CC">
      <w:pPr>
        <w:pStyle w:val="FootnoteText"/>
      </w:pPr>
      <w:r>
        <w:rPr>
          <w:rStyle w:val="FootnoteReference"/>
        </w:rPr>
        <w:footnoteRef/>
      </w:r>
      <w:r>
        <w:t xml:space="preserve"> </w:t>
      </w:r>
      <w:r w:rsidR="00966D45">
        <w:t xml:space="preserve">This measure recognizes that field data may be available, through this 2-way communication capability, to better inform characterization of efficiency criteria and savings calculations. It is recommended that program implementations incorporate this data into their planning and operation activities to improve understanding of the measure to manage risks and enhance savings results. </w:t>
      </w:r>
    </w:p>
  </w:footnote>
  <w:footnote w:id="3">
    <w:p w14:paraId="49598120" w14:textId="5F16FABF" w:rsidR="00FA3605" w:rsidRDefault="00FA3605">
      <w:pPr>
        <w:pStyle w:val="FootnoteText"/>
      </w:pPr>
      <w:r>
        <w:rPr>
          <w:rStyle w:val="FootnoteReference"/>
        </w:rPr>
        <w:footnoteRef/>
      </w:r>
      <w:r>
        <w:t xml:space="preserve"> If the actual </w:t>
      </w:r>
      <w:r w:rsidR="00966D45">
        <w:t xml:space="preserve">thermostat is a </w:t>
      </w:r>
      <w:r>
        <w:t xml:space="preserve">programmable and it </w:t>
      </w:r>
      <w:r w:rsidRPr="00FA3605">
        <w:t xml:space="preserve">is </w:t>
      </w:r>
      <w:r w:rsidR="00966D45">
        <w:t xml:space="preserve">found to </w:t>
      </w:r>
      <w:r w:rsidRPr="00FA3605">
        <w:t>be</w:t>
      </w:r>
      <w:r w:rsidR="008C7F74">
        <w:t xml:space="preserve"> </w:t>
      </w:r>
      <w:r w:rsidRPr="00FA3605">
        <w:t xml:space="preserve">used in override mode or otherwise effectively being operated </w:t>
      </w:r>
      <w:r>
        <w:t xml:space="preserve">like a manual thermostat, then the baseline may be considered to be a manual thermostat </w:t>
      </w:r>
    </w:p>
  </w:footnote>
  <w:footnote w:id="4">
    <w:p w14:paraId="4E6E20C0" w14:textId="42D7330D" w:rsidR="00F865C4" w:rsidRDefault="00F865C4">
      <w:pPr>
        <w:pStyle w:val="FootnoteText"/>
      </w:pPr>
      <w:r>
        <w:rPr>
          <w:rStyle w:val="FootnoteReference"/>
        </w:rPr>
        <w:footnoteRef/>
      </w:r>
      <w:r>
        <w:t xml:space="preserve"> ComEd Potential Study, 2013 </w:t>
      </w:r>
    </w:p>
  </w:footnote>
  <w:footnote w:id="5">
    <w:p w14:paraId="591CAB6A" w14:textId="77777777" w:rsidR="00EF7B04" w:rsidRPr="00287BA4" w:rsidRDefault="00EF7B04" w:rsidP="00FC595C">
      <w:pPr>
        <w:pStyle w:val="Footnote"/>
      </w:pPr>
      <w:r w:rsidRPr="000869C8">
        <w:rPr>
          <w:rStyle w:val="CaptionChar"/>
          <w:rFonts w:eastAsiaTheme="minorEastAsia"/>
          <w:b w:val="0"/>
          <w:vertAlign w:val="superscript"/>
        </w:rPr>
        <w:footnoteRef/>
      </w:r>
      <w:r w:rsidRPr="00746D7D">
        <w:t xml:space="preserve"> </w:t>
      </w:r>
      <w:r w:rsidRPr="00287BA4">
        <w:t>Table 1, HVAC Controls, Measure Life Report, Residential and Commercial/Industrial Lighting and HVAC Measures, GDS Associates, 2007</w:t>
      </w:r>
    </w:p>
  </w:footnote>
  <w:footnote w:id="6">
    <w:p w14:paraId="591CAB6B" w14:textId="7D280A77" w:rsidR="00EF7B04" w:rsidRPr="00287BA4" w:rsidRDefault="00EF7B04" w:rsidP="00FC595C">
      <w:pPr>
        <w:pStyle w:val="Footnote"/>
      </w:pPr>
      <w:r w:rsidRPr="000869C8">
        <w:rPr>
          <w:rStyle w:val="CaptionChar"/>
          <w:rFonts w:eastAsiaTheme="minorEastAsia"/>
          <w:b w:val="0"/>
          <w:vertAlign w:val="superscript"/>
        </w:rPr>
        <w:footnoteRef/>
      </w:r>
      <w:r w:rsidRPr="00746D7D">
        <w:rPr>
          <w:rStyle w:val="FootnoteReference"/>
        </w:rPr>
        <w:t xml:space="preserve"> </w:t>
      </w:r>
      <w:r w:rsidRPr="00287BA4">
        <w:t xml:space="preserve">Future evaluation is strongly encouraged to inform the persistence of savings to further refine measure life assumption.  As this characterization depends heavily upon a </w:t>
      </w:r>
      <w:r w:rsidR="00DA21B7">
        <w:t xml:space="preserve">number of savings studies that only lasted a single year or less, </w:t>
      </w:r>
      <w:r w:rsidRPr="00287BA4">
        <w:t>the longer term impacts should be assessed.</w:t>
      </w:r>
    </w:p>
  </w:footnote>
  <w:footnote w:id="7">
    <w:p w14:paraId="4E62308A" w14:textId="01866826" w:rsidR="00F865C4" w:rsidRDefault="00F865C4">
      <w:pPr>
        <w:pStyle w:val="FootnoteText"/>
      </w:pPr>
      <w:r>
        <w:rPr>
          <w:rStyle w:val="FootnoteReference"/>
        </w:rPr>
        <w:footnoteRef/>
      </w:r>
      <w:r>
        <w:t xml:space="preserve"> </w:t>
      </w:r>
      <w:proofErr w:type="gramStart"/>
      <w:r>
        <w:rPr>
          <w:rFonts w:cstheme="minorHAnsi"/>
        </w:rPr>
        <w:t>Including any one-time software integration or annual software maintenance, and or individual device energy feature fees.</w:t>
      </w:r>
      <w:proofErr w:type="gramEnd"/>
    </w:p>
  </w:footnote>
  <w:footnote w:id="8">
    <w:p w14:paraId="591CAB6C" w14:textId="54244A4F" w:rsidR="00EF7B04" w:rsidRPr="00287BA4" w:rsidRDefault="00EF7B04" w:rsidP="00FC595C">
      <w:pPr>
        <w:pStyle w:val="Footnote"/>
      </w:pPr>
      <w:r w:rsidRPr="000869C8">
        <w:rPr>
          <w:rStyle w:val="CaptionChar"/>
          <w:rFonts w:eastAsiaTheme="minorEastAsia"/>
          <w:b w:val="0"/>
          <w:vertAlign w:val="superscript"/>
        </w:rPr>
        <w:footnoteRef/>
      </w:r>
      <w:r w:rsidRPr="00287BA4">
        <w:t xml:space="preserve"> Market prices vary </w:t>
      </w:r>
      <w:r w:rsidR="003F710B">
        <w:t xml:space="preserve">considerably </w:t>
      </w:r>
      <w:r w:rsidRPr="00287BA4">
        <w:t>in this category, generally increasing with thermostat capability and sophistication.</w:t>
      </w:r>
      <w:r w:rsidR="003F710B">
        <w:t xml:space="preserve"> </w:t>
      </w:r>
      <w:r w:rsidRPr="00287BA4">
        <w:t xml:space="preserve">The </w:t>
      </w:r>
      <w:r w:rsidR="00427C18">
        <w:t>core suite of</w:t>
      </w:r>
      <w:r w:rsidRPr="00287BA4">
        <w:t xml:space="preserve"> functions required by this measure's eligibility criteria are available on units readily available in the market </w:t>
      </w:r>
      <w:r w:rsidR="00E30D29">
        <w:t>roughly in the range of $200 and $250, excluding the availability of any wholesale or volume discounts.  The assumed incremental cost is based on the middle of this range ($225) minus a cost of $50 for the baseline equipment blend of manual and programmable thermostats.</w:t>
      </w:r>
      <w:r w:rsidR="003F71C3">
        <w:t xml:space="preserve"> </w:t>
      </w:r>
      <w:r w:rsidR="00E30D29">
        <w:t xml:space="preserve">Note that </w:t>
      </w:r>
      <w:r w:rsidR="00CB3553">
        <w:t xml:space="preserve">any </w:t>
      </w:r>
      <w:r w:rsidR="00E30D29">
        <w:t>a</w:t>
      </w:r>
      <w:r w:rsidR="003F71C3">
        <w:t>dd</w:t>
      </w:r>
      <w:r w:rsidR="00CB3553">
        <w:t>-on</w:t>
      </w:r>
      <w:r w:rsidR="003F71C3">
        <w:t xml:space="preserve"> energy service costs, which may include one-time setup and/or annual per device costs are not included</w:t>
      </w:r>
      <w:r w:rsidR="00E30D29">
        <w:t xml:space="preserve"> in this assumption</w:t>
      </w:r>
      <w:r w:rsidR="003F71C3">
        <w:t>.</w:t>
      </w:r>
    </w:p>
  </w:footnote>
  <w:footnote w:id="9">
    <w:p w14:paraId="497E1582" w14:textId="77777777" w:rsidR="00F865C4" w:rsidRPr="009C362B" w:rsidRDefault="00F865C4" w:rsidP="00F865C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10">
    <w:p w14:paraId="050BF7B8" w14:textId="77777777" w:rsidR="00F865C4" w:rsidRPr="009C362B" w:rsidRDefault="00F865C4" w:rsidP="00F865C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1">
    <w:p w14:paraId="591CAB6D" w14:textId="1F7C6B93" w:rsidR="00EF7B04" w:rsidRPr="00287BA4" w:rsidRDefault="00EF7B04" w:rsidP="00FC595C">
      <w:pPr>
        <w:pStyle w:val="Footnote"/>
      </w:pPr>
      <w:r w:rsidRPr="00287BA4">
        <w:rPr>
          <w:rStyle w:val="FootnoteReference"/>
        </w:rPr>
        <w:footnoteRef/>
      </w:r>
      <w:r w:rsidRPr="00287BA4">
        <w:t xml:space="preserve"> </w:t>
      </w:r>
      <w:r w:rsidR="00F865C4">
        <w:t>Electrical savings are a function of both heating and cooling energy usage reductions. For heating this is a function of the percent of electric heat (heat pumps) and fan savings in the case of a natural gas furnace.</w:t>
      </w:r>
    </w:p>
  </w:footnote>
  <w:footnote w:id="12">
    <w:p w14:paraId="591CAB6E" w14:textId="77777777" w:rsidR="00EF7B04" w:rsidRPr="00EC6CF5" w:rsidRDefault="00EF7B04" w:rsidP="00FC595C">
      <w:pPr>
        <w:pStyle w:val="Footnote"/>
      </w:pPr>
      <w:r w:rsidRPr="00287BA4">
        <w:rPr>
          <w:rStyle w:val="FootnoteReference"/>
        </w:rPr>
        <w:footnoteRef/>
      </w:r>
      <w:r w:rsidRPr="00287BA4">
        <w:t xml:space="preserve"> </w:t>
      </w:r>
      <w:proofErr w:type="gramStart"/>
      <w:r w:rsidRPr="00287BA4">
        <w:t>Average (default) value of 13% electric space heating from 2010 Residential Energy Consumption Survey for Illinois.</w:t>
      </w:r>
      <w:proofErr w:type="gramEnd"/>
      <w:r w:rsidRPr="00287BA4">
        <w:t xml:space="preserve"> If utilities have specific evaluation results p</w:t>
      </w:r>
      <w:r w:rsidRPr="00EC6CF5">
        <w:t>roviding a more appropriate assumption for homes in a particular market or geographical area then that should be used.</w:t>
      </w:r>
    </w:p>
  </w:footnote>
  <w:footnote w:id="13">
    <w:p w14:paraId="591CAB6F" w14:textId="524F9FA9" w:rsidR="00EF7B04" w:rsidRPr="00EC6CF5" w:rsidRDefault="00EF7B04" w:rsidP="00FC595C">
      <w:pPr>
        <w:pStyle w:val="Footnote"/>
      </w:pPr>
      <w:r w:rsidRPr="00EC6CF5">
        <w:rPr>
          <w:rStyle w:val="FootnoteReference"/>
        </w:rPr>
        <w:footnoteRef/>
      </w:r>
      <w:r w:rsidRPr="00EC6CF5">
        <w:t xml:space="preserve"> Values in table are based on converting an average household heating </w:t>
      </w:r>
      <w:r w:rsidR="00B870D4" w:rsidRPr="00EC6CF5">
        <w:t xml:space="preserve">load </w:t>
      </w:r>
      <w:r w:rsidRPr="00EC6CF5">
        <w:t>(8</w:t>
      </w:r>
      <w:r w:rsidR="00B870D4" w:rsidRPr="00EC6CF5">
        <w:t>34</w:t>
      </w:r>
      <w:r w:rsidRPr="00EC6CF5">
        <w:t xml:space="preserve"> therms) for Chicago based on ‘Table </w:t>
      </w:r>
      <w:r w:rsidR="00B870D4" w:rsidRPr="00EC6CF5">
        <w:t>E-1</w:t>
      </w:r>
      <w:r w:rsidRPr="00EC6CF5">
        <w:t xml:space="preserve">, </w:t>
      </w:r>
      <w:r w:rsidR="00B870D4" w:rsidRPr="00EC6CF5">
        <w:t xml:space="preserve">Energy Efficiency/Demand Response </w:t>
      </w:r>
      <w:proofErr w:type="spellStart"/>
      <w:r w:rsidR="00B870D4" w:rsidRPr="00EC6CF5">
        <w:t>Nicor</w:t>
      </w:r>
      <w:proofErr w:type="spellEnd"/>
      <w:r w:rsidR="00B870D4" w:rsidRPr="00EC6CF5">
        <w:t xml:space="preserve"> Gas Plan Year 1: Research Report: Furnace Metering Study, Draft, Navigant, August 1 2013 </w:t>
      </w:r>
      <w:r w:rsidRPr="00EC6CF5">
        <w:t>to an electric heat load (divide by 0.03413</w:t>
      </w:r>
      <w:r w:rsidRPr="000869C8">
        <w:t>) to electric</w:t>
      </w:r>
      <w:r w:rsidR="00FA10E2" w:rsidRPr="000869C8">
        <w:t xml:space="preserve"> resistance and ASHP heat load (resistance load reduced by 15% to account for distribution losses that occur in furnace heating but not in electric resistance while ASHP heat is assumed to suffer from similar distribution losses) and then to electric </w:t>
      </w:r>
      <w:r w:rsidRPr="000869C8">
        <w:t>consumption</w:t>
      </w:r>
      <w:r w:rsidRPr="00EC6CF5">
        <w:t xml:space="preserve"> assuming efficiencies of 100% for resistance and 200% for HP</w:t>
      </w:r>
      <w:r w:rsidR="00FA10E2" w:rsidRPr="00EC6CF5">
        <w:t xml:space="preserve"> (see ‘Household Heating Load Summary Calculations_11062013.xls’)</w:t>
      </w:r>
      <w:r w:rsidRPr="00EC6CF5">
        <w:t xml:space="preserve">. Finally these values were adjusted to a statewide average using relative HDD assumptions to adjust for the evaluation results focus on northern region. Values for individual cities are then calculated by comparing average HDD to the individual city’s HDD. </w:t>
      </w:r>
    </w:p>
  </w:footnote>
  <w:footnote w:id="14">
    <w:p w14:paraId="591CAB70" w14:textId="77777777" w:rsidR="00EF7B04" w:rsidRPr="00EC6CF5" w:rsidRDefault="00EF7B04" w:rsidP="00FC595C">
      <w:pPr>
        <w:pStyle w:val="Footnote"/>
      </w:pPr>
      <w:r w:rsidRPr="00EC6CF5">
        <w:rPr>
          <w:rStyle w:val="FootnoteReference"/>
        </w:rPr>
        <w:footnoteRef/>
      </w:r>
      <w:r w:rsidRPr="00EC6CF5">
        <w:t xml:space="preserve"> Assumption that 1/2 of electrically heated homes have electric resistance and 1/2 </w:t>
      </w:r>
      <w:proofErr w:type="gramStart"/>
      <w:r w:rsidRPr="00EC6CF5">
        <w:t>have</w:t>
      </w:r>
      <w:proofErr w:type="gramEnd"/>
      <w:r w:rsidRPr="00EC6CF5">
        <w:t xml:space="preserve"> Heat Pump, based on 2010 Residential Energy Consumption Survey for Illinois.</w:t>
      </w:r>
    </w:p>
  </w:footnote>
  <w:footnote w:id="15">
    <w:p w14:paraId="591CAB72" w14:textId="77777777" w:rsidR="00EF7B04" w:rsidRPr="00287BA4" w:rsidRDefault="00EF7B04" w:rsidP="00FC595C">
      <w:pPr>
        <w:pStyle w:val="Footnote"/>
      </w:pPr>
      <w:r w:rsidRPr="00287BA4">
        <w:rPr>
          <w:rStyle w:val="FootnoteReference"/>
        </w:rPr>
        <w:footnoteRef/>
      </w:r>
      <w:r w:rsidRPr="00287BA4">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p>
  </w:footnote>
  <w:footnote w:id="16">
    <w:p w14:paraId="591CAB73" w14:textId="77777777" w:rsidR="00EF7B04" w:rsidRPr="00287BA4" w:rsidRDefault="00EF7B04" w:rsidP="00FC595C">
      <w:pPr>
        <w:pStyle w:val="Footnote"/>
      </w:pPr>
      <w:r w:rsidRPr="00287BA4">
        <w:rPr>
          <w:rStyle w:val="FootnoteReference"/>
        </w:rPr>
        <w:footnoteRef/>
      </w:r>
      <w:r w:rsidRPr="00287BA4">
        <w:t xml:space="preserve"> Program-specific household factors may be utilized on the basis of sufficiently validated program evaluations. </w:t>
      </w:r>
    </w:p>
  </w:footnote>
  <w:footnote w:id="17">
    <w:p w14:paraId="591CAB75" w14:textId="77777777" w:rsidR="00EF7B04" w:rsidRPr="00287BA4" w:rsidRDefault="00EF7B04" w:rsidP="00FC595C">
      <w:pPr>
        <w:pStyle w:val="Footnote"/>
      </w:pPr>
      <w:r w:rsidRPr="00287BA4">
        <w:rPr>
          <w:rStyle w:val="FootnoteReference"/>
        </w:rPr>
        <w:footnoteRef/>
      </w:r>
      <w:r w:rsidRPr="00287BA4">
        <w:t xml:space="preserve"> F</w:t>
      </w:r>
      <w:r w:rsidRPr="00287BA4">
        <w:rPr>
          <w:vertAlign w:val="subscript"/>
        </w:rPr>
        <w:t>e</w:t>
      </w:r>
      <w:r w:rsidRPr="00287BA4">
        <w:t xml:space="preserve"> is not one of the AHRI certified ratings provided for residential furnaces, but can be reasonably estimated from a calculation based on the certified values for fuel energy (</w:t>
      </w:r>
      <w:proofErr w:type="spellStart"/>
      <w:r w:rsidRPr="00287BA4">
        <w:t>Ef</w:t>
      </w:r>
      <w:proofErr w:type="spellEnd"/>
      <w:r w:rsidRPr="00287BA4">
        <w:t xml:space="preserve"> in MMBTU/</w:t>
      </w:r>
      <w:proofErr w:type="spellStart"/>
      <w:r w:rsidRPr="00287BA4">
        <w:t>yr</w:t>
      </w:r>
      <w:proofErr w:type="spellEnd"/>
      <w:r w:rsidRPr="00287BA4">
        <w:t xml:space="preserve">) and </w:t>
      </w:r>
      <w:proofErr w:type="spellStart"/>
      <w:r w:rsidRPr="00287BA4">
        <w:t>Eae</w:t>
      </w:r>
      <w:proofErr w:type="spellEnd"/>
      <w:r w:rsidRPr="00287BA4">
        <w:t xml:space="preserve"> (kWh/</w:t>
      </w:r>
      <w:proofErr w:type="spellStart"/>
      <w:r w:rsidRPr="00287BA4">
        <w:t>yr</w:t>
      </w:r>
      <w:proofErr w:type="spellEnd"/>
      <w:r w:rsidRPr="00287BA4">
        <w:t>).  An average of a 300 record sample (non-random) out of 1495 was 3.14%.  This is, appropriately, ~50% greater than the Energy Star version 3 criteria for 2% F</w:t>
      </w:r>
      <w:r w:rsidRPr="00287BA4">
        <w:rPr>
          <w:vertAlign w:val="subscript"/>
        </w:rPr>
        <w:t>e</w:t>
      </w:r>
      <w:r w:rsidRPr="00287BA4">
        <w:t>. See “Programmable Thermostats Furnace Fan Analysis.xlsx” for reference.</w:t>
      </w:r>
    </w:p>
  </w:footnote>
  <w:footnote w:id="18">
    <w:p w14:paraId="26012289" w14:textId="4AEECC3F" w:rsidR="00354C0F" w:rsidRDefault="00354C0F">
      <w:pPr>
        <w:pStyle w:val="FootnoteText"/>
      </w:pPr>
      <w:r>
        <w:rPr>
          <w:rStyle w:val="FootnoteReference"/>
        </w:rPr>
        <w:footnoteRef/>
      </w:r>
      <w:r>
        <w:t xml:space="preserve"> </w:t>
      </w:r>
      <w:r w:rsidR="004D4192" w:rsidRPr="009C362B">
        <w:rPr>
          <w:szCs w:val="18"/>
        </w:rPr>
        <w:t xml:space="preserve">66% of homes in Illinois having central cooling ("Table HC7.9  Air Conditioning in Homes in Midwest Region, Divisions, and States, 2009 from Energy Information Administration", 2009 Residential Energy Consumption Survey;   </w:t>
      </w:r>
    </w:p>
  </w:footnote>
  <w:footnote w:id="19">
    <w:p w14:paraId="287CD67C" w14:textId="77777777" w:rsidR="00C2686E" w:rsidRPr="009C362B" w:rsidRDefault="00C2686E" w:rsidP="00C2686E">
      <w:pPr>
        <w:pStyle w:val="Footnote"/>
        <w:rPr>
          <w:szCs w:val="18"/>
        </w:rPr>
      </w:pPr>
      <w:r w:rsidRPr="009C362B">
        <w:rPr>
          <w:rStyle w:val="FootnoteReference"/>
          <w:rFonts w:cstheme="minorHAnsi"/>
          <w:sz w:val="18"/>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1" w:history="1">
        <w:r w:rsidRPr="009C362B">
          <w:rPr>
            <w:rStyle w:val="Hyperlink"/>
            <w:rFonts w:cstheme="minorHAnsi"/>
            <w:szCs w:val="18"/>
          </w:rPr>
          <w:t>http://ilsag.org/yahoo_site_admin/assets/docs/ComEd_PY2_CACES_Evaluation_Report_2010-10-18.299122020.pdf</w:t>
        </w:r>
      </w:hyperlink>
      <w:r w:rsidRPr="009C362B">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20">
    <w:p w14:paraId="085EAEE6" w14:textId="77777777" w:rsidR="00C2686E" w:rsidRPr="00C30554" w:rsidRDefault="00C2686E" w:rsidP="00C2686E">
      <w:pPr>
        <w:pStyle w:val="FootnoteText"/>
      </w:pPr>
      <w:r w:rsidRPr="00C30554">
        <w:rPr>
          <w:rStyle w:val="FootnoteReference"/>
        </w:rPr>
        <w:footnoteRef/>
      </w:r>
      <w:r w:rsidRPr="00185823">
        <w:t xml:space="preserve"> </w:t>
      </w:r>
      <w:r w:rsidRPr="00C703D4">
        <w:t>Ibid.</w:t>
      </w:r>
    </w:p>
  </w:footnote>
  <w:footnote w:id="21">
    <w:p w14:paraId="5FC6BD2D" w14:textId="77777777" w:rsidR="00C2686E" w:rsidRDefault="00C2686E" w:rsidP="00C2686E">
      <w:pPr>
        <w:pStyle w:val="FootnoteText"/>
      </w:pPr>
      <w:r>
        <w:rPr>
          <w:rStyle w:val="FootnoteReference"/>
        </w:rPr>
        <w:footnoteRef/>
      </w:r>
      <w:r>
        <w:t xml:space="preserve"> </w:t>
      </w:r>
      <w:r>
        <w:rPr>
          <w:i/>
        </w:rPr>
        <w:t>All-Electric Homes PY6 Metering Results: Multifamily HVAC Systems</w:t>
      </w:r>
      <w:r>
        <w:t>, Cadmus, October 2015</w:t>
      </w:r>
    </w:p>
  </w:footnote>
  <w:footnote w:id="22">
    <w:p w14:paraId="55FF0B4A" w14:textId="77777777" w:rsidR="00C2686E" w:rsidRDefault="00C2686E" w:rsidP="00C2686E">
      <w:pPr>
        <w:pStyle w:val="FootnoteText"/>
      </w:pPr>
      <w:r>
        <w:rPr>
          <w:rStyle w:val="FootnoteReference"/>
        </w:rPr>
        <w:footnoteRef/>
      </w:r>
      <w:r>
        <w:t xml:space="preserve"> </w:t>
      </w:r>
      <w:r w:rsidRPr="009C362B">
        <w:rPr>
          <w:szCs w:val="18"/>
        </w:rPr>
        <w:t>Weighted based on number of residential occupied housing units in each zone.</w:t>
      </w:r>
    </w:p>
  </w:footnote>
  <w:footnote w:id="23">
    <w:p w14:paraId="1269FA1E" w14:textId="77777777" w:rsidR="00EB778E" w:rsidRDefault="00EB778E" w:rsidP="00EB778E">
      <w:pPr>
        <w:pStyle w:val="FootnoteText"/>
      </w:pPr>
      <w:r>
        <w:rPr>
          <w:rStyle w:val="FootnoteReference"/>
        </w:rPr>
        <w:footnoteRef/>
      </w:r>
      <w:r>
        <w:t xml:space="preserve"> </w:t>
      </w:r>
      <w:r w:rsidRPr="009C362B">
        <w:rPr>
          <w:szCs w:val="18"/>
        </w:rPr>
        <w:t>Actual unit size required for multi-family building, no size assumption provided because the unit size and resulting savings can vary greatly depending on the number of units.</w:t>
      </w:r>
    </w:p>
  </w:footnote>
  <w:footnote w:id="24">
    <w:p w14:paraId="640CAB22" w14:textId="77777777" w:rsidR="00D651A8" w:rsidRPr="009C362B" w:rsidRDefault="00D651A8" w:rsidP="00D651A8">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25">
    <w:p w14:paraId="3AC24FE5" w14:textId="77777777" w:rsidR="004D4192" w:rsidRPr="009C362B" w:rsidRDefault="004D4192" w:rsidP="004D4192">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From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26">
    <w:p w14:paraId="4B7FD9D6" w14:textId="77777777" w:rsidR="004D4192" w:rsidRPr="009C362B" w:rsidRDefault="004D4192" w:rsidP="004D4192">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27">
    <w:p w14:paraId="625F85FD" w14:textId="77777777" w:rsidR="002570DF" w:rsidRPr="009C362B" w:rsidRDefault="002570DF" w:rsidP="002570DF">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28">
    <w:p w14:paraId="05A41787" w14:textId="77777777" w:rsidR="002570DF" w:rsidRPr="009C362B" w:rsidRDefault="002570DF" w:rsidP="002570DF">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29">
    <w:p w14:paraId="591CAB76" w14:textId="77777777" w:rsidR="00EF7B04" w:rsidRPr="00287BA4" w:rsidRDefault="00EF7B04" w:rsidP="00FC595C">
      <w:pPr>
        <w:pStyle w:val="Footnote"/>
      </w:pPr>
      <w:r w:rsidRPr="00287BA4">
        <w:rPr>
          <w:rStyle w:val="FootnoteReference"/>
        </w:rPr>
        <w:footnoteRef/>
      </w:r>
      <w:r w:rsidRPr="00287BA4">
        <w:t xml:space="preserve"> </w:t>
      </w:r>
      <w:proofErr w:type="gramStart"/>
      <w:r w:rsidRPr="00287BA4">
        <w:t>Average (default) value of 87% electric space heating from 2010 Residential Energy Consumption Survey for Illinois.</w:t>
      </w:r>
      <w:proofErr w:type="gramEnd"/>
      <w:r w:rsidRPr="00287BA4">
        <w:t xml:space="preserve"> If utilities have specific evaluation results providing a more appropriate assumption for homes in a particular market or geographical area then that should be used.</w:t>
      </w:r>
    </w:p>
  </w:footnote>
  <w:footnote w:id="30">
    <w:p w14:paraId="591CAB77" w14:textId="2E606A43" w:rsidR="00EF7B04" w:rsidRPr="00732F66" w:rsidRDefault="00EF7B04" w:rsidP="000869C8">
      <w:pPr>
        <w:spacing w:after="0"/>
        <w:jc w:val="left"/>
      </w:pPr>
      <w:r w:rsidRPr="00287BA4">
        <w:rPr>
          <w:rStyle w:val="FootnoteReference"/>
        </w:rPr>
        <w:footnoteRef/>
      </w:r>
      <w:r w:rsidRPr="00287BA4">
        <w:t xml:space="preserve"> Values are based on </w:t>
      </w:r>
      <w:r>
        <w:t>adjusting the</w:t>
      </w:r>
      <w:r w:rsidRPr="00BC4B17">
        <w:t xml:space="preserve"> </w:t>
      </w:r>
      <w:r w:rsidRPr="00732F66">
        <w:t xml:space="preserve">average household heating </w:t>
      </w:r>
      <w:r>
        <w:t>consumption</w:t>
      </w:r>
      <w:r w:rsidRPr="00732F66">
        <w:t xml:space="preserve"> (</w:t>
      </w:r>
      <w:r>
        <w:t>849</w:t>
      </w:r>
      <w:r w:rsidRPr="00732F66">
        <w:t xml:space="preserve"> therms) for Chicago based on ‘Table 3-4, Program Sample Analysis, </w:t>
      </w:r>
      <w:proofErr w:type="spellStart"/>
      <w:r w:rsidRPr="00732F66">
        <w:t>Nicor</w:t>
      </w:r>
      <w:proofErr w:type="spellEnd"/>
      <w:r w:rsidRPr="00732F66">
        <w:t xml:space="preserve"> R29 Res Rebate Evaluation Report 092611_REV FINAL to </w:t>
      </w:r>
      <w:proofErr w:type="spellStart"/>
      <w:r w:rsidRPr="00732F66">
        <w:t>Nicor</w:t>
      </w:r>
      <w:proofErr w:type="spellEnd"/>
      <w:r w:rsidRPr="00732F66">
        <w:t>’</w:t>
      </w:r>
      <w:r>
        <w:t xml:space="preserve">, calculating inferred heating load by dividing by average efficiency of new in program units in the study (94.4%) and then applying standard assumption of existing unit efficiency of 83% (estimate based on </w:t>
      </w:r>
      <w:r w:rsidRPr="00287BA4">
        <w:t>24% of furnaces purchased in Illinois were condensing</w:t>
      </w:r>
      <w:r>
        <w:t xml:space="preserve"> in 2000</w:t>
      </w:r>
      <w:r w:rsidRPr="00287BA4">
        <w:t xml:space="preserve"> (based on data from GAMA, provided to Department of Energy</w:t>
      </w:r>
      <w:r>
        <w:t>), a</w:t>
      </w:r>
      <w:r w:rsidRPr="00287BA4">
        <w:t>ssuming typical efficiencies: (0.24*0.92) + (0.76*0.8) =  0.</w:t>
      </w:r>
      <w:r>
        <w:t xml:space="preserve">83). This Chicago value was then </w:t>
      </w:r>
      <w:r w:rsidRPr="00732F66">
        <w:t>adjust</w:t>
      </w:r>
      <w:r>
        <w:t>ed</w:t>
      </w:r>
      <w:r w:rsidRPr="00732F66">
        <w:t xml:space="preserve"> to a statewide average using relative HDD assumptions to adjust for the evaluation results focus on northern region. Values for individual cities are then calculated by comparing average HDD to the individual city’s HDD.</w:t>
      </w:r>
    </w:p>
    <w:p w14:paraId="591CAB78" w14:textId="77777777" w:rsidR="00EF7B04" w:rsidRPr="00287BA4" w:rsidRDefault="00EF7B04" w:rsidP="00FC595C">
      <w:pPr>
        <w:pStyle w:val="Footnot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832D4EA"/>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95C"/>
    <w:rsid w:val="00036C0B"/>
    <w:rsid w:val="00072B4D"/>
    <w:rsid w:val="00075112"/>
    <w:rsid w:val="000869C8"/>
    <w:rsid w:val="000C20AC"/>
    <w:rsid w:val="001212F7"/>
    <w:rsid w:val="0013542A"/>
    <w:rsid w:val="00137369"/>
    <w:rsid w:val="00193D81"/>
    <w:rsid w:val="001A72F0"/>
    <w:rsid w:val="001B259A"/>
    <w:rsid w:val="00242EF4"/>
    <w:rsid w:val="002570DF"/>
    <w:rsid w:val="00260EAA"/>
    <w:rsid w:val="00305C6D"/>
    <w:rsid w:val="00354C0F"/>
    <w:rsid w:val="00380166"/>
    <w:rsid w:val="003827C0"/>
    <w:rsid w:val="003908C4"/>
    <w:rsid w:val="00394DB9"/>
    <w:rsid w:val="003B14F8"/>
    <w:rsid w:val="003C122A"/>
    <w:rsid w:val="003F710B"/>
    <w:rsid w:val="003F71C3"/>
    <w:rsid w:val="00427C18"/>
    <w:rsid w:val="00461CAB"/>
    <w:rsid w:val="004820CC"/>
    <w:rsid w:val="0049527F"/>
    <w:rsid w:val="004D4192"/>
    <w:rsid w:val="004D77A7"/>
    <w:rsid w:val="00504062"/>
    <w:rsid w:val="00512B7D"/>
    <w:rsid w:val="00536702"/>
    <w:rsid w:val="00631219"/>
    <w:rsid w:val="006C3A75"/>
    <w:rsid w:val="00797769"/>
    <w:rsid w:val="007F1283"/>
    <w:rsid w:val="007F3D3D"/>
    <w:rsid w:val="00803E75"/>
    <w:rsid w:val="00850831"/>
    <w:rsid w:val="00875027"/>
    <w:rsid w:val="008C7F74"/>
    <w:rsid w:val="008E38C0"/>
    <w:rsid w:val="00966D45"/>
    <w:rsid w:val="00A06105"/>
    <w:rsid w:val="00A43872"/>
    <w:rsid w:val="00AC7EC6"/>
    <w:rsid w:val="00AF5149"/>
    <w:rsid w:val="00B0156E"/>
    <w:rsid w:val="00B24441"/>
    <w:rsid w:val="00B47CF3"/>
    <w:rsid w:val="00B817FB"/>
    <w:rsid w:val="00B870D4"/>
    <w:rsid w:val="00C232F3"/>
    <w:rsid w:val="00C2686E"/>
    <w:rsid w:val="00C445A4"/>
    <w:rsid w:val="00C747F8"/>
    <w:rsid w:val="00C9505A"/>
    <w:rsid w:val="00CB02E3"/>
    <w:rsid w:val="00CB3553"/>
    <w:rsid w:val="00CD1544"/>
    <w:rsid w:val="00D048B3"/>
    <w:rsid w:val="00D0676C"/>
    <w:rsid w:val="00D3089C"/>
    <w:rsid w:val="00D55EAB"/>
    <w:rsid w:val="00D64219"/>
    <w:rsid w:val="00D651A8"/>
    <w:rsid w:val="00D812CF"/>
    <w:rsid w:val="00DA21B7"/>
    <w:rsid w:val="00E132C2"/>
    <w:rsid w:val="00E20864"/>
    <w:rsid w:val="00E26ED5"/>
    <w:rsid w:val="00E30D29"/>
    <w:rsid w:val="00E711B4"/>
    <w:rsid w:val="00E72C3B"/>
    <w:rsid w:val="00EA4982"/>
    <w:rsid w:val="00EB778E"/>
    <w:rsid w:val="00EC6CF5"/>
    <w:rsid w:val="00ED1EFD"/>
    <w:rsid w:val="00EF5B7B"/>
    <w:rsid w:val="00EF7B04"/>
    <w:rsid w:val="00F82E34"/>
    <w:rsid w:val="00F865C4"/>
    <w:rsid w:val="00FA1065"/>
    <w:rsid w:val="00FA10E2"/>
    <w:rsid w:val="00FA3605"/>
    <w:rsid w:val="00FB407D"/>
    <w:rsid w:val="00FC1C1B"/>
    <w:rsid w:val="00FC5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A72F0"/>
    <w:pPr>
      <w:keepNext/>
      <w:keepLines/>
      <w:spacing w:before="200" w:line="276" w:lineRule="auto"/>
      <w:jc w:val="left"/>
      <w:outlineLvl w:val="5"/>
    </w:pPr>
    <w:rPr>
      <w:rFonts w:eastAsiaTheme="majorEastAsia"/>
      <w:b/>
      <w:smallCaps/>
      <w:sz w:val="22"/>
      <w:szCs w:val="18"/>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A72F0"/>
    <w:rPr>
      <w:rFonts w:eastAsiaTheme="majorEastAsia" w:cs="Times New Roman"/>
      <w:b/>
      <w:smallCaps/>
      <w:szCs w:val="18"/>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 w:type="character" w:styleId="Hyperlink">
    <w:name w:val="Hyperlink"/>
    <w:uiPriority w:val="99"/>
    <w:rsid w:val="00C2686E"/>
    <w:rPr>
      <w:rFonts w:cs="Times New Roman"/>
      <w:color w:val="0000FF"/>
      <w:u w:val="single"/>
    </w:rPr>
  </w:style>
  <w:style w:type="table" w:styleId="TableGrid">
    <w:name w:val="Table Grid"/>
    <w:basedOn w:val="TableNormal"/>
    <w:uiPriority w:val="59"/>
    <w:rsid w:val="00D651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TableText">
    <w:name w:val="Table Text"/>
    <w:basedOn w:val="Normal"/>
    <w:autoRedefine/>
    <w:qFormat/>
    <w:rsid w:val="00D651A8"/>
    <w:pPr>
      <w:spacing w:after="120"/>
      <w:jc w:val="left"/>
    </w:pPr>
    <w:rPr>
      <w:rFonts w:ascii="Calibri" w:hAnsi="Calibri" w:cs="Arial"/>
      <w:noProof/>
      <w:szCs w:val="18"/>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A72F0"/>
    <w:pPr>
      <w:keepNext/>
      <w:keepLines/>
      <w:spacing w:before="200" w:line="276" w:lineRule="auto"/>
      <w:jc w:val="left"/>
      <w:outlineLvl w:val="5"/>
    </w:pPr>
    <w:rPr>
      <w:rFonts w:eastAsiaTheme="majorEastAsia"/>
      <w:b/>
      <w:smallCaps/>
      <w:sz w:val="22"/>
      <w:szCs w:val="18"/>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A72F0"/>
    <w:rPr>
      <w:rFonts w:eastAsiaTheme="majorEastAsia" w:cs="Times New Roman"/>
      <w:b/>
      <w:smallCaps/>
      <w:szCs w:val="18"/>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 w:type="character" w:styleId="Hyperlink">
    <w:name w:val="Hyperlink"/>
    <w:uiPriority w:val="99"/>
    <w:rsid w:val="00C2686E"/>
    <w:rPr>
      <w:rFonts w:cs="Times New Roman"/>
      <w:color w:val="0000FF"/>
      <w:u w:val="single"/>
    </w:rPr>
  </w:style>
  <w:style w:type="table" w:styleId="TableGrid">
    <w:name w:val="Table Grid"/>
    <w:basedOn w:val="TableNormal"/>
    <w:uiPriority w:val="59"/>
    <w:rsid w:val="00D651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TableText">
    <w:name w:val="Table Text"/>
    <w:basedOn w:val="Normal"/>
    <w:autoRedefine/>
    <w:qFormat/>
    <w:rsid w:val="00D651A8"/>
    <w:pPr>
      <w:spacing w:after="120"/>
      <w:jc w:val="left"/>
    </w:pPr>
    <w:rPr>
      <w:rFonts w:ascii="Calibri" w:hAnsi="Calibri" w:cs="Arial"/>
      <w:noProof/>
      <w:szCs w:val="1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lsag.org/yahoo_site_admin/assets/docs/ComEd_PY2_CACES_Evaluation_Report_2010-10-18.29912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C1947-935F-466D-B39F-67EE5BB5DCBC}">
  <ds:schemaRefs>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6613B154-A8CD-4F22-BF17-34BDEF4D4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ECAA80-74AD-49E0-81C5-E13432126668}">
  <ds:schemaRefs>
    <ds:schemaRef ds:uri="http://schemas.microsoft.com/sharepoint/v3/contenttype/forms"/>
  </ds:schemaRefs>
</ds:datastoreItem>
</file>

<file path=customXml/itemProps4.xml><?xml version="1.0" encoding="utf-8"?>
<ds:datastoreItem xmlns:ds="http://schemas.openxmlformats.org/officeDocument/2006/customXml" ds:itemID="{A7A3FE3E-E916-408C-A4BF-9F85C687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802EEFC9</Template>
  <TotalTime>149</TotalTime>
  <Pages>8</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Exelon Corporation</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fayjm</dc:creator>
  <cp:lastModifiedBy>Samuel Dent</cp:lastModifiedBy>
  <cp:revision>7</cp:revision>
  <dcterms:created xsi:type="dcterms:W3CDTF">2015-11-24T18:04:00Z</dcterms:created>
  <dcterms:modified xsi:type="dcterms:W3CDTF">2015-11-25T16:41:00Z</dcterms:modified>
</cp:coreProperties>
</file>