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18A" w:rsidRPr="00790B31" w:rsidRDefault="0091218A" w:rsidP="0091218A">
      <w:pPr>
        <w:pStyle w:val="Heading3"/>
        <w:numPr>
          <w:ilvl w:val="2"/>
          <w:numId w:val="4"/>
        </w:numPr>
      </w:pPr>
      <w:bookmarkStart w:id="0" w:name="_Ref406678863"/>
      <w:bookmarkStart w:id="1" w:name="_Toc411593489"/>
      <w:r w:rsidRPr="00790B31">
        <w:t>Small Business Furnace Tune-Up</w:t>
      </w:r>
      <w:bookmarkEnd w:id="0"/>
      <w:bookmarkEnd w:id="1"/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  <w:r w:rsidRPr="000A0E11">
        <w:rPr>
          <w:rFonts w:ascii="Calibri" w:hAnsi="Calibri"/>
          <w:b/>
          <w:smallCaps/>
          <w:sz w:val="22"/>
        </w:rPr>
        <w:t>Description</w:t>
      </w:r>
    </w:p>
    <w:p w:rsidR="0091218A" w:rsidRPr="000A0E11" w:rsidRDefault="0091218A" w:rsidP="0091218A">
      <w:pPr>
        <w:spacing w:after="240"/>
        <w:rPr>
          <w:rFonts w:ascii="Calibri" w:hAnsi="Calibri"/>
          <w:b/>
          <w:iCs/>
        </w:rPr>
      </w:pPr>
      <w:r w:rsidRPr="000A0E11">
        <w:rPr>
          <w:rFonts w:ascii="Calibri" w:hAnsi="Calibri"/>
        </w:rPr>
        <w:t>This measure is for a natural gas Small Business furnace that provides space heating.  The tune-up will improve furnace performance by inspecting, cleaning and adjusting the furnace and appurtenances for correct and efficient operation.  Additional savings maybe realized through a complete system tune-up.</w: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  <w:r w:rsidRPr="000A0E11">
        <w:rPr>
          <w:rFonts w:ascii="Calibri" w:hAnsi="Calibri"/>
        </w:rPr>
        <w:t xml:space="preserve">This measure was developed to be applicable to the following program types: Small business.  </w: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  <w:r w:rsidRPr="000A0E11">
        <w:rPr>
          <w:rFonts w:ascii="Calibri" w:hAnsi="Calibri"/>
        </w:rPr>
        <w:t>If applied to other program types, the measure savings should be verified.</w:t>
      </w: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  <w:r w:rsidRPr="000A0E11">
        <w:rPr>
          <w:rFonts w:ascii="Calibri" w:hAnsi="Calibri"/>
          <w:b/>
          <w:smallCaps/>
          <w:sz w:val="22"/>
        </w:rPr>
        <w:t>Definition of Efficient Equipment</w: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  <w:r w:rsidRPr="000A0E11">
        <w:rPr>
          <w:rFonts w:ascii="Calibri" w:hAnsi="Calibri"/>
        </w:rPr>
        <w:t>To qualify for this measure an approved technician must complete the tune-up requirements</w:t>
      </w:r>
      <w:r w:rsidRPr="000A0E11">
        <w:rPr>
          <w:rFonts w:ascii="Arial" w:hAnsi="Arial"/>
          <w:vertAlign w:val="superscript"/>
        </w:rPr>
        <w:footnoteReference w:id="1"/>
      </w:r>
      <w:r w:rsidRPr="000A0E11">
        <w:rPr>
          <w:rFonts w:ascii="Calibri" w:hAnsi="Calibri"/>
        </w:rPr>
        <w:t xml:space="preserve"> listed below:</w:t>
      </w:r>
    </w:p>
    <w:p w:rsidR="0091218A" w:rsidRPr="000A0E11" w:rsidRDefault="0091218A" w:rsidP="0091218A">
      <w:pPr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contextualSpacing/>
        <w:jc w:val="left"/>
        <w:rPr>
          <w:rFonts w:ascii="Calibri" w:hAnsi="Calibri" w:cs="Calibri"/>
          <w:szCs w:val="20"/>
        </w:rPr>
      </w:pPr>
      <w:r w:rsidRPr="000A0E11">
        <w:rPr>
          <w:rFonts w:ascii="Calibri" w:hAnsi="Calibri" w:cs="Calibri"/>
          <w:szCs w:val="20"/>
        </w:rPr>
        <w:t>Measure combustion efficiency using an electronic flue gas analyzer</w:t>
      </w:r>
    </w:p>
    <w:p w:rsidR="0091218A" w:rsidRPr="000A0E11" w:rsidRDefault="0091218A" w:rsidP="0091218A">
      <w:pPr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contextualSpacing/>
        <w:jc w:val="left"/>
        <w:rPr>
          <w:rFonts w:ascii="Calibri" w:hAnsi="Calibri" w:cs="Calibri"/>
          <w:szCs w:val="20"/>
        </w:rPr>
      </w:pPr>
      <w:r w:rsidRPr="000A0E11">
        <w:rPr>
          <w:rFonts w:ascii="Calibri" w:hAnsi="Calibri" w:cs="Calibri"/>
          <w:szCs w:val="20"/>
        </w:rPr>
        <w:t>Check and clean blower assembly and components per manufacturer’s recommendations</w:t>
      </w:r>
    </w:p>
    <w:p w:rsidR="0091218A" w:rsidRPr="000A0E11" w:rsidRDefault="0091218A" w:rsidP="0091218A">
      <w:pPr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contextualSpacing/>
        <w:jc w:val="left"/>
        <w:rPr>
          <w:rFonts w:ascii="Calibri" w:hAnsi="Calibri" w:cs="Calibri"/>
          <w:szCs w:val="20"/>
        </w:rPr>
      </w:pPr>
      <w:r w:rsidRPr="000A0E11">
        <w:rPr>
          <w:rFonts w:ascii="Calibri" w:hAnsi="Calibri" w:cs="Calibri"/>
          <w:szCs w:val="20"/>
        </w:rPr>
        <w:t>Where applicable Lubricate motor and inspect and replace fan belt if required</w:t>
      </w:r>
    </w:p>
    <w:p w:rsidR="0091218A" w:rsidRPr="000A0E11" w:rsidRDefault="0091218A" w:rsidP="0091218A">
      <w:pPr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contextualSpacing/>
        <w:jc w:val="left"/>
        <w:rPr>
          <w:rFonts w:ascii="Calibri" w:hAnsi="Calibri" w:cs="Calibri"/>
          <w:szCs w:val="20"/>
        </w:rPr>
      </w:pPr>
      <w:r w:rsidRPr="000A0E11">
        <w:rPr>
          <w:rFonts w:ascii="Calibri" w:hAnsi="Calibri" w:cs="Calibri"/>
          <w:szCs w:val="20"/>
        </w:rPr>
        <w:t>Inspect for gas leaks</w:t>
      </w:r>
    </w:p>
    <w:p w:rsidR="0091218A" w:rsidRPr="000A0E11" w:rsidRDefault="0091218A" w:rsidP="0091218A">
      <w:pPr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contextualSpacing/>
        <w:jc w:val="left"/>
        <w:rPr>
          <w:rFonts w:ascii="Calibri" w:hAnsi="Calibri" w:cs="Calibri"/>
          <w:szCs w:val="20"/>
        </w:rPr>
      </w:pPr>
      <w:r w:rsidRPr="000A0E11">
        <w:rPr>
          <w:rFonts w:ascii="Calibri" w:hAnsi="Calibri" w:cs="Calibri"/>
          <w:szCs w:val="20"/>
        </w:rPr>
        <w:t>Clean burner per manufacturer’s recommendations and adjust as needed</w:t>
      </w:r>
    </w:p>
    <w:p w:rsidR="0091218A" w:rsidRPr="000A0E11" w:rsidRDefault="0091218A" w:rsidP="0091218A">
      <w:pPr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contextualSpacing/>
        <w:jc w:val="left"/>
        <w:rPr>
          <w:rFonts w:ascii="Calibri" w:hAnsi="Calibri" w:cs="Calibri"/>
          <w:szCs w:val="20"/>
        </w:rPr>
      </w:pPr>
      <w:r w:rsidRPr="000A0E11">
        <w:rPr>
          <w:rFonts w:ascii="Calibri" w:hAnsi="Calibri" w:cs="Calibri"/>
          <w:szCs w:val="20"/>
        </w:rPr>
        <w:t xml:space="preserve">Check ignition system and safety systems and clean and adjust as needed </w:t>
      </w:r>
    </w:p>
    <w:p w:rsidR="0091218A" w:rsidRPr="000A0E11" w:rsidRDefault="0091218A" w:rsidP="0091218A">
      <w:pPr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contextualSpacing/>
        <w:jc w:val="left"/>
        <w:rPr>
          <w:rFonts w:ascii="Calibri" w:hAnsi="Calibri" w:cs="Calibri"/>
          <w:szCs w:val="20"/>
        </w:rPr>
      </w:pPr>
      <w:r w:rsidRPr="000A0E11">
        <w:rPr>
          <w:rFonts w:ascii="Calibri" w:hAnsi="Calibri" w:cs="Calibri"/>
          <w:szCs w:val="20"/>
        </w:rPr>
        <w:t>Check and clean heat exchanger per manufacturer’s recommendations</w:t>
      </w:r>
    </w:p>
    <w:p w:rsidR="0091218A" w:rsidRPr="000A0E11" w:rsidRDefault="0091218A" w:rsidP="0091218A">
      <w:pPr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contextualSpacing/>
        <w:jc w:val="left"/>
        <w:rPr>
          <w:rFonts w:ascii="Calibri" w:hAnsi="Calibri" w:cs="Calibri"/>
          <w:szCs w:val="20"/>
        </w:rPr>
      </w:pPr>
      <w:r w:rsidRPr="000A0E11">
        <w:rPr>
          <w:rFonts w:ascii="Calibri" w:hAnsi="Calibri" w:cs="Calibri"/>
          <w:szCs w:val="20"/>
        </w:rPr>
        <w:t>Inspect exhaust/flue for proper attachment and operation</w:t>
      </w:r>
    </w:p>
    <w:p w:rsidR="0091218A" w:rsidRPr="000A0E11" w:rsidRDefault="0091218A" w:rsidP="0091218A">
      <w:pPr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contextualSpacing/>
        <w:jc w:val="left"/>
        <w:rPr>
          <w:rFonts w:ascii="Calibri" w:hAnsi="Calibri" w:cs="Calibri"/>
          <w:szCs w:val="20"/>
        </w:rPr>
      </w:pPr>
      <w:r w:rsidRPr="000A0E11">
        <w:rPr>
          <w:rFonts w:ascii="Calibri" w:hAnsi="Calibri" w:cs="Calibri"/>
          <w:szCs w:val="20"/>
        </w:rPr>
        <w:t>Inspect control box, wiring and controls for proper connections and performance</w:t>
      </w:r>
    </w:p>
    <w:p w:rsidR="0091218A" w:rsidRPr="000A0E11" w:rsidRDefault="0091218A" w:rsidP="0091218A">
      <w:pPr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contextualSpacing/>
        <w:jc w:val="left"/>
        <w:rPr>
          <w:rFonts w:ascii="Calibri" w:hAnsi="Calibri" w:cs="Calibri"/>
          <w:szCs w:val="20"/>
        </w:rPr>
      </w:pPr>
      <w:r w:rsidRPr="000A0E11">
        <w:rPr>
          <w:rFonts w:ascii="Calibri" w:hAnsi="Calibri" w:cs="Calibri"/>
          <w:szCs w:val="20"/>
        </w:rPr>
        <w:t>Check air filter and clean or replace per manufacturer’s</w:t>
      </w:r>
    </w:p>
    <w:p w:rsidR="0091218A" w:rsidRPr="000A0E11" w:rsidRDefault="0091218A" w:rsidP="0091218A">
      <w:pPr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contextualSpacing/>
        <w:jc w:val="left"/>
        <w:rPr>
          <w:rFonts w:ascii="Calibri" w:hAnsi="Calibri" w:cs="Calibri"/>
          <w:szCs w:val="20"/>
        </w:rPr>
      </w:pPr>
      <w:r w:rsidRPr="000A0E11">
        <w:rPr>
          <w:rFonts w:ascii="Calibri" w:hAnsi="Calibri" w:cs="Calibri"/>
          <w:szCs w:val="20"/>
        </w:rPr>
        <w:t>Inspect duct work connected to furnace for leaks or blockages</w:t>
      </w:r>
    </w:p>
    <w:p w:rsidR="0091218A" w:rsidRPr="000A0E11" w:rsidRDefault="0091218A" w:rsidP="0091218A">
      <w:pPr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contextualSpacing/>
        <w:jc w:val="left"/>
        <w:rPr>
          <w:rFonts w:ascii="Calibri" w:hAnsi="Calibri" w:cs="Calibri"/>
          <w:szCs w:val="20"/>
        </w:rPr>
      </w:pPr>
      <w:r w:rsidRPr="000A0E11">
        <w:rPr>
          <w:rFonts w:ascii="Calibri" w:hAnsi="Calibri" w:cs="Calibri"/>
          <w:szCs w:val="20"/>
        </w:rPr>
        <w:t>Measure temperature rise and adjust flow as needed</w:t>
      </w:r>
    </w:p>
    <w:p w:rsidR="0091218A" w:rsidRPr="000A0E11" w:rsidRDefault="0091218A" w:rsidP="0091218A">
      <w:pPr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contextualSpacing/>
        <w:jc w:val="left"/>
        <w:rPr>
          <w:rFonts w:ascii="Calibri" w:hAnsi="Calibri" w:cs="Calibri"/>
          <w:szCs w:val="20"/>
        </w:rPr>
      </w:pPr>
      <w:r w:rsidRPr="000A0E11">
        <w:rPr>
          <w:rFonts w:ascii="Calibri" w:hAnsi="Calibri" w:cs="Calibri"/>
          <w:szCs w:val="20"/>
        </w:rPr>
        <w:t>Check for correct line and load volts/amps</w:t>
      </w:r>
    </w:p>
    <w:p w:rsidR="0091218A" w:rsidRPr="000A0E11" w:rsidRDefault="0091218A" w:rsidP="0091218A">
      <w:pPr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contextualSpacing/>
        <w:jc w:val="left"/>
        <w:rPr>
          <w:rFonts w:ascii="Calibri" w:hAnsi="Calibri" w:cs="Calibri"/>
          <w:szCs w:val="20"/>
        </w:rPr>
      </w:pPr>
      <w:r w:rsidRPr="000A0E11">
        <w:rPr>
          <w:rFonts w:ascii="Calibri" w:hAnsi="Calibri" w:cs="Calibri"/>
          <w:szCs w:val="20"/>
        </w:rPr>
        <w:t>Check thermostat operation is per manufacturer’s recommendations (if adjustments made, refer to ‘Small Commercial Programmable Thermostat Adjustment’ measure for savings estimate)</w:t>
      </w:r>
    </w:p>
    <w:p w:rsidR="0091218A" w:rsidRPr="000A0E11" w:rsidRDefault="0091218A" w:rsidP="0091218A">
      <w:pPr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contextualSpacing/>
        <w:jc w:val="left"/>
        <w:rPr>
          <w:rFonts w:ascii="Calibri" w:hAnsi="Calibri" w:cs="Calibri"/>
          <w:szCs w:val="20"/>
        </w:rPr>
      </w:pPr>
      <w:r w:rsidRPr="000A0E11">
        <w:rPr>
          <w:rFonts w:ascii="Calibri" w:hAnsi="Calibri" w:cs="Calibri"/>
          <w:szCs w:val="20"/>
        </w:rPr>
        <w:t>Perform Carbon Monoxide test and adjust heating system until results are within standard industry acceptable limits</w: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  <w:r w:rsidRPr="000A0E11">
        <w:rPr>
          <w:rFonts w:ascii="Calibri" w:hAnsi="Calibri"/>
          <w:b/>
          <w:smallCaps/>
          <w:sz w:val="22"/>
        </w:rPr>
        <w:t>Definition of Baseline Equipment</w: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  <w:r w:rsidRPr="000A0E11">
        <w:rPr>
          <w:rFonts w:ascii="Calibri" w:hAnsi="Calibri"/>
        </w:rPr>
        <w:t>The baseline is furnace assumed not to have had a tune-up in the past 2 years.</w:t>
      </w: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  <w:r w:rsidRPr="000A0E11">
        <w:rPr>
          <w:rFonts w:ascii="Calibri" w:hAnsi="Calibri"/>
          <w:b/>
          <w:smallCaps/>
          <w:sz w:val="22"/>
        </w:rPr>
        <w:t>Deemed Lifetime of Efficient Equipment</w: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  <w:r w:rsidRPr="000A0E11">
        <w:rPr>
          <w:rFonts w:ascii="Calibri" w:hAnsi="Calibri"/>
        </w:rPr>
        <w:t>The measure life for the tune up is 2 years.</w:t>
      </w:r>
      <w:r w:rsidRPr="000A0E11">
        <w:rPr>
          <w:rFonts w:ascii="Arial" w:hAnsi="Arial"/>
          <w:vertAlign w:val="superscript"/>
        </w:rPr>
        <w:footnoteReference w:id="2"/>
      </w: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  <w:r w:rsidRPr="000A0E11">
        <w:rPr>
          <w:rFonts w:ascii="Calibri" w:hAnsi="Calibri"/>
          <w:b/>
          <w:smallCaps/>
          <w:sz w:val="22"/>
        </w:rPr>
        <w:t xml:space="preserve">Deemed Measure Cost </w: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  <w:r w:rsidRPr="000A0E11">
        <w:rPr>
          <w:rFonts w:ascii="Calibri" w:hAnsi="Calibri"/>
        </w:rPr>
        <w:t>The incremental cost for this measure should be the actual cost of tune up.</w:t>
      </w: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  <w:r w:rsidRPr="000A0E11">
        <w:rPr>
          <w:rFonts w:ascii="Calibri" w:hAnsi="Calibri"/>
          <w:b/>
          <w:smallCaps/>
          <w:sz w:val="22"/>
        </w:rPr>
        <w:lastRenderedPageBreak/>
        <w:t>Deemed O&amp;M Cost Adjustments</w: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  <w:r w:rsidRPr="000A0E11">
        <w:rPr>
          <w:rFonts w:ascii="Calibri" w:hAnsi="Calibri"/>
        </w:rPr>
        <w:t>There are no expected O&amp;M savings associated with this measure.</w:t>
      </w: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  <w:proofErr w:type="spellStart"/>
      <w:r w:rsidRPr="000A0E11">
        <w:rPr>
          <w:rFonts w:ascii="Calibri" w:hAnsi="Calibri"/>
          <w:b/>
          <w:smallCaps/>
          <w:sz w:val="22"/>
        </w:rPr>
        <w:t>Loadshape</w:t>
      </w:r>
      <w:proofErr w:type="spellEnd"/>
    </w:p>
    <w:p w:rsidR="0091218A" w:rsidRPr="000A0E11" w:rsidRDefault="0091218A" w:rsidP="0091218A">
      <w:pPr>
        <w:spacing w:after="240"/>
        <w:rPr>
          <w:rFonts w:ascii="Calibri" w:hAnsi="Calibri"/>
        </w:rPr>
      </w:pPr>
      <w:proofErr w:type="spellStart"/>
      <w:r w:rsidRPr="000A0E11">
        <w:rPr>
          <w:rFonts w:ascii="Calibri" w:hAnsi="Calibri"/>
        </w:rPr>
        <w:t>Loadshape</w:t>
      </w:r>
      <w:proofErr w:type="spellEnd"/>
      <w:r w:rsidRPr="000A0E11">
        <w:rPr>
          <w:rFonts w:ascii="Calibri" w:hAnsi="Calibri"/>
        </w:rPr>
        <w:t xml:space="preserve"> C04 - Commercial Electric Heating </w:t>
      </w: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  <w:r w:rsidRPr="000A0E11">
        <w:rPr>
          <w:rFonts w:ascii="Calibri" w:hAnsi="Calibri"/>
          <w:b/>
          <w:smallCaps/>
          <w:sz w:val="22"/>
        </w:rPr>
        <w:t>Coincidence Factor</w: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  <w:r w:rsidRPr="000A0E11">
        <w:rPr>
          <w:rFonts w:ascii="Calibri" w:hAnsi="Calibri"/>
        </w:rPr>
        <w:t>N/A</w:t>
      </w:r>
    </w:p>
    <w:p w:rsidR="0091218A" w:rsidRPr="000A0E11" w:rsidRDefault="0091218A" w:rsidP="0091218A">
      <w:pPr>
        <w:pBdr>
          <w:top w:val="double" w:sz="4" w:space="1" w:color="auto"/>
          <w:bottom w:val="double" w:sz="4" w:space="1" w:color="auto"/>
        </w:pBdr>
        <w:spacing w:after="240"/>
        <w:jc w:val="center"/>
        <w:rPr>
          <w:rFonts w:ascii="Calibri" w:hAnsi="Calibri" w:cs="Calibri"/>
          <w:b/>
          <w:szCs w:val="20"/>
        </w:rPr>
      </w:pPr>
      <w:r w:rsidRPr="000A0E11">
        <w:rPr>
          <w:rFonts w:ascii="Calibri" w:hAnsi="Calibri" w:cs="Calibri"/>
          <w:b/>
          <w:szCs w:val="20"/>
        </w:rPr>
        <w:t>Algorithms</w:t>
      </w: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  <w:r w:rsidRPr="000A0E11">
        <w:rPr>
          <w:rFonts w:ascii="Calibri" w:hAnsi="Calibri"/>
          <w:b/>
          <w:smallCaps/>
          <w:sz w:val="22"/>
        </w:rPr>
        <w:t xml:space="preserve">Calculation of Energy Savings </w:t>
      </w: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  <w:r w:rsidRPr="000A0E11">
        <w:rPr>
          <w:rFonts w:ascii="Calibri" w:hAnsi="Calibri"/>
          <w:b/>
          <w:smallCaps/>
          <w:sz w:val="22"/>
        </w:rPr>
        <w:t>Electric Energy Savings</w:t>
      </w:r>
    </w:p>
    <w:p w:rsidR="0091218A" w:rsidRPr="000A0E11" w:rsidRDefault="0091218A" w:rsidP="0091218A">
      <w:pPr>
        <w:spacing w:after="240"/>
        <w:ind w:left="720" w:firstLine="720"/>
        <w:rPr>
          <w:rFonts w:ascii="Calibri" w:hAnsi="Calibri" w:cs="Calibri"/>
        </w:rPr>
      </w:pPr>
      <w:proofErr w:type="spellStart"/>
      <w:r w:rsidRPr="000A0E11">
        <w:rPr>
          <w:rFonts w:ascii="Calibri" w:hAnsi="Calibri" w:cs="Calibri"/>
        </w:rPr>
        <w:t>ΔkWh</w:t>
      </w:r>
      <w:proofErr w:type="spellEnd"/>
      <w:r w:rsidRPr="000A0E11">
        <w:rPr>
          <w:rFonts w:ascii="Calibri" w:hAnsi="Calibri" w:cs="Calibri"/>
        </w:rPr>
        <w:tab/>
      </w:r>
      <w:r w:rsidRPr="000A0E11">
        <w:rPr>
          <w:rFonts w:ascii="Calibri" w:hAnsi="Calibri" w:cs="Calibri"/>
        </w:rPr>
        <w:tab/>
        <w:t xml:space="preserve">= </w:t>
      </w:r>
      <w:proofErr w:type="spellStart"/>
      <w:r w:rsidRPr="000A0E11">
        <w:rPr>
          <w:rFonts w:ascii="Calibri" w:hAnsi="Calibri" w:cs="Calibri"/>
        </w:rPr>
        <w:t>ΔTherms</w:t>
      </w:r>
      <w:proofErr w:type="spellEnd"/>
      <w:r w:rsidRPr="000A0E11">
        <w:rPr>
          <w:rFonts w:ascii="Calibri" w:hAnsi="Calibri" w:cs="Calibri"/>
        </w:rPr>
        <w:t xml:space="preserve"> * </w:t>
      </w:r>
      <w:r w:rsidRPr="000A0E11">
        <w:rPr>
          <w:rFonts w:ascii="Calibri" w:hAnsi="Calibri" w:cs="Calibri"/>
          <w:noProof/>
        </w:rPr>
        <w:t>F</w:t>
      </w:r>
      <w:r w:rsidRPr="000A0E11">
        <w:rPr>
          <w:rFonts w:ascii="Calibri" w:hAnsi="Calibri" w:cs="Calibri"/>
          <w:noProof/>
          <w:vertAlign w:val="subscript"/>
        </w:rPr>
        <w:t xml:space="preserve">e </w:t>
      </w:r>
      <w:r w:rsidRPr="000A0E11">
        <w:rPr>
          <w:rFonts w:ascii="Calibri" w:hAnsi="Calibri" w:cs="Calibri"/>
        </w:rPr>
        <w:t>* 29.3</w:t>
      </w:r>
    </w:p>
    <w:p w:rsidR="0091218A" w:rsidRPr="000A0E11" w:rsidRDefault="0091218A" w:rsidP="0091218A">
      <w:pPr>
        <w:widowControl/>
        <w:jc w:val="left"/>
        <w:rPr>
          <w:rFonts w:ascii="Calibri" w:hAnsi="Calibri" w:cs="Calibri"/>
        </w:rPr>
      </w:pPr>
      <w:r w:rsidRPr="000A0E11">
        <w:rPr>
          <w:rFonts w:ascii="Calibri" w:hAnsi="Calibri" w:cs="Calibri"/>
        </w:rPr>
        <w:t>Where:</w:t>
      </w:r>
    </w:p>
    <w:p w:rsidR="0091218A" w:rsidRPr="000A0E11" w:rsidRDefault="0091218A" w:rsidP="0091218A">
      <w:pPr>
        <w:spacing w:after="240"/>
        <w:ind w:left="2160" w:hanging="720"/>
        <w:rPr>
          <w:rFonts w:ascii="Calibri" w:hAnsi="Calibri" w:cs="Calibri"/>
        </w:rPr>
      </w:pPr>
      <w:proofErr w:type="spellStart"/>
      <w:r w:rsidRPr="000A0E11">
        <w:rPr>
          <w:rFonts w:ascii="Calibri" w:hAnsi="Calibri" w:cs="Calibri"/>
        </w:rPr>
        <w:t>ΔTherms</w:t>
      </w:r>
      <w:proofErr w:type="spellEnd"/>
      <w:r w:rsidRPr="000A0E11">
        <w:rPr>
          <w:rFonts w:ascii="Calibri" w:hAnsi="Calibri" w:cs="Calibri"/>
        </w:rPr>
        <w:t xml:space="preserve"> </w:t>
      </w:r>
      <w:r w:rsidRPr="000A0E11">
        <w:rPr>
          <w:rFonts w:ascii="Calibri" w:hAnsi="Calibri" w:cs="Calibri"/>
        </w:rPr>
        <w:tab/>
        <w:t>= as calculated below</w:t>
      </w:r>
    </w:p>
    <w:p w:rsidR="0091218A" w:rsidRPr="000A0E11" w:rsidRDefault="0091218A" w:rsidP="0091218A">
      <w:pPr>
        <w:spacing w:after="240"/>
        <w:ind w:left="2160" w:hanging="720"/>
        <w:rPr>
          <w:rFonts w:ascii="Calibri" w:hAnsi="Calibri" w:cs="Calibri"/>
          <w:noProof/>
        </w:rPr>
      </w:pPr>
      <w:r w:rsidRPr="000A0E11">
        <w:rPr>
          <w:rFonts w:ascii="Calibri" w:hAnsi="Calibri" w:cs="Calibri"/>
          <w:noProof/>
        </w:rPr>
        <w:t>F</w:t>
      </w:r>
      <w:r w:rsidRPr="000A0E11">
        <w:rPr>
          <w:rFonts w:ascii="Calibri" w:hAnsi="Calibri" w:cs="Calibri"/>
          <w:noProof/>
          <w:vertAlign w:val="subscript"/>
        </w:rPr>
        <w:t>e</w:t>
      </w:r>
      <w:r w:rsidRPr="000A0E11">
        <w:rPr>
          <w:rFonts w:ascii="Calibri" w:hAnsi="Calibri" w:cs="Calibri"/>
          <w:noProof/>
          <w:vertAlign w:val="subscript"/>
        </w:rPr>
        <w:tab/>
      </w:r>
      <w:r w:rsidRPr="000A0E11">
        <w:rPr>
          <w:rFonts w:ascii="Calibri" w:hAnsi="Calibri" w:cs="Calibri"/>
          <w:noProof/>
          <w:vertAlign w:val="subscript"/>
        </w:rPr>
        <w:tab/>
      </w:r>
      <w:r w:rsidRPr="000A0E11">
        <w:rPr>
          <w:rFonts w:ascii="Calibri" w:hAnsi="Calibri" w:cs="Calibri"/>
          <w:noProof/>
        </w:rPr>
        <w:t>= Furnace Fan energy consumption as a percentage of annual fuel consumption</w:t>
      </w:r>
    </w:p>
    <w:p w:rsidR="0091218A" w:rsidRPr="000A0E11" w:rsidRDefault="0091218A" w:rsidP="0091218A">
      <w:pPr>
        <w:spacing w:after="240"/>
        <w:ind w:left="2160" w:hanging="720"/>
        <w:rPr>
          <w:rFonts w:ascii="Calibri" w:hAnsi="Calibri" w:cs="Calibri"/>
          <w:noProof/>
        </w:rPr>
      </w:pPr>
      <w:r w:rsidRPr="000A0E11">
        <w:rPr>
          <w:rFonts w:ascii="Calibri" w:hAnsi="Calibri" w:cs="Calibri"/>
          <w:noProof/>
        </w:rPr>
        <w:tab/>
      </w:r>
      <w:r w:rsidRPr="000A0E11">
        <w:rPr>
          <w:rFonts w:ascii="Calibri" w:hAnsi="Calibri" w:cs="Calibri"/>
          <w:noProof/>
        </w:rPr>
        <w:tab/>
        <w:t>= 3.14%</w:t>
      </w:r>
      <w:r w:rsidRPr="000A0E11">
        <w:rPr>
          <w:rFonts w:ascii="Arial" w:hAnsi="Arial" w:cs="Calibri"/>
          <w:noProof/>
          <w:vertAlign w:val="superscript"/>
        </w:rPr>
        <w:footnoteReference w:id="3"/>
      </w:r>
    </w:p>
    <w:p w:rsidR="0091218A" w:rsidRPr="000A0E11" w:rsidRDefault="0091218A" w:rsidP="0091218A">
      <w:pPr>
        <w:spacing w:after="240"/>
        <w:ind w:left="720" w:firstLine="720"/>
        <w:rPr>
          <w:rFonts w:ascii="Calibri" w:hAnsi="Calibri"/>
          <w:noProof/>
        </w:rPr>
      </w:pPr>
      <w:r w:rsidRPr="000A0E11">
        <w:rPr>
          <w:rFonts w:ascii="Calibri" w:hAnsi="Calibri"/>
          <w:noProof/>
        </w:rPr>
        <w:t>29.3</w:t>
      </w:r>
      <w:r w:rsidRPr="000A0E11">
        <w:rPr>
          <w:rFonts w:ascii="Calibri" w:hAnsi="Calibri"/>
          <w:noProof/>
        </w:rPr>
        <w:tab/>
      </w:r>
      <w:r w:rsidRPr="000A0E11">
        <w:rPr>
          <w:rFonts w:ascii="Calibri" w:hAnsi="Calibri"/>
          <w:noProof/>
        </w:rPr>
        <w:tab/>
        <w:t>= kWh per therm</w: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  <w:r w:rsidRPr="000A0E11">
        <w:rPr>
          <w:rFonts w:ascii="Calibri" w:hAnsi="Calibri"/>
          <w:b/>
          <w:smallCaps/>
          <w:sz w:val="22"/>
        </w:rPr>
        <w:t>Summer Coincident Peak Demand Savings</w: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  <w:r w:rsidRPr="000A0E11">
        <w:rPr>
          <w:rFonts w:ascii="Calibri" w:hAnsi="Calibri"/>
        </w:rPr>
        <w:t>N/A</w:t>
      </w: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  <w:r w:rsidRPr="000A0E11">
        <w:rPr>
          <w:rFonts w:ascii="Calibri" w:hAnsi="Calibri"/>
          <w:b/>
          <w:smallCaps/>
          <w:sz w:val="22"/>
        </w:rPr>
        <w:t>Natural Gas Savings</w:t>
      </w:r>
    </w:p>
    <w:p w:rsidR="0091218A" w:rsidRPr="000A0E11" w:rsidRDefault="0091218A" w:rsidP="0091218A">
      <w:pPr>
        <w:spacing w:after="240"/>
        <w:ind w:firstLine="720"/>
        <w:rPr>
          <w:rFonts w:ascii="Calibri" w:hAnsi="Calibri"/>
        </w:rPr>
      </w:pPr>
      <w:proofErr w:type="spellStart"/>
      <w:r w:rsidRPr="000A0E11">
        <w:rPr>
          <w:rFonts w:ascii="Calibri" w:hAnsi="Calibri"/>
        </w:rPr>
        <w:t>Δtherms</w:t>
      </w:r>
      <w:proofErr w:type="spellEnd"/>
      <w:r w:rsidRPr="000A0E11">
        <w:rPr>
          <w:rFonts w:ascii="Calibri" w:hAnsi="Calibri"/>
        </w:rPr>
        <w:t xml:space="preserve"> </w:t>
      </w:r>
      <w:r w:rsidRPr="000A0E11">
        <w:rPr>
          <w:rFonts w:ascii="Calibri" w:hAnsi="Calibri"/>
        </w:rPr>
        <w:tab/>
        <w:t>= (Capacity * EFLH * (((</w:t>
      </w:r>
      <w:proofErr w:type="spellStart"/>
      <w:r w:rsidRPr="000A0E11">
        <w:rPr>
          <w:rFonts w:ascii="Calibri" w:hAnsi="Calibri"/>
        </w:rPr>
        <w:t>Effbefore</w:t>
      </w:r>
      <w:proofErr w:type="spellEnd"/>
      <w:r w:rsidRPr="000A0E11">
        <w:rPr>
          <w:rFonts w:ascii="Calibri" w:hAnsi="Calibri"/>
        </w:rPr>
        <w:t xml:space="preserve"> + </w:t>
      </w:r>
      <w:proofErr w:type="spellStart"/>
      <w:r w:rsidRPr="000A0E11">
        <w:rPr>
          <w:rFonts w:ascii="Calibri" w:hAnsi="Calibri"/>
        </w:rPr>
        <w:t>Ei</w:t>
      </w:r>
      <w:proofErr w:type="spellEnd"/>
      <w:r w:rsidRPr="000A0E11">
        <w:rPr>
          <w:rFonts w:ascii="Calibri" w:hAnsi="Calibri"/>
        </w:rPr>
        <w:t xml:space="preserve">)/ </w:t>
      </w:r>
      <w:proofErr w:type="spellStart"/>
      <w:r w:rsidRPr="000A0E11">
        <w:rPr>
          <w:rFonts w:ascii="Calibri" w:hAnsi="Calibri"/>
        </w:rPr>
        <w:t>Effbefore</w:t>
      </w:r>
      <w:proofErr w:type="spellEnd"/>
      <w:r w:rsidRPr="000A0E11">
        <w:rPr>
          <w:rFonts w:ascii="Calibri" w:hAnsi="Calibri"/>
        </w:rPr>
        <w:t>) – 1)) / 100,000</w: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  <w:r w:rsidRPr="000A0E11">
        <w:rPr>
          <w:rFonts w:ascii="Calibri" w:hAnsi="Calibri"/>
        </w:rPr>
        <w:t>Where:</w:t>
      </w:r>
    </w:p>
    <w:p w:rsidR="0091218A" w:rsidRPr="000A0E11" w:rsidRDefault="0091218A" w:rsidP="0091218A">
      <w:pPr>
        <w:spacing w:after="240"/>
        <w:ind w:left="720" w:firstLine="720"/>
        <w:rPr>
          <w:rFonts w:ascii="Calibri" w:hAnsi="Calibri"/>
        </w:rPr>
      </w:pPr>
      <w:r w:rsidRPr="000A0E11">
        <w:rPr>
          <w:rFonts w:ascii="Calibri" w:hAnsi="Calibri"/>
        </w:rPr>
        <w:t xml:space="preserve">Capacity </w:t>
      </w:r>
      <w:r w:rsidRPr="000A0E11">
        <w:rPr>
          <w:rFonts w:ascii="Calibri" w:hAnsi="Calibri"/>
        </w:rPr>
        <w:tab/>
        <w:t>= Furnace gas input size (Btu/</w:t>
      </w:r>
      <w:proofErr w:type="spellStart"/>
      <w:r w:rsidRPr="000A0E11">
        <w:rPr>
          <w:rFonts w:ascii="Calibri" w:hAnsi="Calibri"/>
        </w:rPr>
        <w:t>hr</w:t>
      </w:r>
      <w:proofErr w:type="spellEnd"/>
      <w:r w:rsidRPr="000A0E11">
        <w:rPr>
          <w:rFonts w:ascii="Calibri" w:hAnsi="Calibri"/>
        </w:rPr>
        <w:t>)</w:t>
      </w:r>
    </w:p>
    <w:p w:rsidR="0091218A" w:rsidRPr="000A0E11" w:rsidRDefault="0091218A" w:rsidP="0091218A">
      <w:pPr>
        <w:spacing w:after="240"/>
        <w:ind w:left="2160" w:firstLine="720"/>
        <w:rPr>
          <w:rFonts w:ascii="Calibri" w:hAnsi="Calibri"/>
        </w:rPr>
      </w:pPr>
      <w:r w:rsidRPr="000A0E11">
        <w:rPr>
          <w:rFonts w:ascii="Calibri" w:hAnsi="Calibri"/>
        </w:rPr>
        <w:t xml:space="preserve">= Actual </w:t>
      </w:r>
    </w:p>
    <w:p w:rsidR="0091218A" w:rsidRPr="000A0E11" w:rsidRDefault="0091218A" w:rsidP="0091218A">
      <w:pPr>
        <w:spacing w:after="240"/>
        <w:ind w:left="1440"/>
        <w:rPr>
          <w:rFonts w:ascii="Calibri" w:hAnsi="Calibri"/>
        </w:rPr>
      </w:pPr>
      <w:r w:rsidRPr="000A0E11">
        <w:rPr>
          <w:rFonts w:ascii="Calibri" w:hAnsi="Calibri"/>
        </w:rPr>
        <w:t xml:space="preserve">EFLH       </w:t>
      </w:r>
      <w:r w:rsidRPr="000A0E11">
        <w:rPr>
          <w:rFonts w:ascii="Calibri" w:hAnsi="Calibri"/>
        </w:rPr>
        <w:tab/>
      </w:r>
      <w:r w:rsidRPr="000A0E11">
        <w:rPr>
          <w:rFonts w:ascii="Calibri" w:hAnsi="Calibri"/>
        </w:rPr>
        <w:tab/>
      </w:r>
      <w:proofErr w:type="gramStart"/>
      <w:r w:rsidRPr="000A0E11">
        <w:rPr>
          <w:rFonts w:ascii="Calibri" w:hAnsi="Calibri"/>
        </w:rPr>
        <w:t>=  Equivalent</w:t>
      </w:r>
      <w:proofErr w:type="gramEnd"/>
      <w:r w:rsidRPr="000A0E11">
        <w:rPr>
          <w:rFonts w:ascii="Calibri" w:hAnsi="Calibri"/>
        </w:rPr>
        <w:t xml:space="preserve"> Full Load Hours for heating are provided </w:t>
      </w:r>
      <w:r w:rsidRPr="000A0E11">
        <w:rPr>
          <w:rFonts w:ascii="Calibri" w:hAnsi="Calibri"/>
        </w:rPr>
        <w:tab/>
      </w:r>
      <w:r w:rsidRPr="000A0E11">
        <w:rPr>
          <w:rFonts w:ascii="Calibri" w:hAnsi="Calibri"/>
        </w:rPr>
        <w:tab/>
      </w:r>
      <w:r w:rsidRPr="000A0E11">
        <w:rPr>
          <w:rFonts w:ascii="Calibri" w:hAnsi="Calibri"/>
        </w:rPr>
        <w:tab/>
      </w:r>
      <w:r w:rsidRPr="000A0E11">
        <w:rPr>
          <w:rFonts w:ascii="Calibri" w:hAnsi="Calibri"/>
        </w:rPr>
        <w:lastRenderedPageBreak/>
        <w:tab/>
      </w:r>
      <w:r w:rsidRPr="000A0E11">
        <w:rPr>
          <w:rFonts w:ascii="Calibri" w:hAnsi="Calibri"/>
        </w:rPr>
        <w:tab/>
        <w:t>in section 4.4 HVAC End Use</w:t>
      </w:r>
    </w:p>
    <w:p w:rsidR="0091218A" w:rsidRPr="000A0E11" w:rsidRDefault="0091218A" w:rsidP="0091218A">
      <w:pPr>
        <w:spacing w:after="240"/>
        <w:ind w:left="720" w:firstLine="720"/>
        <w:rPr>
          <w:rFonts w:ascii="Calibri" w:hAnsi="Calibri"/>
        </w:rPr>
      </w:pPr>
      <w:proofErr w:type="spellStart"/>
      <w:r w:rsidRPr="000A0E11">
        <w:rPr>
          <w:rFonts w:ascii="Calibri" w:hAnsi="Calibri"/>
        </w:rPr>
        <w:t>Effbefore</w:t>
      </w:r>
      <w:proofErr w:type="spellEnd"/>
      <w:r w:rsidRPr="000A0E11">
        <w:rPr>
          <w:rFonts w:ascii="Calibri" w:hAnsi="Calibri"/>
        </w:rPr>
        <w:tab/>
        <w:t>= Efficiency of the furnace before the tune-up</w:t>
      </w:r>
    </w:p>
    <w:p w:rsidR="0091218A" w:rsidRPr="000A0E11" w:rsidRDefault="0091218A" w:rsidP="0091218A">
      <w:pPr>
        <w:spacing w:after="240"/>
        <w:ind w:left="720" w:firstLine="720"/>
        <w:rPr>
          <w:rFonts w:ascii="Calibri" w:hAnsi="Calibri"/>
        </w:rPr>
      </w:pPr>
      <w:r w:rsidRPr="000A0E11">
        <w:rPr>
          <w:rFonts w:ascii="Calibri" w:hAnsi="Calibri"/>
        </w:rPr>
        <w:tab/>
      </w:r>
      <w:r w:rsidRPr="000A0E11">
        <w:rPr>
          <w:rFonts w:ascii="Calibri" w:hAnsi="Calibri"/>
        </w:rPr>
        <w:tab/>
        <w:t>= Actual</w:t>
      </w:r>
    </w:p>
    <w:p w:rsidR="0091218A" w:rsidRPr="0091218A" w:rsidRDefault="0091218A" w:rsidP="0091218A">
      <w:pPr>
        <w:ind w:left="1440"/>
        <w:rPr>
          <w:ins w:id="2" w:author="Samuel Dent" w:date="2015-11-18T09:32:00Z"/>
          <w:i/>
          <w:iCs/>
        </w:rPr>
      </w:pPr>
      <w:ins w:id="3" w:author="Samuel Dent" w:date="2015-11-18T09:32:00Z">
        <w:r w:rsidRPr="0091218A">
          <w:rPr>
            <w:i/>
            <w:iCs/>
          </w:rPr>
          <w:t>Note: Contractors should select a mid-level firing rate that appropriately represents the average building operating condition over the course of the heating season and take readings at a consistent firing rate for pre and post tune-up.</w:t>
        </w:r>
      </w:ins>
    </w:p>
    <w:p w:rsidR="0091218A" w:rsidRPr="000A0E11" w:rsidRDefault="0091218A" w:rsidP="0091218A">
      <w:pPr>
        <w:spacing w:after="240"/>
        <w:ind w:left="720" w:firstLine="720"/>
        <w:rPr>
          <w:rFonts w:ascii="Calibri" w:hAnsi="Calibri"/>
        </w:rPr>
      </w:pPr>
      <w:r w:rsidRPr="000A0E11">
        <w:rPr>
          <w:rFonts w:ascii="Calibri" w:hAnsi="Calibri"/>
        </w:rPr>
        <w:t>EI            </w:t>
      </w:r>
      <w:r w:rsidRPr="000A0E11">
        <w:rPr>
          <w:rFonts w:ascii="Calibri" w:hAnsi="Calibri"/>
        </w:rPr>
        <w:tab/>
      </w:r>
      <w:r w:rsidRPr="000A0E11">
        <w:rPr>
          <w:rFonts w:ascii="Calibri" w:hAnsi="Calibri"/>
        </w:rPr>
        <w:tab/>
        <w:t>= Efficiency Improvement of the furnace tune-up measure</w:t>
      </w:r>
    </w:p>
    <w:p w:rsidR="0091218A" w:rsidRPr="000A0E11" w:rsidRDefault="0091218A" w:rsidP="0091218A">
      <w:pPr>
        <w:spacing w:after="240"/>
        <w:ind w:left="720" w:firstLine="720"/>
        <w:rPr>
          <w:rFonts w:ascii="Calibri" w:hAnsi="Calibri"/>
        </w:rPr>
      </w:pPr>
      <w:r w:rsidRPr="000A0E11">
        <w:rPr>
          <w:rFonts w:ascii="Calibri" w:hAnsi="Calibri"/>
        </w:rPr>
        <w:tab/>
      </w:r>
      <w:r w:rsidRPr="000A0E11">
        <w:rPr>
          <w:rFonts w:ascii="Calibri" w:hAnsi="Calibri"/>
        </w:rPr>
        <w:tab/>
        <w:t>= Actual</w:t>
      </w:r>
    </w:p>
    <w:p w:rsidR="0091218A" w:rsidRPr="000A0E11" w:rsidRDefault="0091218A" w:rsidP="0091218A">
      <w:pPr>
        <w:spacing w:after="240"/>
        <w:ind w:firstLine="720"/>
        <w:rPr>
          <w:rFonts w:ascii="Calibri" w:hAnsi="Calibri"/>
        </w:rPr>
      </w:pPr>
      <w:r w:rsidRPr="000A0E11">
        <w:rPr>
          <w:rFonts w:ascii="Calibri" w:hAnsi="Calibri"/>
        </w:rPr>
        <w:tab/>
        <w:t xml:space="preserve">100,000 </w:t>
      </w:r>
      <w:r w:rsidRPr="000A0E11">
        <w:rPr>
          <w:rFonts w:ascii="Calibri" w:hAnsi="Calibri"/>
        </w:rPr>
        <w:tab/>
        <w:t xml:space="preserve">= </w:t>
      </w:r>
      <w:r w:rsidRPr="000A0E11">
        <w:rPr>
          <w:rFonts w:ascii="Calibri" w:hAnsi="Calibri"/>
        </w:rPr>
        <w:tab/>
        <w:t>Converts Btu to therms</w: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  <w:r w:rsidRPr="009C362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BE695" wp14:editId="27D99BFA">
                <wp:simplePos x="0" y="0"/>
                <wp:positionH relativeFrom="column">
                  <wp:posOffset>-190500</wp:posOffset>
                </wp:positionH>
                <wp:positionV relativeFrom="paragraph">
                  <wp:posOffset>112395</wp:posOffset>
                </wp:positionV>
                <wp:extent cx="6134100" cy="1476375"/>
                <wp:effectExtent l="0" t="0" r="19050" b="28575"/>
                <wp:wrapNone/>
                <wp:docPr id="4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18A" w:rsidRPr="00E7028E" w:rsidRDefault="0091218A" w:rsidP="0091218A">
                            <w:pPr>
                              <w:keepNext/>
                              <w:keepLines/>
                              <w:spacing w:before="200" w:after="240" w:line="276" w:lineRule="auto"/>
                              <w:outlineLvl w:val="5"/>
                              <w:rPr>
                                <w:rFonts w:ascii="Calibri" w:hAnsi="Calibri"/>
                                <w:b/>
                                <w:smallCaps/>
                              </w:rPr>
                            </w:pPr>
                            <w:r w:rsidRPr="00E7028E">
                              <w:rPr>
                                <w:rFonts w:ascii="Calibri" w:hAnsi="Calibri"/>
                                <w:b/>
                                <w:smallCaps/>
                              </w:rPr>
                              <w:t xml:space="preserve">Example </w:t>
                            </w:r>
                          </w:p>
                          <w:p w:rsidR="0091218A" w:rsidRPr="00E7028E" w:rsidRDefault="0091218A" w:rsidP="0091218A">
                            <w:pPr>
                              <w:rPr>
                                <w:rFonts w:cstheme="minorHAnsi"/>
                              </w:rPr>
                            </w:pPr>
                            <w:r w:rsidRPr="00E7028E">
                              <w:rPr>
                                <w:rFonts w:cstheme="minorHAnsi"/>
                              </w:rPr>
                              <w:t xml:space="preserve">A 200 </w:t>
                            </w:r>
                            <w:proofErr w:type="spellStart"/>
                            <w:r w:rsidRPr="00E7028E">
                              <w:rPr>
                                <w:rFonts w:cstheme="minorHAnsi"/>
                              </w:rPr>
                              <w:t>kBtu</w:t>
                            </w:r>
                            <w:proofErr w:type="spellEnd"/>
                            <w:r w:rsidRPr="00E7028E">
                              <w:rPr>
                                <w:rFonts w:cstheme="minorHAnsi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furnace</w:t>
                            </w:r>
                            <w:r w:rsidRPr="00E7028E">
                              <w:rPr>
                                <w:rFonts w:cstheme="minorHAnsi"/>
                              </w:rPr>
                              <w:t xml:space="preserve"> in a Rockford low rise office records an efficiency prior to tune up of 82% AFUE and a 1.8% improvement in efficiency are tune up: </w:t>
                            </w:r>
                          </w:p>
                          <w:p w:rsidR="0091218A" w:rsidRPr="00E7028E" w:rsidRDefault="0091218A" w:rsidP="0091218A">
                            <w:pPr>
                              <w:ind w:left="720" w:firstLine="720"/>
                              <w:rPr>
                                <w:rFonts w:cstheme="minorHAnsi"/>
                                <w:noProof/>
                              </w:rPr>
                            </w:pPr>
                            <w:r w:rsidRPr="00E7028E">
                              <w:rPr>
                                <w:rFonts w:cstheme="minorHAnsi"/>
                                <w:noProof/>
                              </w:rPr>
                              <w:t xml:space="preserve">Δtherms </w:t>
                            </w:r>
                            <w:r w:rsidRPr="00E7028E">
                              <w:rPr>
                                <w:rFonts w:cstheme="minorHAnsi"/>
                                <w:noProof/>
                              </w:rPr>
                              <w:tab/>
                            </w:r>
                            <w:r w:rsidRPr="00E7028E">
                              <w:rPr>
                                <w:rFonts w:cstheme="minorHAnsi"/>
                                <w:noProof/>
                              </w:rPr>
                              <w:tab/>
                              <w:t>= (200,000 * 14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28</w:t>
                            </w:r>
                            <w:r w:rsidRPr="00E7028E">
                              <w:rPr>
                                <w:rFonts w:cstheme="minorHAnsi"/>
                                <w:noProof/>
                              </w:rPr>
                              <w:t xml:space="preserve"> * (((0.82 + 0.018)/ 0.82) – 1)) /100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,</w:t>
                            </w:r>
                            <w:r w:rsidRPr="00E7028E">
                              <w:rPr>
                                <w:rFonts w:cstheme="minorHAnsi"/>
                                <w:noProof/>
                              </w:rPr>
                              <w:t>000</w:t>
                            </w:r>
                          </w:p>
                          <w:p w:rsidR="0091218A" w:rsidRPr="00E7028E" w:rsidRDefault="0091218A" w:rsidP="0091218A">
                            <w:pPr>
                              <w:ind w:left="720" w:firstLine="720"/>
                              <w:rPr>
                                <w:rFonts w:cstheme="minorHAnsi"/>
                                <w:noProof/>
                              </w:rPr>
                            </w:pPr>
                            <w:r w:rsidRPr="00E7028E">
                              <w:rPr>
                                <w:rFonts w:cstheme="minorHAnsi"/>
                                <w:noProof/>
                              </w:rPr>
                              <w:tab/>
                            </w:r>
                            <w:r w:rsidRPr="00E7028E">
                              <w:rPr>
                                <w:rFonts w:cstheme="minorHAnsi"/>
                                <w:noProof/>
                              </w:rPr>
                              <w:tab/>
                            </w:r>
                            <w:r w:rsidRPr="00E7028E">
                              <w:rPr>
                                <w:rFonts w:cstheme="minorHAnsi"/>
                                <w:noProof/>
                              </w:rPr>
                              <w:tab/>
                              <w:t xml:space="preserve">=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62.3</w:t>
                            </w:r>
                            <w:r w:rsidRPr="00E7028E">
                              <w:rPr>
                                <w:rFonts w:cstheme="minorHAnsi"/>
                                <w:noProof/>
                              </w:rPr>
                              <w:t xml:space="preserve"> therms</w:t>
                            </w:r>
                          </w:p>
                          <w:p w:rsidR="0091218A" w:rsidRDefault="0091218A" w:rsidP="0091218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pt;margin-top:8.85pt;width:483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">
                <v:textbox>
                  <w:txbxContent>
                    <w:p w:rsidR="0091218A" w:rsidRPr="00E7028E" w:rsidRDefault="0091218A" w:rsidP="0091218A">
                      <w:pPr>
                        <w:keepNext/>
                        <w:keepLines/>
                        <w:spacing w:before="200" w:after="240" w:line="276" w:lineRule="auto"/>
                        <w:outlineLvl w:val="5"/>
                        <w:rPr>
                          <w:rFonts w:ascii="Calibri" w:hAnsi="Calibri"/>
                          <w:b/>
                          <w:smallCaps/>
                        </w:rPr>
                      </w:pPr>
                      <w:r w:rsidRPr="00E7028E">
                        <w:rPr>
                          <w:rFonts w:ascii="Calibri" w:hAnsi="Calibri"/>
                          <w:b/>
                          <w:smallCaps/>
                        </w:rPr>
                        <w:t xml:space="preserve">Example </w:t>
                      </w:r>
                    </w:p>
                    <w:p w:rsidR="0091218A" w:rsidRPr="00E7028E" w:rsidRDefault="0091218A" w:rsidP="0091218A">
                      <w:pPr>
                        <w:rPr>
                          <w:rFonts w:cstheme="minorHAnsi"/>
                        </w:rPr>
                      </w:pPr>
                      <w:r w:rsidRPr="00E7028E">
                        <w:rPr>
                          <w:rFonts w:cstheme="minorHAnsi"/>
                        </w:rPr>
                        <w:t xml:space="preserve">A 200 </w:t>
                      </w:r>
                      <w:proofErr w:type="spellStart"/>
                      <w:r w:rsidRPr="00E7028E">
                        <w:rPr>
                          <w:rFonts w:cstheme="minorHAnsi"/>
                        </w:rPr>
                        <w:t>kBtu</w:t>
                      </w:r>
                      <w:proofErr w:type="spellEnd"/>
                      <w:r w:rsidRPr="00E7028E">
                        <w:rPr>
                          <w:rFonts w:cstheme="minorHAnsi"/>
                        </w:rPr>
                        <w:t xml:space="preserve"> </w:t>
                      </w:r>
                      <w:r>
                        <w:rPr>
                          <w:rFonts w:cstheme="minorHAnsi"/>
                        </w:rPr>
                        <w:t>furnace</w:t>
                      </w:r>
                      <w:r w:rsidRPr="00E7028E">
                        <w:rPr>
                          <w:rFonts w:cstheme="minorHAnsi"/>
                        </w:rPr>
                        <w:t xml:space="preserve"> in a Rockford low rise office records an efficiency prior to tune up of 82% AFUE and a 1.8% improvement in efficiency are tune up: </w:t>
                      </w:r>
                    </w:p>
                    <w:p w:rsidR="0091218A" w:rsidRPr="00E7028E" w:rsidRDefault="0091218A" w:rsidP="0091218A">
                      <w:pPr>
                        <w:ind w:left="720" w:firstLine="720"/>
                        <w:rPr>
                          <w:rFonts w:cstheme="minorHAnsi"/>
                          <w:noProof/>
                        </w:rPr>
                      </w:pPr>
                      <w:r w:rsidRPr="00E7028E">
                        <w:rPr>
                          <w:rFonts w:cstheme="minorHAnsi"/>
                          <w:noProof/>
                        </w:rPr>
                        <w:t xml:space="preserve">Δtherms </w:t>
                      </w:r>
                      <w:r w:rsidRPr="00E7028E">
                        <w:rPr>
                          <w:rFonts w:cstheme="minorHAnsi"/>
                          <w:noProof/>
                        </w:rPr>
                        <w:tab/>
                      </w:r>
                      <w:r w:rsidRPr="00E7028E">
                        <w:rPr>
                          <w:rFonts w:cstheme="minorHAnsi"/>
                          <w:noProof/>
                        </w:rPr>
                        <w:tab/>
                        <w:t>= (200,000 * 14</w:t>
                      </w:r>
                      <w:r>
                        <w:rPr>
                          <w:rFonts w:cstheme="minorHAnsi"/>
                          <w:noProof/>
                        </w:rPr>
                        <w:t>28</w:t>
                      </w:r>
                      <w:r w:rsidRPr="00E7028E">
                        <w:rPr>
                          <w:rFonts w:cstheme="minorHAnsi"/>
                          <w:noProof/>
                        </w:rPr>
                        <w:t xml:space="preserve"> * (((0.82 + 0.018)/ 0.82) – 1)) /100</w:t>
                      </w:r>
                      <w:r>
                        <w:rPr>
                          <w:rFonts w:cstheme="minorHAnsi"/>
                          <w:noProof/>
                        </w:rPr>
                        <w:t>,</w:t>
                      </w:r>
                      <w:r w:rsidRPr="00E7028E">
                        <w:rPr>
                          <w:rFonts w:cstheme="minorHAnsi"/>
                          <w:noProof/>
                        </w:rPr>
                        <w:t>000</w:t>
                      </w:r>
                    </w:p>
                    <w:p w:rsidR="0091218A" w:rsidRPr="00E7028E" w:rsidRDefault="0091218A" w:rsidP="0091218A">
                      <w:pPr>
                        <w:ind w:left="720" w:firstLine="720"/>
                        <w:rPr>
                          <w:rFonts w:cstheme="minorHAnsi"/>
                          <w:noProof/>
                        </w:rPr>
                      </w:pPr>
                      <w:r w:rsidRPr="00E7028E">
                        <w:rPr>
                          <w:rFonts w:cstheme="minorHAnsi"/>
                          <w:noProof/>
                        </w:rPr>
                        <w:tab/>
                      </w:r>
                      <w:r w:rsidRPr="00E7028E">
                        <w:rPr>
                          <w:rFonts w:cstheme="minorHAnsi"/>
                          <w:noProof/>
                        </w:rPr>
                        <w:tab/>
                      </w:r>
                      <w:r w:rsidRPr="00E7028E">
                        <w:rPr>
                          <w:rFonts w:cstheme="minorHAnsi"/>
                          <w:noProof/>
                        </w:rPr>
                        <w:tab/>
                        <w:t xml:space="preserve">= </w:t>
                      </w:r>
                      <w:r>
                        <w:rPr>
                          <w:rFonts w:cstheme="minorHAnsi"/>
                          <w:noProof/>
                        </w:rPr>
                        <w:t>62.3</w:t>
                      </w:r>
                      <w:r w:rsidRPr="00E7028E">
                        <w:rPr>
                          <w:rFonts w:cstheme="minorHAnsi"/>
                          <w:noProof/>
                        </w:rPr>
                        <w:t xml:space="preserve"> therms</w:t>
                      </w:r>
                    </w:p>
                    <w:p w:rsidR="0091218A" w:rsidRDefault="0091218A" w:rsidP="0091218A"/>
                  </w:txbxContent>
                </v:textbox>
              </v:shape>
            </w:pict>
          </mc:Fallback>
        </mc:AlternateConten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  <w:r w:rsidRPr="000A0E11">
        <w:rPr>
          <w:rFonts w:ascii="Calibri" w:hAnsi="Calibri"/>
          <w:b/>
          <w:smallCaps/>
          <w:sz w:val="22"/>
        </w:rPr>
        <w:t xml:space="preserve">Water Impact Descriptions and Calculation  </w: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  <w:r w:rsidRPr="000A0E11">
        <w:rPr>
          <w:rFonts w:ascii="Calibri" w:hAnsi="Calibri"/>
        </w:rPr>
        <w:t>N/A</w:t>
      </w: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  <w:r w:rsidRPr="000A0E11">
        <w:rPr>
          <w:rFonts w:ascii="Calibri" w:hAnsi="Calibri"/>
          <w:b/>
          <w:smallCaps/>
          <w:sz w:val="22"/>
        </w:rPr>
        <w:t>Deemed O&amp;M Cost Adjustment Calculation</w: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  <w:r w:rsidRPr="000A0E11">
        <w:rPr>
          <w:rFonts w:ascii="Calibri" w:hAnsi="Calibri"/>
        </w:rPr>
        <w:t>N/A</w:t>
      </w:r>
    </w:p>
    <w:p w:rsidR="0091218A" w:rsidRPr="000A0E11" w:rsidRDefault="0091218A" w:rsidP="0091218A">
      <w:pPr>
        <w:keepNext/>
        <w:keepLines/>
        <w:spacing w:before="200" w:after="240" w:line="276" w:lineRule="auto"/>
        <w:outlineLvl w:val="5"/>
        <w:rPr>
          <w:rFonts w:ascii="Calibri" w:hAnsi="Calibri"/>
          <w:b/>
          <w:smallCaps/>
          <w:sz w:val="22"/>
        </w:rPr>
      </w:pPr>
      <w:r w:rsidRPr="000A0E11">
        <w:rPr>
          <w:rFonts w:ascii="Calibri" w:hAnsi="Calibri"/>
          <w:b/>
          <w:smallCaps/>
          <w:sz w:val="22"/>
        </w:rPr>
        <w:t>O&amp;M Cost Adjustment Calculation</w:t>
      </w:r>
    </w:p>
    <w:p w:rsidR="0091218A" w:rsidRPr="000A0E11" w:rsidRDefault="0091218A" w:rsidP="0091218A">
      <w:pPr>
        <w:spacing w:after="240"/>
        <w:rPr>
          <w:rFonts w:ascii="Calibri" w:hAnsi="Calibri"/>
        </w:rPr>
      </w:pPr>
      <w:r w:rsidRPr="000A0E11">
        <w:rPr>
          <w:rFonts w:ascii="Calibri" w:hAnsi="Calibri"/>
        </w:rPr>
        <w:t>N/A</w:t>
      </w:r>
    </w:p>
    <w:p w:rsidR="0091218A" w:rsidRPr="00891D10" w:rsidDel="0091218A" w:rsidRDefault="0091218A" w:rsidP="0091218A">
      <w:pPr>
        <w:widowControl/>
        <w:spacing w:after="200" w:line="276" w:lineRule="auto"/>
        <w:jc w:val="left"/>
        <w:rPr>
          <w:del w:id="4" w:author="Samuel Dent" w:date="2015-11-18T09:32:00Z"/>
        </w:rPr>
        <w:sectPr w:rsidR="0091218A" w:rsidRPr="00891D10" w:rsidDel="0091218A" w:rsidSect="00B64B6A">
          <w:headerReference w:type="default" r:id="rId8"/>
          <w:pgSz w:w="12240" w:h="15840" w:code="1"/>
          <w:pgMar w:top="1440" w:right="1440" w:bottom="1440" w:left="1440" w:header="720" w:footer="720" w:gutter="0"/>
          <w:cols w:space="720"/>
          <w:docGrid w:linePitch="272"/>
        </w:sectPr>
      </w:pPr>
      <w:r w:rsidRPr="000A0E11">
        <w:rPr>
          <w:rFonts w:ascii="Calibri" w:hAnsi="Calibri"/>
          <w:b/>
          <w:smallCaps/>
          <w:sz w:val="22"/>
        </w:rPr>
        <w:t xml:space="preserve">Measure </w:t>
      </w:r>
      <w:r w:rsidRPr="000A0E11">
        <w:rPr>
          <w:rFonts w:ascii="Calibri" w:hAnsi="Calibri"/>
          <w:b/>
          <w:sz w:val="22"/>
        </w:rPr>
        <w:t>Code</w:t>
      </w:r>
      <w:r w:rsidRPr="000A0E11">
        <w:rPr>
          <w:rFonts w:ascii="Calibri" w:hAnsi="Calibri"/>
          <w:b/>
          <w:smallCaps/>
          <w:sz w:val="22"/>
        </w:rPr>
        <w:t>: CI-HVC-FTUN-</w:t>
      </w:r>
      <w:del w:id="5" w:author="Samuel Dent" w:date="2015-11-18T09:32:00Z">
        <w:r w:rsidRPr="000A0E11" w:rsidDel="0091218A">
          <w:rPr>
            <w:rFonts w:ascii="Calibri" w:hAnsi="Calibri"/>
            <w:b/>
            <w:smallCaps/>
            <w:sz w:val="22"/>
          </w:rPr>
          <w:delText>V01</w:delText>
        </w:r>
      </w:del>
      <w:ins w:id="6" w:author="Samuel Dent" w:date="2015-11-18T09:32:00Z">
        <w:r w:rsidRPr="000A0E11">
          <w:rPr>
            <w:rFonts w:ascii="Calibri" w:hAnsi="Calibri"/>
            <w:b/>
            <w:smallCaps/>
            <w:sz w:val="22"/>
          </w:rPr>
          <w:t>V0</w:t>
        </w:r>
        <w:r>
          <w:rPr>
            <w:rFonts w:ascii="Calibri" w:hAnsi="Calibri"/>
            <w:b/>
            <w:smallCaps/>
            <w:sz w:val="22"/>
          </w:rPr>
          <w:t>2</w:t>
        </w:r>
      </w:ins>
      <w:r w:rsidRPr="000A0E11">
        <w:rPr>
          <w:rFonts w:ascii="Calibri" w:hAnsi="Calibri"/>
          <w:b/>
          <w:smallCaps/>
          <w:sz w:val="22"/>
        </w:rPr>
        <w:t>-</w:t>
      </w:r>
      <w:del w:id="7" w:author="Samuel Dent" w:date="2015-11-18T09:32:00Z">
        <w:r w:rsidRPr="000A0E11" w:rsidDel="0091218A">
          <w:rPr>
            <w:rFonts w:ascii="Calibri" w:hAnsi="Calibri"/>
            <w:b/>
            <w:smallCaps/>
            <w:sz w:val="22"/>
          </w:rPr>
          <w:delText>150601</w:delText>
        </w:r>
      </w:del>
      <w:ins w:id="8" w:author="Samuel Dent" w:date="2015-11-18T09:32:00Z">
        <w:r w:rsidRPr="000A0E11">
          <w:rPr>
            <w:rFonts w:ascii="Calibri" w:hAnsi="Calibri"/>
            <w:b/>
            <w:smallCaps/>
            <w:sz w:val="22"/>
          </w:rPr>
          <w:t>1</w:t>
        </w:r>
        <w:r>
          <w:rPr>
            <w:rFonts w:ascii="Calibri" w:hAnsi="Calibri"/>
            <w:b/>
            <w:smallCaps/>
            <w:sz w:val="22"/>
          </w:rPr>
          <w:t>6</w:t>
        </w:r>
        <w:r w:rsidRPr="000A0E11">
          <w:rPr>
            <w:rFonts w:ascii="Calibri" w:hAnsi="Calibri"/>
            <w:b/>
            <w:smallCaps/>
            <w:sz w:val="22"/>
          </w:rPr>
          <w:t>0601</w:t>
        </w:r>
      </w:ins>
    </w:p>
    <w:p w:rsidR="00D5281E" w:rsidRDefault="00D5281E" w:rsidP="0091218A">
      <w:pPr>
        <w:widowControl/>
        <w:spacing w:after="200" w:line="276" w:lineRule="auto"/>
        <w:jc w:val="left"/>
        <w:pPrChange w:id="9" w:author="Samuel Dent" w:date="2015-11-18T09:32:00Z">
          <w:pPr/>
        </w:pPrChange>
      </w:pPr>
      <w:bookmarkStart w:id="10" w:name="_GoBack"/>
      <w:bookmarkEnd w:id="10"/>
    </w:p>
    <w:sectPr w:rsidR="00D5281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18A" w:rsidRDefault="0091218A" w:rsidP="0091218A">
      <w:pPr>
        <w:spacing w:after="0"/>
      </w:pPr>
      <w:r>
        <w:separator/>
      </w:r>
    </w:p>
  </w:endnote>
  <w:endnote w:type="continuationSeparator" w:id="0">
    <w:p w:rsidR="0091218A" w:rsidRDefault="0091218A" w:rsidP="009121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18A" w:rsidRDefault="0091218A" w:rsidP="0091218A">
      <w:pPr>
        <w:spacing w:after="0"/>
      </w:pPr>
      <w:r>
        <w:separator/>
      </w:r>
    </w:p>
  </w:footnote>
  <w:footnote w:type="continuationSeparator" w:id="0">
    <w:p w:rsidR="0091218A" w:rsidRDefault="0091218A" w:rsidP="0091218A">
      <w:pPr>
        <w:spacing w:after="0"/>
      </w:pPr>
      <w:r>
        <w:continuationSeparator/>
      </w:r>
    </w:p>
  </w:footnote>
  <w:footnote w:id="1">
    <w:p w:rsidR="0091218A" w:rsidRPr="009C362B" w:rsidRDefault="0091218A" w:rsidP="0091218A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American Standard Maintenance for Indoor Units: http://www.americanstandardair.com/owner-support/maintenance.html</w:t>
      </w:r>
    </w:p>
  </w:footnote>
  <w:footnote w:id="2">
    <w:p w:rsidR="0091218A" w:rsidRPr="009C362B" w:rsidRDefault="0091218A" w:rsidP="0091218A">
      <w:pPr>
        <w:pStyle w:val="Footnote"/>
        <w:rPr>
          <w:color w:val="FF0000"/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>Act on Energy Commercial Technical Reference Manual No. 2010-4, 9.2.3 Gas Forced-Air Furnace Tune-up.</w:t>
      </w:r>
    </w:p>
  </w:footnote>
  <w:footnote w:id="3">
    <w:p w:rsidR="0091218A" w:rsidRPr="009C362B" w:rsidRDefault="0091218A" w:rsidP="0091218A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F</w:t>
      </w:r>
      <w:r w:rsidRPr="009C362B">
        <w:rPr>
          <w:szCs w:val="18"/>
          <w:vertAlign w:val="subscript"/>
        </w:rPr>
        <w:t>e</w:t>
      </w:r>
      <w:r w:rsidRPr="009C362B">
        <w:rPr>
          <w:szCs w:val="18"/>
        </w:rPr>
        <w:t xml:space="preserve"> is not one of the AHRI certified ratings provided for residential furnaces, but can be reasonably estimated from a calculation based on the certified values for fuel energy (</w:t>
      </w:r>
      <w:proofErr w:type="spellStart"/>
      <w:r w:rsidRPr="009C362B">
        <w:rPr>
          <w:szCs w:val="18"/>
        </w:rPr>
        <w:t>Ef</w:t>
      </w:r>
      <w:proofErr w:type="spellEnd"/>
      <w:r w:rsidRPr="009C362B">
        <w:rPr>
          <w:szCs w:val="18"/>
        </w:rPr>
        <w:t xml:space="preserve"> in </w:t>
      </w:r>
      <w:proofErr w:type="spellStart"/>
      <w:r w:rsidRPr="009C362B">
        <w:rPr>
          <w:szCs w:val="18"/>
        </w:rPr>
        <w:t>MMBtu</w:t>
      </w:r>
      <w:proofErr w:type="spellEnd"/>
      <w:r w:rsidRPr="009C362B">
        <w:rPr>
          <w:szCs w:val="18"/>
        </w:rPr>
        <w:t>/</w:t>
      </w:r>
      <w:proofErr w:type="spellStart"/>
      <w:r w:rsidRPr="009C362B">
        <w:rPr>
          <w:szCs w:val="18"/>
        </w:rPr>
        <w:t>yr</w:t>
      </w:r>
      <w:proofErr w:type="spellEnd"/>
      <w:r w:rsidRPr="009C362B">
        <w:rPr>
          <w:szCs w:val="18"/>
        </w:rPr>
        <w:t xml:space="preserve">) and </w:t>
      </w:r>
      <w:proofErr w:type="spellStart"/>
      <w:r w:rsidRPr="009C362B">
        <w:rPr>
          <w:szCs w:val="18"/>
        </w:rPr>
        <w:t>Eae</w:t>
      </w:r>
      <w:proofErr w:type="spellEnd"/>
      <w:r w:rsidRPr="009C362B">
        <w:rPr>
          <w:szCs w:val="18"/>
        </w:rPr>
        <w:t xml:space="preserve"> (kWh/</w:t>
      </w:r>
      <w:proofErr w:type="spellStart"/>
      <w:r w:rsidRPr="009C362B">
        <w:rPr>
          <w:szCs w:val="18"/>
        </w:rPr>
        <w:t>yr</w:t>
      </w:r>
      <w:proofErr w:type="spellEnd"/>
      <w:r w:rsidRPr="009C362B">
        <w:rPr>
          <w:szCs w:val="18"/>
        </w:rPr>
        <w:t>).  An average of a 300 record sample (non-random) out of 1495 was 3.14%.  This is, appropriately, ~50% greater than the Energy Star version 3 criteria for 2% F</w:t>
      </w:r>
      <w:r w:rsidRPr="009C362B">
        <w:rPr>
          <w:szCs w:val="18"/>
          <w:vertAlign w:val="subscript"/>
        </w:rPr>
        <w:t>e</w:t>
      </w:r>
      <w:r w:rsidRPr="009C362B">
        <w:rPr>
          <w:szCs w:val="18"/>
        </w:rPr>
        <w:t>. See “Programmable Thermostats Furnace Fan Analysis.xlsx” for reference.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18A" w:rsidRPr="0084244F" w:rsidRDefault="0091218A" w:rsidP="00281191">
    <w:pPr>
      <w:pStyle w:val="Header"/>
      <w:pBdr>
        <w:bottom w:val="single" w:sz="4" w:space="0" w:color="auto"/>
      </w:pBdr>
      <w:rPr>
        <w:sz w:val="24"/>
      </w:rPr>
    </w:pPr>
    <w:r w:rsidRPr="0084244F">
      <w:rPr>
        <w:sz w:val="22"/>
      </w:rPr>
      <w:t>Illinois Statewide Technical Reference Manual -</w:t>
    </w:r>
    <w:r>
      <w:rPr>
        <w:sz w:val="22"/>
      </w:rPr>
      <w:t xml:space="preserve"> </w:t>
    </w:r>
    <w:r>
      <w:rPr>
        <w:sz w:val="22"/>
      </w:rPr>
      <w:fldChar w:fldCharType="begin"/>
    </w:r>
    <w:r>
      <w:rPr>
        <w:sz w:val="22"/>
      </w:rPr>
      <w:instrText xml:space="preserve"> REF _Ref406678863 \r \h </w:instrText>
    </w:r>
    <w:r>
      <w:rPr>
        <w:sz w:val="22"/>
      </w:rPr>
    </w:r>
    <w:r>
      <w:rPr>
        <w:sz w:val="22"/>
      </w:rPr>
      <w:fldChar w:fldCharType="separate"/>
    </w:r>
    <w:r>
      <w:rPr>
        <w:sz w:val="22"/>
      </w:rPr>
      <w:t>4.4.31</w:t>
    </w:r>
    <w:r>
      <w:rPr>
        <w:sz w:val="22"/>
      </w:rPr>
      <w:fldChar w:fldCharType="end"/>
    </w:r>
    <w:r>
      <w:rPr>
        <w:sz w:val="22"/>
      </w:rPr>
      <w:t xml:space="preserve"> </w:t>
    </w:r>
    <w:r w:rsidRPr="009C362B">
      <w:fldChar w:fldCharType="begin"/>
    </w:r>
    <w:r w:rsidRPr="009C362B">
      <w:instrText xml:space="preserve"> REF _Ref406678863 \h </w:instrText>
    </w:r>
    <w:r>
      <w:instrText xml:space="preserve"> \* MERGEFORMAT </w:instrText>
    </w:r>
    <w:r w:rsidRPr="009C362B">
      <w:fldChar w:fldCharType="separate"/>
    </w:r>
    <w:r w:rsidRPr="00F679EC">
      <w:rPr>
        <w:rFonts w:ascii="Calibri" w:hAnsi="Calibri"/>
        <w:bCs/>
        <w:sz w:val="22"/>
        <w:szCs w:val="24"/>
      </w:rPr>
      <w:t>Small Business Furnace Tune-Up</w:t>
    </w:r>
    <w:r w:rsidRPr="009C362B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18A" w:rsidRPr="0084244F" w:rsidRDefault="0091218A" w:rsidP="00E52196">
    <w:pPr>
      <w:pStyle w:val="Header"/>
      <w:pBdr>
        <w:bottom w:val="single" w:sz="4" w:space="0" w:color="auto"/>
      </w:pBdr>
      <w:rPr>
        <w:sz w:val="24"/>
      </w:rPr>
    </w:pPr>
    <w:r w:rsidRPr="0084244F">
      <w:rPr>
        <w:sz w:val="22"/>
      </w:rPr>
      <w:t>Illinois Statewide Technical Reference Manual -</w:t>
    </w: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C7D85"/>
    <w:multiLevelType w:val="multilevel"/>
    <w:tmpl w:val="0C6E210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13210D60"/>
    <w:multiLevelType w:val="multilevel"/>
    <w:tmpl w:val="ADC610E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83C6F9E"/>
    <w:multiLevelType w:val="hybridMultilevel"/>
    <w:tmpl w:val="4C663EF2"/>
    <w:lvl w:ilvl="0" w:tplc="F5D236DE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8A"/>
    <w:rsid w:val="0091218A"/>
    <w:rsid w:val="00D5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18A"/>
    <w:pPr>
      <w:widowControl w:val="0"/>
      <w:spacing w:after="120" w:line="240" w:lineRule="auto"/>
      <w:jc w:val="both"/>
    </w:pPr>
    <w:rPr>
      <w:rFonts w:eastAsia="Times New Roman" w:cs="Times New Roman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91218A"/>
    <w:pPr>
      <w:keepNext/>
      <w:numPr>
        <w:numId w:val="1"/>
      </w:numPr>
      <w:outlineLvl w:val="0"/>
    </w:pPr>
    <w:rPr>
      <w:rFonts w:ascii="Calibri" w:hAnsi="Calibri" w:cs="Arial"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1218A"/>
    <w:pPr>
      <w:keepNext/>
      <w:widowControl/>
      <w:numPr>
        <w:ilvl w:val="1"/>
        <w:numId w:val="1"/>
      </w:numPr>
      <w:outlineLvl w:val="1"/>
    </w:pPr>
    <w:rPr>
      <w:rFonts w:ascii="Calibri" w:hAnsi="Calibri" w:cs="Arial"/>
      <w:bCs/>
      <w:iCs/>
      <w:sz w:val="28"/>
      <w:szCs w:val="28"/>
    </w:rPr>
  </w:style>
  <w:style w:type="paragraph" w:styleId="Heading3">
    <w:name w:val="heading 3"/>
    <w:aliases w:val="Heading 3 Char2 Char,Heading 3 Char Char1 Char,Heading 3 Char2 Char Char Char1,Heading 3 Char Char1 Char Char Char,Heading 3 Char2 Char Char Char1 Char Char,Heading 3 Char Char1 Char Char Char Char Char,Heading 3 Char2 Char2"/>
    <w:basedOn w:val="Normal"/>
    <w:next w:val="Normal"/>
    <w:link w:val="Heading3Char1"/>
    <w:autoRedefine/>
    <w:uiPriority w:val="99"/>
    <w:qFormat/>
    <w:rsid w:val="0091218A"/>
    <w:pPr>
      <w:numPr>
        <w:ilvl w:val="2"/>
        <w:numId w:val="1"/>
      </w:numPr>
      <w:spacing w:line="276" w:lineRule="auto"/>
      <w:ind w:right="-2880"/>
      <w:jc w:val="left"/>
      <w:outlineLvl w:val="2"/>
    </w:pPr>
    <w:rPr>
      <w:rFonts w:ascii="Calibri" w:eastAsiaTheme="minorEastAsia" w:hAnsi="Calibri"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91218A"/>
    <w:pPr>
      <w:keepNext/>
      <w:numPr>
        <w:ilvl w:val="3"/>
        <w:numId w:val="1"/>
      </w:numPr>
      <w:spacing w:line="276" w:lineRule="auto"/>
      <w:ind w:right="-2880"/>
      <w:jc w:val="left"/>
      <w:outlineLvl w:val="3"/>
    </w:pPr>
    <w:rPr>
      <w:rFonts w:ascii="Calibri" w:eastAsiaTheme="minorEastAsia" w:hAnsi="Calibri" w:cs="Arial"/>
      <w:bCs/>
      <w:i/>
      <w:noProof/>
      <w:sz w:val="22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91218A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libri" w:hAnsi="Calibri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1218A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1218A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1218A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1218A"/>
    <w:rPr>
      <w:rFonts w:ascii="Calibri" w:eastAsia="Times New Roman" w:hAnsi="Calibri" w:cs="Arial"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91218A"/>
    <w:rPr>
      <w:rFonts w:ascii="Calibri" w:eastAsia="Times New Roman" w:hAnsi="Calibri" w:cs="Arial"/>
      <w:bCs/>
      <w:iCs/>
      <w:sz w:val="28"/>
      <w:szCs w:val="28"/>
    </w:rPr>
  </w:style>
  <w:style w:type="character" w:customStyle="1" w:styleId="Heading3Char">
    <w:name w:val="Heading 3 Char"/>
    <w:basedOn w:val="DefaultParagraphFont"/>
    <w:uiPriority w:val="9"/>
    <w:semiHidden/>
    <w:rsid w:val="0091218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9"/>
    <w:rsid w:val="0091218A"/>
    <w:rPr>
      <w:rFonts w:ascii="Calibri" w:eastAsiaTheme="minorEastAsia" w:hAnsi="Calibri" w:cs="Arial"/>
      <w:bCs/>
      <w:i/>
      <w:noProof/>
    </w:rPr>
  </w:style>
  <w:style w:type="character" w:customStyle="1" w:styleId="Heading5Char">
    <w:name w:val="Heading 5 Char"/>
    <w:basedOn w:val="DefaultParagraphFont"/>
    <w:link w:val="Heading5"/>
    <w:uiPriority w:val="99"/>
    <w:rsid w:val="0091218A"/>
    <w:rPr>
      <w:rFonts w:ascii="Calibri" w:eastAsia="Times New Roman" w:hAnsi="Calibri" w:cs="Times New Roman"/>
      <w:sz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91218A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91218A"/>
    <w:rPr>
      <w:rFonts w:ascii="Cambria" w:eastAsia="Times New Roman" w:hAnsi="Cambria" w:cs="Times New Roman"/>
      <w:color w:val="404040"/>
      <w:sz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91218A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Heading3Char1">
    <w:name w:val="Heading 3 Char1"/>
    <w:aliases w:val="Heading 3 Char2 Char Char1,Heading 3 Char Char1 Char Char1,Heading 3 Char2 Char Char Char1 Char1,Heading 3 Char Char1 Char Char Char Char1,Heading 3 Char2 Char Char Char1 Char Char Char1,Heading 3 Char2 Char2 Char"/>
    <w:link w:val="Heading3"/>
    <w:uiPriority w:val="99"/>
    <w:locked/>
    <w:rsid w:val="0091218A"/>
    <w:rPr>
      <w:rFonts w:ascii="Calibri" w:eastAsiaTheme="minorEastAsia" w:hAnsi="Calibri" w:cs="Times New Roman"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9121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218A"/>
    <w:rPr>
      <w:rFonts w:eastAsia="Times New Roman" w:cs="Times New Roman"/>
      <w:sz w:val="20"/>
    </w:rPr>
  </w:style>
  <w:style w:type="character" w:styleId="FootnoteReference">
    <w:name w:val="footnote reference"/>
    <w:aliases w:val="Footnote_Reference,o,fr"/>
    <w:uiPriority w:val="99"/>
    <w:qFormat/>
    <w:rsid w:val="0091218A"/>
    <w:rPr>
      <w:rFonts w:ascii="Arial" w:hAnsi="Arial" w:cs="Times New Roman"/>
      <w:sz w:val="20"/>
      <w:vertAlign w:val="superscript"/>
    </w:rPr>
  </w:style>
  <w:style w:type="character" w:customStyle="1" w:styleId="FootnoteChar">
    <w:name w:val="Footnote Char"/>
    <w:basedOn w:val="DefaultParagraphFont"/>
    <w:link w:val="Footnote"/>
    <w:rsid w:val="0091218A"/>
    <w:rPr>
      <w:rFonts w:eastAsiaTheme="minorEastAsia" w:cstheme="minorHAnsi"/>
      <w:sz w:val="18"/>
      <w:szCs w:val="20"/>
    </w:rPr>
  </w:style>
  <w:style w:type="paragraph" w:customStyle="1" w:styleId="Footnote">
    <w:name w:val="Footnote"/>
    <w:basedOn w:val="FootnoteText"/>
    <w:link w:val="FootnoteChar"/>
    <w:autoRedefine/>
    <w:qFormat/>
    <w:rsid w:val="0091218A"/>
    <w:pPr>
      <w:jc w:val="left"/>
    </w:pPr>
    <w:rPr>
      <w:rFonts w:eastAsiaTheme="minorEastAsia" w:cstheme="minorHAns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218A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218A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18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18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18A"/>
    <w:pPr>
      <w:widowControl w:val="0"/>
      <w:spacing w:after="120" w:line="240" w:lineRule="auto"/>
      <w:jc w:val="both"/>
    </w:pPr>
    <w:rPr>
      <w:rFonts w:eastAsia="Times New Roman" w:cs="Times New Roman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91218A"/>
    <w:pPr>
      <w:keepNext/>
      <w:numPr>
        <w:numId w:val="1"/>
      </w:numPr>
      <w:outlineLvl w:val="0"/>
    </w:pPr>
    <w:rPr>
      <w:rFonts w:ascii="Calibri" w:hAnsi="Calibri" w:cs="Arial"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1218A"/>
    <w:pPr>
      <w:keepNext/>
      <w:widowControl/>
      <w:numPr>
        <w:ilvl w:val="1"/>
        <w:numId w:val="1"/>
      </w:numPr>
      <w:outlineLvl w:val="1"/>
    </w:pPr>
    <w:rPr>
      <w:rFonts w:ascii="Calibri" w:hAnsi="Calibri" w:cs="Arial"/>
      <w:bCs/>
      <w:iCs/>
      <w:sz w:val="28"/>
      <w:szCs w:val="28"/>
    </w:rPr>
  </w:style>
  <w:style w:type="paragraph" w:styleId="Heading3">
    <w:name w:val="heading 3"/>
    <w:aliases w:val="Heading 3 Char2 Char,Heading 3 Char Char1 Char,Heading 3 Char2 Char Char Char1,Heading 3 Char Char1 Char Char Char,Heading 3 Char2 Char Char Char1 Char Char,Heading 3 Char Char1 Char Char Char Char Char,Heading 3 Char2 Char2"/>
    <w:basedOn w:val="Normal"/>
    <w:next w:val="Normal"/>
    <w:link w:val="Heading3Char1"/>
    <w:autoRedefine/>
    <w:uiPriority w:val="99"/>
    <w:qFormat/>
    <w:rsid w:val="0091218A"/>
    <w:pPr>
      <w:numPr>
        <w:ilvl w:val="2"/>
        <w:numId w:val="1"/>
      </w:numPr>
      <w:spacing w:line="276" w:lineRule="auto"/>
      <w:ind w:right="-2880"/>
      <w:jc w:val="left"/>
      <w:outlineLvl w:val="2"/>
    </w:pPr>
    <w:rPr>
      <w:rFonts w:ascii="Calibri" w:eastAsiaTheme="minorEastAsia" w:hAnsi="Calibri"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91218A"/>
    <w:pPr>
      <w:keepNext/>
      <w:numPr>
        <w:ilvl w:val="3"/>
        <w:numId w:val="1"/>
      </w:numPr>
      <w:spacing w:line="276" w:lineRule="auto"/>
      <w:ind w:right="-2880"/>
      <w:jc w:val="left"/>
      <w:outlineLvl w:val="3"/>
    </w:pPr>
    <w:rPr>
      <w:rFonts w:ascii="Calibri" w:eastAsiaTheme="minorEastAsia" w:hAnsi="Calibri" w:cs="Arial"/>
      <w:bCs/>
      <w:i/>
      <w:noProof/>
      <w:sz w:val="22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91218A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libri" w:hAnsi="Calibri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1218A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1218A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1218A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1218A"/>
    <w:rPr>
      <w:rFonts w:ascii="Calibri" w:eastAsia="Times New Roman" w:hAnsi="Calibri" w:cs="Arial"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91218A"/>
    <w:rPr>
      <w:rFonts w:ascii="Calibri" w:eastAsia="Times New Roman" w:hAnsi="Calibri" w:cs="Arial"/>
      <w:bCs/>
      <w:iCs/>
      <w:sz w:val="28"/>
      <w:szCs w:val="28"/>
    </w:rPr>
  </w:style>
  <w:style w:type="character" w:customStyle="1" w:styleId="Heading3Char">
    <w:name w:val="Heading 3 Char"/>
    <w:basedOn w:val="DefaultParagraphFont"/>
    <w:uiPriority w:val="9"/>
    <w:semiHidden/>
    <w:rsid w:val="0091218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9"/>
    <w:rsid w:val="0091218A"/>
    <w:rPr>
      <w:rFonts w:ascii="Calibri" w:eastAsiaTheme="minorEastAsia" w:hAnsi="Calibri" w:cs="Arial"/>
      <w:bCs/>
      <w:i/>
      <w:noProof/>
    </w:rPr>
  </w:style>
  <w:style w:type="character" w:customStyle="1" w:styleId="Heading5Char">
    <w:name w:val="Heading 5 Char"/>
    <w:basedOn w:val="DefaultParagraphFont"/>
    <w:link w:val="Heading5"/>
    <w:uiPriority w:val="99"/>
    <w:rsid w:val="0091218A"/>
    <w:rPr>
      <w:rFonts w:ascii="Calibri" w:eastAsia="Times New Roman" w:hAnsi="Calibri" w:cs="Times New Roman"/>
      <w:sz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91218A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91218A"/>
    <w:rPr>
      <w:rFonts w:ascii="Cambria" w:eastAsia="Times New Roman" w:hAnsi="Cambria" w:cs="Times New Roman"/>
      <w:color w:val="404040"/>
      <w:sz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91218A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Heading3Char1">
    <w:name w:val="Heading 3 Char1"/>
    <w:aliases w:val="Heading 3 Char2 Char Char1,Heading 3 Char Char1 Char Char1,Heading 3 Char2 Char Char Char1 Char1,Heading 3 Char Char1 Char Char Char Char1,Heading 3 Char2 Char Char Char1 Char Char Char1,Heading 3 Char2 Char2 Char"/>
    <w:link w:val="Heading3"/>
    <w:uiPriority w:val="99"/>
    <w:locked/>
    <w:rsid w:val="0091218A"/>
    <w:rPr>
      <w:rFonts w:ascii="Calibri" w:eastAsiaTheme="minorEastAsia" w:hAnsi="Calibri" w:cs="Times New Roman"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9121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218A"/>
    <w:rPr>
      <w:rFonts w:eastAsia="Times New Roman" w:cs="Times New Roman"/>
      <w:sz w:val="20"/>
    </w:rPr>
  </w:style>
  <w:style w:type="character" w:styleId="FootnoteReference">
    <w:name w:val="footnote reference"/>
    <w:aliases w:val="Footnote_Reference,o,fr"/>
    <w:uiPriority w:val="99"/>
    <w:qFormat/>
    <w:rsid w:val="0091218A"/>
    <w:rPr>
      <w:rFonts w:ascii="Arial" w:hAnsi="Arial" w:cs="Times New Roman"/>
      <w:sz w:val="20"/>
      <w:vertAlign w:val="superscript"/>
    </w:rPr>
  </w:style>
  <w:style w:type="character" w:customStyle="1" w:styleId="FootnoteChar">
    <w:name w:val="Footnote Char"/>
    <w:basedOn w:val="DefaultParagraphFont"/>
    <w:link w:val="Footnote"/>
    <w:rsid w:val="0091218A"/>
    <w:rPr>
      <w:rFonts w:eastAsiaTheme="minorEastAsia" w:cstheme="minorHAnsi"/>
      <w:sz w:val="18"/>
      <w:szCs w:val="20"/>
    </w:rPr>
  </w:style>
  <w:style w:type="paragraph" w:customStyle="1" w:styleId="Footnote">
    <w:name w:val="Footnote"/>
    <w:basedOn w:val="FootnoteText"/>
    <w:link w:val="FootnoteChar"/>
    <w:autoRedefine/>
    <w:qFormat/>
    <w:rsid w:val="0091218A"/>
    <w:pPr>
      <w:jc w:val="left"/>
    </w:pPr>
    <w:rPr>
      <w:rFonts w:eastAsiaTheme="minorEastAsia" w:cstheme="minorHAns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218A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218A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18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18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DF2AA825</Template>
  <TotalTime>3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VEIC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Dent</dc:creator>
  <cp:lastModifiedBy>Samuel Dent</cp:lastModifiedBy>
  <cp:revision>1</cp:revision>
  <dcterms:created xsi:type="dcterms:W3CDTF">2015-11-18T14:26:00Z</dcterms:created>
  <dcterms:modified xsi:type="dcterms:W3CDTF">2015-11-18T14:34:00Z</dcterms:modified>
</cp:coreProperties>
</file>