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D8B" w:rsidRPr="00904D8B" w:rsidRDefault="00904D8B" w:rsidP="00904D8B">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55858569"/>
      <w:bookmarkStart w:id="1" w:name="_Toc411593440"/>
      <w:r>
        <w:rPr>
          <w:rFonts w:ascii="Calibri" w:eastAsiaTheme="minorEastAsia" w:hAnsi="Calibri" w:cs="Times New Roman"/>
          <w:bCs/>
          <w:sz w:val="24"/>
          <w:szCs w:val="24"/>
        </w:rPr>
        <w:t xml:space="preserve">4.2.5 </w:t>
      </w:r>
      <w:r>
        <w:rPr>
          <w:rFonts w:ascii="Calibri" w:eastAsiaTheme="minorEastAsia" w:hAnsi="Calibri" w:cs="Times New Roman"/>
          <w:bCs/>
          <w:sz w:val="24"/>
          <w:szCs w:val="24"/>
        </w:rPr>
        <w:tab/>
      </w:r>
      <w:proofErr w:type="spellStart"/>
      <w:r w:rsidRPr="00904D8B">
        <w:rPr>
          <w:rFonts w:ascii="Calibri" w:eastAsiaTheme="minorEastAsia" w:hAnsi="Calibri" w:cs="Times New Roman"/>
          <w:bCs/>
          <w:sz w:val="24"/>
          <w:szCs w:val="24"/>
        </w:rPr>
        <w:t>Tankless</w:t>
      </w:r>
      <w:proofErr w:type="spellEnd"/>
      <w:r w:rsidRPr="00904D8B">
        <w:rPr>
          <w:rFonts w:ascii="Calibri" w:eastAsiaTheme="minorEastAsia" w:hAnsi="Calibri" w:cs="Times New Roman"/>
          <w:bCs/>
          <w:sz w:val="24"/>
          <w:szCs w:val="24"/>
        </w:rPr>
        <w:t xml:space="preserve"> Water Heater</w:t>
      </w:r>
      <w:bookmarkEnd w:id="0"/>
      <w:bookmarkEnd w:id="1"/>
      <w:r w:rsidRPr="00904D8B">
        <w:rPr>
          <w:rFonts w:ascii="Calibri" w:eastAsiaTheme="minorEastAsia" w:hAnsi="Calibri" w:cs="Times New Roman"/>
          <w:bCs/>
          <w:sz w:val="24"/>
          <w:szCs w:val="24"/>
        </w:rPr>
        <w:t xml:space="preserve"> </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Description </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 xml:space="preserve">This measure covers the installation of on-demand or instantaneous </w:t>
      </w:r>
      <w:proofErr w:type="spellStart"/>
      <w:r w:rsidRPr="00904D8B">
        <w:rPr>
          <w:rFonts w:eastAsia="Times New Roman" w:cs="Times New Roman"/>
          <w:sz w:val="20"/>
        </w:rPr>
        <w:t>tankless</w:t>
      </w:r>
      <w:proofErr w:type="spellEnd"/>
      <w:r w:rsidRPr="00904D8B">
        <w:rPr>
          <w:rFonts w:eastAsia="Times New Roman" w:cs="Times New Roman"/>
          <w:sz w:val="20"/>
        </w:rPr>
        <w:t xml:space="preserve"> water heaters. </w:t>
      </w:r>
      <w:proofErr w:type="spellStart"/>
      <w:r w:rsidRPr="00904D8B">
        <w:rPr>
          <w:rFonts w:eastAsia="Times New Roman" w:cs="Times New Roman"/>
          <w:sz w:val="20"/>
        </w:rPr>
        <w:t>Tankless</w:t>
      </w:r>
      <w:proofErr w:type="spellEnd"/>
      <w:r w:rsidRPr="00904D8B">
        <w:rPr>
          <w:rFonts w:eastAsia="Times New Roman" w:cs="Times New Roman"/>
          <w:sz w:val="20"/>
        </w:rPr>
        <w:t xml:space="preserve"> water heaters function similar to standard hot water heaters except they do not have a storage tank.  When there is a call for hot water, the water is heated instantaneously as it passes through the heating element and then proceeds to the user or appliance calling for hot water.  </w:t>
      </w:r>
      <w:proofErr w:type="spellStart"/>
      <w:r w:rsidRPr="00904D8B">
        <w:rPr>
          <w:rFonts w:eastAsia="Times New Roman" w:cs="Times New Roman"/>
          <w:sz w:val="20"/>
        </w:rPr>
        <w:t>Tankless</w:t>
      </w:r>
      <w:proofErr w:type="spellEnd"/>
      <w:r w:rsidRPr="00904D8B">
        <w:rPr>
          <w:rFonts w:eastAsia="Times New Roman" w:cs="Times New Roman"/>
          <w:sz w:val="20"/>
        </w:rPr>
        <w:t xml:space="preserve"> water heaters achieve savings by eliminating the standby losses that occur in stand-alone or tank-type water heaters and by being more efficient than the baseline storage hot water heater. </w:t>
      </w:r>
    </w:p>
    <w:p w:rsidR="00904D8B" w:rsidRPr="00904D8B" w:rsidRDefault="00904D8B" w:rsidP="00904D8B">
      <w:pPr>
        <w:spacing w:after="120" w:line="240" w:lineRule="auto"/>
        <w:rPr>
          <w:rFonts w:ascii="Calibri" w:eastAsia="Times New Roman" w:hAnsi="Calibri" w:cs="Calibri"/>
          <w:sz w:val="20"/>
          <w:szCs w:val="20"/>
        </w:rPr>
      </w:pPr>
      <w:r w:rsidRPr="00904D8B">
        <w:rPr>
          <w:rFonts w:ascii="Calibri" w:eastAsia="Times New Roman" w:hAnsi="Calibri" w:cs="Calibri"/>
          <w:sz w:val="20"/>
          <w:szCs w:val="20"/>
        </w:rPr>
        <w:t xml:space="preserve">This measure was developed to be applicable to the following program types:  TOS, RF, </w:t>
      </w:r>
      <w:proofErr w:type="gramStart"/>
      <w:r w:rsidRPr="00904D8B">
        <w:rPr>
          <w:rFonts w:ascii="Calibri" w:eastAsia="Times New Roman" w:hAnsi="Calibri" w:cs="Calibri"/>
          <w:sz w:val="20"/>
          <w:szCs w:val="20"/>
        </w:rPr>
        <w:t>ER</w:t>
      </w:r>
      <w:proofErr w:type="gramEnd"/>
      <w:r w:rsidRPr="00904D8B">
        <w:rPr>
          <w:rFonts w:ascii="Calibri" w:eastAsia="Times New Roman" w:hAnsi="Calibri" w:cs="Calibri"/>
          <w:sz w:val="20"/>
          <w:szCs w:val="20"/>
        </w:rPr>
        <w:t xml:space="preserve">. </w:t>
      </w:r>
    </w:p>
    <w:p w:rsidR="00904D8B" w:rsidRPr="00904D8B" w:rsidRDefault="00904D8B" w:rsidP="00904D8B">
      <w:pPr>
        <w:spacing w:after="120" w:line="240" w:lineRule="auto"/>
        <w:rPr>
          <w:rFonts w:ascii="Calibri" w:eastAsia="Times New Roman" w:hAnsi="Calibri" w:cs="Calibri"/>
          <w:sz w:val="20"/>
          <w:szCs w:val="20"/>
        </w:rPr>
      </w:pPr>
      <w:r w:rsidRPr="00904D8B">
        <w:rPr>
          <w:rFonts w:ascii="Calibri" w:eastAsia="Times New Roman" w:hAnsi="Calibri" w:cs="Calibri"/>
          <w:sz w:val="20"/>
          <w:szCs w:val="20"/>
        </w:rPr>
        <w:t>If applied to other program types, the measure savings should be verified.</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Definition of Efficient Equipment </w:t>
      </w:r>
    </w:p>
    <w:tbl>
      <w:tblPr>
        <w:tblStyle w:val="TableGrid"/>
        <w:tblW w:w="0" w:type="auto"/>
        <w:tblInd w:w="108" w:type="dxa"/>
        <w:tblLook w:val="04A0" w:firstRow="1" w:lastRow="0" w:firstColumn="1" w:lastColumn="0" w:noHBand="0" w:noVBand="1"/>
      </w:tblPr>
      <w:tblGrid>
        <w:gridCol w:w="4680"/>
        <w:gridCol w:w="4680"/>
      </w:tblGrid>
      <w:tr w:rsidR="00904D8B" w:rsidRPr="00417428" w:rsidTr="00EF462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2" w:author="Samuel Dent" w:date="2015-11-20T06:11: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3" w:author="Samuel Dent" w:date="2015-11-20T06:11:00Z">
                  <w:rPr>
                    <w:rFonts w:ascii="Calibri" w:hAnsi="Calibri"/>
                    <w:b/>
                    <w:noProof/>
                    <w:color w:val="FFFFFF" w:themeColor="background1"/>
                    <w:szCs w:val="24"/>
                  </w:rPr>
                </w:rPrChange>
              </w:rPr>
              <w:t>Electric</w:t>
            </w:r>
          </w:p>
        </w:t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4" w:author="Samuel Dent" w:date="2015-11-20T06:11: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5" w:author="Samuel Dent" w:date="2015-11-20T06:11:00Z">
                  <w:rPr>
                    <w:rFonts w:ascii="Calibri" w:hAnsi="Calibri"/>
                    <w:b/>
                    <w:noProof/>
                    <w:color w:val="FFFFFF" w:themeColor="background1"/>
                    <w:szCs w:val="24"/>
                  </w:rPr>
                </w:rPrChange>
              </w:rPr>
              <w:t>Gas</w:t>
            </w:r>
          </w:p>
        </w:tc>
      </w:tr>
      <w:tr w:rsidR="00904D8B" w:rsidRPr="00417428" w:rsidTr="00EF462C">
        <w:trPr>
          <w:trHeight w:val="1403"/>
        </w:trPr>
        <w:tc>
          <w:tcPr>
            <w:tcW w:w="4680" w:type="dxa"/>
          </w:tcPr>
          <w:p w:rsidR="00904D8B" w:rsidRPr="00417428" w:rsidRDefault="00904D8B" w:rsidP="00904D8B">
            <w:pPr>
              <w:keepNext/>
              <w:keepLines/>
              <w:autoSpaceDE w:val="0"/>
              <w:autoSpaceDN w:val="0"/>
              <w:spacing w:after="120"/>
              <w:jc w:val="both"/>
              <w:rPr>
                <w:rFonts w:asciiTheme="minorHAnsi" w:hAnsiTheme="minorHAnsi" w:cstheme="minorHAnsi"/>
                <w:rPrChange w:id="6" w:author="Samuel Dent" w:date="2015-11-20T06:11:00Z">
                  <w:rPr>
                    <w:rFonts w:cstheme="minorHAnsi"/>
                  </w:rPr>
                </w:rPrChange>
              </w:rPr>
            </w:pPr>
            <w:r w:rsidRPr="00417428">
              <w:rPr>
                <w:rFonts w:asciiTheme="minorHAnsi" w:hAnsiTheme="minorHAnsi" w:cstheme="minorHAnsi"/>
                <w:rPrChange w:id="7" w:author="Samuel Dent" w:date="2015-11-20T06:11:00Z">
                  <w:rPr>
                    <w:rFonts w:cstheme="minorHAnsi"/>
                  </w:rPr>
                </w:rPrChange>
              </w:rPr>
              <w:t xml:space="preserve">To qualify for this measure, the </w:t>
            </w:r>
            <w:proofErr w:type="spellStart"/>
            <w:r w:rsidRPr="00417428">
              <w:rPr>
                <w:rFonts w:asciiTheme="minorHAnsi" w:hAnsiTheme="minorHAnsi" w:cstheme="minorHAnsi"/>
                <w:rPrChange w:id="8" w:author="Samuel Dent" w:date="2015-11-20T06:11:00Z">
                  <w:rPr>
                    <w:rFonts w:cstheme="minorHAnsi"/>
                  </w:rPr>
                </w:rPrChange>
              </w:rPr>
              <w:t>tankless</w:t>
            </w:r>
            <w:proofErr w:type="spellEnd"/>
            <w:r w:rsidRPr="00417428">
              <w:rPr>
                <w:rFonts w:asciiTheme="minorHAnsi" w:hAnsiTheme="minorHAnsi" w:cstheme="minorHAnsi"/>
                <w:rPrChange w:id="9" w:author="Samuel Dent" w:date="2015-11-20T06:11:00Z">
                  <w:rPr>
                    <w:rFonts w:cstheme="minorHAnsi"/>
                  </w:rPr>
                </w:rPrChange>
              </w:rPr>
              <w:t xml:space="preserve"> water heater shall be a new electric powered </w:t>
            </w:r>
            <w:proofErr w:type="spellStart"/>
            <w:r w:rsidRPr="00417428">
              <w:rPr>
                <w:rFonts w:asciiTheme="minorHAnsi" w:hAnsiTheme="minorHAnsi" w:cstheme="minorHAnsi"/>
                <w:rPrChange w:id="10" w:author="Samuel Dent" w:date="2015-11-20T06:11:00Z">
                  <w:rPr>
                    <w:rFonts w:cstheme="minorHAnsi"/>
                  </w:rPr>
                </w:rPrChange>
              </w:rPr>
              <w:t>tankless</w:t>
            </w:r>
            <w:proofErr w:type="spellEnd"/>
            <w:r w:rsidRPr="00417428">
              <w:rPr>
                <w:rFonts w:asciiTheme="minorHAnsi" w:hAnsiTheme="minorHAnsi" w:cstheme="minorHAnsi"/>
                <w:rPrChange w:id="11" w:author="Samuel Dent" w:date="2015-11-20T06:11:00Z">
                  <w:rPr>
                    <w:rFonts w:cstheme="minorHAnsi"/>
                  </w:rPr>
                </w:rPrChange>
              </w:rPr>
              <w:t xml:space="preserve"> hot water heater with an energy factor greater than or equal to 0.98 with an output greater than or equal to 5 GPM output at 70° F temperature rise.</w:t>
            </w:r>
          </w:p>
        </w:tc>
        <w:tc>
          <w:tcPr>
            <w:tcW w:w="4680" w:type="dxa"/>
          </w:tcPr>
          <w:p w:rsidR="00904D8B" w:rsidRPr="00417428" w:rsidRDefault="00904D8B" w:rsidP="00904D8B">
            <w:pPr>
              <w:keepNext/>
              <w:keepLines/>
              <w:spacing w:after="120"/>
              <w:jc w:val="both"/>
              <w:rPr>
                <w:rFonts w:asciiTheme="minorHAnsi" w:hAnsiTheme="minorHAnsi" w:cstheme="minorHAnsi"/>
                <w:rPrChange w:id="12" w:author="Samuel Dent" w:date="2015-11-20T06:11:00Z">
                  <w:rPr>
                    <w:rFonts w:cstheme="minorHAnsi"/>
                  </w:rPr>
                </w:rPrChange>
              </w:rPr>
            </w:pPr>
            <w:r w:rsidRPr="00417428">
              <w:rPr>
                <w:rFonts w:asciiTheme="minorHAnsi" w:hAnsiTheme="minorHAnsi" w:cstheme="minorHAnsi"/>
                <w:rPrChange w:id="13" w:author="Samuel Dent" w:date="2015-11-20T06:11:00Z">
                  <w:rPr>
                    <w:rFonts w:cstheme="minorHAnsi"/>
                  </w:rPr>
                </w:rPrChange>
              </w:rPr>
              <w:t xml:space="preserve">To qualify for this measure, the </w:t>
            </w:r>
            <w:proofErr w:type="spellStart"/>
            <w:r w:rsidRPr="00417428">
              <w:rPr>
                <w:rFonts w:asciiTheme="minorHAnsi" w:hAnsiTheme="minorHAnsi" w:cstheme="minorHAnsi"/>
                <w:rPrChange w:id="14" w:author="Samuel Dent" w:date="2015-11-20T06:11:00Z">
                  <w:rPr>
                    <w:rFonts w:cstheme="minorHAnsi"/>
                  </w:rPr>
                </w:rPrChange>
              </w:rPr>
              <w:t>tankless</w:t>
            </w:r>
            <w:proofErr w:type="spellEnd"/>
            <w:r w:rsidRPr="00417428">
              <w:rPr>
                <w:rFonts w:asciiTheme="minorHAnsi" w:hAnsiTheme="minorHAnsi" w:cstheme="minorHAnsi"/>
                <w:rPrChange w:id="15" w:author="Samuel Dent" w:date="2015-11-20T06:11:00Z">
                  <w:rPr>
                    <w:rFonts w:cstheme="minorHAnsi"/>
                  </w:rPr>
                </w:rPrChange>
              </w:rPr>
              <w:t xml:space="preserve"> water heater shall meet or exceed the efficiency requirements for </w:t>
            </w:r>
            <w:proofErr w:type="spellStart"/>
            <w:r w:rsidRPr="00417428">
              <w:rPr>
                <w:rFonts w:asciiTheme="minorHAnsi" w:hAnsiTheme="minorHAnsi" w:cstheme="minorHAnsi"/>
                <w:rPrChange w:id="16" w:author="Samuel Dent" w:date="2015-11-20T06:11:00Z">
                  <w:rPr>
                    <w:rFonts w:cstheme="minorHAnsi"/>
                  </w:rPr>
                </w:rPrChange>
              </w:rPr>
              <w:t>tankless</w:t>
            </w:r>
            <w:proofErr w:type="spellEnd"/>
            <w:r w:rsidRPr="00417428">
              <w:rPr>
                <w:rFonts w:asciiTheme="minorHAnsi" w:hAnsiTheme="minorHAnsi" w:cstheme="minorHAnsi"/>
                <w:rPrChange w:id="17" w:author="Samuel Dent" w:date="2015-11-20T06:11:00Z">
                  <w:rPr>
                    <w:rFonts w:cstheme="minorHAnsi"/>
                  </w:rPr>
                </w:rPrChange>
              </w:rPr>
              <w:t xml:space="preserve"> hot water heaters mandated by the International Energy Conservation Code (IECC) 2012</w:t>
            </w:r>
            <w:ins w:id="18" w:author="April Desclos" w:date="2015-11-02T10:33:00Z">
              <w:r w:rsidR="00F6290D" w:rsidRPr="00417428">
                <w:rPr>
                  <w:rFonts w:asciiTheme="minorHAnsi" w:hAnsiTheme="minorHAnsi" w:cstheme="minorHAnsi"/>
                  <w:rPrChange w:id="19" w:author="Samuel Dent" w:date="2015-11-20T06:11:00Z">
                    <w:rPr>
                      <w:rFonts w:cstheme="minorHAnsi"/>
                    </w:rPr>
                  </w:rPrChange>
                </w:rPr>
                <w:t>/2015</w:t>
              </w:r>
            </w:ins>
            <w:r w:rsidRPr="00417428">
              <w:rPr>
                <w:rFonts w:asciiTheme="minorHAnsi" w:hAnsiTheme="minorHAnsi" w:cstheme="minorHAnsi"/>
                <w:rPrChange w:id="20" w:author="Samuel Dent" w:date="2015-11-20T06:11:00Z">
                  <w:rPr>
                    <w:rFonts w:cstheme="minorHAnsi"/>
                  </w:rPr>
                </w:rPrChange>
              </w:rPr>
              <w:t>, Table C404.2.</w:t>
            </w: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Definition of Baseline Equipment </w:t>
      </w:r>
    </w:p>
    <w:tbl>
      <w:tblPr>
        <w:tblStyle w:val="TableGrid"/>
        <w:tblW w:w="0" w:type="auto"/>
        <w:tblInd w:w="108" w:type="dxa"/>
        <w:tblLook w:val="04A0" w:firstRow="1" w:lastRow="0" w:firstColumn="1" w:lastColumn="0" w:noHBand="0" w:noVBand="1"/>
      </w:tblPr>
      <w:tblGrid>
        <w:gridCol w:w="4680"/>
        <w:gridCol w:w="4680"/>
      </w:tblGrid>
      <w:tr w:rsidR="00904D8B" w:rsidRPr="00417428" w:rsidTr="00EF462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21" w:author="Samuel Dent" w:date="2015-11-20T06:12: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22" w:author="Samuel Dent" w:date="2015-11-20T06:12:00Z">
                  <w:rPr>
                    <w:rFonts w:ascii="Calibri" w:hAnsi="Calibri"/>
                    <w:b/>
                    <w:noProof/>
                    <w:color w:val="FFFFFF" w:themeColor="background1"/>
                    <w:szCs w:val="24"/>
                  </w:rPr>
                </w:rPrChange>
              </w:rPr>
              <w:t>Electric</w:t>
            </w:r>
          </w:p>
        </w:t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23" w:author="Samuel Dent" w:date="2015-11-20T06:12: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24" w:author="Samuel Dent" w:date="2015-11-20T06:12:00Z">
                  <w:rPr>
                    <w:rFonts w:ascii="Calibri" w:hAnsi="Calibri"/>
                    <w:b/>
                    <w:noProof/>
                    <w:color w:val="FFFFFF" w:themeColor="background1"/>
                    <w:szCs w:val="24"/>
                  </w:rPr>
                </w:rPrChange>
              </w:rPr>
              <w:t>Gas</w:t>
            </w:r>
          </w:p>
        </w:tc>
      </w:tr>
      <w:tr w:rsidR="00904D8B" w:rsidRPr="00417428" w:rsidTr="00EF462C">
        <w:tc>
          <w:tcPr>
            <w:tcW w:w="4680" w:type="dxa"/>
          </w:tcPr>
          <w:p w:rsidR="00904D8B" w:rsidRPr="00417428" w:rsidRDefault="00904D8B" w:rsidP="00904D8B">
            <w:pPr>
              <w:keepNext/>
              <w:keepLines/>
              <w:autoSpaceDE w:val="0"/>
              <w:autoSpaceDN w:val="0"/>
              <w:spacing w:after="120"/>
              <w:jc w:val="both"/>
              <w:rPr>
                <w:rFonts w:asciiTheme="minorHAnsi" w:hAnsiTheme="minorHAnsi" w:cstheme="minorHAnsi"/>
                <w:rPrChange w:id="25" w:author="Samuel Dent" w:date="2015-11-20T06:12:00Z">
                  <w:rPr>
                    <w:rFonts w:cstheme="minorHAnsi"/>
                  </w:rPr>
                </w:rPrChange>
              </w:rPr>
            </w:pPr>
            <w:r w:rsidRPr="00417428">
              <w:rPr>
                <w:rFonts w:asciiTheme="minorHAnsi" w:hAnsiTheme="minorHAnsi" w:cstheme="minorHAnsi"/>
                <w:rPrChange w:id="26" w:author="Samuel Dent" w:date="2015-11-20T06:12:00Z">
                  <w:rPr>
                    <w:rFonts w:cstheme="minorHAnsi"/>
                  </w:rPr>
                </w:rPrChange>
              </w:rPr>
              <w:t>The baseline condition is assumed to be an electric commercial-grade tanked water heater 50 or more gallon storage capacity with an energy factor less than or equal to 0.9 or the water heater is five or more years old.</w:t>
            </w:r>
          </w:p>
        </w:tc>
        <w:tc>
          <w:tcPr>
            <w:tcW w:w="4680" w:type="dxa"/>
          </w:tcPr>
          <w:p w:rsidR="00904D8B" w:rsidRPr="00417428" w:rsidRDefault="00904D8B" w:rsidP="00904D8B">
            <w:pPr>
              <w:widowControl w:val="0"/>
              <w:spacing w:after="120"/>
              <w:jc w:val="both"/>
              <w:rPr>
                <w:rFonts w:asciiTheme="minorHAnsi" w:hAnsiTheme="minorHAnsi" w:cstheme="minorHAnsi"/>
                <w:rPrChange w:id="27" w:author="Samuel Dent" w:date="2015-11-20T06:12:00Z">
                  <w:rPr>
                    <w:rFonts w:cstheme="minorHAnsi"/>
                  </w:rPr>
                </w:rPrChange>
              </w:rPr>
            </w:pPr>
            <w:r w:rsidRPr="00417428">
              <w:rPr>
                <w:rFonts w:asciiTheme="minorHAnsi" w:hAnsiTheme="minorHAnsi" w:cstheme="minorHAnsi"/>
                <w:rPrChange w:id="28" w:author="Samuel Dent" w:date="2015-11-20T06:12:00Z">
                  <w:rPr>
                    <w:rFonts w:cstheme="minorHAnsi"/>
                  </w:rPr>
                </w:rPrChange>
              </w:rPr>
              <w:t>The baseline condition is assumed to be a gas-fired tank-type water heater meeting the efficiency requirements mandated by the International Energy conservation Code (IECC) 2012</w:t>
            </w:r>
            <w:ins w:id="29" w:author="April Desclos" w:date="2015-11-02T10:33:00Z">
              <w:r w:rsidR="00F6290D" w:rsidRPr="00417428">
                <w:rPr>
                  <w:rFonts w:asciiTheme="minorHAnsi" w:hAnsiTheme="minorHAnsi" w:cstheme="minorHAnsi"/>
                  <w:rPrChange w:id="30" w:author="Samuel Dent" w:date="2015-11-20T06:12:00Z">
                    <w:rPr>
                      <w:rFonts w:cstheme="minorHAnsi"/>
                    </w:rPr>
                  </w:rPrChange>
                </w:rPr>
                <w:t>/2015</w:t>
              </w:r>
            </w:ins>
            <w:r w:rsidRPr="00417428">
              <w:rPr>
                <w:rFonts w:asciiTheme="minorHAnsi" w:hAnsiTheme="minorHAnsi" w:cstheme="minorHAnsi"/>
                <w:rPrChange w:id="31" w:author="Samuel Dent" w:date="2015-11-20T06:12:00Z">
                  <w:rPr>
                    <w:rFonts w:cstheme="minorHAnsi"/>
                  </w:rPr>
                </w:rPrChange>
              </w:rPr>
              <w:t>, Table C404.2.</w:t>
            </w:r>
          </w:p>
          <w:p w:rsidR="00904D8B" w:rsidRPr="00417428" w:rsidRDefault="00904D8B" w:rsidP="00904D8B">
            <w:pPr>
              <w:widowControl w:val="0"/>
              <w:spacing w:after="120"/>
              <w:jc w:val="both"/>
              <w:rPr>
                <w:rFonts w:asciiTheme="minorHAnsi" w:hAnsiTheme="minorHAnsi" w:cstheme="minorHAnsi"/>
                <w:rPrChange w:id="32" w:author="Samuel Dent" w:date="2015-11-20T06:12:00Z">
                  <w:rPr>
                    <w:rFonts w:cstheme="minorHAnsi"/>
                  </w:rPr>
                </w:rPrChange>
              </w:rPr>
            </w:pP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Deemed Lifetime of Efficient Equipment </w:t>
      </w:r>
    </w:p>
    <w:tbl>
      <w:tblPr>
        <w:tblStyle w:val="TableGrid"/>
        <w:tblW w:w="0" w:type="auto"/>
        <w:tblInd w:w="108" w:type="dxa"/>
        <w:tblLook w:val="04A0" w:firstRow="1" w:lastRow="0" w:firstColumn="1" w:lastColumn="0" w:noHBand="0" w:noVBand="1"/>
      </w:tblPr>
      <w:tblGrid>
        <w:gridCol w:w="4680"/>
        <w:gridCol w:w="4680"/>
      </w:tblGrid>
      <w:tr w:rsidR="00904D8B" w:rsidRPr="00417428" w:rsidTr="00EF462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33" w:author="Samuel Dent" w:date="2015-11-20T06:12: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34" w:author="Samuel Dent" w:date="2015-11-20T06:12:00Z">
                  <w:rPr>
                    <w:rFonts w:ascii="Calibri" w:hAnsi="Calibri"/>
                    <w:b/>
                    <w:noProof/>
                    <w:color w:val="FFFFFF" w:themeColor="background1"/>
                    <w:szCs w:val="24"/>
                  </w:rPr>
                </w:rPrChange>
              </w:rPr>
              <w:t>Electric</w:t>
            </w:r>
          </w:p>
        </w:tc>
        <w:tc>
          <w:tcPr>
            <w:tcW w:w="4680" w:type="dxa"/>
            <w:shd w:val="clear" w:color="auto" w:fill="7F7F7F" w:themeFill="text1" w:themeFillTint="80"/>
          </w:tcPr>
          <w:p w:rsidR="00904D8B" w:rsidRPr="00417428" w:rsidRDefault="00904D8B" w:rsidP="00904D8B">
            <w:pPr>
              <w:widowControl w:val="0"/>
              <w:spacing w:after="120"/>
              <w:jc w:val="center"/>
              <w:rPr>
                <w:rFonts w:asciiTheme="minorHAnsi" w:hAnsiTheme="minorHAnsi"/>
                <w:b/>
                <w:noProof/>
                <w:color w:val="FFFFFF" w:themeColor="background1"/>
                <w:szCs w:val="24"/>
                <w:rPrChange w:id="35" w:author="Samuel Dent" w:date="2015-11-20T06:12:00Z">
                  <w:rPr>
                    <w:rFonts w:ascii="Calibri" w:hAnsi="Calibri"/>
                    <w:b/>
                    <w:noProof/>
                    <w:color w:val="FFFFFF" w:themeColor="background1"/>
                    <w:szCs w:val="24"/>
                  </w:rPr>
                </w:rPrChange>
              </w:rPr>
            </w:pPr>
            <w:r w:rsidRPr="00417428">
              <w:rPr>
                <w:rFonts w:asciiTheme="minorHAnsi" w:hAnsiTheme="minorHAnsi"/>
                <w:b/>
                <w:noProof/>
                <w:color w:val="FFFFFF" w:themeColor="background1"/>
                <w:szCs w:val="24"/>
                <w:rPrChange w:id="36" w:author="Samuel Dent" w:date="2015-11-20T06:12:00Z">
                  <w:rPr>
                    <w:rFonts w:ascii="Calibri" w:hAnsi="Calibri"/>
                    <w:b/>
                    <w:noProof/>
                    <w:color w:val="FFFFFF" w:themeColor="background1"/>
                    <w:szCs w:val="24"/>
                  </w:rPr>
                </w:rPrChange>
              </w:rPr>
              <w:t>Gas</w:t>
            </w:r>
          </w:p>
        </w:tc>
      </w:tr>
      <w:tr w:rsidR="00904D8B" w:rsidRPr="00417428" w:rsidTr="00EF462C">
        <w:tc>
          <w:tcPr>
            <w:tcW w:w="4680" w:type="dxa"/>
          </w:tcPr>
          <w:p w:rsidR="00904D8B" w:rsidRPr="00417428" w:rsidRDefault="00904D8B" w:rsidP="00904D8B">
            <w:pPr>
              <w:widowControl w:val="0"/>
              <w:spacing w:after="120"/>
              <w:jc w:val="both"/>
              <w:rPr>
                <w:rFonts w:asciiTheme="minorHAnsi" w:hAnsiTheme="minorHAnsi" w:cstheme="minorHAnsi"/>
                <w:rPrChange w:id="37" w:author="Samuel Dent" w:date="2015-11-20T06:12:00Z">
                  <w:rPr>
                    <w:rFonts w:cstheme="minorHAnsi"/>
                  </w:rPr>
                </w:rPrChange>
              </w:rPr>
            </w:pPr>
            <w:r w:rsidRPr="00417428">
              <w:rPr>
                <w:rFonts w:asciiTheme="minorHAnsi" w:hAnsiTheme="minorHAnsi" w:cstheme="minorHAnsi"/>
                <w:rPrChange w:id="38" w:author="Samuel Dent" w:date="2015-11-20T06:12:00Z">
                  <w:rPr>
                    <w:rFonts w:cstheme="minorHAnsi"/>
                  </w:rPr>
                </w:rPrChange>
              </w:rPr>
              <w:t>The expected measure life is assumed to be 5 years</w:t>
            </w:r>
            <w:r w:rsidRPr="00417428">
              <w:rPr>
                <w:rFonts w:asciiTheme="minorHAnsi" w:eastAsiaTheme="majorEastAsia" w:hAnsiTheme="minorHAnsi" w:cstheme="minorHAnsi"/>
                <w:vertAlign w:val="superscript"/>
                <w:rPrChange w:id="39" w:author="Samuel Dent" w:date="2015-11-20T06:12:00Z">
                  <w:rPr>
                    <w:rFonts w:eastAsiaTheme="majorEastAsia" w:cstheme="minorHAnsi"/>
                    <w:vertAlign w:val="superscript"/>
                  </w:rPr>
                </w:rPrChange>
              </w:rPr>
              <w:footnoteReference w:id="1"/>
            </w:r>
            <w:r w:rsidRPr="00417428">
              <w:rPr>
                <w:rFonts w:asciiTheme="minorHAnsi" w:hAnsiTheme="minorHAnsi" w:cstheme="minorHAnsi"/>
                <w:rPrChange w:id="40" w:author="Samuel Dent" w:date="2015-11-20T06:12:00Z">
                  <w:rPr>
                    <w:rFonts w:cstheme="minorHAnsi"/>
                  </w:rPr>
                </w:rPrChange>
              </w:rPr>
              <w:t>.</w:t>
            </w:r>
          </w:p>
        </w:tc>
        <w:tc>
          <w:tcPr>
            <w:tcW w:w="4680" w:type="dxa"/>
          </w:tcPr>
          <w:p w:rsidR="00904D8B" w:rsidRPr="00417428" w:rsidRDefault="00904D8B" w:rsidP="00904D8B">
            <w:pPr>
              <w:widowControl w:val="0"/>
              <w:spacing w:after="120"/>
              <w:jc w:val="both"/>
              <w:rPr>
                <w:rFonts w:asciiTheme="minorHAnsi" w:hAnsiTheme="minorHAnsi" w:cstheme="minorHAnsi"/>
                <w:rPrChange w:id="41" w:author="Samuel Dent" w:date="2015-11-20T06:12:00Z">
                  <w:rPr>
                    <w:rFonts w:cstheme="minorHAnsi"/>
                  </w:rPr>
                </w:rPrChange>
              </w:rPr>
            </w:pPr>
            <w:r w:rsidRPr="00417428">
              <w:rPr>
                <w:rFonts w:asciiTheme="minorHAnsi" w:hAnsiTheme="minorHAnsi" w:cstheme="minorHAnsi"/>
                <w:rPrChange w:id="42" w:author="Samuel Dent" w:date="2015-11-20T06:12:00Z">
                  <w:rPr>
                    <w:rFonts w:cstheme="minorHAnsi"/>
                  </w:rPr>
                </w:rPrChange>
              </w:rPr>
              <w:t>The expected measure life is assumed to be 20 years</w:t>
            </w:r>
            <w:r w:rsidRPr="00417428">
              <w:rPr>
                <w:rFonts w:asciiTheme="minorHAnsi" w:eastAsiaTheme="majorEastAsia" w:hAnsiTheme="minorHAnsi" w:cstheme="minorHAnsi"/>
                <w:vertAlign w:val="superscript"/>
                <w:rPrChange w:id="43" w:author="Samuel Dent" w:date="2015-11-20T06:12:00Z">
                  <w:rPr>
                    <w:rFonts w:eastAsiaTheme="majorEastAsia" w:cstheme="minorHAnsi"/>
                    <w:vertAlign w:val="superscript"/>
                  </w:rPr>
                </w:rPrChange>
              </w:rPr>
              <w:footnoteReference w:id="2"/>
            </w: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Deemed Measure Cost </w:t>
      </w:r>
      <w:bookmarkStart w:id="44" w:name="_GoBack"/>
      <w:bookmarkEnd w:id="44"/>
    </w:p>
    <w:p w:rsid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 xml:space="preserve">The incremental capital cost for an electric </w:t>
      </w:r>
      <w:proofErr w:type="spellStart"/>
      <w:r w:rsidRPr="00904D8B">
        <w:rPr>
          <w:rFonts w:eastAsia="Times New Roman" w:cs="Times New Roman"/>
          <w:sz w:val="20"/>
        </w:rPr>
        <w:t>tankless</w:t>
      </w:r>
      <w:proofErr w:type="spellEnd"/>
      <w:r w:rsidRPr="00904D8B">
        <w:rPr>
          <w:rFonts w:eastAsia="Times New Roman" w:cs="Times New Roman"/>
          <w:sz w:val="20"/>
        </w:rPr>
        <w:t xml:space="preserve"> heater this measure is assumed to be</w:t>
      </w:r>
      <w:r w:rsidRPr="00904D8B">
        <w:rPr>
          <w:rFonts w:ascii="Arial" w:eastAsiaTheme="majorEastAsia" w:hAnsi="Arial" w:cs="Times New Roman"/>
          <w:sz w:val="20"/>
          <w:vertAlign w:val="superscript"/>
        </w:rPr>
        <w:footnoteReference w:id="3"/>
      </w:r>
    </w:p>
    <w:p w:rsidR="00904D8B" w:rsidRDefault="00904D8B" w:rsidP="00904D8B">
      <w:pPr>
        <w:widowControl w:val="0"/>
        <w:spacing w:after="120" w:line="240" w:lineRule="auto"/>
        <w:jc w:val="both"/>
        <w:rPr>
          <w:rFonts w:eastAsia="Times New Roman" w:cs="Times New Roman"/>
          <w:sz w:val="20"/>
        </w:rPr>
      </w:pPr>
    </w:p>
    <w:p w:rsidR="00904D8B" w:rsidRPr="00904D8B" w:rsidRDefault="00904D8B" w:rsidP="00904D8B">
      <w:pPr>
        <w:widowControl w:val="0"/>
        <w:spacing w:after="120" w:line="240" w:lineRule="auto"/>
        <w:jc w:val="both"/>
        <w:rPr>
          <w:rFonts w:eastAsia="Times New Roman" w:cs="Times New Roman"/>
          <w:sz w:val="20"/>
        </w:rPr>
      </w:pPr>
    </w:p>
    <w:tbl>
      <w:tblPr>
        <w:tblStyle w:val="TableGrid"/>
        <w:tblW w:w="0" w:type="auto"/>
        <w:jc w:val="center"/>
        <w:tblInd w:w="918" w:type="dxa"/>
        <w:tblLook w:val="04A0" w:firstRow="1" w:lastRow="0" w:firstColumn="1" w:lastColumn="0" w:noHBand="0" w:noVBand="1"/>
      </w:tblPr>
      <w:tblGrid>
        <w:gridCol w:w="1485"/>
        <w:gridCol w:w="1845"/>
      </w:tblGrid>
      <w:tr w:rsidR="00904D8B" w:rsidRPr="00904D8B" w:rsidTr="00EF462C">
        <w:trPr>
          <w:tblHeader/>
          <w:jc w:val="center"/>
        </w:trPr>
        <w:tc>
          <w:tcPr>
            <w:tcW w:w="1485" w:type="dxa"/>
            <w:shd w:val="clear" w:color="auto" w:fill="7F7F7F" w:themeFill="text1" w:themeFillTint="80"/>
            <w:vAlign w:val="center"/>
          </w:tcPr>
          <w:p w:rsidR="00904D8B" w:rsidRPr="00904D8B" w:rsidRDefault="00904D8B" w:rsidP="00904D8B">
            <w:pPr>
              <w:widowControl w:val="0"/>
              <w:spacing w:after="120"/>
              <w:jc w:val="center"/>
              <w:rPr>
                <w:b/>
                <w:color w:val="FFFFFF" w:themeColor="background1"/>
              </w:rPr>
            </w:pPr>
            <w:r w:rsidRPr="00904D8B">
              <w:rPr>
                <w:b/>
                <w:color w:val="FFFFFF" w:themeColor="background1"/>
              </w:rPr>
              <w:lastRenderedPageBreak/>
              <w:t>Output (</w:t>
            </w:r>
            <w:proofErr w:type="spellStart"/>
            <w:r w:rsidRPr="00904D8B">
              <w:rPr>
                <w:b/>
                <w:color w:val="FFFFFF" w:themeColor="background1"/>
              </w:rPr>
              <w:t>gpm</w:t>
            </w:r>
            <w:proofErr w:type="spellEnd"/>
            <w:r w:rsidRPr="00904D8B">
              <w:rPr>
                <w:b/>
                <w:color w:val="FFFFFF" w:themeColor="background1"/>
              </w:rPr>
              <w:t>) at delta T 70</w:t>
            </w:r>
          </w:p>
        </w:tc>
        <w:tc>
          <w:tcPr>
            <w:tcW w:w="1845" w:type="dxa"/>
            <w:shd w:val="clear" w:color="auto" w:fill="7F7F7F" w:themeFill="text1" w:themeFillTint="80"/>
            <w:vAlign w:val="center"/>
          </w:tcPr>
          <w:p w:rsidR="00904D8B" w:rsidRPr="00904D8B" w:rsidRDefault="00904D8B" w:rsidP="00904D8B">
            <w:pPr>
              <w:widowControl w:val="0"/>
              <w:spacing w:after="120"/>
              <w:jc w:val="center"/>
              <w:rPr>
                <w:b/>
                <w:color w:val="FFFFFF" w:themeColor="background1"/>
              </w:rPr>
            </w:pPr>
            <w:r w:rsidRPr="00904D8B">
              <w:rPr>
                <w:b/>
                <w:color w:val="FFFFFF" w:themeColor="background1"/>
              </w:rPr>
              <w:t>Incremental Cost</w:t>
            </w:r>
          </w:p>
        </w:tc>
      </w:tr>
      <w:tr w:rsidR="00904D8B" w:rsidRPr="00904D8B" w:rsidTr="00EF462C">
        <w:trPr>
          <w:jc w:val="center"/>
        </w:trPr>
        <w:tc>
          <w:tcPr>
            <w:tcW w:w="1485" w:type="dxa"/>
          </w:tcPr>
          <w:p w:rsidR="00904D8B" w:rsidRPr="00904D8B" w:rsidRDefault="00904D8B" w:rsidP="00904D8B">
            <w:pPr>
              <w:widowControl w:val="0"/>
              <w:spacing w:after="120"/>
              <w:jc w:val="both"/>
            </w:pPr>
            <w:r w:rsidRPr="00904D8B">
              <w:t>5</w:t>
            </w:r>
          </w:p>
        </w:tc>
        <w:tc>
          <w:tcPr>
            <w:tcW w:w="1845" w:type="dxa"/>
          </w:tcPr>
          <w:p w:rsidR="00904D8B" w:rsidRPr="00904D8B" w:rsidRDefault="00904D8B" w:rsidP="00904D8B">
            <w:pPr>
              <w:widowControl w:val="0"/>
              <w:spacing w:after="120"/>
              <w:jc w:val="center"/>
            </w:pPr>
            <w:r w:rsidRPr="00904D8B">
              <w:t>$1050</w:t>
            </w:r>
          </w:p>
        </w:tc>
      </w:tr>
      <w:tr w:rsidR="00904D8B" w:rsidRPr="00904D8B" w:rsidTr="00EF462C">
        <w:trPr>
          <w:trHeight w:val="224"/>
          <w:jc w:val="center"/>
        </w:trPr>
        <w:tc>
          <w:tcPr>
            <w:tcW w:w="1485" w:type="dxa"/>
          </w:tcPr>
          <w:p w:rsidR="00904D8B" w:rsidRPr="00904D8B" w:rsidRDefault="00904D8B" w:rsidP="00904D8B">
            <w:pPr>
              <w:widowControl w:val="0"/>
              <w:spacing w:after="120"/>
              <w:jc w:val="both"/>
            </w:pPr>
            <w:r w:rsidRPr="00904D8B">
              <w:t xml:space="preserve">10 </w:t>
            </w:r>
          </w:p>
        </w:tc>
        <w:tc>
          <w:tcPr>
            <w:tcW w:w="1845" w:type="dxa"/>
          </w:tcPr>
          <w:p w:rsidR="00904D8B" w:rsidRPr="00904D8B" w:rsidRDefault="00904D8B" w:rsidP="00904D8B">
            <w:pPr>
              <w:widowControl w:val="0"/>
              <w:spacing w:after="120"/>
              <w:jc w:val="center"/>
            </w:pPr>
            <w:r w:rsidRPr="00904D8B">
              <w:t>$1050</w:t>
            </w:r>
          </w:p>
        </w:tc>
      </w:tr>
      <w:tr w:rsidR="00904D8B" w:rsidRPr="00904D8B" w:rsidTr="00EF462C">
        <w:trPr>
          <w:jc w:val="center"/>
        </w:trPr>
        <w:tc>
          <w:tcPr>
            <w:tcW w:w="1485" w:type="dxa"/>
          </w:tcPr>
          <w:p w:rsidR="00904D8B" w:rsidRPr="00904D8B" w:rsidRDefault="00904D8B" w:rsidP="00904D8B">
            <w:pPr>
              <w:widowControl w:val="0"/>
              <w:spacing w:after="120"/>
              <w:jc w:val="both"/>
            </w:pPr>
            <w:r w:rsidRPr="00904D8B">
              <w:t>15</w:t>
            </w:r>
          </w:p>
        </w:tc>
        <w:tc>
          <w:tcPr>
            <w:tcW w:w="1845" w:type="dxa"/>
          </w:tcPr>
          <w:p w:rsidR="00904D8B" w:rsidRPr="00904D8B" w:rsidRDefault="00904D8B" w:rsidP="00904D8B">
            <w:pPr>
              <w:widowControl w:val="0"/>
              <w:spacing w:after="120"/>
              <w:jc w:val="center"/>
            </w:pPr>
            <w:r w:rsidRPr="00904D8B">
              <w:t>$1950</w:t>
            </w:r>
          </w:p>
        </w:tc>
      </w:tr>
    </w:tbl>
    <w:p w:rsidR="00904D8B" w:rsidRPr="00904D8B" w:rsidRDefault="00904D8B" w:rsidP="00904D8B">
      <w:pPr>
        <w:widowControl w:val="0"/>
        <w:spacing w:after="120" w:line="240" w:lineRule="auto"/>
        <w:jc w:val="both"/>
        <w:rPr>
          <w:rFonts w:eastAsia="Times New Roman" w:cs="Times New Roman"/>
          <w:sz w:val="20"/>
        </w:rPr>
      </w:pPr>
    </w:p>
    <w:p w:rsidR="00904D8B" w:rsidRPr="00904D8B" w:rsidRDefault="00904D8B" w:rsidP="00904D8B">
      <w:pPr>
        <w:widowControl w:val="0"/>
        <w:spacing w:after="120" w:line="240" w:lineRule="auto"/>
        <w:jc w:val="both"/>
        <w:rPr>
          <w:rFonts w:eastAsia="Times New Roman" w:cs="Times New Roman"/>
          <w:sz w:val="20"/>
          <w:szCs w:val="20"/>
        </w:rPr>
      </w:pPr>
      <w:r w:rsidRPr="00904D8B">
        <w:rPr>
          <w:rFonts w:eastAsia="Times New Roman" w:cs="Times New Roman"/>
          <w:sz w:val="20"/>
          <w:szCs w:val="20"/>
        </w:rPr>
        <w:t xml:space="preserve">The incremental capital cost for a gas fired </w:t>
      </w:r>
      <w:proofErr w:type="spellStart"/>
      <w:r w:rsidRPr="00904D8B">
        <w:rPr>
          <w:rFonts w:eastAsia="Times New Roman" w:cs="Times New Roman"/>
          <w:sz w:val="20"/>
          <w:szCs w:val="20"/>
        </w:rPr>
        <w:t>tankless</w:t>
      </w:r>
      <w:proofErr w:type="spellEnd"/>
      <w:r w:rsidRPr="00904D8B">
        <w:rPr>
          <w:rFonts w:eastAsia="Times New Roman" w:cs="Times New Roman"/>
          <w:sz w:val="20"/>
          <w:szCs w:val="20"/>
        </w:rPr>
        <w:t xml:space="preserve"> heater is as follows:</w:t>
      </w:r>
    </w:p>
    <w:tbl>
      <w:tblPr>
        <w:tblW w:w="5102" w:type="dxa"/>
        <w:jc w:val="center"/>
        <w:tblInd w:w="-1937" w:type="dxa"/>
        <w:tblCellMar>
          <w:left w:w="0" w:type="dxa"/>
          <w:right w:w="0" w:type="dxa"/>
        </w:tblCellMar>
        <w:tblLook w:val="04A0" w:firstRow="1" w:lastRow="0" w:firstColumn="1" w:lastColumn="0" w:noHBand="0" w:noVBand="1"/>
      </w:tblPr>
      <w:tblGrid>
        <w:gridCol w:w="2952"/>
        <w:gridCol w:w="2150"/>
      </w:tblGrid>
      <w:tr w:rsidR="00904D8B" w:rsidRPr="00904D8B" w:rsidTr="00EF462C">
        <w:trPr>
          <w:trHeight w:val="305"/>
          <w:jc w:val="center"/>
        </w:trPr>
        <w:tc>
          <w:tcPr>
            <w:tcW w:w="29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904D8B" w:rsidRPr="00904D8B" w:rsidRDefault="00904D8B" w:rsidP="00904D8B">
            <w:pPr>
              <w:widowControl w:val="0"/>
              <w:spacing w:after="120" w:line="240" w:lineRule="auto"/>
              <w:jc w:val="center"/>
              <w:rPr>
                <w:rFonts w:ascii="Calibri" w:eastAsia="Times New Roman" w:hAnsi="Calibri" w:cs="Times New Roman"/>
                <w:b/>
                <w:noProof/>
                <w:color w:val="FFFFFF" w:themeColor="background1"/>
                <w:sz w:val="20"/>
                <w:szCs w:val="24"/>
              </w:rPr>
            </w:pPr>
            <w:r w:rsidRPr="00904D8B">
              <w:rPr>
                <w:rFonts w:ascii="Calibri" w:eastAsia="Times New Roman" w:hAnsi="Calibri" w:cs="Times New Roman"/>
                <w:b/>
                <w:noProof/>
                <w:color w:val="FFFFFF" w:themeColor="background1"/>
                <w:sz w:val="20"/>
                <w:szCs w:val="24"/>
              </w:rPr>
              <w:t>Program</w:t>
            </w:r>
          </w:p>
        </w:tc>
        <w:tc>
          <w:tcPr>
            <w:tcW w:w="2150" w:type="dxa"/>
            <w:tcBorders>
              <w:top w:val="single" w:sz="4" w:space="0" w:color="auto"/>
              <w:left w:val="nil"/>
              <w:bottom w:val="single" w:sz="4" w:space="0" w:color="auto"/>
              <w:right w:val="single" w:sz="4" w:space="0" w:color="auto"/>
            </w:tcBorders>
            <w:shd w:val="clear" w:color="auto" w:fill="7F7F7F" w:themeFill="text1" w:themeFillTint="80"/>
            <w:vAlign w:val="center"/>
            <w:hideMark/>
          </w:tcPr>
          <w:p w:rsidR="00904D8B" w:rsidRPr="00904D8B" w:rsidRDefault="00904D8B" w:rsidP="00904D8B">
            <w:pPr>
              <w:widowControl w:val="0"/>
              <w:spacing w:after="120" w:line="240" w:lineRule="auto"/>
              <w:jc w:val="center"/>
              <w:rPr>
                <w:rFonts w:ascii="Calibri" w:eastAsia="Times New Roman" w:hAnsi="Calibri" w:cs="Times New Roman"/>
                <w:b/>
                <w:noProof/>
                <w:color w:val="FFFFFF" w:themeColor="background1"/>
                <w:sz w:val="20"/>
                <w:szCs w:val="24"/>
              </w:rPr>
            </w:pPr>
            <w:r w:rsidRPr="00904D8B">
              <w:rPr>
                <w:rFonts w:ascii="Calibri" w:eastAsia="Times New Roman" w:hAnsi="Calibri" w:cs="Times New Roman"/>
                <w:b/>
                <w:noProof/>
                <w:color w:val="FFFFFF" w:themeColor="background1"/>
                <w:sz w:val="20"/>
                <w:szCs w:val="24"/>
              </w:rPr>
              <w:t>Capital Cost, $ per unit</w:t>
            </w:r>
          </w:p>
        </w:tc>
      </w:tr>
      <w:tr w:rsidR="00904D8B" w:rsidRPr="00904D8B" w:rsidTr="00EF462C">
        <w:trPr>
          <w:trHeight w:val="350"/>
          <w:jc w:val="center"/>
        </w:trPr>
        <w:tc>
          <w:tcPr>
            <w:tcW w:w="2952" w:type="dxa"/>
            <w:tcBorders>
              <w:top w:val="nil"/>
              <w:left w:val="single" w:sz="4" w:space="0" w:color="auto"/>
              <w:bottom w:val="single" w:sz="4" w:space="0" w:color="auto"/>
              <w:right w:val="single" w:sz="4" w:space="0" w:color="auto"/>
            </w:tcBorders>
            <w:vAlign w:val="bottom"/>
            <w:hideMark/>
          </w:tcPr>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Retrofit</w:t>
            </w:r>
          </w:p>
        </w:tc>
        <w:tc>
          <w:tcPr>
            <w:tcW w:w="2150" w:type="dxa"/>
            <w:tcBorders>
              <w:top w:val="nil"/>
              <w:left w:val="nil"/>
              <w:bottom w:val="single" w:sz="4" w:space="0" w:color="auto"/>
              <w:right w:val="single" w:sz="4" w:space="0" w:color="auto"/>
            </w:tcBorders>
            <w:vAlign w:val="bottom"/>
            <w:hideMark/>
          </w:tcPr>
          <w:p w:rsidR="00904D8B" w:rsidRPr="00904D8B" w:rsidRDefault="00904D8B" w:rsidP="00904D8B">
            <w:pPr>
              <w:widowControl w:val="0"/>
              <w:spacing w:after="120" w:line="240" w:lineRule="auto"/>
              <w:jc w:val="center"/>
              <w:rPr>
                <w:rFonts w:eastAsia="Times New Roman" w:cs="Times New Roman"/>
                <w:sz w:val="20"/>
              </w:rPr>
            </w:pPr>
            <w:r w:rsidRPr="00904D8B">
              <w:rPr>
                <w:rFonts w:eastAsia="Times New Roman" w:cs="Times New Roman"/>
                <w:sz w:val="20"/>
              </w:rPr>
              <w:t>$3,255</w:t>
            </w:r>
            <w:r w:rsidRPr="00904D8B">
              <w:rPr>
                <w:rFonts w:eastAsiaTheme="majorEastAsia" w:cstheme="minorHAnsi"/>
                <w:sz w:val="20"/>
                <w:vertAlign w:val="superscript"/>
              </w:rPr>
              <w:footnoteReference w:id="4"/>
            </w:r>
          </w:p>
        </w:tc>
      </w:tr>
      <w:tr w:rsidR="00904D8B" w:rsidRPr="00904D8B" w:rsidTr="00EF462C">
        <w:trPr>
          <w:trHeight w:val="260"/>
          <w:jc w:val="center"/>
        </w:trPr>
        <w:tc>
          <w:tcPr>
            <w:tcW w:w="2952" w:type="dxa"/>
            <w:tcBorders>
              <w:top w:val="nil"/>
              <w:left w:val="single" w:sz="4" w:space="0" w:color="auto"/>
              <w:bottom w:val="single" w:sz="4" w:space="0" w:color="auto"/>
              <w:right w:val="single" w:sz="4" w:space="0" w:color="auto"/>
            </w:tcBorders>
            <w:vAlign w:val="bottom"/>
            <w:hideMark/>
          </w:tcPr>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Time of Sale or New Construction</w:t>
            </w:r>
          </w:p>
        </w:tc>
        <w:tc>
          <w:tcPr>
            <w:tcW w:w="2150" w:type="dxa"/>
            <w:tcBorders>
              <w:top w:val="nil"/>
              <w:left w:val="nil"/>
              <w:bottom w:val="single" w:sz="4" w:space="0" w:color="auto"/>
              <w:right w:val="single" w:sz="4" w:space="0" w:color="auto"/>
            </w:tcBorders>
            <w:vAlign w:val="bottom"/>
            <w:hideMark/>
          </w:tcPr>
          <w:p w:rsidR="00904D8B" w:rsidRPr="00904D8B" w:rsidRDefault="00904D8B" w:rsidP="00904D8B">
            <w:pPr>
              <w:widowControl w:val="0"/>
              <w:spacing w:after="120" w:line="240" w:lineRule="auto"/>
              <w:jc w:val="center"/>
              <w:rPr>
                <w:rFonts w:eastAsia="Times New Roman" w:cs="Times New Roman"/>
                <w:sz w:val="20"/>
              </w:rPr>
            </w:pPr>
            <w:r w:rsidRPr="00904D8B">
              <w:rPr>
                <w:rFonts w:eastAsia="Times New Roman" w:cs="Times New Roman"/>
                <w:sz w:val="20"/>
              </w:rPr>
              <w:t>$2,526</w:t>
            </w:r>
            <w:r w:rsidRPr="00904D8B">
              <w:rPr>
                <w:rFonts w:eastAsiaTheme="majorEastAsia" w:cstheme="minorHAnsi"/>
                <w:sz w:val="20"/>
                <w:vertAlign w:val="superscript"/>
              </w:rPr>
              <w:footnoteReference w:id="5"/>
            </w: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Deemed O&amp;M Cost Adjustments </w:t>
      </w:r>
    </w:p>
    <w:p w:rsidR="00904D8B" w:rsidRPr="00904D8B" w:rsidRDefault="00904D8B" w:rsidP="00904D8B">
      <w:pPr>
        <w:widowControl w:val="0"/>
        <w:spacing w:after="120" w:line="240" w:lineRule="auto"/>
        <w:jc w:val="both"/>
        <w:rPr>
          <w:rFonts w:eastAsia="Times New Roman" w:cs="Times New Roman"/>
          <w:iCs/>
          <w:sz w:val="20"/>
        </w:rPr>
      </w:pPr>
      <w:r w:rsidRPr="00904D8B">
        <w:rPr>
          <w:rFonts w:eastAsia="Times New Roman" w:cs="Times New Roman"/>
          <w:sz w:val="20"/>
        </w:rPr>
        <w:t>$100</w:t>
      </w:r>
      <w:r w:rsidRPr="00904D8B">
        <w:rPr>
          <w:rFonts w:ascii="Arial" w:eastAsiaTheme="majorEastAsia" w:hAnsi="Arial" w:cs="Times New Roman"/>
          <w:sz w:val="20"/>
          <w:vertAlign w:val="superscript"/>
        </w:rPr>
        <w:footnoteReference w:id="6"/>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proofErr w:type="spellStart"/>
      <w:r w:rsidRPr="00904D8B">
        <w:rPr>
          <w:rFonts w:eastAsia="Times New Roman" w:cs="Calibri"/>
          <w:b/>
          <w:smallCaps/>
        </w:rPr>
        <w:t>Loadshape</w:t>
      </w:r>
      <w:proofErr w:type="spellEnd"/>
    </w:p>
    <w:p w:rsidR="00904D8B" w:rsidRPr="00904D8B" w:rsidRDefault="00904D8B" w:rsidP="00904D8B">
      <w:pPr>
        <w:spacing w:after="120" w:line="240" w:lineRule="auto"/>
        <w:jc w:val="both"/>
        <w:rPr>
          <w:rFonts w:ascii="Calibri" w:eastAsia="Times New Roman" w:hAnsi="Calibri" w:cs="Calibri"/>
          <w:color w:val="000000"/>
          <w:sz w:val="20"/>
          <w:szCs w:val="20"/>
        </w:rPr>
      </w:pPr>
      <w:proofErr w:type="spellStart"/>
      <w:r w:rsidRPr="00904D8B">
        <w:rPr>
          <w:rFonts w:ascii="Calibri" w:eastAsia="Times New Roman" w:hAnsi="Calibri" w:cs="Calibri"/>
          <w:color w:val="000000"/>
          <w:sz w:val="20"/>
          <w:szCs w:val="20"/>
        </w:rPr>
        <w:t>Loadshape</w:t>
      </w:r>
      <w:proofErr w:type="spellEnd"/>
      <w:r w:rsidRPr="00904D8B">
        <w:rPr>
          <w:rFonts w:ascii="Calibri" w:eastAsia="Times New Roman" w:hAnsi="Calibri" w:cs="Calibri"/>
          <w:color w:val="000000"/>
          <w:sz w:val="20"/>
          <w:szCs w:val="20"/>
        </w:rPr>
        <w:t xml:space="preserve"> C02 - Commercial Electric DHW</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Coincidence Factor </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The measure has deemed kW savings therefor a coincidence factor is not applied</w:t>
      </w:r>
    </w:p>
    <w:p w:rsidR="00904D8B" w:rsidRPr="00904D8B" w:rsidRDefault="00904D8B" w:rsidP="00904D8B">
      <w:pPr>
        <w:rPr>
          <w:rFonts w:eastAsia="Times New Roman" w:cs="Times New Roman"/>
          <w:sz w:val="20"/>
        </w:rPr>
      </w:pPr>
      <w:r w:rsidRPr="00904D8B">
        <w:rPr>
          <w:rFonts w:eastAsia="Times New Roman" w:cs="Times New Roman"/>
          <w:sz w:val="20"/>
        </w:rPr>
        <w:br w:type="page"/>
      </w:r>
    </w:p>
    <w:p w:rsidR="00904D8B" w:rsidRPr="00904D8B" w:rsidRDefault="00904D8B" w:rsidP="00904D8B">
      <w:pPr>
        <w:keepNext/>
        <w:widowControl w:val="0"/>
        <w:pBdr>
          <w:top w:val="double" w:sz="4" w:space="1" w:color="auto"/>
          <w:bottom w:val="double" w:sz="4" w:space="1" w:color="auto"/>
        </w:pBdr>
        <w:spacing w:after="120" w:line="240" w:lineRule="auto"/>
        <w:jc w:val="center"/>
        <w:rPr>
          <w:rFonts w:eastAsia="Times New Roman" w:cs="Calibri"/>
          <w:b/>
          <w:sz w:val="20"/>
          <w:szCs w:val="20"/>
        </w:rPr>
      </w:pPr>
      <w:r w:rsidRPr="00904D8B">
        <w:rPr>
          <w:rFonts w:eastAsia="Times New Roman" w:cs="Calibri"/>
          <w:b/>
          <w:sz w:val="20"/>
          <w:szCs w:val="20"/>
        </w:rPr>
        <w:lastRenderedPageBreak/>
        <w:t>Algorithm</w:t>
      </w:r>
    </w:p>
    <w:p w:rsidR="00904D8B" w:rsidRPr="00904D8B" w:rsidRDefault="00904D8B" w:rsidP="00904D8B">
      <w:pPr>
        <w:keepNext/>
        <w:keepLines/>
        <w:widowControl w:val="0"/>
        <w:tabs>
          <w:tab w:val="left" w:pos="5040"/>
        </w:tabs>
        <w:spacing w:before="200" w:after="120"/>
        <w:outlineLvl w:val="5"/>
        <w:rPr>
          <w:rFonts w:eastAsia="Times New Roman" w:cs="Calibri"/>
          <w:b/>
          <w:smallCaps/>
          <w:noProof/>
        </w:rPr>
      </w:pPr>
      <w:r w:rsidRPr="00904D8B">
        <w:rPr>
          <w:rFonts w:eastAsia="Times New Roman" w:cs="Calibri"/>
          <w:b/>
          <w:smallCaps/>
        </w:rPr>
        <w:t xml:space="preserve">Calculation of Energy Savings </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Electric Energy Savings </w:t>
      </w:r>
      <w:r w:rsidRPr="00904D8B">
        <w:rPr>
          <w:rFonts w:ascii="Arial" w:eastAsia="Times New Roman" w:hAnsi="Arial" w:cs="Times New Roman"/>
          <w:b/>
          <w:smallCaps/>
          <w:sz w:val="20"/>
          <w:vertAlign w:val="superscript"/>
        </w:rPr>
        <w:footnoteReference w:id="7"/>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 xml:space="preserve">The annual electric savings from an electric </w:t>
      </w:r>
      <w:proofErr w:type="spellStart"/>
      <w:r w:rsidRPr="00904D8B">
        <w:rPr>
          <w:rFonts w:eastAsia="Times New Roman" w:cs="Times New Roman"/>
          <w:sz w:val="20"/>
        </w:rPr>
        <w:t>tankless</w:t>
      </w:r>
      <w:proofErr w:type="spellEnd"/>
      <w:r w:rsidRPr="00904D8B">
        <w:rPr>
          <w:rFonts w:eastAsia="Times New Roman" w:cs="Times New Roman"/>
          <w:sz w:val="20"/>
        </w:rPr>
        <w:t xml:space="preserve"> heater is a deemed value and assumed to be:</w:t>
      </w:r>
    </w:p>
    <w:tbl>
      <w:tblPr>
        <w:tblStyle w:val="TableGrid"/>
        <w:tblW w:w="0" w:type="auto"/>
        <w:jc w:val="center"/>
        <w:tblInd w:w="918" w:type="dxa"/>
        <w:tblLook w:val="04A0" w:firstRow="1" w:lastRow="0" w:firstColumn="1" w:lastColumn="0" w:noHBand="0" w:noVBand="1"/>
      </w:tblPr>
      <w:tblGrid>
        <w:gridCol w:w="1800"/>
        <w:gridCol w:w="1530"/>
      </w:tblGrid>
      <w:tr w:rsidR="00904D8B" w:rsidRPr="00904D8B" w:rsidTr="00EF462C">
        <w:trPr>
          <w:jc w:val="center"/>
        </w:trPr>
        <w:tc>
          <w:tcPr>
            <w:tcW w:w="1800" w:type="dxa"/>
            <w:shd w:val="clear" w:color="auto" w:fill="7F7F7F" w:themeFill="text1" w:themeFillTint="80"/>
          </w:tcPr>
          <w:p w:rsidR="00904D8B" w:rsidRPr="00904D8B" w:rsidRDefault="00904D8B" w:rsidP="00904D8B">
            <w:pPr>
              <w:widowControl w:val="0"/>
              <w:spacing w:after="120"/>
              <w:jc w:val="center"/>
              <w:rPr>
                <w:rFonts w:ascii="Calibri" w:hAnsi="Calibri"/>
                <w:b/>
                <w:noProof/>
                <w:color w:val="FFFFFF" w:themeColor="background1"/>
                <w:szCs w:val="24"/>
              </w:rPr>
            </w:pPr>
            <w:r w:rsidRPr="00904D8B">
              <w:rPr>
                <w:rFonts w:ascii="Calibri" w:hAnsi="Calibri"/>
                <w:b/>
                <w:noProof/>
                <w:color w:val="FFFFFF" w:themeColor="background1"/>
                <w:szCs w:val="24"/>
              </w:rPr>
              <w:t>Output (gpm) at delta T 70</w:t>
            </w:r>
          </w:p>
        </w:tc>
        <w:tc>
          <w:tcPr>
            <w:tcW w:w="1530" w:type="dxa"/>
            <w:shd w:val="clear" w:color="auto" w:fill="7F7F7F" w:themeFill="text1" w:themeFillTint="80"/>
          </w:tcPr>
          <w:p w:rsidR="00904D8B" w:rsidRPr="00904D8B" w:rsidRDefault="00904D8B" w:rsidP="00904D8B">
            <w:pPr>
              <w:widowControl w:val="0"/>
              <w:spacing w:after="120"/>
              <w:jc w:val="center"/>
              <w:rPr>
                <w:rFonts w:ascii="Calibri" w:hAnsi="Calibri"/>
                <w:b/>
                <w:noProof/>
                <w:color w:val="FFFFFF" w:themeColor="background1"/>
                <w:szCs w:val="24"/>
              </w:rPr>
            </w:pPr>
            <w:r w:rsidRPr="00904D8B">
              <w:rPr>
                <w:rFonts w:ascii="Calibri" w:hAnsi="Calibri"/>
                <w:b/>
                <w:noProof/>
                <w:color w:val="FFFFFF" w:themeColor="background1"/>
                <w:szCs w:val="24"/>
              </w:rPr>
              <w:t>Savings (kWh)</w:t>
            </w:r>
          </w:p>
        </w:tc>
      </w:tr>
      <w:tr w:rsidR="00904D8B" w:rsidRPr="00904D8B" w:rsidTr="00EF462C">
        <w:trPr>
          <w:jc w:val="center"/>
        </w:trPr>
        <w:tc>
          <w:tcPr>
            <w:tcW w:w="1800" w:type="dxa"/>
          </w:tcPr>
          <w:p w:rsidR="00904D8B" w:rsidRPr="00904D8B" w:rsidRDefault="00904D8B" w:rsidP="00904D8B">
            <w:pPr>
              <w:widowControl w:val="0"/>
              <w:spacing w:after="120"/>
              <w:jc w:val="center"/>
            </w:pPr>
            <w:r w:rsidRPr="00904D8B">
              <w:t>5.0</w:t>
            </w:r>
          </w:p>
        </w:tc>
        <w:tc>
          <w:tcPr>
            <w:tcW w:w="1530" w:type="dxa"/>
          </w:tcPr>
          <w:p w:rsidR="00904D8B" w:rsidRPr="00904D8B" w:rsidRDefault="00904D8B" w:rsidP="00904D8B">
            <w:pPr>
              <w:widowControl w:val="0"/>
              <w:spacing w:after="120"/>
              <w:jc w:val="center"/>
            </w:pPr>
            <w:r w:rsidRPr="00904D8B">
              <w:t>2,992</w:t>
            </w:r>
          </w:p>
        </w:tc>
      </w:tr>
      <w:tr w:rsidR="00904D8B" w:rsidRPr="00904D8B" w:rsidTr="00EF462C">
        <w:trPr>
          <w:trHeight w:val="77"/>
          <w:jc w:val="center"/>
        </w:trPr>
        <w:tc>
          <w:tcPr>
            <w:tcW w:w="1800" w:type="dxa"/>
          </w:tcPr>
          <w:p w:rsidR="00904D8B" w:rsidRPr="00904D8B" w:rsidRDefault="00904D8B" w:rsidP="00904D8B">
            <w:pPr>
              <w:widowControl w:val="0"/>
              <w:spacing w:after="120"/>
              <w:jc w:val="center"/>
            </w:pPr>
            <w:r w:rsidRPr="00904D8B">
              <w:t>10.0</w:t>
            </w:r>
          </w:p>
        </w:tc>
        <w:tc>
          <w:tcPr>
            <w:tcW w:w="1530" w:type="dxa"/>
          </w:tcPr>
          <w:p w:rsidR="00904D8B" w:rsidRPr="00904D8B" w:rsidRDefault="00904D8B" w:rsidP="00904D8B">
            <w:pPr>
              <w:widowControl w:val="0"/>
              <w:spacing w:after="120"/>
              <w:jc w:val="center"/>
            </w:pPr>
            <w:r w:rsidRPr="00904D8B">
              <w:t>7,905</w:t>
            </w:r>
          </w:p>
        </w:tc>
      </w:tr>
      <w:tr w:rsidR="00904D8B" w:rsidRPr="00904D8B" w:rsidTr="00EF462C">
        <w:trPr>
          <w:jc w:val="center"/>
        </w:trPr>
        <w:tc>
          <w:tcPr>
            <w:tcW w:w="1800" w:type="dxa"/>
          </w:tcPr>
          <w:p w:rsidR="00904D8B" w:rsidRPr="00904D8B" w:rsidRDefault="00904D8B" w:rsidP="00904D8B">
            <w:pPr>
              <w:widowControl w:val="0"/>
              <w:spacing w:after="120"/>
              <w:jc w:val="center"/>
            </w:pPr>
            <w:r w:rsidRPr="00904D8B">
              <w:t>15.0</w:t>
            </w:r>
          </w:p>
        </w:tc>
        <w:tc>
          <w:tcPr>
            <w:tcW w:w="1530" w:type="dxa"/>
          </w:tcPr>
          <w:p w:rsidR="00904D8B" w:rsidRPr="00904D8B" w:rsidRDefault="00904D8B" w:rsidP="00904D8B">
            <w:pPr>
              <w:widowControl w:val="0"/>
              <w:spacing w:after="120"/>
              <w:jc w:val="center"/>
            </w:pPr>
            <w:r w:rsidRPr="00904D8B">
              <w:t>12,879</w:t>
            </w: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Summer Coincident Peak Demand Savings</w:t>
      </w:r>
      <w:r w:rsidRPr="00904D8B">
        <w:rPr>
          <w:rFonts w:ascii="Arial" w:eastAsia="Times New Roman" w:hAnsi="Arial" w:cs="Times New Roman"/>
          <w:b/>
          <w:smallCaps/>
          <w:sz w:val="20"/>
          <w:vertAlign w:val="superscript"/>
        </w:rPr>
        <w:footnoteReference w:id="8"/>
      </w:r>
      <w:r w:rsidRPr="00904D8B">
        <w:rPr>
          <w:rFonts w:eastAsia="Times New Roman" w:cs="Calibri"/>
          <w:b/>
          <w:smallCaps/>
        </w:rPr>
        <w:t xml:space="preserve"> </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 xml:space="preserve">The annual kW savings from an electric </w:t>
      </w:r>
      <w:proofErr w:type="spellStart"/>
      <w:r w:rsidRPr="00904D8B">
        <w:rPr>
          <w:rFonts w:eastAsia="Times New Roman" w:cs="Times New Roman"/>
          <w:sz w:val="20"/>
        </w:rPr>
        <w:t>tankless</w:t>
      </w:r>
      <w:proofErr w:type="spellEnd"/>
      <w:r w:rsidRPr="00904D8B">
        <w:rPr>
          <w:rFonts w:eastAsia="Times New Roman" w:cs="Times New Roman"/>
          <w:sz w:val="20"/>
        </w:rPr>
        <w:t xml:space="preserve"> heater is a deemed value and assumed to be: </w:t>
      </w:r>
    </w:p>
    <w:tbl>
      <w:tblPr>
        <w:tblStyle w:val="TableGrid"/>
        <w:tblW w:w="0" w:type="auto"/>
        <w:jc w:val="center"/>
        <w:tblInd w:w="918" w:type="dxa"/>
        <w:tblLook w:val="04A0" w:firstRow="1" w:lastRow="0" w:firstColumn="1" w:lastColumn="0" w:noHBand="0" w:noVBand="1"/>
      </w:tblPr>
      <w:tblGrid>
        <w:gridCol w:w="1800"/>
        <w:gridCol w:w="1530"/>
      </w:tblGrid>
      <w:tr w:rsidR="00904D8B" w:rsidRPr="00904D8B" w:rsidTr="00EF462C">
        <w:trPr>
          <w:trHeight w:val="422"/>
          <w:jc w:val="center"/>
        </w:trPr>
        <w:tc>
          <w:tcPr>
            <w:tcW w:w="1800" w:type="dxa"/>
            <w:shd w:val="clear" w:color="auto" w:fill="7F7F7F" w:themeFill="text1" w:themeFillTint="80"/>
          </w:tcPr>
          <w:p w:rsidR="00904D8B" w:rsidRPr="00904D8B" w:rsidRDefault="00904D8B" w:rsidP="00904D8B">
            <w:pPr>
              <w:widowControl w:val="0"/>
              <w:spacing w:after="120"/>
              <w:jc w:val="center"/>
              <w:rPr>
                <w:rFonts w:ascii="Calibri" w:hAnsi="Calibri"/>
                <w:b/>
                <w:noProof/>
                <w:color w:val="FFFFFF" w:themeColor="background1"/>
                <w:szCs w:val="24"/>
              </w:rPr>
            </w:pPr>
            <w:r w:rsidRPr="00904D8B">
              <w:rPr>
                <w:rFonts w:ascii="Calibri" w:hAnsi="Calibri"/>
                <w:b/>
                <w:noProof/>
                <w:color w:val="FFFFFF" w:themeColor="background1"/>
                <w:szCs w:val="24"/>
              </w:rPr>
              <w:t>Output (gpm) at delta T 70</w:t>
            </w:r>
          </w:p>
        </w:tc>
        <w:tc>
          <w:tcPr>
            <w:tcW w:w="1530" w:type="dxa"/>
            <w:shd w:val="clear" w:color="auto" w:fill="7F7F7F" w:themeFill="text1" w:themeFillTint="80"/>
          </w:tcPr>
          <w:p w:rsidR="00904D8B" w:rsidRPr="00904D8B" w:rsidRDefault="00904D8B" w:rsidP="00904D8B">
            <w:pPr>
              <w:widowControl w:val="0"/>
              <w:spacing w:after="120"/>
              <w:jc w:val="center"/>
              <w:rPr>
                <w:rFonts w:ascii="Calibri" w:hAnsi="Calibri"/>
                <w:b/>
                <w:noProof/>
                <w:color w:val="FFFFFF" w:themeColor="background1"/>
                <w:szCs w:val="24"/>
              </w:rPr>
            </w:pPr>
            <w:r w:rsidRPr="00904D8B">
              <w:rPr>
                <w:rFonts w:ascii="Calibri" w:hAnsi="Calibri"/>
                <w:b/>
                <w:noProof/>
                <w:color w:val="FFFFFF" w:themeColor="background1"/>
                <w:szCs w:val="24"/>
              </w:rPr>
              <w:t>Savings (kW)</w:t>
            </w:r>
          </w:p>
        </w:tc>
      </w:tr>
      <w:tr w:rsidR="00904D8B" w:rsidRPr="00904D8B" w:rsidTr="00EF462C">
        <w:trPr>
          <w:jc w:val="center"/>
        </w:trPr>
        <w:tc>
          <w:tcPr>
            <w:tcW w:w="1800" w:type="dxa"/>
          </w:tcPr>
          <w:p w:rsidR="00904D8B" w:rsidRPr="00904D8B" w:rsidRDefault="00904D8B" w:rsidP="00904D8B">
            <w:pPr>
              <w:widowControl w:val="0"/>
              <w:spacing w:after="120"/>
              <w:jc w:val="center"/>
            </w:pPr>
            <w:r w:rsidRPr="00904D8B">
              <w:t>5.0</w:t>
            </w:r>
          </w:p>
        </w:tc>
        <w:tc>
          <w:tcPr>
            <w:tcW w:w="1530" w:type="dxa"/>
          </w:tcPr>
          <w:p w:rsidR="00904D8B" w:rsidRPr="00904D8B" w:rsidRDefault="00904D8B" w:rsidP="00904D8B">
            <w:pPr>
              <w:widowControl w:val="0"/>
              <w:spacing w:after="120"/>
              <w:jc w:val="center"/>
            </w:pPr>
            <w:r w:rsidRPr="00904D8B">
              <w:t>0.34</w:t>
            </w:r>
          </w:p>
        </w:tc>
      </w:tr>
      <w:tr w:rsidR="00904D8B" w:rsidRPr="00904D8B" w:rsidTr="00EF462C">
        <w:trPr>
          <w:trHeight w:val="70"/>
          <w:jc w:val="center"/>
        </w:trPr>
        <w:tc>
          <w:tcPr>
            <w:tcW w:w="1800" w:type="dxa"/>
          </w:tcPr>
          <w:p w:rsidR="00904D8B" w:rsidRPr="00904D8B" w:rsidRDefault="00904D8B" w:rsidP="00904D8B">
            <w:pPr>
              <w:widowControl w:val="0"/>
              <w:spacing w:after="120"/>
              <w:jc w:val="center"/>
            </w:pPr>
            <w:r w:rsidRPr="00904D8B">
              <w:t>10.0</w:t>
            </w:r>
          </w:p>
        </w:tc>
        <w:tc>
          <w:tcPr>
            <w:tcW w:w="1530" w:type="dxa"/>
          </w:tcPr>
          <w:p w:rsidR="00904D8B" w:rsidRPr="00904D8B" w:rsidRDefault="00904D8B" w:rsidP="00904D8B">
            <w:pPr>
              <w:widowControl w:val="0"/>
              <w:spacing w:after="120"/>
              <w:jc w:val="center"/>
            </w:pPr>
            <w:r w:rsidRPr="00904D8B">
              <w:t>0.90</w:t>
            </w:r>
          </w:p>
        </w:tc>
      </w:tr>
      <w:tr w:rsidR="00904D8B" w:rsidRPr="00904D8B" w:rsidTr="00EF462C">
        <w:trPr>
          <w:jc w:val="center"/>
        </w:trPr>
        <w:tc>
          <w:tcPr>
            <w:tcW w:w="1800" w:type="dxa"/>
          </w:tcPr>
          <w:p w:rsidR="00904D8B" w:rsidRPr="00904D8B" w:rsidRDefault="00904D8B" w:rsidP="00904D8B">
            <w:pPr>
              <w:widowControl w:val="0"/>
              <w:spacing w:after="120"/>
              <w:jc w:val="center"/>
            </w:pPr>
            <w:r w:rsidRPr="00904D8B">
              <w:t>15.0</w:t>
            </w:r>
          </w:p>
        </w:tc>
        <w:tc>
          <w:tcPr>
            <w:tcW w:w="1530" w:type="dxa"/>
          </w:tcPr>
          <w:p w:rsidR="00904D8B" w:rsidRPr="00904D8B" w:rsidRDefault="00904D8B" w:rsidP="00904D8B">
            <w:pPr>
              <w:widowControl w:val="0"/>
              <w:spacing w:after="120"/>
              <w:jc w:val="center"/>
            </w:pPr>
            <w:r w:rsidRPr="00904D8B">
              <w:t>1.47</w:t>
            </w:r>
          </w:p>
        </w:tc>
      </w:tr>
    </w:tbl>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Natural Gas Savings</w:t>
      </w:r>
    </w:p>
    <w:p w:rsidR="00904D8B" w:rsidRPr="00904D8B" w:rsidRDefault="00904D8B" w:rsidP="00904D8B">
      <w:pPr>
        <w:widowControl w:val="0"/>
        <w:spacing w:after="120" w:line="240" w:lineRule="auto"/>
        <w:ind w:left="2880" w:hanging="1440"/>
        <w:jc w:val="both"/>
        <w:rPr>
          <w:rFonts w:eastAsia="Times New Roman" w:cs="Times New Roman"/>
          <w:b/>
          <w:iCs/>
          <w:sz w:val="20"/>
        </w:rPr>
      </w:pPr>
      <w:r w:rsidRPr="00904D8B">
        <w:rPr>
          <w:rFonts w:eastAsia="Times New Roman" w:cs="Times New Roman"/>
          <w:noProof/>
          <w:sz w:val="20"/>
        </w:rPr>
        <w:t>ΔTherms</w:t>
      </w:r>
      <w:r w:rsidRPr="00904D8B">
        <w:rPr>
          <w:rFonts w:eastAsia="Times New Roman" w:cs="Times New Roman"/>
          <w:noProof/>
          <w:sz w:val="20"/>
        </w:rPr>
        <w:tab/>
        <w:t xml:space="preserve">=[[Wgal x 8.33 x  1 x (Tout - Tin) x [(1/Eff base) - (1/Eff ee)]]/100,000] +[[(SL x 8,766)/Eff base]] / 100,000 Btu/Therms] </w:t>
      </w:r>
    </w:p>
    <w:p w:rsidR="00904D8B" w:rsidRPr="00904D8B" w:rsidRDefault="00904D8B" w:rsidP="00904D8B">
      <w:pPr>
        <w:widowControl w:val="0"/>
        <w:spacing w:after="120" w:line="240" w:lineRule="auto"/>
        <w:ind w:left="720"/>
        <w:jc w:val="both"/>
        <w:rPr>
          <w:rFonts w:eastAsia="Times New Roman" w:cs="Times New Roman"/>
          <w:noProof/>
          <w:sz w:val="20"/>
        </w:rPr>
      </w:pPr>
      <w:r w:rsidRPr="00904D8B">
        <w:rPr>
          <w:rFonts w:eastAsia="Times New Roman" w:cs="Times New Roman"/>
          <w:noProof/>
          <w:sz w:val="20"/>
        </w:rPr>
        <w:t>Where:</w:t>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 xml:space="preserve">Wgal </w:t>
      </w:r>
      <w:r w:rsidRPr="00904D8B">
        <w:rPr>
          <w:rFonts w:eastAsia="Times New Roman" w:cs="Times New Roman"/>
          <w:noProof/>
          <w:sz w:val="20"/>
        </w:rPr>
        <w:tab/>
      </w:r>
      <w:r w:rsidRPr="00904D8B">
        <w:rPr>
          <w:rFonts w:eastAsia="Times New Roman" w:cs="Times New Roman"/>
          <w:noProof/>
          <w:sz w:val="20"/>
        </w:rPr>
        <w:tab/>
        <w:t>=</w:t>
      </w:r>
      <w:r w:rsidRPr="00904D8B">
        <w:rPr>
          <w:rFonts w:eastAsia="Times New Roman" w:cs="Times New Roman"/>
          <w:sz w:val="20"/>
        </w:rPr>
        <w:t xml:space="preserve"> </w:t>
      </w:r>
      <w:r w:rsidRPr="00904D8B">
        <w:rPr>
          <w:rFonts w:eastAsia="Times New Roman" w:cs="Times New Roman"/>
          <w:noProof/>
          <w:sz w:val="20"/>
        </w:rPr>
        <w:t>Annual water use for equipment in gallons</w:t>
      </w:r>
    </w:p>
    <w:p w:rsidR="00904D8B" w:rsidRPr="00904D8B" w:rsidRDefault="00904D8B" w:rsidP="00904D8B">
      <w:pPr>
        <w:widowControl w:val="0"/>
        <w:spacing w:after="120" w:line="240" w:lineRule="auto"/>
        <w:ind w:left="2880"/>
        <w:jc w:val="both"/>
        <w:rPr>
          <w:rFonts w:eastAsia="Times New Roman" w:cs="Times New Roman"/>
          <w:noProof/>
          <w:sz w:val="20"/>
        </w:rPr>
      </w:pPr>
      <w:r w:rsidRPr="00904D8B">
        <w:rPr>
          <w:rFonts w:eastAsia="Times New Roman" w:cs="Times New Roman"/>
          <w:noProof/>
          <w:sz w:val="20"/>
        </w:rPr>
        <w:t xml:space="preserve">= custom, otherwise assume 21,915 gallons </w:t>
      </w:r>
      <w:r w:rsidRPr="00904D8B">
        <w:rPr>
          <w:rFonts w:ascii="Arial" w:eastAsiaTheme="majorEastAsia" w:hAnsi="Arial" w:cs="Times New Roman"/>
          <w:noProof/>
          <w:sz w:val="20"/>
          <w:vertAlign w:val="superscript"/>
        </w:rPr>
        <w:footnoteReference w:id="9"/>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8.33 lbm/gal</w:t>
      </w:r>
      <w:r w:rsidRPr="00904D8B">
        <w:rPr>
          <w:rFonts w:eastAsia="Times New Roman" w:cs="Times New Roman"/>
          <w:noProof/>
          <w:sz w:val="20"/>
        </w:rPr>
        <w:tab/>
        <w:t>= weight in pounds of one gallon of water</w:t>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1 Btu/lbm°F</w:t>
      </w:r>
      <w:r w:rsidRPr="00904D8B">
        <w:rPr>
          <w:rFonts w:eastAsia="Times New Roman" w:cs="Times New Roman"/>
          <w:noProof/>
          <w:sz w:val="20"/>
        </w:rPr>
        <w:tab/>
        <w:t>= Specific heat of water: 1 Btu/lbm/°F</w:t>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8,766 hr/yr</w:t>
      </w:r>
      <w:r w:rsidRPr="00904D8B">
        <w:rPr>
          <w:rFonts w:eastAsia="Times New Roman" w:cs="Times New Roman"/>
          <w:noProof/>
          <w:sz w:val="20"/>
        </w:rPr>
        <w:tab/>
        <w:t>= hours a year</w:t>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Tout</w:t>
      </w:r>
      <w:r w:rsidRPr="00904D8B">
        <w:rPr>
          <w:rFonts w:eastAsia="Times New Roman" w:cs="Times New Roman"/>
          <w:noProof/>
          <w:sz w:val="20"/>
        </w:rPr>
        <w:tab/>
      </w:r>
      <w:r w:rsidRPr="00904D8B">
        <w:rPr>
          <w:rFonts w:eastAsia="Times New Roman" w:cs="Times New Roman"/>
          <w:noProof/>
          <w:sz w:val="20"/>
        </w:rPr>
        <w:tab/>
        <w:t>= Unmixed Outlet Water Temperature</w:t>
      </w:r>
    </w:p>
    <w:p w:rsidR="00904D8B" w:rsidRPr="00904D8B" w:rsidRDefault="00904D8B" w:rsidP="00904D8B">
      <w:pPr>
        <w:widowControl w:val="0"/>
        <w:spacing w:after="120" w:line="240" w:lineRule="auto"/>
        <w:ind w:left="2880"/>
        <w:jc w:val="both"/>
        <w:rPr>
          <w:rFonts w:eastAsia="Times New Roman" w:cs="Times New Roman"/>
          <w:noProof/>
          <w:sz w:val="20"/>
        </w:rPr>
      </w:pPr>
      <w:r w:rsidRPr="00904D8B">
        <w:rPr>
          <w:rFonts w:eastAsia="Times New Roman" w:cs="Times New Roman"/>
          <w:noProof/>
          <w:sz w:val="20"/>
        </w:rPr>
        <w:t xml:space="preserve">= custom, otherwise assume 130 </w:t>
      </w:r>
      <w:r w:rsidRPr="00904D8B">
        <w:rPr>
          <w:rFonts w:eastAsia="Times New Roman" w:cs="Calibri"/>
          <w:sz w:val="20"/>
          <w:szCs w:val="20"/>
        </w:rPr>
        <w:t>°</w:t>
      </w:r>
      <w:r w:rsidRPr="00904D8B">
        <w:rPr>
          <w:rFonts w:eastAsia="Times New Roman" w:cs="Times New Roman"/>
          <w:noProof/>
          <w:sz w:val="20"/>
        </w:rPr>
        <w:t>F</w:t>
      </w:r>
      <w:r w:rsidRPr="00904D8B">
        <w:rPr>
          <w:rFonts w:ascii="Arial" w:eastAsiaTheme="majorEastAsia" w:hAnsi="Arial" w:cs="Times New Roman"/>
          <w:noProof/>
          <w:sz w:val="20"/>
          <w:vertAlign w:val="superscript"/>
        </w:rPr>
        <w:footnoteReference w:id="10"/>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Tin</w:t>
      </w:r>
      <w:r w:rsidRPr="00904D8B">
        <w:rPr>
          <w:rFonts w:eastAsia="Times New Roman" w:cs="Times New Roman"/>
          <w:noProof/>
          <w:sz w:val="20"/>
        </w:rPr>
        <w:tab/>
      </w:r>
      <w:r w:rsidRPr="00904D8B">
        <w:rPr>
          <w:rFonts w:eastAsia="Times New Roman" w:cs="Times New Roman"/>
          <w:noProof/>
          <w:sz w:val="20"/>
        </w:rPr>
        <w:tab/>
        <w:t>= Inlet Water Temperature</w:t>
      </w:r>
    </w:p>
    <w:p w:rsidR="00904D8B" w:rsidRPr="00904D8B" w:rsidRDefault="00904D8B" w:rsidP="00904D8B">
      <w:pPr>
        <w:widowControl w:val="0"/>
        <w:spacing w:after="120" w:line="240" w:lineRule="auto"/>
        <w:ind w:left="2880"/>
        <w:jc w:val="both"/>
        <w:rPr>
          <w:rFonts w:eastAsia="Times New Roman" w:cs="Times New Roman"/>
          <w:noProof/>
          <w:sz w:val="20"/>
        </w:rPr>
      </w:pPr>
      <w:r w:rsidRPr="00904D8B">
        <w:rPr>
          <w:rFonts w:eastAsia="Times New Roman" w:cs="Times New Roman"/>
          <w:noProof/>
          <w:sz w:val="20"/>
        </w:rPr>
        <w:t xml:space="preserve">= custom, otherwise assume 54.1 </w:t>
      </w:r>
      <w:r w:rsidRPr="00904D8B">
        <w:rPr>
          <w:rFonts w:eastAsia="Times New Roman" w:cs="Calibri"/>
          <w:sz w:val="20"/>
          <w:szCs w:val="20"/>
        </w:rPr>
        <w:t>°</w:t>
      </w:r>
      <w:r w:rsidRPr="00904D8B">
        <w:rPr>
          <w:rFonts w:eastAsia="Times New Roman" w:cs="Times New Roman"/>
          <w:noProof/>
          <w:sz w:val="20"/>
        </w:rPr>
        <w:t>F</w:t>
      </w:r>
      <w:r w:rsidRPr="00904D8B">
        <w:rPr>
          <w:rFonts w:ascii="Arial" w:eastAsiaTheme="majorEastAsia" w:hAnsi="Arial" w:cs="Times New Roman"/>
          <w:noProof/>
          <w:sz w:val="20"/>
          <w:vertAlign w:val="superscript"/>
        </w:rPr>
        <w:footnoteReference w:id="11"/>
      </w:r>
    </w:p>
    <w:p w:rsidR="00904D8B" w:rsidRPr="00904D8B" w:rsidRDefault="00904D8B" w:rsidP="00904D8B">
      <w:pPr>
        <w:widowControl w:val="0"/>
        <w:spacing w:after="120" w:line="240" w:lineRule="auto"/>
        <w:ind w:left="2736" w:hanging="1296"/>
        <w:jc w:val="both"/>
        <w:rPr>
          <w:rFonts w:eastAsia="Times New Roman" w:cs="Times New Roman"/>
          <w:noProof/>
          <w:sz w:val="20"/>
        </w:rPr>
      </w:pPr>
      <w:r w:rsidRPr="00904D8B">
        <w:rPr>
          <w:rFonts w:eastAsia="Times New Roman" w:cs="Times New Roman"/>
          <w:noProof/>
          <w:sz w:val="20"/>
        </w:rPr>
        <w:lastRenderedPageBreak/>
        <w:t xml:space="preserve">Eff base  </w:t>
      </w:r>
      <w:r w:rsidRPr="00904D8B">
        <w:rPr>
          <w:rFonts w:eastAsia="Times New Roman" w:cs="Times New Roman"/>
          <w:noProof/>
          <w:sz w:val="20"/>
        </w:rPr>
        <w:tab/>
      </w:r>
      <w:r w:rsidRPr="00904D8B">
        <w:rPr>
          <w:rFonts w:eastAsia="Times New Roman" w:cs="Times New Roman"/>
          <w:noProof/>
          <w:sz w:val="20"/>
        </w:rPr>
        <w:tab/>
        <w:t>= Rated efficiency of baseline water heater expressed as Energy Factor (EF) or Thermal Efficiency (Et); see table below</w:t>
      </w:r>
      <w:r w:rsidRPr="00904D8B">
        <w:rPr>
          <w:rFonts w:ascii="Arial" w:eastAsiaTheme="majorEastAsia" w:hAnsi="Arial" w:cs="Times New Roman"/>
          <w:noProof/>
          <w:sz w:val="20"/>
          <w:vertAlign w:val="superscript"/>
        </w:rPr>
        <w:footnoteReference w:id="12"/>
      </w:r>
    </w:p>
    <w:tbl>
      <w:tblPr>
        <w:tblW w:w="0" w:type="auto"/>
        <w:jc w:val="center"/>
        <w:tblInd w:w="-315" w:type="dxa"/>
        <w:tblLayout w:type="fixed"/>
        <w:tblCellMar>
          <w:left w:w="30" w:type="dxa"/>
          <w:right w:w="30" w:type="dxa"/>
        </w:tblCellMar>
        <w:tblLook w:val="0000" w:firstRow="0" w:lastRow="0" w:firstColumn="0" w:lastColumn="0" w:noHBand="0" w:noVBand="0"/>
      </w:tblPr>
      <w:tblGrid>
        <w:gridCol w:w="2415"/>
        <w:gridCol w:w="2535"/>
        <w:gridCol w:w="3495"/>
      </w:tblGrid>
      <w:tr w:rsidR="00904D8B" w:rsidRPr="00904D8B" w:rsidTr="00EF462C">
        <w:trPr>
          <w:trHeight w:val="498"/>
          <w:jc w:val="center"/>
        </w:trPr>
        <w:tc>
          <w:tcPr>
            <w:tcW w:w="241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904D8B" w:rsidRPr="00904D8B" w:rsidRDefault="00904D8B" w:rsidP="00904D8B">
            <w:pPr>
              <w:widowControl w:val="0"/>
              <w:spacing w:after="120" w:line="240" w:lineRule="auto"/>
              <w:jc w:val="center"/>
              <w:rPr>
                <w:rFonts w:ascii="Calibri" w:eastAsia="Calibri" w:hAnsi="Calibri" w:cs="Times New Roman"/>
                <w:b/>
                <w:noProof/>
                <w:color w:val="FFFFFF" w:themeColor="background1"/>
                <w:sz w:val="20"/>
                <w:szCs w:val="24"/>
              </w:rPr>
            </w:pPr>
            <w:r w:rsidRPr="00904D8B">
              <w:rPr>
                <w:rFonts w:ascii="Calibri" w:eastAsia="Times New Roman" w:hAnsi="Calibri" w:cs="Times New Roman"/>
                <w:b/>
                <w:noProof/>
                <w:color w:val="FFFFFF" w:themeColor="background1"/>
                <w:sz w:val="20"/>
                <w:szCs w:val="24"/>
              </w:rPr>
              <w:t>Input Btu/hr of existing, tanked water heater</w:t>
            </w:r>
          </w:p>
        </w:tc>
        <w:tc>
          <w:tcPr>
            <w:tcW w:w="253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904D8B" w:rsidRPr="00904D8B" w:rsidRDefault="00904D8B" w:rsidP="00904D8B">
            <w:pPr>
              <w:widowControl w:val="0"/>
              <w:spacing w:after="120" w:line="240" w:lineRule="auto"/>
              <w:jc w:val="center"/>
              <w:rPr>
                <w:rFonts w:ascii="Calibri" w:eastAsia="Calibri" w:hAnsi="Calibri" w:cs="Times New Roman"/>
                <w:b/>
                <w:noProof/>
                <w:color w:val="FFFFFF" w:themeColor="background1"/>
                <w:sz w:val="20"/>
                <w:szCs w:val="24"/>
              </w:rPr>
            </w:pPr>
            <w:r w:rsidRPr="00904D8B">
              <w:rPr>
                <w:rFonts w:ascii="Calibri" w:eastAsia="Times New Roman" w:hAnsi="Calibri" w:cs="Times New Roman"/>
                <w:b/>
                <w:noProof/>
                <w:color w:val="FFFFFF" w:themeColor="background1"/>
                <w:sz w:val="20"/>
                <w:szCs w:val="24"/>
              </w:rPr>
              <w:t>Eff base</w:t>
            </w:r>
          </w:p>
        </w:tc>
        <w:tc>
          <w:tcPr>
            <w:tcW w:w="349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904D8B" w:rsidRPr="00904D8B" w:rsidRDefault="00904D8B" w:rsidP="00904D8B">
            <w:pPr>
              <w:widowControl w:val="0"/>
              <w:spacing w:after="120" w:line="240" w:lineRule="auto"/>
              <w:jc w:val="center"/>
              <w:rPr>
                <w:rFonts w:ascii="Calibri" w:eastAsia="Calibri" w:hAnsi="Calibri" w:cs="Times New Roman"/>
                <w:b/>
                <w:noProof/>
                <w:color w:val="FFFFFF" w:themeColor="background1"/>
                <w:sz w:val="20"/>
                <w:szCs w:val="24"/>
              </w:rPr>
            </w:pPr>
            <w:r w:rsidRPr="00904D8B">
              <w:rPr>
                <w:rFonts w:ascii="Calibri" w:eastAsia="Calibri" w:hAnsi="Calibri" w:cs="Times New Roman"/>
                <w:b/>
                <w:noProof/>
                <w:color w:val="FFFFFF" w:themeColor="background1"/>
                <w:sz w:val="20"/>
                <w:szCs w:val="24"/>
              </w:rPr>
              <w:t>Units</w:t>
            </w:r>
          </w:p>
        </w:tc>
      </w:tr>
      <w:tr w:rsidR="00904D8B" w:rsidRPr="00904D8B" w:rsidTr="00EF462C">
        <w:trPr>
          <w:trHeight w:val="417"/>
          <w:jc w:val="center"/>
        </w:trPr>
        <w:tc>
          <w:tcPr>
            <w:tcW w:w="241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rPr>
                <w:rFonts w:eastAsia="Calibri" w:cs="Times New Roman"/>
                <w:sz w:val="20"/>
              </w:rPr>
            </w:pPr>
            <w:r w:rsidRPr="00904D8B">
              <w:rPr>
                <w:rFonts w:eastAsia="Calibri" w:cs="Times New Roman"/>
                <w:sz w:val="20"/>
              </w:rPr>
              <w:t>Size:  ≤ 75,000 Btu/</w:t>
            </w:r>
            <w:proofErr w:type="spellStart"/>
            <w:r w:rsidRPr="00904D8B">
              <w:rPr>
                <w:rFonts w:eastAsia="Calibri" w:cs="Times New Roman"/>
                <w:sz w:val="20"/>
              </w:rPr>
              <w:t>hr</w:t>
            </w:r>
            <w:proofErr w:type="spellEnd"/>
          </w:p>
        </w:tc>
        <w:tc>
          <w:tcPr>
            <w:tcW w:w="253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ind w:right="43"/>
              <w:jc w:val="center"/>
              <w:rPr>
                <w:rFonts w:eastAsia="Calibri" w:cs="Times New Roman"/>
                <w:sz w:val="20"/>
              </w:rPr>
            </w:pPr>
            <w:r w:rsidRPr="00904D8B">
              <w:rPr>
                <w:rFonts w:eastAsia="Calibri" w:cs="Times New Roman"/>
                <w:sz w:val="20"/>
              </w:rPr>
              <w:t>0.67 -0.0019*Tank Volume</w:t>
            </w:r>
          </w:p>
        </w:tc>
        <w:tc>
          <w:tcPr>
            <w:tcW w:w="349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Energy Factor</w:t>
            </w:r>
          </w:p>
        </w:tc>
      </w:tr>
      <w:tr w:rsidR="00904D8B" w:rsidRPr="00904D8B" w:rsidTr="00EF462C">
        <w:trPr>
          <w:trHeight w:val="543"/>
          <w:jc w:val="center"/>
        </w:trPr>
        <w:tc>
          <w:tcPr>
            <w:tcW w:w="241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rPr>
                <w:rFonts w:eastAsia="Calibri" w:cs="Times New Roman"/>
                <w:sz w:val="20"/>
              </w:rPr>
            </w:pPr>
            <w:r w:rsidRPr="00904D8B">
              <w:rPr>
                <w:rFonts w:eastAsia="Calibri" w:cs="Times New Roman"/>
                <w:sz w:val="20"/>
              </w:rPr>
              <w:t>Size:  &gt;75,000 Btu/</w:t>
            </w:r>
            <w:proofErr w:type="spellStart"/>
            <w:r w:rsidRPr="00904D8B">
              <w:rPr>
                <w:rFonts w:eastAsia="Calibri" w:cs="Times New Roman"/>
                <w:sz w:val="20"/>
              </w:rPr>
              <w:t>hr</w:t>
            </w:r>
            <w:proofErr w:type="spellEnd"/>
            <w:r w:rsidRPr="00904D8B">
              <w:rPr>
                <w:rFonts w:eastAsia="Calibri" w:cs="Times New Roman"/>
                <w:sz w:val="20"/>
              </w:rPr>
              <w:t xml:space="preserve"> and ≤ 155,000 Btu/</w:t>
            </w:r>
            <w:proofErr w:type="spellStart"/>
            <w:r w:rsidRPr="00904D8B">
              <w:rPr>
                <w:rFonts w:eastAsia="Calibri" w:cs="Times New Roman"/>
                <w:sz w:val="20"/>
              </w:rPr>
              <w:t>hr</w:t>
            </w:r>
            <w:proofErr w:type="spellEnd"/>
          </w:p>
        </w:tc>
        <w:tc>
          <w:tcPr>
            <w:tcW w:w="253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80%</w:t>
            </w:r>
          </w:p>
        </w:tc>
        <w:tc>
          <w:tcPr>
            <w:tcW w:w="349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Thermal Efficiency</w:t>
            </w:r>
          </w:p>
        </w:tc>
      </w:tr>
      <w:tr w:rsidR="00904D8B" w:rsidRPr="00904D8B" w:rsidTr="00EF462C">
        <w:trPr>
          <w:trHeight w:val="507"/>
          <w:jc w:val="center"/>
        </w:trPr>
        <w:tc>
          <w:tcPr>
            <w:tcW w:w="241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rPr>
                <w:rFonts w:eastAsia="Calibri" w:cs="Times New Roman"/>
                <w:sz w:val="20"/>
              </w:rPr>
            </w:pPr>
            <w:r w:rsidRPr="00904D8B">
              <w:rPr>
                <w:rFonts w:eastAsia="Calibri" w:cs="Times New Roman"/>
                <w:sz w:val="20"/>
              </w:rPr>
              <w:t>Size:  &gt;155,000 Btu/</w:t>
            </w:r>
            <w:proofErr w:type="spellStart"/>
            <w:r w:rsidRPr="00904D8B">
              <w:rPr>
                <w:rFonts w:eastAsia="Calibri" w:cs="Times New Roman"/>
                <w:sz w:val="20"/>
              </w:rPr>
              <w:t>hr</w:t>
            </w:r>
            <w:proofErr w:type="spellEnd"/>
          </w:p>
        </w:tc>
        <w:tc>
          <w:tcPr>
            <w:tcW w:w="253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80%</w:t>
            </w:r>
          </w:p>
        </w:tc>
        <w:tc>
          <w:tcPr>
            <w:tcW w:w="349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Thermal Efficiency</w:t>
            </w:r>
          </w:p>
        </w:tc>
      </w:tr>
    </w:tbl>
    <w:p w:rsidR="00904D8B" w:rsidRPr="00904D8B" w:rsidRDefault="00904D8B" w:rsidP="00904D8B">
      <w:pPr>
        <w:widowControl w:val="0"/>
        <w:spacing w:after="120" w:line="240" w:lineRule="auto"/>
        <w:ind w:left="1440"/>
        <w:jc w:val="both"/>
        <w:rPr>
          <w:rFonts w:eastAsia="Times New Roman" w:cs="Times New Roman"/>
          <w:noProof/>
          <w:sz w:val="20"/>
        </w:rPr>
      </w:pPr>
    </w:p>
    <w:p w:rsidR="00904D8B" w:rsidRPr="00904D8B" w:rsidRDefault="00904D8B" w:rsidP="00904D8B">
      <w:pPr>
        <w:widowControl w:val="0"/>
        <w:spacing w:after="120" w:line="240" w:lineRule="auto"/>
        <w:ind w:left="1440" w:firstLine="720"/>
        <w:jc w:val="both"/>
        <w:rPr>
          <w:rFonts w:eastAsia="Times New Roman" w:cs="Times New Roman"/>
          <w:noProof/>
          <w:sz w:val="20"/>
        </w:rPr>
      </w:pPr>
      <w:r w:rsidRPr="00904D8B">
        <w:rPr>
          <w:rFonts w:eastAsia="Times New Roman" w:cs="Times New Roman"/>
          <w:noProof/>
          <w:sz w:val="20"/>
        </w:rPr>
        <w:t xml:space="preserve">Where: </w:t>
      </w:r>
    </w:p>
    <w:p w:rsidR="00904D8B" w:rsidRPr="00904D8B" w:rsidRDefault="00904D8B" w:rsidP="00904D8B">
      <w:pPr>
        <w:widowControl w:val="0"/>
        <w:spacing w:after="120" w:line="240" w:lineRule="auto"/>
        <w:ind w:left="1440" w:firstLine="720"/>
        <w:jc w:val="both"/>
        <w:rPr>
          <w:rFonts w:eastAsia="Times New Roman" w:cs="Times New Roman"/>
          <w:noProof/>
          <w:sz w:val="20"/>
        </w:rPr>
      </w:pPr>
      <w:r w:rsidRPr="00904D8B">
        <w:rPr>
          <w:rFonts w:eastAsia="Times New Roman" w:cs="Times New Roman"/>
          <w:noProof/>
          <w:sz w:val="20"/>
        </w:rPr>
        <w:t xml:space="preserve">Tank Volume = custom input, if unknown assume 60 gallons for </w:t>
      </w:r>
      <w:r w:rsidRPr="00904D8B">
        <w:rPr>
          <w:rFonts w:eastAsia="Calibri" w:cs="Times New Roman"/>
          <w:sz w:val="20"/>
        </w:rPr>
        <w:t>Size:  ≤ 75,000 Btu/</w:t>
      </w:r>
      <w:proofErr w:type="spellStart"/>
      <w:r w:rsidRPr="00904D8B">
        <w:rPr>
          <w:rFonts w:eastAsia="Calibri" w:cs="Times New Roman"/>
          <w:sz w:val="20"/>
        </w:rPr>
        <w:t>hr</w:t>
      </w:r>
      <w:proofErr w:type="spellEnd"/>
    </w:p>
    <w:p w:rsidR="00904D8B" w:rsidRPr="00904D8B" w:rsidRDefault="00904D8B" w:rsidP="00904D8B">
      <w:pPr>
        <w:widowControl w:val="0"/>
        <w:spacing w:after="120" w:line="240" w:lineRule="auto"/>
        <w:ind w:left="2160"/>
        <w:jc w:val="both"/>
        <w:rPr>
          <w:rFonts w:eastAsia="Times New Roman" w:cs="Times New Roman"/>
          <w:noProof/>
          <w:sz w:val="20"/>
        </w:rPr>
      </w:pPr>
      <w:r w:rsidRPr="00904D8B">
        <w:rPr>
          <w:rFonts w:eastAsia="Times New Roman" w:cs="Times New Roman"/>
          <w:noProof/>
          <w:sz w:val="20"/>
        </w:rPr>
        <w:t>Please note:  Units in base case must match units in efficient case.  If Energy Factor used in base case, Energy Factor to be used in efficient case.  If Themal Efficiency is used in base case, Thermal Efficiency must be used in efficient case.</w:t>
      </w:r>
    </w:p>
    <w:p w:rsidR="00904D8B" w:rsidRPr="00904D8B" w:rsidRDefault="00904D8B" w:rsidP="00904D8B">
      <w:pPr>
        <w:widowControl w:val="0"/>
        <w:spacing w:after="120" w:line="240" w:lineRule="auto"/>
        <w:ind w:left="2736" w:hanging="1296"/>
        <w:jc w:val="both"/>
        <w:rPr>
          <w:rFonts w:eastAsia="Times New Roman" w:cs="Times New Roman"/>
          <w:noProof/>
          <w:sz w:val="20"/>
        </w:rPr>
      </w:pPr>
      <w:r w:rsidRPr="00904D8B">
        <w:rPr>
          <w:rFonts w:eastAsia="Times New Roman" w:cs="Times New Roman"/>
          <w:noProof/>
          <w:sz w:val="20"/>
        </w:rPr>
        <w:t xml:space="preserve">Eff ee </w:t>
      </w:r>
      <w:r w:rsidRPr="00904D8B">
        <w:rPr>
          <w:rFonts w:eastAsia="Times New Roman" w:cs="Times New Roman"/>
          <w:noProof/>
          <w:sz w:val="20"/>
        </w:rPr>
        <w:tab/>
      </w:r>
      <w:r w:rsidRPr="00904D8B">
        <w:rPr>
          <w:rFonts w:eastAsia="Times New Roman" w:cs="Times New Roman"/>
          <w:noProof/>
          <w:sz w:val="20"/>
        </w:rPr>
        <w:tab/>
        <w:t>= Rated efficiency of efficient water heater expressed as Energy Factor (EF) or Thermal Efficiency (Eff t)</w:t>
      </w:r>
    </w:p>
    <w:p w:rsidR="00904D8B" w:rsidRPr="00904D8B" w:rsidRDefault="00904D8B" w:rsidP="00904D8B">
      <w:pPr>
        <w:widowControl w:val="0"/>
        <w:spacing w:after="120" w:line="240" w:lineRule="auto"/>
        <w:ind w:left="3744" w:hanging="864"/>
        <w:jc w:val="both"/>
        <w:rPr>
          <w:rFonts w:eastAsia="Times New Roman" w:cs="Times New Roman"/>
          <w:noProof/>
          <w:sz w:val="20"/>
        </w:rPr>
      </w:pPr>
      <w:r w:rsidRPr="00904D8B">
        <w:rPr>
          <w:rFonts w:eastAsia="Times New Roman" w:cs="Times New Roman"/>
          <w:noProof/>
          <w:sz w:val="20"/>
        </w:rPr>
        <w:t>= custom input, if unknown assume 0.84</w:t>
      </w:r>
      <w:r w:rsidRPr="00904D8B">
        <w:rPr>
          <w:rFonts w:ascii="Arial" w:eastAsiaTheme="majorEastAsia" w:hAnsi="Arial" w:cs="Times New Roman"/>
          <w:noProof/>
          <w:sz w:val="20"/>
          <w:vertAlign w:val="superscript"/>
        </w:rPr>
        <w:footnoteReference w:id="13"/>
      </w:r>
    </w:p>
    <w:p w:rsidR="00904D8B" w:rsidRPr="00904D8B" w:rsidRDefault="00904D8B" w:rsidP="00904D8B">
      <w:pPr>
        <w:widowControl w:val="0"/>
        <w:spacing w:after="120" w:line="240" w:lineRule="auto"/>
        <w:ind w:left="1440"/>
        <w:jc w:val="both"/>
        <w:rPr>
          <w:rFonts w:eastAsia="Times New Roman" w:cs="Times New Roman"/>
          <w:noProof/>
          <w:sz w:val="20"/>
        </w:rPr>
      </w:pPr>
      <w:r w:rsidRPr="00904D8B">
        <w:rPr>
          <w:rFonts w:eastAsia="Times New Roman" w:cs="Times New Roman"/>
          <w:noProof/>
          <w:sz w:val="20"/>
        </w:rPr>
        <w:t xml:space="preserve">SL </w:t>
      </w:r>
      <w:r w:rsidRPr="00904D8B">
        <w:rPr>
          <w:rFonts w:eastAsia="Times New Roman" w:cs="Times New Roman"/>
          <w:noProof/>
          <w:sz w:val="20"/>
        </w:rPr>
        <w:tab/>
      </w:r>
      <w:r w:rsidRPr="00904D8B">
        <w:rPr>
          <w:rFonts w:eastAsia="Times New Roman" w:cs="Times New Roman"/>
          <w:noProof/>
          <w:sz w:val="20"/>
        </w:rPr>
        <w:tab/>
        <w:t xml:space="preserve">= Stand-by Loss in Base Case Btu/hr </w:t>
      </w:r>
    </w:p>
    <w:p w:rsidR="00904D8B" w:rsidRPr="00904D8B" w:rsidRDefault="00904D8B" w:rsidP="00904D8B">
      <w:pPr>
        <w:widowControl w:val="0"/>
        <w:spacing w:after="120" w:line="240" w:lineRule="auto"/>
        <w:ind w:left="2880"/>
        <w:jc w:val="both"/>
        <w:rPr>
          <w:rFonts w:eastAsia="Times New Roman" w:cs="Times New Roman"/>
          <w:noProof/>
          <w:sz w:val="20"/>
        </w:rPr>
      </w:pPr>
      <w:r w:rsidRPr="00904D8B">
        <w:rPr>
          <w:rFonts w:eastAsia="Times New Roman" w:cs="Times New Roman"/>
          <w:noProof/>
          <w:sz w:val="20"/>
        </w:rPr>
        <w:t>= custom input based on formula in table below, if unknown assume unit size in table below</w:t>
      </w:r>
      <w:r w:rsidRPr="00904D8B">
        <w:rPr>
          <w:rFonts w:ascii="Arial" w:eastAsiaTheme="majorEastAsia" w:hAnsi="Arial" w:cs="Times New Roman"/>
          <w:noProof/>
          <w:sz w:val="20"/>
          <w:vertAlign w:val="superscript"/>
        </w:rPr>
        <w:footnoteReference w:id="14"/>
      </w:r>
    </w:p>
    <w:tbl>
      <w:tblPr>
        <w:tblW w:w="0" w:type="auto"/>
        <w:jc w:val="center"/>
        <w:tblInd w:w="-465" w:type="dxa"/>
        <w:tblLayout w:type="fixed"/>
        <w:tblCellMar>
          <w:left w:w="30" w:type="dxa"/>
          <w:right w:w="30" w:type="dxa"/>
        </w:tblCellMar>
        <w:tblLook w:val="0000" w:firstRow="0" w:lastRow="0" w:firstColumn="0" w:lastColumn="0" w:noHBand="0" w:noVBand="0"/>
      </w:tblPr>
      <w:tblGrid>
        <w:gridCol w:w="2565"/>
        <w:gridCol w:w="3915"/>
      </w:tblGrid>
      <w:tr w:rsidR="00904D8B" w:rsidRPr="00904D8B" w:rsidTr="00EF462C">
        <w:trPr>
          <w:trHeight w:val="498"/>
          <w:jc w:val="center"/>
        </w:trPr>
        <w:tc>
          <w:tcPr>
            <w:tcW w:w="256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904D8B" w:rsidRPr="00904D8B" w:rsidRDefault="00904D8B" w:rsidP="00904D8B">
            <w:pPr>
              <w:widowControl w:val="0"/>
              <w:spacing w:after="120" w:line="240" w:lineRule="auto"/>
              <w:jc w:val="center"/>
              <w:rPr>
                <w:rFonts w:eastAsia="Calibri" w:cs="Times New Roman"/>
                <w:b/>
                <w:color w:val="FFFFFF" w:themeColor="background1"/>
                <w:sz w:val="20"/>
              </w:rPr>
            </w:pPr>
            <w:r w:rsidRPr="00904D8B">
              <w:rPr>
                <w:rFonts w:eastAsia="Times New Roman" w:cs="Times New Roman"/>
                <w:b/>
                <w:color w:val="FFFFFF" w:themeColor="background1"/>
                <w:sz w:val="20"/>
              </w:rPr>
              <w:br w:type="page"/>
              <w:t xml:space="preserve">Input Btu/h of new, </w:t>
            </w:r>
            <w:proofErr w:type="spellStart"/>
            <w:r w:rsidRPr="00904D8B">
              <w:rPr>
                <w:rFonts w:eastAsia="Times New Roman" w:cs="Times New Roman"/>
                <w:b/>
                <w:color w:val="FFFFFF" w:themeColor="background1"/>
                <w:sz w:val="20"/>
              </w:rPr>
              <w:t>tankless</w:t>
            </w:r>
            <w:proofErr w:type="spellEnd"/>
            <w:r w:rsidRPr="00904D8B">
              <w:rPr>
                <w:rFonts w:eastAsia="Times New Roman" w:cs="Times New Roman"/>
                <w:b/>
                <w:color w:val="FFFFFF" w:themeColor="background1"/>
                <w:sz w:val="20"/>
              </w:rPr>
              <w:t xml:space="preserve"> water heater</w:t>
            </w:r>
          </w:p>
        </w:tc>
        <w:tc>
          <w:tcPr>
            <w:tcW w:w="391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904D8B" w:rsidRPr="00904D8B" w:rsidRDefault="00904D8B" w:rsidP="00904D8B">
            <w:pPr>
              <w:widowControl w:val="0"/>
              <w:spacing w:after="120" w:line="240" w:lineRule="auto"/>
              <w:jc w:val="center"/>
              <w:rPr>
                <w:rFonts w:eastAsia="Calibri" w:cs="Times New Roman"/>
                <w:b/>
                <w:color w:val="FFFFFF" w:themeColor="background1"/>
                <w:sz w:val="20"/>
              </w:rPr>
            </w:pPr>
            <w:r w:rsidRPr="00904D8B">
              <w:rPr>
                <w:rFonts w:eastAsia="Calibri" w:cs="Times New Roman"/>
                <w:b/>
                <w:color w:val="FFFFFF" w:themeColor="background1"/>
                <w:sz w:val="20"/>
              </w:rPr>
              <w:t>Standby Loss (SL)</w:t>
            </w:r>
          </w:p>
        </w:tc>
      </w:tr>
      <w:tr w:rsidR="00904D8B" w:rsidRPr="00904D8B" w:rsidTr="00EF462C">
        <w:trPr>
          <w:trHeight w:val="237"/>
          <w:jc w:val="center"/>
        </w:trPr>
        <w:tc>
          <w:tcPr>
            <w:tcW w:w="256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both"/>
              <w:rPr>
                <w:rFonts w:eastAsia="Calibri" w:cs="Times New Roman"/>
                <w:sz w:val="20"/>
              </w:rPr>
            </w:pPr>
            <w:r w:rsidRPr="00904D8B">
              <w:rPr>
                <w:rFonts w:eastAsia="Calibri" w:cs="Times New Roman"/>
                <w:sz w:val="20"/>
              </w:rPr>
              <w:t>Size:  ≤ 75,000 Btu/</w:t>
            </w:r>
            <w:proofErr w:type="spellStart"/>
            <w:r w:rsidRPr="00904D8B">
              <w:rPr>
                <w:rFonts w:eastAsia="Calibri" w:cs="Times New Roman"/>
                <w:sz w:val="20"/>
              </w:rPr>
              <w:t>hr</w:t>
            </w:r>
            <w:proofErr w:type="spellEnd"/>
          </w:p>
        </w:tc>
        <w:tc>
          <w:tcPr>
            <w:tcW w:w="391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0</w:t>
            </w:r>
          </w:p>
        </w:tc>
      </w:tr>
      <w:tr w:rsidR="00904D8B" w:rsidRPr="00904D8B" w:rsidTr="00EF462C">
        <w:trPr>
          <w:trHeight w:val="273"/>
          <w:jc w:val="center"/>
        </w:trPr>
        <w:tc>
          <w:tcPr>
            <w:tcW w:w="256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both"/>
              <w:rPr>
                <w:rFonts w:eastAsia="Calibri" w:cs="Times New Roman"/>
                <w:sz w:val="20"/>
              </w:rPr>
            </w:pPr>
            <w:r w:rsidRPr="00904D8B">
              <w:rPr>
                <w:rFonts w:eastAsia="Calibri" w:cs="Times New Roman"/>
                <w:sz w:val="20"/>
              </w:rPr>
              <w:t>Size:  &gt;75,000 Btu/</w:t>
            </w:r>
            <w:proofErr w:type="spellStart"/>
            <w:r w:rsidRPr="00904D8B">
              <w:rPr>
                <w:rFonts w:eastAsia="Calibri" w:cs="Times New Roman"/>
                <w:sz w:val="20"/>
              </w:rPr>
              <w:t>hr</w:t>
            </w:r>
            <w:proofErr w:type="spellEnd"/>
            <w:r w:rsidRPr="00904D8B">
              <w:rPr>
                <w:rFonts w:eastAsia="Calibri" w:cs="Times New Roman"/>
                <w:sz w:val="20"/>
              </w:rPr>
              <w:t xml:space="preserve"> </w:t>
            </w:r>
          </w:p>
        </w:tc>
        <w:tc>
          <w:tcPr>
            <w:tcW w:w="3915" w:type="dxa"/>
            <w:tcBorders>
              <w:top w:val="single" w:sz="6" w:space="0" w:color="auto"/>
              <w:left w:val="single" w:sz="6" w:space="0" w:color="auto"/>
              <w:bottom w:val="single" w:sz="6" w:space="0" w:color="auto"/>
              <w:right w:val="single" w:sz="6" w:space="0" w:color="auto"/>
            </w:tcBorders>
          </w:tcPr>
          <w:p w:rsidR="00904D8B" w:rsidRPr="00904D8B" w:rsidRDefault="00904D8B" w:rsidP="00904D8B">
            <w:pPr>
              <w:widowControl w:val="0"/>
              <w:spacing w:after="120" w:line="240" w:lineRule="auto"/>
              <w:jc w:val="center"/>
              <w:rPr>
                <w:rFonts w:eastAsia="Calibri" w:cs="Times New Roman"/>
                <w:sz w:val="20"/>
              </w:rPr>
            </w:pPr>
            <w:r w:rsidRPr="00904D8B">
              <w:rPr>
                <w:rFonts w:eastAsia="Calibri" w:cs="Times New Roman"/>
                <w:sz w:val="20"/>
              </w:rPr>
              <w:t>(Input rating/800)+(110*√Tank Volume))</w:t>
            </w:r>
          </w:p>
        </w:tc>
      </w:tr>
    </w:tbl>
    <w:p w:rsidR="00904D8B" w:rsidRPr="00904D8B" w:rsidRDefault="00904D8B" w:rsidP="00904D8B">
      <w:pPr>
        <w:widowControl w:val="0"/>
        <w:spacing w:after="120" w:line="240" w:lineRule="auto"/>
        <w:ind w:left="2160"/>
        <w:jc w:val="both"/>
        <w:rPr>
          <w:rFonts w:eastAsia="Times New Roman" w:cs="Times New Roman"/>
          <w:noProof/>
          <w:sz w:val="20"/>
        </w:rPr>
      </w:pPr>
      <w:r w:rsidRPr="00904D8B">
        <w:rPr>
          <w:rFonts w:eastAsia="Times New Roman" w:cs="Times New Roman"/>
          <w:noProof/>
          <w:sz w:val="20"/>
        </w:rPr>
        <w:t>Where:</w:t>
      </w:r>
    </w:p>
    <w:p w:rsidR="00904D8B" w:rsidRPr="00904D8B" w:rsidRDefault="00904D8B" w:rsidP="00904D8B">
      <w:pPr>
        <w:widowControl w:val="0"/>
        <w:spacing w:after="120" w:line="240" w:lineRule="auto"/>
        <w:ind w:left="2160"/>
        <w:jc w:val="both"/>
        <w:rPr>
          <w:rFonts w:eastAsia="Calibri" w:cs="Times New Roman"/>
          <w:sz w:val="20"/>
        </w:rPr>
      </w:pPr>
      <w:r w:rsidRPr="00904D8B">
        <w:rPr>
          <w:rFonts w:eastAsia="Times New Roman" w:cs="Times New Roman"/>
          <w:noProof/>
          <w:sz w:val="20"/>
        </w:rPr>
        <w:t xml:space="preserve">Tank Volume = custom input, if unknown assume, 60 gallons for &lt;75,000 Btu/hr,  75 gallons for </w:t>
      </w:r>
      <w:r w:rsidRPr="00904D8B">
        <w:rPr>
          <w:rFonts w:eastAsia="Calibri" w:cs="Times New Roman"/>
          <w:sz w:val="20"/>
        </w:rPr>
        <w:t>&gt;75,000 Btu/</w:t>
      </w:r>
      <w:proofErr w:type="spellStart"/>
      <w:r w:rsidRPr="00904D8B">
        <w:rPr>
          <w:rFonts w:eastAsia="Calibri" w:cs="Times New Roman"/>
          <w:sz w:val="20"/>
        </w:rPr>
        <w:t>hr</w:t>
      </w:r>
      <w:proofErr w:type="spellEnd"/>
      <w:r w:rsidRPr="00904D8B">
        <w:rPr>
          <w:rFonts w:eastAsia="Calibri" w:cs="Times New Roman"/>
          <w:sz w:val="20"/>
        </w:rPr>
        <w:t xml:space="preserve"> and ≤ 155,000 Btu/</w:t>
      </w:r>
      <w:proofErr w:type="spellStart"/>
      <w:r w:rsidRPr="00904D8B">
        <w:rPr>
          <w:rFonts w:eastAsia="Calibri" w:cs="Times New Roman"/>
          <w:sz w:val="20"/>
        </w:rPr>
        <w:t>hr</w:t>
      </w:r>
      <w:proofErr w:type="spellEnd"/>
      <w:r w:rsidRPr="00904D8B">
        <w:rPr>
          <w:rFonts w:eastAsia="Calibri" w:cs="Times New Roman"/>
          <w:sz w:val="20"/>
        </w:rPr>
        <w:t xml:space="preserve"> and 150 for </w:t>
      </w:r>
      <w:proofErr w:type="gramStart"/>
      <w:r w:rsidRPr="00904D8B">
        <w:rPr>
          <w:rFonts w:eastAsia="Calibri" w:cs="Times New Roman"/>
          <w:sz w:val="20"/>
        </w:rPr>
        <w:t>Size  &gt;</w:t>
      </w:r>
      <w:proofErr w:type="gramEnd"/>
      <w:r w:rsidRPr="00904D8B">
        <w:rPr>
          <w:rFonts w:eastAsia="Calibri" w:cs="Times New Roman"/>
          <w:sz w:val="20"/>
        </w:rPr>
        <w:t>155,000 Btu/</w:t>
      </w:r>
      <w:proofErr w:type="spellStart"/>
      <w:r w:rsidRPr="00904D8B">
        <w:rPr>
          <w:rFonts w:eastAsia="Calibri" w:cs="Times New Roman"/>
          <w:sz w:val="20"/>
        </w:rPr>
        <w:t>hr</w:t>
      </w:r>
      <w:proofErr w:type="spellEnd"/>
    </w:p>
    <w:p w:rsidR="00904D8B" w:rsidRPr="00904D8B" w:rsidRDefault="00904D8B" w:rsidP="00904D8B">
      <w:pPr>
        <w:widowControl w:val="0"/>
        <w:spacing w:after="120" w:line="240" w:lineRule="auto"/>
        <w:ind w:left="1440" w:firstLine="720"/>
        <w:jc w:val="both"/>
        <w:rPr>
          <w:rFonts w:eastAsia="Calibri" w:cs="Times New Roman"/>
          <w:sz w:val="20"/>
        </w:rPr>
      </w:pPr>
      <w:r w:rsidRPr="00904D8B">
        <w:rPr>
          <w:rFonts w:eastAsia="Calibri" w:cs="Times New Roman"/>
          <w:sz w:val="20"/>
        </w:rPr>
        <w:t>Input Rating = nameplate Btu/</w:t>
      </w:r>
      <w:proofErr w:type="spellStart"/>
      <w:r w:rsidRPr="00904D8B">
        <w:rPr>
          <w:rFonts w:eastAsia="Calibri" w:cs="Times New Roman"/>
          <w:sz w:val="20"/>
        </w:rPr>
        <w:t>hr</w:t>
      </w:r>
      <w:proofErr w:type="spellEnd"/>
      <w:r w:rsidRPr="00904D8B">
        <w:rPr>
          <w:rFonts w:eastAsia="Calibri" w:cs="Times New Roman"/>
          <w:sz w:val="20"/>
        </w:rPr>
        <w:t xml:space="preserve"> rating of water heater</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noProof/>
          <w:sz w:val="20"/>
        </w:rPr>
        <w:lastRenderedPageBreak/>
        <mc:AlternateContent>
          <mc:Choice Requires="wps">
            <w:drawing>
              <wp:inline distT="0" distB="0" distL="0" distR="0" wp14:anchorId="0C719CD1" wp14:editId="7D99BC56">
                <wp:extent cx="5934075" cy="1598212"/>
                <wp:effectExtent l="0" t="0" r="28575" b="2159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598212"/>
                        </a:xfrm>
                        <a:prstGeom prst="rect">
                          <a:avLst/>
                        </a:prstGeom>
                        <a:solidFill>
                          <a:srgbClr val="FFFFFF"/>
                        </a:solidFill>
                        <a:ln w="9525">
                          <a:solidFill>
                            <a:srgbClr val="000000"/>
                          </a:solidFill>
                          <a:miter lim="800000"/>
                          <a:headEnd/>
                          <a:tailEnd/>
                        </a:ln>
                      </wps:spPr>
                      <wps:txbx>
                        <w:txbxContent>
                          <w:p w:rsidR="00904D8B" w:rsidRPr="00904D8B" w:rsidRDefault="00904D8B" w:rsidP="00904D8B">
                            <w:pPr>
                              <w:rPr>
                                <w:rStyle w:val="BookTitle"/>
                                <w:sz w:val="20"/>
                                <w:szCs w:val="20"/>
                              </w:rPr>
                            </w:pPr>
                            <w:r w:rsidRPr="00904D8B">
                              <w:rPr>
                                <w:rStyle w:val="BookTitle"/>
                                <w:sz w:val="20"/>
                                <w:szCs w:val="20"/>
                              </w:rPr>
                              <w:t>EXAMPLE</w:t>
                            </w:r>
                          </w:p>
                          <w:p w:rsidR="00904D8B" w:rsidRPr="00904D8B" w:rsidRDefault="00904D8B" w:rsidP="00904D8B">
                            <w:pPr>
                              <w:rPr>
                                <w:sz w:val="20"/>
                                <w:szCs w:val="20"/>
                              </w:rPr>
                            </w:pPr>
                            <w:r w:rsidRPr="00904D8B">
                              <w:rPr>
                                <w:sz w:val="20"/>
                                <w:szCs w:val="20"/>
                              </w:rPr>
                              <w:t>For example, a 75,000 Btu/</w:t>
                            </w:r>
                            <w:proofErr w:type="spellStart"/>
                            <w:r w:rsidRPr="00904D8B">
                              <w:rPr>
                                <w:sz w:val="20"/>
                                <w:szCs w:val="20"/>
                              </w:rPr>
                              <w:t>hr</w:t>
                            </w:r>
                            <w:proofErr w:type="spellEnd"/>
                            <w:r w:rsidRPr="00904D8B">
                              <w:rPr>
                                <w:sz w:val="20"/>
                                <w:szCs w:val="20"/>
                              </w:rPr>
                              <w:t xml:space="preserve"> </w:t>
                            </w:r>
                            <w:proofErr w:type="spellStart"/>
                            <w:r w:rsidRPr="00904D8B">
                              <w:rPr>
                                <w:sz w:val="20"/>
                                <w:szCs w:val="20"/>
                              </w:rPr>
                              <w:t>tankless</w:t>
                            </w:r>
                            <w:proofErr w:type="spellEnd"/>
                            <w:r w:rsidRPr="00904D8B">
                              <w:rPr>
                                <w:sz w:val="20"/>
                                <w:szCs w:val="20"/>
                              </w:rPr>
                              <w:t xml:space="preserve"> unit using 21,915 gal/</w:t>
                            </w:r>
                            <w:proofErr w:type="spellStart"/>
                            <w:r w:rsidRPr="00904D8B">
                              <w:rPr>
                                <w:sz w:val="20"/>
                                <w:szCs w:val="20"/>
                              </w:rPr>
                              <w:t>yr</w:t>
                            </w:r>
                            <w:proofErr w:type="spellEnd"/>
                            <w:r w:rsidRPr="00904D8B">
                              <w:rPr>
                                <w:sz w:val="20"/>
                                <w:szCs w:val="20"/>
                              </w:rPr>
                              <w:t xml:space="preserve"> with outlet temperature at 130.0 and inlet temperature at 54.1, replacing a baseline unit with 0.8 thermal efficiency  and standby losses of 1008.3 </w:t>
                            </w:r>
                            <w:proofErr w:type="spellStart"/>
                            <w:r w:rsidRPr="00904D8B">
                              <w:rPr>
                                <w:sz w:val="20"/>
                                <w:szCs w:val="20"/>
                              </w:rPr>
                              <w:t>btu</w:t>
                            </w:r>
                            <w:proofErr w:type="spellEnd"/>
                            <w:r w:rsidRPr="00904D8B">
                              <w:rPr>
                                <w:sz w:val="20"/>
                                <w:szCs w:val="20"/>
                              </w:rPr>
                              <w:t>/</w:t>
                            </w:r>
                            <w:proofErr w:type="spellStart"/>
                            <w:r w:rsidRPr="00904D8B">
                              <w:rPr>
                                <w:sz w:val="20"/>
                                <w:szCs w:val="20"/>
                              </w:rPr>
                              <w:t>hr</w:t>
                            </w:r>
                            <w:proofErr w:type="spellEnd"/>
                            <w:r w:rsidRPr="00904D8B">
                              <w:rPr>
                                <w:sz w:val="20"/>
                                <w:szCs w:val="20"/>
                              </w:rPr>
                              <w:t>:</w:t>
                            </w:r>
                          </w:p>
                          <w:p w:rsidR="00904D8B" w:rsidRPr="00904D8B" w:rsidRDefault="00904D8B" w:rsidP="00904D8B">
                            <w:pPr>
                              <w:tabs>
                                <w:tab w:val="left" w:pos="1620"/>
                              </w:tabs>
                              <w:ind w:left="1620" w:hanging="900"/>
                              <w:rPr>
                                <w:noProof/>
                                <w:sz w:val="20"/>
                                <w:szCs w:val="20"/>
                              </w:rPr>
                            </w:pPr>
                            <w:r w:rsidRPr="00904D8B">
                              <w:rPr>
                                <w:noProof/>
                                <w:sz w:val="20"/>
                                <w:szCs w:val="20"/>
                              </w:rPr>
                              <w:t>ΔTherms</w:t>
                            </w:r>
                            <w:r w:rsidRPr="00904D8B">
                              <w:rPr>
                                <w:noProof/>
                                <w:sz w:val="20"/>
                                <w:szCs w:val="20"/>
                              </w:rPr>
                              <w:tab/>
                              <w:t xml:space="preserve">=[[(21,915 x 8.33x  1  x (130 – 54.1) x [(1/.8) - (1/.84)]/100,000] +[(1008.3  x 8,766)/.8]] / 100,000 </w:t>
                            </w:r>
                          </w:p>
                          <w:p w:rsidR="00904D8B" w:rsidRPr="00904D8B" w:rsidRDefault="00904D8B" w:rsidP="00904D8B">
                            <w:pPr>
                              <w:ind w:left="900" w:firstLine="720"/>
                              <w:rPr>
                                <w:noProof/>
                                <w:sz w:val="20"/>
                                <w:szCs w:val="20"/>
                              </w:rPr>
                            </w:pPr>
                            <w:r w:rsidRPr="00904D8B">
                              <w:rPr>
                                <w:noProof/>
                                <w:sz w:val="20"/>
                                <w:szCs w:val="20"/>
                              </w:rPr>
                              <w:t>=115 Therms</w:t>
                            </w:r>
                          </w:p>
                          <w:p w:rsidR="00904D8B" w:rsidRDefault="00904D8B" w:rsidP="00904D8B">
                            <w:pPr>
                              <w:tabs>
                                <w:tab w:val="left" w:pos="990"/>
                              </w:tabs>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 o:spid="_x0000_s1026" type="#_x0000_t202" style="width:467.25pt;height:12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">
                <v:textbox>
                  <w:txbxContent>
                    <w:p w:rsidR="00904D8B" w:rsidRPr="00904D8B" w:rsidRDefault="00904D8B" w:rsidP="00904D8B">
                      <w:pPr>
                        <w:rPr>
                          <w:rStyle w:val="BookTitle"/>
                          <w:sz w:val="20"/>
                          <w:szCs w:val="20"/>
                        </w:rPr>
                      </w:pPr>
                      <w:r w:rsidRPr="00904D8B">
                        <w:rPr>
                          <w:rStyle w:val="BookTitle"/>
                          <w:sz w:val="20"/>
                          <w:szCs w:val="20"/>
                        </w:rPr>
                        <w:t>EXAMPLE</w:t>
                      </w:r>
                    </w:p>
                    <w:p w:rsidR="00904D8B" w:rsidRPr="00904D8B" w:rsidRDefault="00904D8B" w:rsidP="00904D8B">
                      <w:pPr>
                        <w:rPr>
                          <w:sz w:val="20"/>
                          <w:szCs w:val="20"/>
                        </w:rPr>
                      </w:pPr>
                      <w:r w:rsidRPr="00904D8B">
                        <w:rPr>
                          <w:sz w:val="20"/>
                          <w:szCs w:val="20"/>
                        </w:rPr>
                        <w:t>For example, a 75,000 Btu/</w:t>
                      </w:r>
                      <w:proofErr w:type="spellStart"/>
                      <w:r w:rsidRPr="00904D8B">
                        <w:rPr>
                          <w:sz w:val="20"/>
                          <w:szCs w:val="20"/>
                        </w:rPr>
                        <w:t>hr</w:t>
                      </w:r>
                      <w:proofErr w:type="spellEnd"/>
                      <w:r w:rsidRPr="00904D8B">
                        <w:rPr>
                          <w:sz w:val="20"/>
                          <w:szCs w:val="20"/>
                        </w:rPr>
                        <w:t xml:space="preserve"> </w:t>
                      </w:r>
                      <w:proofErr w:type="spellStart"/>
                      <w:r w:rsidRPr="00904D8B">
                        <w:rPr>
                          <w:sz w:val="20"/>
                          <w:szCs w:val="20"/>
                        </w:rPr>
                        <w:t>tankless</w:t>
                      </w:r>
                      <w:proofErr w:type="spellEnd"/>
                      <w:r w:rsidRPr="00904D8B">
                        <w:rPr>
                          <w:sz w:val="20"/>
                          <w:szCs w:val="20"/>
                        </w:rPr>
                        <w:t xml:space="preserve"> unit using 21,915 gal/</w:t>
                      </w:r>
                      <w:proofErr w:type="spellStart"/>
                      <w:r w:rsidRPr="00904D8B">
                        <w:rPr>
                          <w:sz w:val="20"/>
                          <w:szCs w:val="20"/>
                        </w:rPr>
                        <w:t>yr</w:t>
                      </w:r>
                      <w:proofErr w:type="spellEnd"/>
                      <w:r w:rsidRPr="00904D8B">
                        <w:rPr>
                          <w:sz w:val="20"/>
                          <w:szCs w:val="20"/>
                        </w:rPr>
                        <w:t xml:space="preserve"> with outlet temperature at 130.0 and inlet temperature at 54.1, replacing a baseline unit with 0.8 thermal efficiency  and standby losses of 1008.3 </w:t>
                      </w:r>
                      <w:proofErr w:type="spellStart"/>
                      <w:r w:rsidRPr="00904D8B">
                        <w:rPr>
                          <w:sz w:val="20"/>
                          <w:szCs w:val="20"/>
                        </w:rPr>
                        <w:t>btu</w:t>
                      </w:r>
                      <w:proofErr w:type="spellEnd"/>
                      <w:r w:rsidRPr="00904D8B">
                        <w:rPr>
                          <w:sz w:val="20"/>
                          <w:szCs w:val="20"/>
                        </w:rPr>
                        <w:t>/</w:t>
                      </w:r>
                      <w:proofErr w:type="spellStart"/>
                      <w:r w:rsidRPr="00904D8B">
                        <w:rPr>
                          <w:sz w:val="20"/>
                          <w:szCs w:val="20"/>
                        </w:rPr>
                        <w:t>hr</w:t>
                      </w:r>
                      <w:proofErr w:type="spellEnd"/>
                      <w:r w:rsidRPr="00904D8B">
                        <w:rPr>
                          <w:sz w:val="20"/>
                          <w:szCs w:val="20"/>
                        </w:rPr>
                        <w:t>:</w:t>
                      </w:r>
                    </w:p>
                    <w:p w:rsidR="00904D8B" w:rsidRPr="00904D8B" w:rsidRDefault="00904D8B" w:rsidP="00904D8B">
                      <w:pPr>
                        <w:tabs>
                          <w:tab w:val="left" w:pos="1620"/>
                        </w:tabs>
                        <w:ind w:left="1620" w:hanging="900"/>
                        <w:rPr>
                          <w:noProof/>
                          <w:sz w:val="20"/>
                          <w:szCs w:val="20"/>
                        </w:rPr>
                      </w:pPr>
                      <w:r w:rsidRPr="00904D8B">
                        <w:rPr>
                          <w:noProof/>
                          <w:sz w:val="20"/>
                          <w:szCs w:val="20"/>
                        </w:rPr>
                        <w:t>ΔTherms</w:t>
                      </w:r>
                      <w:r w:rsidRPr="00904D8B">
                        <w:rPr>
                          <w:noProof/>
                          <w:sz w:val="20"/>
                          <w:szCs w:val="20"/>
                        </w:rPr>
                        <w:tab/>
                        <w:t xml:space="preserve">=[[(21,915 x 8.33x  1  x (130 – 54.1) x [(1/.8) - (1/.84)]/100,000] +[(1008.3  x 8,766)/.8]] / 100,000 </w:t>
                      </w:r>
                    </w:p>
                    <w:p w:rsidR="00904D8B" w:rsidRPr="00904D8B" w:rsidRDefault="00904D8B" w:rsidP="00904D8B">
                      <w:pPr>
                        <w:ind w:left="900" w:firstLine="720"/>
                        <w:rPr>
                          <w:noProof/>
                          <w:sz w:val="20"/>
                          <w:szCs w:val="20"/>
                        </w:rPr>
                      </w:pPr>
                      <w:r w:rsidRPr="00904D8B">
                        <w:rPr>
                          <w:noProof/>
                          <w:sz w:val="20"/>
                          <w:szCs w:val="20"/>
                        </w:rPr>
                        <w:t>=115 Therms</w:t>
                      </w:r>
                    </w:p>
                    <w:p w:rsidR="00904D8B" w:rsidRDefault="00904D8B" w:rsidP="00904D8B">
                      <w:pPr>
                        <w:tabs>
                          <w:tab w:val="left" w:pos="990"/>
                        </w:tabs>
                      </w:pPr>
                    </w:p>
                  </w:txbxContent>
                </v:textbox>
                <w10:anchorlock/>
              </v:shape>
            </w:pict>
          </mc:Fallback>
        </mc:AlternateConten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Water Impact Descriptions and Calculation  </w:t>
      </w:r>
    </w:p>
    <w:p w:rsidR="00904D8B" w:rsidRPr="00904D8B" w:rsidRDefault="00904D8B" w:rsidP="00904D8B">
      <w:pPr>
        <w:widowControl w:val="0"/>
        <w:spacing w:after="120" w:line="240" w:lineRule="auto"/>
        <w:jc w:val="both"/>
        <w:rPr>
          <w:rFonts w:eastAsia="Times New Roman" w:cs="Times New Roman"/>
          <w:iCs/>
          <w:sz w:val="20"/>
        </w:rPr>
      </w:pPr>
      <w:r w:rsidRPr="00904D8B">
        <w:rPr>
          <w:rFonts w:eastAsia="Times New Roman" w:cs="Times New Roman"/>
          <w:sz w:val="20"/>
        </w:rPr>
        <w:t>N/A</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 xml:space="preserve">Deemed O&amp;M Cost Adjustment Calculation </w:t>
      </w:r>
    </w:p>
    <w:p w:rsidR="00904D8B" w:rsidRPr="00904D8B" w:rsidRDefault="00904D8B" w:rsidP="00904D8B">
      <w:pPr>
        <w:widowControl w:val="0"/>
        <w:spacing w:after="120" w:line="240" w:lineRule="auto"/>
        <w:jc w:val="both"/>
        <w:rPr>
          <w:rFonts w:eastAsia="Times New Roman" w:cs="Times New Roman"/>
          <w:iCs/>
          <w:sz w:val="20"/>
        </w:rPr>
      </w:pPr>
      <w:r w:rsidRPr="00904D8B">
        <w:rPr>
          <w:rFonts w:eastAsia="Times New Roman" w:cs="Times New Roman"/>
          <w:sz w:val="20"/>
        </w:rPr>
        <w:t xml:space="preserve">The deemed O&amp;M cost adjustment for a gas fired </w:t>
      </w:r>
      <w:proofErr w:type="spellStart"/>
      <w:r w:rsidRPr="00904D8B">
        <w:rPr>
          <w:rFonts w:eastAsia="Times New Roman" w:cs="Times New Roman"/>
          <w:sz w:val="20"/>
        </w:rPr>
        <w:t>tankless</w:t>
      </w:r>
      <w:proofErr w:type="spellEnd"/>
      <w:r w:rsidRPr="00904D8B">
        <w:rPr>
          <w:rFonts w:eastAsia="Times New Roman" w:cs="Times New Roman"/>
          <w:sz w:val="20"/>
        </w:rPr>
        <w:t xml:space="preserve"> heater is $100</w:t>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Reference Tables</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t>Minimum Performance Water Heating Equipment</w:t>
      </w:r>
      <w:r w:rsidRPr="00904D8B">
        <w:rPr>
          <w:rFonts w:eastAsia="Times New Roman" w:cs="Times New Roman"/>
          <w:sz w:val="20"/>
          <w:vertAlign w:val="superscript"/>
        </w:rPr>
        <w:footnoteReference w:id="15"/>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noProof/>
          <w:sz w:val="20"/>
        </w:rPr>
        <w:lastRenderedPageBreak/>
        <w:drawing>
          <wp:inline distT="0" distB="0" distL="0" distR="0" wp14:anchorId="0DDB3B36" wp14:editId="2E7B45C8">
            <wp:extent cx="5943600" cy="75190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7519035"/>
                    </a:xfrm>
                    <a:prstGeom prst="rect">
                      <a:avLst/>
                    </a:prstGeom>
                  </pic:spPr>
                </pic:pic>
              </a:graphicData>
            </a:graphic>
          </wp:inline>
        </w:drawing>
      </w:r>
    </w:p>
    <w:p w:rsidR="00904D8B" w:rsidRPr="00904D8B" w:rsidRDefault="00904D8B" w:rsidP="00904D8B">
      <w:pPr>
        <w:keepNext/>
        <w:keepLines/>
        <w:widowControl w:val="0"/>
        <w:tabs>
          <w:tab w:val="left" w:pos="5040"/>
        </w:tabs>
        <w:spacing w:before="200" w:after="120"/>
        <w:outlineLvl w:val="5"/>
        <w:rPr>
          <w:rFonts w:eastAsia="Times New Roman" w:cs="Calibri"/>
          <w:b/>
          <w:smallCaps/>
        </w:rPr>
      </w:pPr>
      <w:r w:rsidRPr="00904D8B">
        <w:rPr>
          <w:rFonts w:eastAsia="Times New Roman" w:cs="Calibri"/>
          <w:b/>
          <w:smallCaps/>
        </w:rPr>
        <w:t>Measure Code: CI-HW_-TKWH-V0</w:t>
      </w:r>
      <w:ins w:id="54" w:author="April Desclos" w:date="2015-11-05T12:05:00Z">
        <w:r w:rsidR="005F5FEA">
          <w:rPr>
            <w:rFonts w:eastAsia="Times New Roman" w:cs="Calibri"/>
            <w:b/>
            <w:smallCaps/>
          </w:rPr>
          <w:t>3</w:t>
        </w:r>
      </w:ins>
      <w:del w:id="55" w:author="April Desclos" w:date="2015-11-05T12:05:00Z">
        <w:r w:rsidRPr="00904D8B" w:rsidDel="005F5FEA">
          <w:rPr>
            <w:rFonts w:eastAsia="Times New Roman" w:cs="Calibri"/>
            <w:b/>
            <w:smallCaps/>
          </w:rPr>
          <w:delText>2</w:delText>
        </w:r>
      </w:del>
      <w:r w:rsidRPr="00904D8B">
        <w:rPr>
          <w:rFonts w:eastAsia="Times New Roman" w:cs="Calibri"/>
          <w:b/>
          <w:smallCaps/>
        </w:rPr>
        <w:t>-1</w:t>
      </w:r>
      <w:ins w:id="56" w:author="April Desclos" w:date="2015-11-05T12:05:00Z">
        <w:r w:rsidR="005F5FEA">
          <w:rPr>
            <w:rFonts w:eastAsia="Times New Roman" w:cs="Calibri"/>
            <w:b/>
            <w:smallCaps/>
          </w:rPr>
          <w:t>6</w:t>
        </w:r>
      </w:ins>
      <w:del w:id="57" w:author="April Desclos" w:date="2015-11-05T12:05:00Z">
        <w:r w:rsidRPr="00904D8B" w:rsidDel="005F5FEA">
          <w:rPr>
            <w:rFonts w:eastAsia="Times New Roman" w:cs="Calibri"/>
            <w:b/>
            <w:smallCaps/>
          </w:rPr>
          <w:delText>2</w:delText>
        </w:r>
      </w:del>
      <w:r w:rsidRPr="00904D8B">
        <w:rPr>
          <w:rFonts w:eastAsia="Times New Roman" w:cs="Calibri"/>
          <w:b/>
          <w:smallCaps/>
        </w:rPr>
        <w:t>0601</w:t>
      </w:r>
    </w:p>
    <w:p w:rsidR="00904D8B" w:rsidRPr="00904D8B" w:rsidRDefault="00904D8B" w:rsidP="00904D8B">
      <w:pPr>
        <w:widowControl w:val="0"/>
        <w:spacing w:after="120" w:line="240" w:lineRule="auto"/>
        <w:jc w:val="both"/>
        <w:rPr>
          <w:rFonts w:eastAsia="Times New Roman" w:cs="Times New Roman"/>
          <w:sz w:val="20"/>
        </w:rPr>
      </w:pPr>
      <w:r w:rsidRPr="00904D8B">
        <w:rPr>
          <w:rFonts w:eastAsia="Times New Roman" w:cs="Times New Roman"/>
          <w:sz w:val="20"/>
        </w:rPr>
        <w:br w:type="page"/>
      </w:r>
    </w:p>
    <w:p w:rsidR="00904D8B" w:rsidRPr="00904D8B" w:rsidRDefault="00904D8B" w:rsidP="00904D8B">
      <w:pPr>
        <w:spacing w:after="120" w:line="240" w:lineRule="auto"/>
        <w:rPr>
          <w:rFonts w:eastAsia="Times New Roman" w:cs="Times New Roman"/>
          <w:sz w:val="20"/>
        </w:rPr>
        <w:sectPr w:rsidR="00904D8B" w:rsidRPr="00904D8B" w:rsidSect="00904D8B">
          <w:headerReference w:type="default" r:id="rId8"/>
          <w:pgSz w:w="12240" w:h="15840" w:code="1"/>
          <w:pgMar w:top="1440" w:right="1440" w:bottom="1440" w:left="1440" w:header="720" w:footer="720" w:gutter="0"/>
          <w:cols w:space="720"/>
          <w:docGrid w:linePitch="272"/>
        </w:sectPr>
      </w:pPr>
    </w:p>
    <w:p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8B" w:rsidRDefault="00904D8B" w:rsidP="00904D8B">
      <w:pPr>
        <w:spacing w:after="0" w:line="240" w:lineRule="auto"/>
      </w:pPr>
      <w:r>
        <w:separator/>
      </w:r>
    </w:p>
  </w:endnote>
  <w:endnote w:type="continuationSeparator" w:id="0">
    <w:p w:rsidR="00904D8B" w:rsidRDefault="00904D8B" w:rsidP="00904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8B" w:rsidRDefault="00904D8B" w:rsidP="00904D8B">
      <w:pPr>
        <w:spacing w:after="0" w:line="240" w:lineRule="auto"/>
      </w:pPr>
      <w:r>
        <w:separator/>
      </w:r>
    </w:p>
  </w:footnote>
  <w:footnote w:type="continuationSeparator" w:id="0">
    <w:p w:rsidR="00904D8B" w:rsidRDefault="00904D8B" w:rsidP="00904D8B">
      <w:pPr>
        <w:spacing w:after="0" w:line="240" w:lineRule="auto"/>
      </w:pPr>
      <w:r>
        <w:continuationSeparator/>
      </w:r>
    </w:p>
  </w:footnote>
  <w:footnote w:id="1">
    <w:p w:rsidR="00904D8B" w:rsidRPr="00FF0879" w:rsidRDefault="00904D8B" w:rsidP="00904D8B">
      <w:pPr>
        <w:pStyle w:val="Footnote"/>
        <w:rPr>
          <w:szCs w:val="18"/>
        </w:rPr>
      </w:pPr>
      <w:r w:rsidRPr="00225B09">
        <w:rPr>
          <w:rStyle w:val="FootnoteReference"/>
          <w:rFonts w:eastAsiaTheme="majorEastAsia"/>
          <w:szCs w:val="18"/>
        </w:rPr>
        <w:footnoteRef/>
      </w:r>
      <w:r w:rsidRPr="007A07C8">
        <w:rPr>
          <w:szCs w:val="18"/>
        </w:rPr>
        <w:t xml:space="preserve"> Ohio Technical Reference Manual 8/2/2010 referencing </w:t>
      </w:r>
      <w:proofErr w:type="spellStart"/>
      <w:r w:rsidRPr="007A07C8">
        <w:rPr>
          <w:szCs w:val="18"/>
        </w:rPr>
        <w:t>CenterPoint</w:t>
      </w:r>
      <w:proofErr w:type="spellEnd"/>
      <w:r w:rsidRPr="007A07C8">
        <w:rPr>
          <w:szCs w:val="18"/>
        </w:rPr>
        <w:t xml:space="preserve"> Energy-Triennial CIP/DSM Plan 2010-2012 Report; Additional reference stating &gt;</w:t>
      </w:r>
      <w:r w:rsidRPr="005D0D50">
        <w:rPr>
          <w:szCs w:val="18"/>
        </w:rPr>
        <w:t>20 years is at Energy Savers.Gov online at http://www.energysavers.gov/your_home/water_heating/index.cfm/mytopic=12820</w:t>
      </w:r>
    </w:p>
  </w:footnote>
  <w:footnote w:id="2">
    <w:p w:rsidR="00904D8B" w:rsidRPr="009C362B" w:rsidRDefault="00904D8B" w:rsidP="00904D8B">
      <w:pPr>
        <w:pStyle w:val="Footnote"/>
        <w:rPr>
          <w:szCs w:val="18"/>
        </w:rPr>
      </w:pPr>
      <w:r w:rsidRPr="0075793C">
        <w:rPr>
          <w:rStyle w:val="FootnoteReference"/>
          <w:rFonts w:eastAsiaTheme="majorEastAsia"/>
          <w:szCs w:val="18"/>
        </w:rPr>
        <w:footnoteRef/>
      </w:r>
      <w:r w:rsidRPr="003B1236">
        <w:rPr>
          <w:szCs w:val="18"/>
        </w:rPr>
        <w:t xml:space="preserve"> Ibid.</w:t>
      </w:r>
    </w:p>
  </w:footnote>
  <w:footnote w:id="3">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Act on Energy Technical Reference Manual, Table 9.6.2-3</w:t>
      </w:r>
    </w:p>
  </w:footnote>
  <w:footnote w:id="4">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Based on AOE historical average installation data of 42 </w:t>
      </w:r>
      <w:proofErr w:type="spellStart"/>
      <w:r w:rsidRPr="009C362B">
        <w:rPr>
          <w:szCs w:val="18"/>
        </w:rPr>
        <w:t>tankless</w:t>
      </w:r>
      <w:proofErr w:type="spellEnd"/>
      <w:r w:rsidRPr="009C362B">
        <w:rPr>
          <w:szCs w:val="18"/>
        </w:rPr>
        <w:t xml:space="preserve"> gas hot water heaters</w:t>
      </w:r>
    </w:p>
  </w:footnote>
  <w:footnote w:id="5">
    <w:p w:rsidR="00904D8B" w:rsidRPr="009C362B" w:rsidRDefault="00904D8B" w:rsidP="00904D8B">
      <w:pPr>
        <w:pStyle w:val="Footnote"/>
        <w:rPr>
          <w:szCs w:val="18"/>
        </w:rPr>
      </w:pPr>
      <w:r w:rsidRPr="009C362B">
        <w:rPr>
          <w:rStyle w:val="FootnoteReference"/>
          <w:rFonts w:eastAsiaTheme="majorEastAsia"/>
          <w:szCs w:val="18"/>
        </w:rPr>
        <w:footnoteRef/>
      </w:r>
      <w:hyperlink r:id="rId1" w:history="1">
        <w:r w:rsidRPr="009C362B">
          <w:rPr>
            <w:rStyle w:val="Hyperlink"/>
            <w:szCs w:val="18"/>
          </w:rPr>
          <w:t>http://www.mncee.org/getattachment/7b8982e9-4d95-4bc9-8e64-f89033617f37/</w:t>
        </w:r>
      </w:hyperlink>
      <w:r w:rsidRPr="009C362B">
        <w:rPr>
          <w:color w:val="1F497D"/>
          <w:szCs w:val="18"/>
        </w:rPr>
        <w:t>,</w:t>
      </w:r>
      <w:r w:rsidRPr="009C362B">
        <w:rPr>
          <w:szCs w:val="18"/>
        </w:rPr>
        <w:t xml:space="preserve"> Low contractor estimate used to reflect less labor required in new construction of venting.</w:t>
      </w:r>
    </w:p>
  </w:footnote>
  <w:footnote w:id="6">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Water heaters (WH) require annual maintenance. There are different levels of effort for annual maintenance depending if the unit is gas or electric, tanked or </w:t>
      </w:r>
      <w:proofErr w:type="spellStart"/>
      <w:r w:rsidRPr="009C362B">
        <w:rPr>
          <w:szCs w:val="18"/>
        </w:rPr>
        <w:t>tankless</w:t>
      </w:r>
      <w:proofErr w:type="spellEnd"/>
      <w:r w:rsidRPr="009C362B">
        <w:rPr>
          <w:szCs w:val="18"/>
        </w:rPr>
        <w:t xml:space="preserve">. Electric and gas tank water heater manufacturers recommend an annual tank drain to clear sediments. Also recommended are “periodic” inspections by qualified service professionals of operating controls, heating element and wiring for electric WHs and thermostat, burner, relief valve internal flue-way and venting systems for gas </w:t>
      </w:r>
      <w:proofErr w:type="spellStart"/>
      <w:r w:rsidRPr="009C362B">
        <w:rPr>
          <w:szCs w:val="18"/>
        </w:rPr>
        <w:t>WHs.</w:t>
      </w:r>
      <w:proofErr w:type="spellEnd"/>
      <w:r w:rsidRPr="009C362B">
        <w:rPr>
          <w:szCs w:val="18"/>
        </w:rPr>
        <w:t xml:space="preserve"> </w:t>
      </w:r>
      <w:proofErr w:type="spellStart"/>
      <w:r w:rsidRPr="009C362B">
        <w:rPr>
          <w:szCs w:val="18"/>
        </w:rPr>
        <w:t>Tankless</w:t>
      </w:r>
      <w:proofErr w:type="spellEnd"/>
      <w:r w:rsidRPr="009C362B">
        <w:rPr>
          <w:szCs w:val="18"/>
        </w:rPr>
        <w:t xml:space="preserve"> WH require annual maintenance by licensed professionals to clean control compartments, burners, venting system and heat exchangers. This information is from WH manufacturer product brochures including GE, </w:t>
      </w:r>
      <w:proofErr w:type="spellStart"/>
      <w:r w:rsidRPr="009C362B">
        <w:rPr>
          <w:szCs w:val="18"/>
        </w:rPr>
        <w:t>Rennai</w:t>
      </w:r>
      <w:proofErr w:type="spellEnd"/>
      <w:r w:rsidRPr="009C362B">
        <w:rPr>
          <w:szCs w:val="18"/>
        </w:rPr>
        <w:t xml:space="preserve">, </w:t>
      </w:r>
      <w:proofErr w:type="spellStart"/>
      <w:r w:rsidRPr="009C362B">
        <w:rPr>
          <w:szCs w:val="18"/>
        </w:rPr>
        <w:t>Rheem</w:t>
      </w:r>
      <w:proofErr w:type="spellEnd"/>
      <w:r w:rsidRPr="009C362B">
        <w:rPr>
          <w:szCs w:val="18"/>
        </w:rPr>
        <w:t xml:space="preserve">, Takagi and Kenmore.  References for incremental O&amp;M costs were not found. Therefore the incremental cost of the additional annual maintenance for </w:t>
      </w:r>
      <w:proofErr w:type="spellStart"/>
      <w:r w:rsidRPr="009C362B">
        <w:rPr>
          <w:szCs w:val="18"/>
        </w:rPr>
        <w:t>tankless</w:t>
      </w:r>
      <w:proofErr w:type="spellEnd"/>
      <w:r w:rsidRPr="009C362B">
        <w:rPr>
          <w:szCs w:val="18"/>
        </w:rPr>
        <w:t xml:space="preserve"> WH is estimated at $100.</w:t>
      </w:r>
    </w:p>
  </w:footnote>
  <w:footnote w:id="7">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Act on Energy Technical Reference Manual, Table 9.6.2-3</w:t>
      </w:r>
    </w:p>
  </w:footnote>
  <w:footnote w:id="8">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Ibid.</w:t>
      </w:r>
    </w:p>
  </w:footnote>
  <w:footnote w:id="9">
    <w:p w:rsidR="00904D8B" w:rsidRPr="005D0D50" w:rsidRDefault="00904D8B" w:rsidP="00904D8B">
      <w:pPr>
        <w:pStyle w:val="Footnote"/>
        <w:rPr>
          <w:szCs w:val="18"/>
        </w:rPr>
      </w:pPr>
      <w:r w:rsidRPr="009C362B">
        <w:rPr>
          <w:rStyle w:val="FootnoteReference"/>
          <w:rFonts w:eastAsiaTheme="majorEastAsia" w:cs="Calibri"/>
          <w:szCs w:val="18"/>
        </w:rPr>
        <w:footnoteRef/>
      </w:r>
      <w:r w:rsidRPr="00225B09">
        <w:rPr>
          <w:szCs w:val="18"/>
        </w:rPr>
        <w:t xml:space="preserve"> 21,915 gallons</w:t>
      </w:r>
      <w:r w:rsidRPr="007A07C8">
        <w:rPr>
          <w:noProof/>
          <w:szCs w:val="18"/>
        </w:rPr>
        <w:t xml:space="preserve"> is an estimate of 60 gal/day for 365.25 days/yr.  If building type is known, reference 2007 ASHRAE Handbook HVAC Applications p. 49.14 Table 7 Hot Water Demands and Use for Various Types of Buildings to help estimate hot water consumption. </w:t>
      </w:r>
    </w:p>
  </w:footnote>
  <w:footnote w:id="10">
    <w:p w:rsidR="00904D8B" w:rsidRPr="005D0D50" w:rsidRDefault="00904D8B" w:rsidP="00904D8B">
      <w:pPr>
        <w:pStyle w:val="Footnote"/>
        <w:rPr>
          <w:szCs w:val="18"/>
        </w:rPr>
      </w:pPr>
      <w:r w:rsidRPr="009C362B">
        <w:rPr>
          <w:rStyle w:val="FootnoteReference"/>
          <w:rFonts w:eastAsiaTheme="majorEastAsia" w:cs="Calibri"/>
          <w:szCs w:val="18"/>
        </w:rPr>
        <w:footnoteRef/>
      </w:r>
      <w:r w:rsidRPr="00225B09">
        <w:rPr>
          <w:szCs w:val="18"/>
        </w:rPr>
        <w:t xml:space="preserve"> </w:t>
      </w:r>
      <w:proofErr w:type="gramStart"/>
      <w:r w:rsidRPr="00225B09">
        <w:rPr>
          <w:szCs w:val="18"/>
        </w:rPr>
        <w:t>Based on 201</w:t>
      </w:r>
      <w:r w:rsidRPr="007A07C8">
        <w:rPr>
          <w:szCs w:val="18"/>
        </w:rPr>
        <w:t xml:space="preserve">0 Ohio </w:t>
      </w:r>
      <w:proofErr w:type="spellStart"/>
      <w:r w:rsidRPr="007A07C8">
        <w:rPr>
          <w:szCs w:val="18"/>
        </w:rPr>
        <w:t>Techical</w:t>
      </w:r>
      <w:proofErr w:type="spellEnd"/>
      <w:r w:rsidRPr="007A07C8">
        <w:rPr>
          <w:szCs w:val="18"/>
        </w:rPr>
        <w:t xml:space="preserve"> Reference Manual and NAHB Research Center, (2002) Performance Comparison of Residential hot Water Systems.</w:t>
      </w:r>
      <w:proofErr w:type="gramEnd"/>
      <w:r w:rsidRPr="007A07C8">
        <w:rPr>
          <w:szCs w:val="18"/>
        </w:rPr>
        <w:t xml:space="preserve">  Prepared for National Renewable Energy Laboratory, Golden, </w:t>
      </w:r>
      <w:proofErr w:type="gramStart"/>
      <w:r w:rsidRPr="007A07C8">
        <w:rPr>
          <w:szCs w:val="18"/>
        </w:rPr>
        <w:t>Colorado</w:t>
      </w:r>
      <w:proofErr w:type="gramEnd"/>
      <w:r w:rsidRPr="007A07C8">
        <w:rPr>
          <w:szCs w:val="18"/>
        </w:rPr>
        <w:t>.</w:t>
      </w:r>
    </w:p>
  </w:footnote>
  <w:footnote w:id="11">
    <w:p w:rsidR="00904D8B" w:rsidRPr="009C362B" w:rsidRDefault="00904D8B" w:rsidP="00904D8B">
      <w:pPr>
        <w:pStyle w:val="Footnote"/>
        <w:rPr>
          <w:szCs w:val="18"/>
        </w:rPr>
      </w:pPr>
      <w:r w:rsidRPr="005D0D50">
        <w:rPr>
          <w:rStyle w:val="FootnoteReference"/>
          <w:rFonts w:eastAsiaTheme="majorEastAsia"/>
          <w:szCs w:val="18"/>
        </w:rPr>
        <w:footnoteRef/>
      </w:r>
      <w:r w:rsidRPr="00FF0879">
        <w:rPr>
          <w:rStyle w:val="FootnoteReference"/>
          <w:rFonts w:eastAsiaTheme="majorEastAsia"/>
          <w:szCs w:val="18"/>
        </w:rPr>
        <w:t xml:space="preserve"> </w:t>
      </w:r>
      <w:r w:rsidRPr="0075793C">
        <w:rPr>
          <w:szCs w:val="18"/>
        </w:rPr>
        <w:t xml:space="preserve">August 31, 2011 Memo of Savings for Hot Water Savings Measures to </w:t>
      </w:r>
      <w:proofErr w:type="spellStart"/>
      <w:r w:rsidRPr="0075793C">
        <w:rPr>
          <w:szCs w:val="18"/>
        </w:rPr>
        <w:t>Nicor</w:t>
      </w:r>
      <w:proofErr w:type="spellEnd"/>
      <w:r w:rsidRPr="0075793C">
        <w:rPr>
          <w:szCs w:val="18"/>
        </w:rPr>
        <w:t xml:space="preserve"> Gas from Navigant </w:t>
      </w:r>
      <w:r w:rsidRPr="003B1236">
        <w:rPr>
          <w:szCs w:val="18"/>
        </w:rPr>
        <w:t>states that 54.1°F was calculated from the weighted average of monthly water mains temperatures reported in the 2010 Building America Benchmark Study for Chicago-Waukegan, Illinois.</w:t>
      </w:r>
    </w:p>
  </w:footnote>
  <w:footnote w:id="12">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w:t>
      </w:r>
      <w:ins w:id="45" w:author="April Desclos" w:date="2015-11-05T12:18:00Z">
        <w:r w:rsidR="00EB37D5" w:rsidRPr="009C362B">
          <w:rPr>
            <w:szCs w:val="18"/>
          </w:rPr>
          <w:t xml:space="preserve">International Energy Conservation Code </w:t>
        </w:r>
        <w:r w:rsidR="00EB37D5">
          <w:rPr>
            <w:szCs w:val="18"/>
          </w:rPr>
          <w:t>(</w:t>
        </w:r>
      </w:ins>
      <w:r w:rsidRPr="009C362B">
        <w:rPr>
          <w:szCs w:val="18"/>
        </w:rPr>
        <w:t>IECC</w:t>
      </w:r>
      <w:ins w:id="46" w:author="April Desclos" w:date="2015-11-05T12:18:00Z">
        <w:r w:rsidR="00EB37D5">
          <w:rPr>
            <w:szCs w:val="18"/>
          </w:rPr>
          <w:t>)</w:t>
        </w:r>
      </w:ins>
      <w:r w:rsidRPr="009C362B">
        <w:rPr>
          <w:szCs w:val="18"/>
        </w:rPr>
        <w:t xml:space="preserve"> 2012</w:t>
      </w:r>
      <w:ins w:id="47" w:author="April Desclos" w:date="2015-11-02T10:37:00Z">
        <w:r w:rsidR="00401256">
          <w:rPr>
            <w:szCs w:val="18"/>
          </w:rPr>
          <w:t>/2015</w:t>
        </w:r>
      </w:ins>
      <w:r w:rsidRPr="009C362B">
        <w:rPr>
          <w:szCs w:val="18"/>
        </w:rPr>
        <w:t>, Table C404.2, Minimum Performance of Water-Heating Equipment</w:t>
      </w:r>
    </w:p>
  </w:footnote>
  <w:footnote w:id="13">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w:t>
      </w:r>
      <w:proofErr w:type="gramStart"/>
      <w:r w:rsidRPr="009C362B">
        <w:rPr>
          <w:szCs w:val="18"/>
        </w:rPr>
        <w:t xml:space="preserve">Specifications of energy efficient </w:t>
      </w:r>
      <w:proofErr w:type="spellStart"/>
      <w:r w:rsidRPr="009C362B">
        <w:rPr>
          <w:szCs w:val="18"/>
        </w:rPr>
        <w:t>tankless</w:t>
      </w:r>
      <w:proofErr w:type="spellEnd"/>
      <w:r w:rsidRPr="009C362B">
        <w:rPr>
          <w:szCs w:val="18"/>
        </w:rPr>
        <w:t xml:space="preserve"> water heater.</w:t>
      </w:r>
      <w:proofErr w:type="gramEnd"/>
      <w:r w:rsidRPr="009C362B">
        <w:rPr>
          <w:szCs w:val="18"/>
        </w:rPr>
        <w:t xml:space="preserve">  </w:t>
      </w:r>
      <w:proofErr w:type="gramStart"/>
      <w:r w:rsidRPr="009C362B">
        <w:rPr>
          <w:szCs w:val="18"/>
        </w:rPr>
        <w:t xml:space="preserve">Reference Consortium for Energy Efficiency (CEE) which maintains a list of high efficiency </w:t>
      </w:r>
      <w:proofErr w:type="spellStart"/>
      <w:r w:rsidRPr="009C362B">
        <w:rPr>
          <w:szCs w:val="18"/>
        </w:rPr>
        <w:t>tankless</w:t>
      </w:r>
      <w:proofErr w:type="spellEnd"/>
      <w:r w:rsidRPr="009C362B">
        <w:rPr>
          <w:szCs w:val="18"/>
        </w:rPr>
        <w:t xml:space="preserve"> water heaters which currently have Energy Factors up to .96.</w:t>
      </w:r>
      <w:proofErr w:type="gramEnd"/>
      <w:r w:rsidRPr="009C362B">
        <w:rPr>
          <w:szCs w:val="18"/>
        </w:rPr>
        <w:t xml:space="preserve">  Ameren currently requires minimum .82 energy factor.</w:t>
      </w:r>
    </w:p>
  </w:footnote>
  <w:footnote w:id="14">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Stand-by loss is provided </w:t>
      </w:r>
      <w:ins w:id="48" w:author="April Desclos" w:date="2015-11-02T10:38:00Z">
        <w:r w:rsidR="00401256">
          <w:rPr>
            <w:szCs w:val="18"/>
          </w:rPr>
          <w:t xml:space="preserve">in </w:t>
        </w:r>
      </w:ins>
      <w:r w:rsidRPr="009C362B">
        <w:rPr>
          <w:szCs w:val="18"/>
        </w:rPr>
        <w:t>2012</w:t>
      </w:r>
      <w:ins w:id="49" w:author="April Desclos" w:date="2015-11-02T10:40:00Z">
        <w:r w:rsidR="00401256">
          <w:rPr>
            <w:szCs w:val="18"/>
          </w:rPr>
          <w:t>/2015</w:t>
        </w:r>
      </w:ins>
      <w:r w:rsidRPr="009C362B">
        <w:rPr>
          <w:szCs w:val="18"/>
        </w:rPr>
        <w:t xml:space="preserve"> </w:t>
      </w:r>
      <w:del w:id="50" w:author="April Desclos" w:date="2015-11-05T12:18:00Z">
        <w:r w:rsidRPr="009C362B" w:rsidDel="00EB37D5">
          <w:rPr>
            <w:szCs w:val="18"/>
          </w:rPr>
          <w:delText xml:space="preserve">International Energy Conservation Code </w:delText>
        </w:r>
      </w:del>
      <w:del w:id="51" w:author="April Desclos" w:date="2015-11-05T12:19:00Z">
        <w:r w:rsidRPr="009C362B" w:rsidDel="00EB37D5">
          <w:rPr>
            <w:szCs w:val="18"/>
          </w:rPr>
          <w:delText>(</w:delText>
        </w:r>
      </w:del>
      <w:r w:rsidRPr="009C362B">
        <w:rPr>
          <w:szCs w:val="18"/>
        </w:rPr>
        <w:t>IECC</w:t>
      </w:r>
      <w:del w:id="52" w:author="April Desclos" w:date="2015-11-05T12:19:00Z">
        <w:r w:rsidRPr="009C362B" w:rsidDel="00EB37D5">
          <w:rPr>
            <w:szCs w:val="18"/>
          </w:rPr>
          <w:delText>2012)</w:delText>
        </w:r>
      </w:del>
      <w:r w:rsidRPr="009C362B">
        <w:rPr>
          <w:szCs w:val="18"/>
        </w:rPr>
        <w:t>, Table C404.2, Minimum Performance of Water-Heating Equipment</w:t>
      </w:r>
    </w:p>
  </w:footnote>
  <w:footnote w:id="15">
    <w:p w:rsidR="00904D8B" w:rsidRPr="009C362B" w:rsidRDefault="00904D8B" w:rsidP="00904D8B">
      <w:pPr>
        <w:pStyle w:val="Footnote"/>
        <w:rPr>
          <w:szCs w:val="18"/>
        </w:rPr>
      </w:pPr>
      <w:r w:rsidRPr="009C362B">
        <w:rPr>
          <w:rStyle w:val="FootnoteReference"/>
          <w:rFonts w:eastAsiaTheme="majorEastAsia"/>
          <w:szCs w:val="18"/>
        </w:rPr>
        <w:footnoteRef/>
      </w:r>
      <w:r w:rsidRPr="009C362B">
        <w:rPr>
          <w:szCs w:val="18"/>
        </w:rPr>
        <w:t xml:space="preserve">  International Energy Conservation Code (IECC)2012</w:t>
      </w:r>
      <w:ins w:id="53" w:author="April Desclos" w:date="2015-11-05T12:17:00Z">
        <w:r w:rsidR="00EB37D5">
          <w:rPr>
            <w:szCs w:val="18"/>
          </w:rPr>
          <w:t>/2015</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D8B" w:rsidRPr="004749D0" w:rsidRDefault="00904D8B" w:rsidP="00950A89">
    <w:pPr>
      <w:pStyle w:val="Header"/>
      <w:pBdr>
        <w:bottom w:val="single" w:sz="4" w:space="0" w:color="auto"/>
      </w:pBdr>
    </w:pPr>
    <w:r w:rsidRPr="004749D0">
      <w:t>Illinois Statewide Technical Reference Manual -</w:t>
    </w:r>
    <w:r>
      <w:t xml:space="preserve"> </w:t>
    </w:r>
    <w:r>
      <w:fldChar w:fldCharType="begin"/>
    </w:r>
    <w:r>
      <w:instrText xml:space="preserve"> REF _Ref355858569 \r \h </w:instrText>
    </w:r>
    <w:r>
      <w:fldChar w:fldCharType="separate"/>
    </w:r>
    <w:r>
      <w:t>4.3.5</w:t>
    </w:r>
    <w:r>
      <w:fldChar w:fldCharType="end"/>
    </w:r>
    <w:r w:rsidRPr="008A5352">
      <w:t xml:space="preserve"> </w:t>
    </w:r>
    <w:r w:rsidRPr="008A5352">
      <w:fldChar w:fldCharType="begin"/>
    </w:r>
    <w:r w:rsidRPr="008A5352">
      <w:instrText xml:space="preserve"> REF _Ref355858569 \h </w:instrText>
    </w:r>
    <w:r>
      <w:instrText xml:space="preserve"> \* MERGEFORMAT </w:instrText>
    </w:r>
    <w:r w:rsidRPr="008A5352">
      <w:fldChar w:fldCharType="separate"/>
    </w:r>
    <w:proofErr w:type="spellStart"/>
    <w:r w:rsidRPr="00F679EC">
      <w:t>Tankless</w:t>
    </w:r>
    <w:proofErr w:type="spellEnd"/>
    <w:r w:rsidRPr="00F679EC">
      <w:t xml:space="preserve"> Water Heater</w:t>
    </w:r>
    <w:r w:rsidRPr="008A5352">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8B"/>
    <w:rsid w:val="00401256"/>
    <w:rsid w:val="00417428"/>
    <w:rsid w:val="005F5FEA"/>
    <w:rsid w:val="00685361"/>
    <w:rsid w:val="00904D8B"/>
    <w:rsid w:val="00EB37D5"/>
    <w:rsid w:val="00F62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4D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4D8B"/>
  </w:style>
  <w:style w:type="table" w:styleId="TableGrid">
    <w:name w:val="Table Grid"/>
    <w:basedOn w:val="TableNormal"/>
    <w:uiPriority w:val="59"/>
    <w:rsid w:val="00904D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4D8B"/>
    <w:rPr>
      <w:rFonts w:ascii="Arial" w:hAnsi="Arial" w:cs="Times New Roman"/>
      <w:sz w:val="20"/>
      <w:vertAlign w:val="superscript"/>
    </w:rPr>
  </w:style>
  <w:style w:type="character" w:styleId="Hyperlink">
    <w:name w:val="Hyperlink"/>
    <w:uiPriority w:val="99"/>
    <w:rsid w:val="00904D8B"/>
    <w:rPr>
      <w:rFonts w:cs="Times New Roman"/>
      <w:color w:val="0000FF"/>
      <w:u w:val="single"/>
    </w:rPr>
  </w:style>
  <w:style w:type="character" w:styleId="BookTitle">
    <w:name w:val="Book Title"/>
    <w:uiPriority w:val="99"/>
    <w:qFormat/>
    <w:rsid w:val="00904D8B"/>
    <w:rPr>
      <w:b/>
      <w:bCs/>
      <w:smallCaps/>
      <w:spacing w:val="5"/>
    </w:rPr>
  </w:style>
  <w:style w:type="character" w:customStyle="1" w:styleId="FootnoteChar">
    <w:name w:val="Footnote Char"/>
    <w:basedOn w:val="DefaultParagraphFont"/>
    <w:link w:val="Footnote"/>
    <w:rsid w:val="00904D8B"/>
    <w:rPr>
      <w:rFonts w:eastAsiaTheme="minorEastAsia" w:cstheme="minorHAnsi"/>
      <w:sz w:val="18"/>
      <w:szCs w:val="20"/>
    </w:rPr>
  </w:style>
  <w:style w:type="paragraph" w:customStyle="1" w:styleId="Footnote">
    <w:name w:val="Footnote"/>
    <w:basedOn w:val="FootnoteText"/>
    <w:link w:val="FootnoteChar"/>
    <w:autoRedefine/>
    <w:qFormat/>
    <w:rsid w:val="00904D8B"/>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904D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4D8B"/>
    <w:rPr>
      <w:sz w:val="20"/>
      <w:szCs w:val="20"/>
    </w:rPr>
  </w:style>
  <w:style w:type="paragraph" w:styleId="BalloonText">
    <w:name w:val="Balloon Text"/>
    <w:basedOn w:val="Normal"/>
    <w:link w:val="BalloonTextChar"/>
    <w:uiPriority w:val="99"/>
    <w:semiHidden/>
    <w:unhideWhenUsed/>
    <w:rsid w:val="00904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4D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4D8B"/>
  </w:style>
  <w:style w:type="table" w:styleId="TableGrid">
    <w:name w:val="Table Grid"/>
    <w:basedOn w:val="TableNormal"/>
    <w:uiPriority w:val="59"/>
    <w:rsid w:val="00904D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4D8B"/>
    <w:rPr>
      <w:rFonts w:ascii="Arial" w:hAnsi="Arial" w:cs="Times New Roman"/>
      <w:sz w:val="20"/>
      <w:vertAlign w:val="superscript"/>
    </w:rPr>
  </w:style>
  <w:style w:type="character" w:styleId="Hyperlink">
    <w:name w:val="Hyperlink"/>
    <w:uiPriority w:val="99"/>
    <w:rsid w:val="00904D8B"/>
    <w:rPr>
      <w:rFonts w:cs="Times New Roman"/>
      <w:color w:val="0000FF"/>
      <w:u w:val="single"/>
    </w:rPr>
  </w:style>
  <w:style w:type="character" w:styleId="BookTitle">
    <w:name w:val="Book Title"/>
    <w:uiPriority w:val="99"/>
    <w:qFormat/>
    <w:rsid w:val="00904D8B"/>
    <w:rPr>
      <w:b/>
      <w:bCs/>
      <w:smallCaps/>
      <w:spacing w:val="5"/>
    </w:rPr>
  </w:style>
  <w:style w:type="character" w:customStyle="1" w:styleId="FootnoteChar">
    <w:name w:val="Footnote Char"/>
    <w:basedOn w:val="DefaultParagraphFont"/>
    <w:link w:val="Footnote"/>
    <w:rsid w:val="00904D8B"/>
    <w:rPr>
      <w:rFonts w:eastAsiaTheme="minorEastAsia" w:cstheme="minorHAnsi"/>
      <w:sz w:val="18"/>
      <w:szCs w:val="20"/>
    </w:rPr>
  </w:style>
  <w:style w:type="paragraph" w:customStyle="1" w:styleId="Footnote">
    <w:name w:val="Footnote"/>
    <w:basedOn w:val="FootnoteText"/>
    <w:link w:val="FootnoteChar"/>
    <w:autoRedefine/>
    <w:qFormat/>
    <w:rsid w:val="00904D8B"/>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904D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4D8B"/>
    <w:rPr>
      <w:sz w:val="20"/>
      <w:szCs w:val="20"/>
    </w:rPr>
  </w:style>
  <w:style w:type="paragraph" w:styleId="BalloonText">
    <w:name w:val="Balloon Text"/>
    <w:basedOn w:val="Normal"/>
    <w:link w:val="BalloonTextChar"/>
    <w:uiPriority w:val="99"/>
    <w:semiHidden/>
    <w:unhideWhenUsed/>
    <w:rsid w:val="00904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ncee.org/getattachment/7b8982e9-4d95-4bc9-8e64-f89033617f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CD040253</Template>
  <TotalTime>19</TotalTime>
  <Pages>7</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6</cp:revision>
  <dcterms:created xsi:type="dcterms:W3CDTF">2015-11-02T15:27:00Z</dcterms:created>
  <dcterms:modified xsi:type="dcterms:W3CDTF">2015-11-20T11:13:00Z</dcterms:modified>
</cp:coreProperties>
</file>