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3531" w:rsidRPr="00283531" w:rsidRDefault="00283531" w:rsidP="00283531">
      <w:pPr>
        <w:widowControl w:val="0"/>
        <w:numPr>
          <w:ilvl w:val="2"/>
          <w:numId w:val="0"/>
        </w:numPr>
        <w:spacing w:after="120"/>
        <w:ind w:left="720" w:right="-2880" w:hanging="720"/>
        <w:outlineLvl w:val="2"/>
        <w:rPr>
          <w:rFonts w:ascii="Calibri" w:eastAsiaTheme="minorEastAsia" w:hAnsi="Calibri" w:cs="Times New Roman"/>
          <w:bCs/>
          <w:sz w:val="24"/>
          <w:szCs w:val="24"/>
        </w:rPr>
      </w:pPr>
      <w:bookmarkStart w:id="0" w:name="_Ref355946464"/>
      <w:bookmarkStart w:id="1" w:name="_Toc411593500"/>
      <w:r>
        <w:rPr>
          <w:rFonts w:ascii="Calibri" w:eastAsiaTheme="minorEastAsia" w:hAnsi="Calibri" w:cs="Times New Roman"/>
          <w:bCs/>
          <w:sz w:val="24"/>
          <w:szCs w:val="24"/>
        </w:rPr>
        <w:t>4.5.9</w:t>
      </w:r>
      <w:r>
        <w:rPr>
          <w:rFonts w:ascii="Calibri" w:eastAsiaTheme="minorEastAsia" w:hAnsi="Calibri" w:cs="Times New Roman"/>
          <w:bCs/>
          <w:sz w:val="24"/>
          <w:szCs w:val="24"/>
        </w:rPr>
        <w:tab/>
      </w:r>
      <w:r w:rsidRPr="00283531">
        <w:rPr>
          <w:rFonts w:ascii="Calibri" w:eastAsiaTheme="minorEastAsia" w:hAnsi="Calibri" w:cs="Times New Roman"/>
          <w:bCs/>
          <w:sz w:val="24"/>
          <w:szCs w:val="24"/>
        </w:rPr>
        <w:t>Multi-Level Lighting Switch</w:t>
      </w:r>
      <w:bookmarkEnd w:id="0"/>
      <w:bookmarkEnd w:id="1"/>
    </w:p>
    <w:p w:rsidR="00283531" w:rsidRPr="00283531" w:rsidRDefault="00283531" w:rsidP="00283531">
      <w:pPr>
        <w:keepNext/>
        <w:keepLines/>
        <w:widowControl w:val="0"/>
        <w:tabs>
          <w:tab w:val="left" w:pos="5040"/>
        </w:tabs>
        <w:spacing w:before="200" w:after="120"/>
        <w:outlineLvl w:val="5"/>
        <w:rPr>
          <w:rFonts w:eastAsia="Times New Roman" w:cs="Calibri"/>
          <w:b/>
          <w:smallCaps/>
        </w:rPr>
      </w:pPr>
      <w:r w:rsidRPr="00283531">
        <w:rPr>
          <w:rFonts w:eastAsia="Times New Roman" w:cs="Calibri"/>
          <w:b/>
          <w:smallCaps/>
        </w:rPr>
        <w:t xml:space="preserve">Description </w:t>
      </w:r>
    </w:p>
    <w:p w:rsidR="00283531" w:rsidRPr="00283531" w:rsidRDefault="00283531" w:rsidP="00283531">
      <w:pPr>
        <w:widowControl w:val="0"/>
        <w:spacing w:after="120" w:line="240" w:lineRule="auto"/>
        <w:jc w:val="both"/>
        <w:rPr>
          <w:rFonts w:eastAsia="Times New Roman" w:cs="Times New Roman"/>
          <w:sz w:val="20"/>
        </w:rPr>
      </w:pPr>
      <w:r w:rsidRPr="00283531">
        <w:rPr>
          <w:rFonts w:eastAsia="Times New Roman" w:cs="Times New Roman"/>
          <w:sz w:val="20"/>
        </w:rPr>
        <w:t>This measure relates to the installation new multi-level lighting switches on an existing lighting system.</w:t>
      </w:r>
    </w:p>
    <w:p w:rsidR="00283531" w:rsidRPr="00283531" w:rsidRDefault="00283531" w:rsidP="00283531">
      <w:pPr>
        <w:widowControl w:val="0"/>
        <w:spacing w:after="120" w:line="240" w:lineRule="auto"/>
        <w:jc w:val="both"/>
        <w:rPr>
          <w:rFonts w:eastAsia="Times New Roman" w:cs="Times New Roman"/>
          <w:sz w:val="20"/>
        </w:rPr>
      </w:pPr>
      <w:r w:rsidRPr="00283531">
        <w:rPr>
          <w:rFonts w:eastAsia="Times New Roman" w:cs="Times New Roman"/>
          <w:sz w:val="20"/>
        </w:rPr>
        <w:t>This measure can only relate to the adding of a new control in an existing building, since multi-level switching is required in the Commercial new construction building energy code (IECC 2012</w:t>
      </w:r>
      <w:ins w:id="2" w:author="April Desclos" w:date="2015-11-02T16:14:00Z">
        <w:r w:rsidR="00877778">
          <w:rPr>
            <w:rFonts w:eastAsia="Times New Roman" w:cs="Times New Roman"/>
            <w:sz w:val="20"/>
          </w:rPr>
          <w:t>/2015</w:t>
        </w:r>
      </w:ins>
      <w:r w:rsidRPr="00283531">
        <w:rPr>
          <w:rFonts w:eastAsia="Times New Roman" w:cs="Times New Roman"/>
          <w:sz w:val="20"/>
        </w:rPr>
        <w:t>).</w:t>
      </w:r>
    </w:p>
    <w:p w:rsidR="00283531" w:rsidRPr="00283531" w:rsidRDefault="00283531" w:rsidP="00283531">
      <w:pPr>
        <w:spacing w:after="120" w:line="240" w:lineRule="auto"/>
        <w:rPr>
          <w:rFonts w:ascii="Calibri" w:eastAsia="Times New Roman" w:hAnsi="Calibri" w:cs="Calibri"/>
          <w:sz w:val="20"/>
          <w:szCs w:val="20"/>
        </w:rPr>
      </w:pPr>
      <w:r w:rsidRPr="00283531">
        <w:rPr>
          <w:rFonts w:ascii="Calibri" w:eastAsia="Times New Roman" w:hAnsi="Calibri" w:cs="Calibri"/>
          <w:sz w:val="20"/>
          <w:szCs w:val="20"/>
        </w:rPr>
        <w:t>This measure was developed to be applicable to the following progra</w:t>
      </w:r>
      <w:bookmarkStart w:id="3" w:name="_GoBack"/>
      <w:bookmarkEnd w:id="3"/>
      <w:r w:rsidRPr="00283531">
        <w:rPr>
          <w:rFonts w:ascii="Calibri" w:eastAsia="Times New Roman" w:hAnsi="Calibri" w:cs="Calibri"/>
          <w:sz w:val="20"/>
          <w:szCs w:val="20"/>
        </w:rPr>
        <w:t xml:space="preserve">m types: RF.  </w:t>
      </w:r>
    </w:p>
    <w:p w:rsidR="00283531" w:rsidRPr="00283531" w:rsidRDefault="00283531" w:rsidP="00283531">
      <w:pPr>
        <w:spacing w:after="120" w:line="240" w:lineRule="auto"/>
        <w:rPr>
          <w:rFonts w:ascii="Calibri" w:eastAsia="Times New Roman" w:hAnsi="Calibri" w:cs="Calibri"/>
          <w:sz w:val="20"/>
          <w:szCs w:val="20"/>
        </w:rPr>
      </w:pPr>
      <w:r w:rsidRPr="00283531">
        <w:rPr>
          <w:rFonts w:ascii="Calibri" w:eastAsia="Times New Roman" w:hAnsi="Calibri" w:cs="Calibri"/>
          <w:sz w:val="20"/>
          <w:szCs w:val="20"/>
        </w:rPr>
        <w:t>If applied to other program types, the measure savings should be verified.</w:t>
      </w:r>
    </w:p>
    <w:p w:rsidR="00283531" w:rsidRPr="00283531" w:rsidRDefault="00283531" w:rsidP="00283531">
      <w:pPr>
        <w:keepNext/>
        <w:keepLines/>
        <w:widowControl w:val="0"/>
        <w:tabs>
          <w:tab w:val="left" w:pos="5040"/>
        </w:tabs>
        <w:spacing w:before="200" w:after="120"/>
        <w:outlineLvl w:val="5"/>
        <w:rPr>
          <w:rFonts w:eastAsia="Times New Roman" w:cs="Calibri"/>
          <w:b/>
          <w:smallCaps/>
        </w:rPr>
      </w:pPr>
      <w:r w:rsidRPr="00283531">
        <w:rPr>
          <w:rFonts w:eastAsia="Times New Roman" w:cs="Calibri"/>
          <w:b/>
          <w:smallCaps/>
        </w:rPr>
        <w:t xml:space="preserve">Definition of Efficient Equipment </w:t>
      </w:r>
    </w:p>
    <w:p w:rsidR="00283531" w:rsidRPr="00283531" w:rsidRDefault="00283531" w:rsidP="00283531">
      <w:pPr>
        <w:widowControl w:val="0"/>
        <w:spacing w:after="120" w:line="240" w:lineRule="auto"/>
        <w:jc w:val="both"/>
        <w:rPr>
          <w:rFonts w:eastAsia="Times New Roman" w:cs="Times New Roman"/>
          <w:sz w:val="20"/>
        </w:rPr>
      </w:pPr>
      <w:r w:rsidRPr="00283531">
        <w:rPr>
          <w:rFonts w:eastAsia="Times New Roman" w:cs="Times New Roman"/>
          <w:sz w:val="20"/>
        </w:rPr>
        <w:t>In order for this characterization to apply, the efficient system is assumed to be a lighting system controlled by multi-level lighting controls.</w:t>
      </w:r>
    </w:p>
    <w:p w:rsidR="00283531" w:rsidRPr="00283531" w:rsidRDefault="00283531" w:rsidP="00283531">
      <w:pPr>
        <w:keepNext/>
        <w:keepLines/>
        <w:widowControl w:val="0"/>
        <w:tabs>
          <w:tab w:val="left" w:pos="5040"/>
        </w:tabs>
        <w:spacing w:before="200" w:after="120"/>
        <w:outlineLvl w:val="5"/>
        <w:rPr>
          <w:rFonts w:eastAsia="Times New Roman" w:cs="Calibri"/>
          <w:b/>
          <w:smallCaps/>
        </w:rPr>
      </w:pPr>
      <w:r w:rsidRPr="00283531">
        <w:rPr>
          <w:rFonts w:eastAsia="Times New Roman" w:cs="Calibri"/>
          <w:b/>
          <w:smallCaps/>
        </w:rPr>
        <w:t>Definition of Baseline Equipment</w:t>
      </w:r>
    </w:p>
    <w:p w:rsidR="00283531" w:rsidRPr="00283531" w:rsidRDefault="00283531" w:rsidP="00283531">
      <w:pPr>
        <w:widowControl w:val="0"/>
        <w:spacing w:after="120" w:line="240" w:lineRule="auto"/>
        <w:jc w:val="both"/>
        <w:rPr>
          <w:rFonts w:eastAsia="Times New Roman" w:cs="Times New Roman"/>
          <w:sz w:val="20"/>
        </w:rPr>
      </w:pPr>
      <w:r w:rsidRPr="00283531">
        <w:rPr>
          <w:rFonts w:eastAsia="Times New Roman" w:cs="Times New Roman"/>
          <w:sz w:val="20"/>
        </w:rPr>
        <w:t>The baseline equipment is assumed to be an uncontrolled lighting system where all lights in a given area are on the same circuit or all circuits come on at the same time.</w:t>
      </w:r>
    </w:p>
    <w:p w:rsidR="00283531" w:rsidRPr="00283531" w:rsidRDefault="00283531" w:rsidP="00283531">
      <w:pPr>
        <w:keepNext/>
        <w:keepLines/>
        <w:widowControl w:val="0"/>
        <w:tabs>
          <w:tab w:val="left" w:pos="5040"/>
        </w:tabs>
        <w:spacing w:before="200" w:after="120"/>
        <w:outlineLvl w:val="5"/>
        <w:rPr>
          <w:rFonts w:eastAsia="Times New Roman" w:cs="Calibri"/>
          <w:b/>
          <w:smallCaps/>
        </w:rPr>
      </w:pPr>
      <w:r w:rsidRPr="00283531">
        <w:rPr>
          <w:rFonts w:eastAsia="Times New Roman" w:cs="Calibri"/>
          <w:b/>
          <w:smallCaps/>
        </w:rPr>
        <w:t xml:space="preserve">Deemed Lifetime of Efficient Equipment </w:t>
      </w:r>
    </w:p>
    <w:p w:rsidR="00283531" w:rsidRPr="00283531" w:rsidRDefault="00283531" w:rsidP="00283531">
      <w:pPr>
        <w:widowControl w:val="0"/>
        <w:spacing w:after="120" w:line="240" w:lineRule="auto"/>
        <w:jc w:val="both"/>
        <w:rPr>
          <w:rFonts w:eastAsia="Times New Roman" w:cs="Times New Roman"/>
          <w:b/>
          <w:iCs/>
          <w:sz w:val="20"/>
        </w:rPr>
      </w:pPr>
      <w:r w:rsidRPr="00283531">
        <w:rPr>
          <w:rFonts w:eastAsia="Times New Roman" w:cs="Times New Roman"/>
          <w:sz w:val="20"/>
        </w:rPr>
        <w:t>The expected measure life for all lighting controls is assumed to be 8 years</w:t>
      </w:r>
      <w:r w:rsidRPr="00283531">
        <w:rPr>
          <w:rFonts w:ascii="Arial" w:eastAsiaTheme="majorEastAsia" w:hAnsi="Arial" w:cs="Times New Roman"/>
          <w:sz w:val="20"/>
          <w:vertAlign w:val="superscript"/>
        </w:rPr>
        <w:footnoteReference w:id="1"/>
      </w:r>
      <w:r w:rsidRPr="00283531">
        <w:rPr>
          <w:rFonts w:eastAsia="Times New Roman" w:cs="Times New Roman"/>
          <w:sz w:val="20"/>
        </w:rPr>
        <w:t xml:space="preserve">. </w:t>
      </w:r>
    </w:p>
    <w:p w:rsidR="00283531" w:rsidRPr="00283531" w:rsidRDefault="00283531" w:rsidP="00283531">
      <w:pPr>
        <w:keepNext/>
        <w:keepLines/>
        <w:widowControl w:val="0"/>
        <w:tabs>
          <w:tab w:val="left" w:pos="5040"/>
        </w:tabs>
        <w:spacing w:before="200" w:after="120"/>
        <w:outlineLvl w:val="5"/>
        <w:rPr>
          <w:rFonts w:eastAsia="Times New Roman" w:cs="Calibri"/>
          <w:b/>
          <w:smallCaps/>
        </w:rPr>
      </w:pPr>
      <w:r w:rsidRPr="00283531">
        <w:rPr>
          <w:rFonts w:eastAsia="Times New Roman" w:cs="Calibri"/>
          <w:b/>
          <w:smallCaps/>
        </w:rPr>
        <w:t xml:space="preserve">Deemed Measure Cost </w:t>
      </w:r>
    </w:p>
    <w:p w:rsidR="00283531" w:rsidRPr="00283531" w:rsidRDefault="00283531" w:rsidP="00283531">
      <w:pPr>
        <w:widowControl w:val="0"/>
        <w:spacing w:after="120" w:line="240" w:lineRule="auto"/>
        <w:jc w:val="both"/>
        <w:rPr>
          <w:rFonts w:eastAsia="Times New Roman" w:cs="Times New Roman"/>
          <w:sz w:val="20"/>
        </w:rPr>
      </w:pPr>
      <w:r w:rsidRPr="00283531">
        <w:rPr>
          <w:rFonts w:eastAsia="Times New Roman" w:cs="Times New Roman"/>
          <w:sz w:val="20"/>
        </w:rPr>
        <w:t>When available, the actual cost of the measure shall be used.  When not available, the incremental capital cost for this measure is assumed to be $274</w:t>
      </w:r>
      <w:r w:rsidRPr="00283531">
        <w:rPr>
          <w:rFonts w:ascii="Arial" w:eastAsiaTheme="majorEastAsia" w:hAnsi="Arial" w:cs="Times New Roman"/>
          <w:sz w:val="20"/>
          <w:vertAlign w:val="superscript"/>
        </w:rPr>
        <w:footnoteReference w:id="2"/>
      </w:r>
      <w:r w:rsidRPr="00283531">
        <w:rPr>
          <w:rFonts w:eastAsia="Times New Roman" w:cs="Times New Roman"/>
          <w:sz w:val="20"/>
        </w:rPr>
        <w:t xml:space="preserve">. </w:t>
      </w:r>
    </w:p>
    <w:p w:rsidR="00283531" w:rsidRPr="00283531" w:rsidRDefault="00283531" w:rsidP="00283531">
      <w:pPr>
        <w:keepNext/>
        <w:keepLines/>
        <w:widowControl w:val="0"/>
        <w:tabs>
          <w:tab w:val="left" w:pos="5040"/>
        </w:tabs>
        <w:spacing w:before="200" w:after="120"/>
        <w:outlineLvl w:val="5"/>
        <w:rPr>
          <w:rFonts w:eastAsia="Times New Roman" w:cs="Calibri"/>
          <w:b/>
          <w:smallCaps/>
        </w:rPr>
      </w:pPr>
      <w:proofErr w:type="spellStart"/>
      <w:r w:rsidRPr="00283531">
        <w:rPr>
          <w:rFonts w:eastAsia="Times New Roman" w:cs="Calibri"/>
          <w:b/>
          <w:smallCaps/>
        </w:rPr>
        <w:t>Loadshape</w:t>
      </w:r>
      <w:proofErr w:type="spellEnd"/>
    </w:p>
    <w:tbl>
      <w:tblPr>
        <w:tblW w:w="8120" w:type="dxa"/>
        <w:tblInd w:w="93" w:type="dxa"/>
        <w:tblLook w:val="04A0" w:firstRow="1" w:lastRow="0" w:firstColumn="1" w:lastColumn="0" w:noHBand="0" w:noVBand="1"/>
      </w:tblPr>
      <w:tblGrid>
        <w:gridCol w:w="8120"/>
      </w:tblGrid>
      <w:tr w:rsidR="00283531" w:rsidRPr="00283531" w:rsidTr="00EF462C">
        <w:trPr>
          <w:trHeight w:val="300"/>
        </w:trPr>
        <w:tc>
          <w:tcPr>
            <w:tcW w:w="8120" w:type="dxa"/>
            <w:tcBorders>
              <w:top w:val="nil"/>
              <w:left w:val="nil"/>
              <w:bottom w:val="nil"/>
              <w:right w:val="nil"/>
            </w:tcBorders>
            <w:shd w:val="clear" w:color="auto" w:fill="auto"/>
            <w:noWrap/>
            <w:vAlign w:val="center"/>
            <w:hideMark/>
          </w:tcPr>
          <w:p w:rsidR="00283531" w:rsidRPr="00283531" w:rsidRDefault="00283531" w:rsidP="00283531">
            <w:pPr>
              <w:spacing w:after="120" w:line="240" w:lineRule="auto"/>
              <w:rPr>
                <w:rFonts w:ascii="Calibri" w:eastAsia="Times New Roman" w:hAnsi="Calibri" w:cs="Calibri"/>
                <w:color w:val="000000"/>
                <w:sz w:val="20"/>
                <w:szCs w:val="20"/>
              </w:rPr>
            </w:pPr>
            <w:proofErr w:type="spellStart"/>
            <w:r w:rsidRPr="00283531">
              <w:rPr>
                <w:rFonts w:ascii="Calibri" w:eastAsia="Times New Roman" w:hAnsi="Calibri" w:cs="Calibri"/>
                <w:color w:val="000000"/>
                <w:sz w:val="20"/>
                <w:szCs w:val="20"/>
              </w:rPr>
              <w:t>Loadshape</w:t>
            </w:r>
            <w:proofErr w:type="spellEnd"/>
            <w:r w:rsidRPr="00283531">
              <w:rPr>
                <w:rFonts w:ascii="Calibri" w:eastAsia="Times New Roman" w:hAnsi="Calibri" w:cs="Calibri"/>
                <w:color w:val="000000"/>
                <w:sz w:val="20"/>
                <w:szCs w:val="20"/>
              </w:rPr>
              <w:t xml:space="preserve"> C06 - Commercial Indoor Lighting</w:t>
            </w:r>
          </w:p>
        </w:tc>
      </w:tr>
      <w:tr w:rsidR="00283531" w:rsidRPr="00283531" w:rsidTr="00EF462C">
        <w:trPr>
          <w:trHeight w:val="300"/>
        </w:trPr>
        <w:tc>
          <w:tcPr>
            <w:tcW w:w="8120" w:type="dxa"/>
            <w:tcBorders>
              <w:top w:val="nil"/>
              <w:left w:val="nil"/>
              <w:bottom w:val="nil"/>
              <w:right w:val="nil"/>
            </w:tcBorders>
            <w:shd w:val="clear" w:color="auto" w:fill="auto"/>
            <w:noWrap/>
            <w:vAlign w:val="center"/>
            <w:hideMark/>
          </w:tcPr>
          <w:p w:rsidR="00283531" w:rsidRPr="00283531" w:rsidRDefault="00283531" w:rsidP="00283531">
            <w:pPr>
              <w:spacing w:after="120" w:line="240" w:lineRule="auto"/>
              <w:rPr>
                <w:rFonts w:ascii="Calibri" w:eastAsia="Times New Roman" w:hAnsi="Calibri" w:cs="Calibri"/>
                <w:color w:val="000000"/>
                <w:sz w:val="20"/>
                <w:szCs w:val="20"/>
              </w:rPr>
            </w:pPr>
            <w:proofErr w:type="spellStart"/>
            <w:r w:rsidRPr="00283531">
              <w:rPr>
                <w:rFonts w:ascii="Calibri" w:eastAsia="Times New Roman" w:hAnsi="Calibri" w:cs="Calibri"/>
                <w:color w:val="000000"/>
                <w:sz w:val="20"/>
                <w:szCs w:val="20"/>
              </w:rPr>
              <w:t>Loadshape</w:t>
            </w:r>
            <w:proofErr w:type="spellEnd"/>
            <w:r w:rsidRPr="00283531">
              <w:rPr>
                <w:rFonts w:ascii="Calibri" w:eastAsia="Times New Roman" w:hAnsi="Calibri" w:cs="Calibri"/>
                <w:color w:val="000000"/>
                <w:sz w:val="20"/>
                <w:szCs w:val="20"/>
              </w:rPr>
              <w:t xml:space="preserve"> C07 - Grocery/Conv. Store Indoor Lighting</w:t>
            </w:r>
          </w:p>
        </w:tc>
      </w:tr>
      <w:tr w:rsidR="00283531" w:rsidRPr="00283531" w:rsidTr="00EF462C">
        <w:trPr>
          <w:trHeight w:val="300"/>
        </w:trPr>
        <w:tc>
          <w:tcPr>
            <w:tcW w:w="8120" w:type="dxa"/>
            <w:tcBorders>
              <w:top w:val="nil"/>
              <w:left w:val="nil"/>
              <w:bottom w:val="nil"/>
              <w:right w:val="nil"/>
            </w:tcBorders>
            <w:shd w:val="clear" w:color="auto" w:fill="auto"/>
            <w:noWrap/>
            <w:vAlign w:val="center"/>
            <w:hideMark/>
          </w:tcPr>
          <w:p w:rsidR="00283531" w:rsidRPr="00283531" w:rsidRDefault="00283531" w:rsidP="00283531">
            <w:pPr>
              <w:spacing w:after="120" w:line="240" w:lineRule="auto"/>
              <w:rPr>
                <w:rFonts w:ascii="Calibri" w:eastAsia="Times New Roman" w:hAnsi="Calibri" w:cs="Calibri"/>
                <w:color w:val="000000"/>
                <w:sz w:val="20"/>
                <w:szCs w:val="20"/>
              </w:rPr>
            </w:pPr>
            <w:proofErr w:type="spellStart"/>
            <w:r w:rsidRPr="00283531">
              <w:rPr>
                <w:rFonts w:ascii="Calibri" w:eastAsia="Times New Roman" w:hAnsi="Calibri" w:cs="Calibri"/>
                <w:color w:val="000000"/>
                <w:sz w:val="20"/>
                <w:szCs w:val="20"/>
              </w:rPr>
              <w:t>Loadshape</w:t>
            </w:r>
            <w:proofErr w:type="spellEnd"/>
            <w:r w:rsidRPr="00283531">
              <w:rPr>
                <w:rFonts w:ascii="Calibri" w:eastAsia="Times New Roman" w:hAnsi="Calibri" w:cs="Calibri"/>
                <w:color w:val="000000"/>
                <w:sz w:val="20"/>
                <w:szCs w:val="20"/>
              </w:rPr>
              <w:t xml:space="preserve"> C08 - Hospital Indoor Lighting</w:t>
            </w:r>
          </w:p>
        </w:tc>
      </w:tr>
      <w:tr w:rsidR="00283531" w:rsidRPr="00283531" w:rsidTr="00EF462C">
        <w:trPr>
          <w:trHeight w:val="300"/>
        </w:trPr>
        <w:tc>
          <w:tcPr>
            <w:tcW w:w="8120" w:type="dxa"/>
            <w:tcBorders>
              <w:top w:val="nil"/>
              <w:left w:val="nil"/>
              <w:bottom w:val="nil"/>
              <w:right w:val="nil"/>
            </w:tcBorders>
            <w:shd w:val="clear" w:color="auto" w:fill="auto"/>
            <w:noWrap/>
            <w:vAlign w:val="center"/>
            <w:hideMark/>
          </w:tcPr>
          <w:p w:rsidR="00283531" w:rsidRPr="00283531" w:rsidRDefault="00283531" w:rsidP="00283531">
            <w:pPr>
              <w:spacing w:after="120" w:line="240" w:lineRule="auto"/>
              <w:rPr>
                <w:rFonts w:ascii="Calibri" w:eastAsia="Times New Roman" w:hAnsi="Calibri" w:cs="Calibri"/>
                <w:color w:val="000000"/>
                <w:sz w:val="20"/>
                <w:szCs w:val="20"/>
              </w:rPr>
            </w:pPr>
            <w:proofErr w:type="spellStart"/>
            <w:r w:rsidRPr="00283531">
              <w:rPr>
                <w:rFonts w:ascii="Calibri" w:eastAsia="Times New Roman" w:hAnsi="Calibri" w:cs="Calibri"/>
                <w:color w:val="000000"/>
                <w:sz w:val="20"/>
                <w:szCs w:val="20"/>
              </w:rPr>
              <w:t>Loadshape</w:t>
            </w:r>
            <w:proofErr w:type="spellEnd"/>
            <w:r w:rsidRPr="00283531">
              <w:rPr>
                <w:rFonts w:ascii="Calibri" w:eastAsia="Times New Roman" w:hAnsi="Calibri" w:cs="Calibri"/>
                <w:color w:val="000000"/>
                <w:sz w:val="20"/>
                <w:szCs w:val="20"/>
              </w:rPr>
              <w:t xml:space="preserve"> C09 - Office Indoor Lighting</w:t>
            </w:r>
          </w:p>
        </w:tc>
      </w:tr>
      <w:tr w:rsidR="00283531" w:rsidRPr="00283531" w:rsidTr="00EF462C">
        <w:trPr>
          <w:trHeight w:val="300"/>
        </w:trPr>
        <w:tc>
          <w:tcPr>
            <w:tcW w:w="8120" w:type="dxa"/>
            <w:tcBorders>
              <w:top w:val="nil"/>
              <w:left w:val="nil"/>
              <w:bottom w:val="nil"/>
              <w:right w:val="nil"/>
            </w:tcBorders>
            <w:shd w:val="clear" w:color="auto" w:fill="auto"/>
            <w:noWrap/>
            <w:vAlign w:val="center"/>
            <w:hideMark/>
          </w:tcPr>
          <w:p w:rsidR="00283531" w:rsidRPr="00283531" w:rsidRDefault="00283531" w:rsidP="00283531">
            <w:pPr>
              <w:spacing w:after="120" w:line="240" w:lineRule="auto"/>
              <w:rPr>
                <w:rFonts w:ascii="Calibri" w:eastAsia="Times New Roman" w:hAnsi="Calibri" w:cs="Calibri"/>
                <w:color w:val="000000"/>
                <w:sz w:val="20"/>
                <w:szCs w:val="20"/>
              </w:rPr>
            </w:pPr>
            <w:proofErr w:type="spellStart"/>
            <w:r w:rsidRPr="00283531">
              <w:rPr>
                <w:rFonts w:ascii="Calibri" w:eastAsia="Times New Roman" w:hAnsi="Calibri" w:cs="Calibri"/>
                <w:color w:val="000000"/>
                <w:sz w:val="20"/>
                <w:szCs w:val="20"/>
              </w:rPr>
              <w:t>Loadshape</w:t>
            </w:r>
            <w:proofErr w:type="spellEnd"/>
            <w:r w:rsidRPr="00283531">
              <w:rPr>
                <w:rFonts w:ascii="Calibri" w:eastAsia="Times New Roman" w:hAnsi="Calibri" w:cs="Calibri"/>
                <w:color w:val="000000"/>
                <w:sz w:val="20"/>
                <w:szCs w:val="20"/>
              </w:rPr>
              <w:t xml:space="preserve"> C10 - Restaurant Indoor Lighting</w:t>
            </w:r>
          </w:p>
        </w:tc>
      </w:tr>
      <w:tr w:rsidR="00283531" w:rsidRPr="00283531" w:rsidTr="00EF462C">
        <w:trPr>
          <w:trHeight w:val="300"/>
        </w:trPr>
        <w:tc>
          <w:tcPr>
            <w:tcW w:w="8120" w:type="dxa"/>
            <w:tcBorders>
              <w:top w:val="nil"/>
              <w:left w:val="nil"/>
              <w:bottom w:val="nil"/>
              <w:right w:val="nil"/>
            </w:tcBorders>
            <w:shd w:val="clear" w:color="auto" w:fill="auto"/>
            <w:noWrap/>
            <w:vAlign w:val="center"/>
            <w:hideMark/>
          </w:tcPr>
          <w:p w:rsidR="00283531" w:rsidRPr="00283531" w:rsidRDefault="00283531" w:rsidP="00283531">
            <w:pPr>
              <w:spacing w:after="120" w:line="240" w:lineRule="auto"/>
              <w:rPr>
                <w:rFonts w:ascii="Calibri" w:eastAsia="Times New Roman" w:hAnsi="Calibri" w:cs="Calibri"/>
                <w:color w:val="000000"/>
                <w:sz w:val="20"/>
                <w:szCs w:val="20"/>
              </w:rPr>
            </w:pPr>
            <w:proofErr w:type="spellStart"/>
            <w:r w:rsidRPr="00283531">
              <w:rPr>
                <w:rFonts w:ascii="Calibri" w:eastAsia="Times New Roman" w:hAnsi="Calibri" w:cs="Calibri"/>
                <w:color w:val="000000"/>
                <w:sz w:val="20"/>
                <w:szCs w:val="20"/>
              </w:rPr>
              <w:t>Loadshape</w:t>
            </w:r>
            <w:proofErr w:type="spellEnd"/>
            <w:r w:rsidRPr="00283531">
              <w:rPr>
                <w:rFonts w:ascii="Calibri" w:eastAsia="Times New Roman" w:hAnsi="Calibri" w:cs="Calibri"/>
                <w:color w:val="000000"/>
                <w:sz w:val="20"/>
                <w:szCs w:val="20"/>
              </w:rPr>
              <w:t xml:space="preserve"> C11 - Retail Indoor Lighting</w:t>
            </w:r>
          </w:p>
        </w:tc>
      </w:tr>
      <w:tr w:rsidR="00283531" w:rsidRPr="00283531" w:rsidTr="00EF462C">
        <w:trPr>
          <w:trHeight w:val="300"/>
        </w:trPr>
        <w:tc>
          <w:tcPr>
            <w:tcW w:w="8120" w:type="dxa"/>
            <w:tcBorders>
              <w:top w:val="nil"/>
              <w:left w:val="nil"/>
              <w:bottom w:val="nil"/>
              <w:right w:val="nil"/>
            </w:tcBorders>
            <w:shd w:val="clear" w:color="auto" w:fill="auto"/>
            <w:noWrap/>
            <w:vAlign w:val="center"/>
            <w:hideMark/>
          </w:tcPr>
          <w:p w:rsidR="00283531" w:rsidRPr="00283531" w:rsidRDefault="00283531" w:rsidP="00283531">
            <w:pPr>
              <w:spacing w:after="120" w:line="240" w:lineRule="auto"/>
              <w:rPr>
                <w:rFonts w:ascii="Calibri" w:eastAsia="Times New Roman" w:hAnsi="Calibri" w:cs="Calibri"/>
                <w:color w:val="000000"/>
                <w:sz w:val="20"/>
                <w:szCs w:val="20"/>
              </w:rPr>
            </w:pPr>
            <w:proofErr w:type="spellStart"/>
            <w:r w:rsidRPr="00283531">
              <w:rPr>
                <w:rFonts w:ascii="Calibri" w:eastAsia="Times New Roman" w:hAnsi="Calibri" w:cs="Calibri"/>
                <w:color w:val="000000"/>
                <w:sz w:val="20"/>
                <w:szCs w:val="20"/>
              </w:rPr>
              <w:t>Loadshape</w:t>
            </w:r>
            <w:proofErr w:type="spellEnd"/>
            <w:r w:rsidRPr="00283531">
              <w:rPr>
                <w:rFonts w:ascii="Calibri" w:eastAsia="Times New Roman" w:hAnsi="Calibri" w:cs="Calibri"/>
                <w:color w:val="000000"/>
                <w:sz w:val="20"/>
                <w:szCs w:val="20"/>
              </w:rPr>
              <w:t xml:space="preserve"> C12 - Warehouse Indoor Lighting</w:t>
            </w:r>
          </w:p>
        </w:tc>
      </w:tr>
      <w:tr w:rsidR="00283531" w:rsidRPr="00283531" w:rsidTr="00EF462C">
        <w:trPr>
          <w:trHeight w:val="300"/>
        </w:trPr>
        <w:tc>
          <w:tcPr>
            <w:tcW w:w="8120" w:type="dxa"/>
            <w:tcBorders>
              <w:top w:val="nil"/>
              <w:left w:val="nil"/>
              <w:bottom w:val="nil"/>
              <w:right w:val="nil"/>
            </w:tcBorders>
            <w:shd w:val="clear" w:color="auto" w:fill="auto"/>
            <w:noWrap/>
            <w:vAlign w:val="center"/>
            <w:hideMark/>
          </w:tcPr>
          <w:p w:rsidR="00283531" w:rsidRPr="00283531" w:rsidRDefault="00283531" w:rsidP="00283531">
            <w:pPr>
              <w:spacing w:after="120" w:line="240" w:lineRule="auto"/>
              <w:rPr>
                <w:rFonts w:ascii="Calibri" w:eastAsia="Times New Roman" w:hAnsi="Calibri" w:cs="Calibri"/>
                <w:color w:val="000000"/>
                <w:sz w:val="20"/>
                <w:szCs w:val="20"/>
              </w:rPr>
            </w:pPr>
            <w:proofErr w:type="spellStart"/>
            <w:r w:rsidRPr="00283531">
              <w:rPr>
                <w:rFonts w:ascii="Calibri" w:eastAsia="Times New Roman" w:hAnsi="Calibri" w:cs="Calibri"/>
                <w:color w:val="000000"/>
                <w:sz w:val="20"/>
                <w:szCs w:val="20"/>
              </w:rPr>
              <w:t>Loadshape</w:t>
            </w:r>
            <w:proofErr w:type="spellEnd"/>
            <w:r w:rsidRPr="00283531">
              <w:rPr>
                <w:rFonts w:ascii="Calibri" w:eastAsia="Times New Roman" w:hAnsi="Calibri" w:cs="Calibri"/>
                <w:color w:val="000000"/>
                <w:sz w:val="20"/>
                <w:szCs w:val="20"/>
              </w:rPr>
              <w:t xml:space="preserve"> C13 - K-12 School Indoor Lighting</w:t>
            </w:r>
          </w:p>
        </w:tc>
      </w:tr>
      <w:tr w:rsidR="00283531" w:rsidRPr="00283531" w:rsidTr="00EF462C">
        <w:trPr>
          <w:trHeight w:val="300"/>
        </w:trPr>
        <w:tc>
          <w:tcPr>
            <w:tcW w:w="8120" w:type="dxa"/>
            <w:tcBorders>
              <w:top w:val="nil"/>
              <w:left w:val="nil"/>
              <w:bottom w:val="nil"/>
              <w:right w:val="nil"/>
            </w:tcBorders>
            <w:shd w:val="clear" w:color="auto" w:fill="auto"/>
            <w:noWrap/>
            <w:vAlign w:val="center"/>
            <w:hideMark/>
          </w:tcPr>
          <w:p w:rsidR="00283531" w:rsidRPr="00283531" w:rsidRDefault="00283531" w:rsidP="00283531">
            <w:pPr>
              <w:spacing w:after="120" w:line="240" w:lineRule="auto"/>
              <w:rPr>
                <w:rFonts w:ascii="Calibri" w:eastAsia="Times New Roman" w:hAnsi="Calibri" w:cs="Calibri"/>
                <w:color w:val="000000"/>
                <w:sz w:val="20"/>
                <w:szCs w:val="20"/>
              </w:rPr>
            </w:pPr>
            <w:proofErr w:type="spellStart"/>
            <w:r w:rsidRPr="00283531">
              <w:rPr>
                <w:rFonts w:ascii="Calibri" w:eastAsia="Times New Roman" w:hAnsi="Calibri" w:cs="Calibri"/>
                <w:color w:val="000000"/>
                <w:sz w:val="20"/>
                <w:szCs w:val="20"/>
              </w:rPr>
              <w:t>Loadshape</w:t>
            </w:r>
            <w:proofErr w:type="spellEnd"/>
            <w:r w:rsidRPr="00283531">
              <w:rPr>
                <w:rFonts w:ascii="Calibri" w:eastAsia="Times New Roman" w:hAnsi="Calibri" w:cs="Calibri"/>
                <w:color w:val="000000"/>
                <w:sz w:val="20"/>
                <w:szCs w:val="20"/>
              </w:rPr>
              <w:t xml:space="preserve"> C14 - </w:t>
            </w:r>
            <w:proofErr w:type="spellStart"/>
            <w:r w:rsidRPr="00283531">
              <w:rPr>
                <w:rFonts w:ascii="Calibri" w:eastAsia="Times New Roman" w:hAnsi="Calibri" w:cs="Calibri"/>
                <w:color w:val="000000"/>
                <w:sz w:val="20"/>
                <w:szCs w:val="20"/>
              </w:rPr>
              <w:t>Indust</w:t>
            </w:r>
            <w:proofErr w:type="spellEnd"/>
            <w:r w:rsidRPr="00283531">
              <w:rPr>
                <w:rFonts w:ascii="Calibri" w:eastAsia="Times New Roman" w:hAnsi="Calibri" w:cs="Calibri"/>
                <w:color w:val="000000"/>
                <w:sz w:val="20"/>
                <w:szCs w:val="20"/>
              </w:rPr>
              <w:t>. 1-shift (8/5) (e.g., comp. air, lights)</w:t>
            </w:r>
          </w:p>
        </w:tc>
      </w:tr>
      <w:tr w:rsidR="00283531" w:rsidRPr="00283531" w:rsidTr="00EF462C">
        <w:trPr>
          <w:trHeight w:val="300"/>
        </w:trPr>
        <w:tc>
          <w:tcPr>
            <w:tcW w:w="8120" w:type="dxa"/>
            <w:tcBorders>
              <w:top w:val="nil"/>
              <w:left w:val="nil"/>
              <w:bottom w:val="nil"/>
              <w:right w:val="nil"/>
            </w:tcBorders>
            <w:shd w:val="clear" w:color="auto" w:fill="auto"/>
            <w:noWrap/>
            <w:vAlign w:val="center"/>
            <w:hideMark/>
          </w:tcPr>
          <w:p w:rsidR="00283531" w:rsidRPr="00283531" w:rsidRDefault="00283531" w:rsidP="00283531">
            <w:pPr>
              <w:spacing w:after="120" w:line="240" w:lineRule="auto"/>
              <w:rPr>
                <w:rFonts w:ascii="Calibri" w:eastAsia="Times New Roman" w:hAnsi="Calibri" w:cs="Calibri"/>
                <w:color w:val="000000"/>
                <w:sz w:val="20"/>
                <w:szCs w:val="20"/>
              </w:rPr>
            </w:pPr>
            <w:proofErr w:type="spellStart"/>
            <w:r w:rsidRPr="00283531">
              <w:rPr>
                <w:rFonts w:ascii="Calibri" w:eastAsia="Times New Roman" w:hAnsi="Calibri" w:cs="Calibri"/>
                <w:color w:val="000000"/>
                <w:sz w:val="20"/>
                <w:szCs w:val="20"/>
              </w:rPr>
              <w:t>Loadshape</w:t>
            </w:r>
            <w:proofErr w:type="spellEnd"/>
            <w:r w:rsidRPr="00283531">
              <w:rPr>
                <w:rFonts w:ascii="Calibri" w:eastAsia="Times New Roman" w:hAnsi="Calibri" w:cs="Calibri"/>
                <w:color w:val="000000"/>
                <w:sz w:val="20"/>
                <w:szCs w:val="20"/>
              </w:rPr>
              <w:t xml:space="preserve"> C15 - </w:t>
            </w:r>
            <w:proofErr w:type="spellStart"/>
            <w:r w:rsidRPr="00283531">
              <w:rPr>
                <w:rFonts w:ascii="Calibri" w:eastAsia="Times New Roman" w:hAnsi="Calibri" w:cs="Calibri"/>
                <w:color w:val="000000"/>
                <w:sz w:val="20"/>
                <w:szCs w:val="20"/>
              </w:rPr>
              <w:t>Indust</w:t>
            </w:r>
            <w:proofErr w:type="spellEnd"/>
            <w:r w:rsidRPr="00283531">
              <w:rPr>
                <w:rFonts w:ascii="Calibri" w:eastAsia="Times New Roman" w:hAnsi="Calibri" w:cs="Calibri"/>
                <w:color w:val="000000"/>
                <w:sz w:val="20"/>
                <w:szCs w:val="20"/>
              </w:rPr>
              <w:t>. 2-shift (16/5) (e.g., comp. air, lights)</w:t>
            </w:r>
          </w:p>
        </w:tc>
      </w:tr>
      <w:tr w:rsidR="00283531" w:rsidRPr="00283531" w:rsidTr="00EF462C">
        <w:trPr>
          <w:trHeight w:val="300"/>
        </w:trPr>
        <w:tc>
          <w:tcPr>
            <w:tcW w:w="8120" w:type="dxa"/>
            <w:tcBorders>
              <w:top w:val="nil"/>
              <w:left w:val="nil"/>
              <w:bottom w:val="nil"/>
              <w:right w:val="nil"/>
            </w:tcBorders>
            <w:shd w:val="clear" w:color="auto" w:fill="auto"/>
            <w:noWrap/>
            <w:vAlign w:val="center"/>
            <w:hideMark/>
          </w:tcPr>
          <w:p w:rsidR="00283531" w:rsidRPr="00283531" w:rsidRDefault="00283531" w:rsidP="00283531">
            <w:pPr>
              <w:spacing w:after="120" w:line="240" w:lineRule="auto"/>
              <w:rPr>
                <w:rFonts w:ascii="Calibri" w:eastAsia="Times New Roman" w:hAnsi="Calibri" w:cs="Calibri"/>
                <w:color w:val="000000"/>
                <w:sz w:val="20"/>
                <w:szCs w:val="20"/>
              </w:rPr>
            </w:pPr>
            <w:proofErr w:type="spellStart"/>
            <w:r w:rsidRPr="00283531">
              <w:rPr>
                <w:rFonts w:ascii="Calibri" w:eastAsia="Times New Roman" w:hAnsi="Calibri" w:cs="Calibri"/>
                <w:color w:val="000000"/>
                <w:sz w:val="20"/>
                <w:szCs w:val="20"/>
              </w:rPr>
              <w:t>Loadshape</w:t>
            </w:r>
            <w:proofErr w:type="spellEnd"/>
            <w:r w:rsidRPr="00283531">
              <w:rPr>
                <w:rFonts w:ascii="Calibri" w:eastAsia="Times New Roman" w:hAnsi="Calibri" w:cs="Calibri"/>
                <w:color w:val="000000"/>
                <w:sz w:val="20"/>
                <w:szCs w:val="20"/>
              </w:rPr>
              <w:t xml:space="preserve"> C16 - </w:t>
            </w:r>
            <w:proofErr w:type="spellStart"/>
            <w:r w:rsidRPr="00283531">
              <w:rPr>
                <w:rFonts w:ascii="Calibri" w:eastAsia="Times New Roman" w:hAnsi="Calibri" w:cs="Calibri"/>
                <w:color w:val="000000"/>
                <w:sz w:val="20"/>
                <w:szCs w:val="20"/>
              </w:rPr>
              <w:t>Indust</w:t>
            </w:r>
            <w:proofErr w:type="spellEnd"/>
            <w:r w:rsidRPr="00283531">
              <w:rPr>
                <w:rFonts w:ascii="Calibri" w:eastAsia="Times New Roman" w:hAnsi="Calibri" w:cs="Calibri"/>
                <w:color w:val="000000"/>
                <w:sz w:val="20"/>
                <w:szCs w:val="20"/>
              </w:rPr>
              <w:t>. 3-shift (24/5) (e.g., comp. air, lights)</w:t>
            </w:r>
          </w:p>
        </w:tc>
      </w:tr>
      <w:tr w:rsidR="00283531" w:rsidRPr="00283531" w:rsidTr="00EF462C">
        <w:trPr>
          <w:trHeight w:val="300"/>
        </w:trPr>
        <w:tc>
          <w:tcPr>
            <w:tcW w:w="8120" w:type="dxa"/>
            <w:tcBorders>
              <w:top w:val="nil"/>
              <w:left w:val="nil"/>
              <w:bottom w:val="nil"/>
              <w:right w:val="nil"/>
            </w:tcBorders>
            <w:shd w:val="clear" w:color="auto" w:fill="auto"/>
            <w:noWrap/>
            <w:vAlign w:val="center"/>
            <w:hideMark/>
          </w:tcPr>
          <w:p w:rsidR="00283531" w:rsidRPr="00283531" w:rsidRDefault="00283531" w:rsidP="00283531">
            <w:pPr>
              <w:spacing w:after="120" w:line="240" w:lineRule="auto"/>
              <w:rPr>
                <w:rFonts w:ascii="Calibri" w:eastAsia="Times New Roman" w:hAnsi="Calibri" w:cs="Calibri"/>
                <w:color w:val="000000"/>
                <w:sz w:val="20"/>
                <w:szCs w:val="20"/>
              </w:rPr>
            </w:pPr>
            <w:proofErr w:type="spellStart"/>
            <w:r w:rsidRPr="00283531">
              <w:rPr>
                <w:rFonts w:ascii="Calibri" w:eastAsia="Times New Roman" w:hAnsi="Calibri" w:cs="Calibri"/>
                <w:color w:val="000000"/>
                <w:sz w:val="20"/>
                <w:szCs w:val="20"/>
              </w:rPr>
              <w:t>Loadshape</w:t>
            </w:r>
            <w:proofErr w:type="spellEnd"/>
            <w:r w:rsidRPr="00283531">
              <w:rPr>
                <w:rFonts w:ascii="Calibri" w:eastAsia="Times New Roman" w:hAnsi="Calibri" w:cs="Calibri"/>
                <w:color w:val="000000"/>
                <w:sz w:val="20"/>
                <w:szCs w:val="20"/>
              </w:rPr>
              <w:t xml:space="preserve"> C17 - </w:t>
            </w:r>
            <w:proofErr w:type="spellStart"/>
            <w:r w:rsidRPr="00283531">
              <w:rPr>
                <w:rFonts w:ascii="Calibri" w:eastAsia="Times New Roman" w:hAnsi="Calibri" w:cs="Calibri"/>
                <w:color w:val="000000"/>
                <w:sz w:val="20"/>
                <w:szCs w:val="20"/>
              </w:rPr>
              <w:t>Indust</w:t>
            </w:r>
            <w:proofErr w:type="spellEnd"/>
            <w:r w:rsidRPr="00283531">
              <w:rPr>
                <w:rFonts w:ascii="Calibri" w:eastAsia="Times New Roman" w:hAnsi="Calibri" w:cs="Calibri"/>
                <w:color w:val="000000"/>
                <w:sz w:val="20"/>
                <w:szCs w:val="20"/>
              </w:rPr>
              <w:t>. 4-shift (24/7) (e.g., comp. air, lights)</w:t>
            </w:r>
          </w:p>
        </w:tc>
      </w:tr>
      <w:tr w:rsidR="00283531" w:rsidRPr="00283531" w:rsidTr="00EF462C">
        <w:trPr>
          <w:trHeight w:val="300"/>
        </w:trPr>
        <w:tc>
          <w:tcPr>
            <w:tcW w:w="8120" w:type="dxa"/>
            <w:tcBorders>
              <w:top w:val="nil"/>
              <w:left w:val="nil"/>
              <w:bottom w:val="nil"/>
              <w:right w:val="nil"/>
            </w:tcBorders>
            <w:shd w:val="clear" w:color="auto" w:fill="auto"/>
            <w:noWrap/>
            <w:vAlign w:val="center"/>
            <w:hideMark/>
          </w:tcPr>
          <w:p w:rsidR="00283531" w:rsidRPr="00283531" w:rsidRDefault="00283531" w:rsidP="00283531">
            <w:pPr>
              <w:spacing w:after="120" w:line="240" w:lineRule="auto"/>
              <w:rPr>
                <w:rFonts w:ascii="Calibri" w:eastAsia="Times New Roman" w:hAnsi="Calibri" w:cs="Calibri"/>
                <w:color w:val="000000"/>
                <w:sz w:val="20"/>
                <w:szCs w:val="20"/>
              </w:rPr>
            </w:pPr>
            <w:proofErr w:type="spellStart"/>
            <w:r w:rsidRPr="00283531">
              <w:rPr>
                <w:rFonts w:ascii="Calibri" w:eastAsia="Times New Roman" w:hAnsi="Calibri" w:cs="Calibri"/>
                <w:color w:val="000000"/>
                <w:sz w:val="20"/>
                <w:szCs w:val="20"/>
              </w:rPr>
              <w:lastRenderedPageBreak/>
              <w:t>Loadshape</w:t>
            </w:r>
            <w:proofErr w:type="spellEnd"/>
            <w:r w:rsidRPr="00283531">
              <w:rPr>
                <w:rFonts w:ascii="Calibri" w:eastAsia="Times New Roman" w:hAnsi="Calibri" w:cs="Calibri"/>
                <w:color w:val="000000"/>
                <w:sz w:val="20"/>
                <w:szCs w:val="20"/>
              </w:rPr>
              <w:t xml:space="preserve"> C18 - Industrial Indoor Lighting</w:t>
            </w:r>
          </w:p>
        </w:tc>
      </w:tr>
      <w:tr w:rsidR="00283531" w:rsidRPr="00283531" w:rsidTr="00EF462C">
        <w:trPr>
          <w:trHeight w:val="300"/>
        </w:trPr>
        <w:tc>
          <w:tcPr>
            <w:tcW w:w="8120" w:type="dxa"/>
            <w:tcBorders>
              <w:top w:val="nil"/>
              <w:left w:val="nil"/>
              <w:bottom w:val="nil"/>
              <w:right w:val="nil"/>
            </w:tcBorders>
            <w:shd w:val="clear" w:color="auto" w:fill="auto"/>
            <w:noWrap/>
            <w:vAlign w:val="center"/>
            <w:hideMark/>
          </w:tcPr>
          <w:p w:rsidR="00283531" w:rsidRPr="00283531" w:rsidRDefault="00283531" w:rsidP="00283531">
            <w:pPr>
              <w:spacing w:after="120" w:line="240" w:lineRule="auto"/>
              <w:rPr>
                <w:rFonts w:ascii="Calibri" w:eastAsia="Times New Roman" w:hAnsi="Calibri" w:cs="Calibri"/>
                <w:color w:val="000000"/>
                <w:sz w:val="20"/>
                <w:szCs w:val="20"/>
              </w:rPr>
            </w:pPr>
            <w:proofErr w:type="spellStart"/>
            <w:r w:rsidRPr="00283531">
              <w:rPr>
                <w:rFonts w:ascii="Calibri" w:eastAsia="Times New Roman" w:hAnsi="Calibri" w:cs="Calibri"/>
                <w:color w:val="000000"/>
                <w:sz w:val="20"/>
                <w:szCs w:val="20"/>
              </w:rPr>
              <w:t>Loadshape</w:t>
            </w:r>
            <w:proofErr w:type="spellEnd"/>
            <w:r w:rsidRPr="00283531">
              <w:rPr>
                <w:rFonts w:ascii="Calibri" w:eastAsia="Times New Roman" w:hAnsi="Calibri" w:cs="Calibri"/>
                <w:color w:val="000000"/>
                <w:sz w:val="20"/>
                <w:szCs w:val="20"/>
              </w:rPr>
              <w:t xml:space="preserve"> C19 - Industrial Outdoor Lighting</w:t>
            </w:r>
          </w:p>
        </w:tc>
      </w:tr>
      <w:tr w:rsidR="00283531" w:rsidRPr="00283531" w:rsidTr="00EF462C">
        <w:trPr>
          <w:trHeight w:val="300"/>
        </w:trPr>
        <w:tc>
          <w:tcPr>
            <w:tcW w:w="8120" w:type="dxa"/>
            <w:tcBorders>
              <w:top w:val="nil"/>
              <w:left w:val="nil"/>
              <w:bottom w:val="nil"/>
              <w:right w:val="nil"/>
            </w:tcBorders>
            <w:shd w:val="clear" w:color="auto" w:fill="auto"/>
            <w:noWrap/>
            <w:vAlign w:val="center"/>
            <w:hideMark/>
          </w:tcPr>
          <w:p w:rsidR="00283531" w:rsidRPr="00283531" w:rsidRDefault="00283531" w:rsidP="00283531">
            <w:pPr>
              <w:spacing w:after="120" w:line="240" w:lineRule="auto"/>
              <w:rPr>
                <w:rFonts w:ascii="Calibri" w:eastAsia="Times New Roman" w:hAnsi="Calibri" w:cs="Calibri"/>
                <w:color w:val="000000"/>
                <w:sz w:val="20"/>
                <w:szCs w:val="20"/>
              </w:rPr>
            </w:pPr>
            <w:proofErr w:type="spellStart"/>
            <w:r w:rsidRPr="00283531">
              <w:rPr>
                <w:rFonts w:ascii="Calibri" w:eastAsia="Times New Roman" w:hAnsi="Calibri" w:cs="Calibri"/>
                <w:color w:val="000000"/>
                <w:sz w:val="20"/>
                <w:szCs w:val="20"/>
              </w:rPr>
              <w:t>Loadshape</w:t>
            </w:r>
            <w:proofErr w:type="spellEnd"/>
            <w:r w:rsidRPr="00283531">
              <w:rPr>
                <w:rFonts w:ascii="Calibri" w:eastAsia="Times New Roman" w:hAnsi="Calibri" w:cs="Calibri"/>
                <w:color w:val="000000"/>
                <w:sz w:val="20"/>
                <w:szCs w:val="20"/>
              </w:rPr>
              <w:t xml:space="preserve"> C20 - Commercial Outdoor Lighting</w:t>
            </w:r>
          </w:p>
        </w:tc>
      </w:tr>
    </w:tbl>
    <w:p w:rsidR="00283531" w:rsidRPr="00283531" w:rsidRDefault="00283531" w:rsidP="00283531">
      <w:pPr>
        <w:keepNext/>
        <w:keepLines/>
        <w:widowControl w:val="0"/>
        <w:tabs>
          <w:tab w:val="left" w:pos="5040"/>
        </w:tabs>
        <w:spacing w:before="200" w:after="120"/>
        <w:outlineLvl w:val="5"/>
        <w:rPr>
          <w:rFonts w:eastAsia="Times New Roman" w:cs="Calibri"/>
          <w:b/>
          <w:smallCaps/>
        </w:rPr>
      </w:pPr>
      <w:r w:rsidRPr="00283531">
        <w:rPr>
          <w:rFonts w:eastAsia="Times New Roman" w:cs="Calibri"/>
          <w:b/>
          <w:smallCaps/>
        </w:rPr>
        <w:t xml:space="preserve">Coincidence Factor </w:t>
      </w:r>
    </w:p>
    <w:p w:rsidR="00283531" w:rsidRPr="00283531" w:rsidRDefault="00283531" w:rsidP="00283531">
      <w:pPr>
        <w:widowControl w:val="0"/>
        <w:spacing w:after="120" w:line="240" w:lineRule="auto"/>
        <w:jc w:val="both"/>
        <w:rPr>
          <w:rFonts w:eastAsia="Times New Roman" w:cs="Times New Roman"/>
          <w:sz w:val="20"/>
        </w:rPr>
      </w:pPr>
      <w:r w:rsidRPr="00283531">
        <w:rPr>
          <w:rFonts w:eastAsia="Times New Roman" w:cstheme="minorHAnsi"/>
          <w:sz w:val="20"/>
          <w:szCs w:val="20"/>
        </w:rPr>
        <w:t xml:space="preserve">The summer peak coincidence factor </w:t>
      </w:r>
      <w:r w:rsidRPr="00283531">
        <w:rPr>
          <w:rFonts w:eastAsia="Times New Roman" w:cs="Times New Roman"/>
          <w:sz w:val="20"/>
        </w:rPr>
        <w:t>for this measure is dependent on the location type. Values are provided for each building type in the reference section below.</w:t>
      </w:r>
    </w:p>
    <w:p w:rsidR="00283531" w:rsidRPr="00283531" w:rsidRDefault="00283531" w:rsidP="00283531">
      <w:pPr>
        <w:widowControl w:val="0"/>
        <w:spacing w:after="120" w:line="240" w:lineRule="auto"/>
        <w:jc w:val="both"/>
        <w:rPr>
          <w:rFonts w:eastAsia="Times New Roman" w:cs="Times New Roman"/>
          <w:b/>
          <w:iCs/>
          <w:sz w:val="20"/>
        </w:rPr>
      </w:pPr>
    </w:p>
    <w:p w:rsidR="00283531" w:rsidRPr="00283531" w:rsidRDefault="00283531" w:rsidP="00283531">
      <w:pPr>
        <w:keepNext/>
        <w:widowControl w:val="0"/>
        <w:pBdr>
          <w:top w:val="double" w:sz="4" w:space="1" w:color="auto"/>
          <w:bottom w:val="double" w:sz="4" w:space="1" w:color="auto"/>
        </w:pBdr>
        <w:spacing w:after="120" w:line="240" w:lineRule="auto"/>
        <w:jc w:val="center"/>
        <w:rPr>
          <w:rFonts w:eastAsia="Times New Roman" w:cstheme="minorHAnsi"/>
          <w:b/>
          <w:sz w:val="20"/>
          <w:szCs w:val="20"/>
        </w:rPr>
      </w:pPr>
      <w:r w:rsidRPr="00283531">
        <w:rPr>
          <w:rFonts w:eastAsia="Times New Roman" w:cstheme="minorHAnsi"/>
          <w:b/>
          <w:sz w:val="20"/>
          <w:szCs w:val="20"/>
        </w:rPr>
        <w:t>Algorithm</w:t>
      </w:r>
    </w:p>
    <w:p w:rsidR="00283531" w:rsidRPr="00283531" w:rsidRDefault="00283531" w:rsidP="00283531">
      <w:pPr>
        <w:keepNext/>
        <w:keepLines/>
        <w:widowControl w:val="0"/>
        <w:tabs>
          <w:tab w:val="left" w:pos="5040"/>
        </w:tabs>
        <w:spacing w:before="200" w:after="120"/>
        <w:outlineLvl w:val="5"/>
        <w:rPr>
          <w:rFonts w:eastAsia="Times New Roman" w:cs="Calibri"/>
          <w:b/>
          <w:smallCaps/>
        </w:rPr>
      </w:pPr>
      <w:r w:rsidRPr="00283531">
        <w:rPr>
          <w:rFonts w:eastAsia="Times New Roman" w:cs="Calibri"/>
          <w:b/>
          <w:smallCaps/>
        </w:rPr>
        <w:t xml:space="preserve">Calculation of Savings </w:t>
      </w:r>
    </w:p>
    <w:p w:rsidR="00283531" w:rsidRPr="00283531" w:rsidRDefault="00283531" w:rsidP="00283531">
      <w:pPr>
        <w:keepNext/>
        <w:keepLines/>
        <w:widowControl w:val="0"/>
        <w:tabs>
          <w:tab w:val="left" w:pos="5040"/>
        </w:tabs>
        <w:spacing w:before="200" w:after="120"/>
        <w:outlineLvl w:val="5"/>
        <w:rPr>
          <w:rFonts w:eastAsia="Times New Roman" w:cs="Calibri"/>
          <w:b/>
          <w:smallCaps/>
        </w:rPr>
      </w:pPr>
      <w:r w:rsidRPr="00283531">
        <w:rPr>
          <w:rFonts w:eastAsia="Times New Roman" w:cs="Calibri"/>
          <w:b/>
          <w:smallCaps/>
        </w:rPr>
        <w:t xml:space="preserve">Electric Energy Savings </w:t>
      </w:r>
    </w:p>
    <w:p w:rsidR="00283531" w:rsidRPr="00283531" w:rsidRDefault="00283531" w:rsidP="00283531">
      <w:pPr>
        <w:widowControl w:val="0"/>
        <w:spacing w:after="120" w:line="240" w:lineRule="auto"/>
        <w:ind w:left="1440"/>
        <w:jc w:val="both"/>
        <w:rPr>
          <w:rFonts w:eastAsia="Times New Roman" w:cs="Times New Roman"/>
          <w:sz w:val="20"/>
          <w:vertAlign w:val="subscript"/>
        </w:rPr>
      </w:pPr>
      <w:proofErr w:type="spellStart"/>
      <w:r w:rsidRPr="00283531">
        <w:rPr>
          <w:rFonts w:eastAsia="Times New Roman" w:cs="Times New Roman"/>
          <w:sz w:val="20"/>
        </w:rPr>
        <w:t>ΔkWh</w:t>
      </w:r>
      <w:proofErr w:type="spellEnd"/>
      <w:r w:rsidRPr="00283531">
        <w:rPr>
          <w:rFonts w:eastAsia="Times New Roman" w:cs="Times New Roman"/>
          <w:sz w:val="20"/>
        </w:rPr>
        <w:t xml:space="preserve"> = </w:t>
      </w:r>
      <w:proofErr w:type="spellStart"/>
      <w:r w:rsidRPr="00283531">
        <w:rPr>
          <w:rFonts w:eastAsia="Times New Roman" w:cs="Times New Roman"/>
          <w:sz w:val="20"/>
        </w:rPr>
        <w:t>KW</w:t>
      </w:r>
      <w:r w:rsidRPr="00283531">
        <w:rPr>
          <w:rFonts w:eastAsia="Times New Roman" w:cs="Times New Roman"/>
          <w:sz w:val="20"/>
          <w:vertAlign w:val="subscript"/>
        </w:rPr>
        <w:t>Controlled</w:t>
      </w:r>
      <w:proofErr w:type="spellEnd"/>
      <w:r w:rsidRPr="00283531">
        <w:rPr>
          <w:rFonts w:eastAsia="Times New Roman" w:cs="Times New Roman"/>
          <w:sz w:val="20"/>
        </w:rPr>
        <w:t xml:space="preserve">* Hours * ESF * </w:t>
      </w:r>
      <w:proofErr w:type="spellStart"/>
      <w:r w:rsidRPr="00283531">
        <w:rPr>
          <w:rFonts w:eastAsia="Times New Roman" w:cs="Times New Roman"/>
          <w:sz w:val="20"/>
        </w:rPr>
        <w:t>WHF</w:t>
      </w:r>
      <w:r w:rsidRPr="00283531">
        <w:rPr>
          <w:rFonts w:eastAsia="Times New Roman" w:cs="Times New Roman"/>
          <w:sz w:val="20"/>
          <w:vertAlign w:val="subscript"/>
        </w:rPr>
        <w:t>e</w:t>
      </w:r>
      <w:proofErr w:type="spellEnd"/>
    </w:p>
    <w:p w:rsidR="00283531" w:rsidRPr="00283531" w:rsidRDefault="00283531" w:rsidP="00283531">
      <w:pPr>
        <w:widowControl w:val="0"/>
        <w:spacing w:after="120" w:line="240" w:lineRule="auto"/>
        <w:jc w:val="both"/>
        <w:rPr>
          <w:rFonts w:eastAsia="Times New Roman" w:cs="Times New Roman"/>
          <w:noProof/>
          <w:sz w:val="20"/>
        </w:rPr>
      </w:pPr>
      <w:r w:rsidRPr="00283531">
        <w:rPr>
          <w:rFonts w:eastAsia="Times New Roman" w:cs="Times New Roman"/>
          <w:noProof/>
          <w:sz w:val="20"/>
        </w:rPr>
        <w:t>Where:</w:t>
      </w:r>
    </w:p>
    <w:p w:rsidR="00283531" w:rsidRPr="00283531" w:rsidRDefault="00283531" w:rsidP="00283531">
      <w:pPr>
        <w:widowControl w:val="0"/>
        <w:spacing w:after="120" w:line="240" w:lineRule="auto"/>
        <w:ind w:left="1440" w:hanging="720"/>
        <w:jc w:val="both"/>
        <w:rPr>
          <w:rFonts w:eastAsia="Times New Roman" w:cs="Times New Roman"/>
          <w:noProof/>
          <w:sz w:val="20"/>
        </w:rPr>
      </w:pPr>
      <w:r w:rsidRPr="00283531">
        <w:rPr>
          <w:rFonts w:eastAsia="Times New Roman" w:cs="Times New Roman"/>
          <w:noProof/>
          <w:sz w:val="20"/>
        </w:rPr>
        <w:t>KW</w:t>
      </w:r>
      <w:r w:rsidRPr="00283531">
        <w:rPr>
          <w:rFonts w:eastAsia="Times New Roman" w:cs="Times New Roman"/>
          <w:noProof/>
          <w:sz w:val="20"/>
          <w:vertAlign w:val="subscript"/>
        </w:rPr>
        <w:t xml:space="preserve">Controlled  </w:t>
      </w:r>
      <w:r w:rsidRPr="00283531">
        <w:rPr>
          <w:rFonts w:eastAsia="Times New Roman" w:cs="Times New Roman"/>
          <w:noProof/>
          <w:sz w:val="20"/>
          <w:vertAlign w:val="subscript"/>
        </w:rPr>
        <w:tab/>
      </w:r>
      <w:r w:rsidRPr="00283531">
        <w:rPr>
          <w:rFonts w:eastAsia="Times New Roman" w:cs="Times New Roman"/>
          <w:noProof/>
          <w:sz w:val="20"/>
        </w:rPr>
        <w:t xml:space="preserve">= Total lighting load connected to the control in kilowatts.  </w:t>
      </w:r>
    </w:p>
    <w:p w:rsidR="00283531" w:rsidRPr="00283531" w:rsidRDefault="00283531" w:rsidP="00283531">
      <w:pPr>
        <w:widowControl w:val="0"/>
        <w:spacing w:after="120" w:line="240" w:lineRule="auto"/>
        <w:ind w:left="1440" w:hanging="720"/>
        <w:jc w:val="both"/>
        <w:rPr>
          <w:rFonts w:eastAsia="Times New Roman" w:cs="Times New Roman"/>
          <w:noProof/>
          <w:sz w:val="20"/>
        </w:rPr>
      </w:pPr>
      <w:r w:rsidRPr="00283531">
        <w:rPr>
          <w:rFonts w:eastAsia="Times New Roman" w:cs="Times New Roman"/>
          <w:noProof/>
          <w:sz w:val="20"/>
        </w:rPr>
        <w:tab/>
      </w:r>
      <w:r w:rsidRPr="00283531">
        <w:rPr>
          <w:rFonts w:eastAsia="Times New Roman" w:cs="Times New Roman"/>
          <w:noProof/>
          <w:sz w:val="20"/>
        </w:rPr>
        <w:tab/>
        <w:t>= Actual</w:t>
      </w:r>
    </w:p>
    <w:p w:rsidR="00283531" w:rsidRPr="00283531" w:rsidRDefault="00283531" w:rsidP="00283531">
      <w:pPr>
        <w:widowControl w:val="0"/>
        <w:spacing w:after="120" w:line="240" w:lineRule="auto"/>
        <w:ind w:left="2160" w:hanging="1440"/>
        <w:jc w:val="both"/>
        <w:rPr>
          <w:rFonts w:eastAsia="Times New Roman" w:cs="Times New Roman"/>
          <w:noProof/>
          <w:sz w:val="20"/>
        </w:rPr>
      </w:pPr>
      <w:r w:rsidRPr="00283531">
        <w:rPr>
          <w:rFonts w:eastAsia="Times New Roman" w:cs="Times New Roman"/>
          <w:noProof/>
          <w:sz w:val="20"/>
        </w:rPr>
        <w:t>Hours</w:t>
      </w:r>
      <w:r w:rsidRPr="00283531">
        <w:rPr>
          <w:rFonts w:eastAsia="Times New Roman" w:cs="Times New Roman"/>
          <w:noProof/>
          <w:sz w:val="20"/>
        </w:rPr>
        <w:tab/>
        <w:t xml:space="preserve">= total operating hours of the controlled lighting circuit before the lighting controls are installed. This number should be collected from the customer.  Average hours of use per year are provided in the Reference Table in Section 4.5, Fixture annual operating hours,  for each building type if customer specific information is not collected.  If unknown buidling type, use the Miscellaneous value. </w:t>
      </w:r>
    </w:p>
    <w:p w:rsidR="00283531" w:rsidRPr="00283531" w:rsidRDefault="00283531" w:rsidP="00283531">
      <w:pPr>
        <w:widowControl w:val="0"/>
        <w:spacing w:after="120" w:line="240" w:lineRule="auto"/>
        <w:ind w:left="2160" w:hanging="1440"/>
        <w:jc w:val="both"/>
        <w:rPr>
          <w:rFonts w:eastAsia="Times New Roman" w:cs="Times New Roman"/>
          <w:sz w:val="20"/>
        </w:rPr>
      </w:pPr>
      <w:r w:rsidRPr="00283531">
        <w:rPr>
          <w:rFonts w:eastAsia="Times New Roman" w:cs="Times New Roman"/>
          <w:noProof/>
          <w:sz w:val="20"/>
        </w:rPr>
        <w:t>ESF</w:t>
      </w:r>
      <w:r w:rsidRPr="00283531">
        <w:rPr>
          <w:rFonts w:eastAsia="Times New Roman" w:cs="Times New Roman"/>
          <w:noProof/>
          <w:sz w:val="20"/>
        </w:rPr>
        <w:tab/>
        <w:t>=  Energy Savings factor (</w:t>
      </w:r>
      <w:r w:rsidRPr="00283531">
        <w:rPr>
          <w:rFonts w:eastAsia="Times New Roman" w:cs="Times New Roman"/>
          <w:sz w:val="20"/>
        </w:rPr>
        <w:t xml:space="preserve">represents the percentage reduction to the </w:t>
      </w:r>
      <w:proofErr w:type="spellStart"/>
      <w:r w:rsidRPr="00283531">
        <w:rPr>
          <w:rFonts w:eastAsia="Times New Roman" w:cs="Times New Roman"/>
          <w:sz w:val="20"/>
        </w:rPr>
        <w:t>KWcontrolled</w:t>
      </w:r>
      <w:proofErr w:type="spellEnd"/>
      <w:r w:rsidRPr="00283531">
        <w:rPr>
          <w:rFonts w:eastAsia="Times New Roman" w:cs="Times New Roman"/>
          <w:sz w:val="20"/>
        </w:rPr>
        <w:t xml:space="preserve"> due to the use of multi-level switching).</w:t>
      </w:r>
    </w:p>
    <w:p w:rsidR="00283531" w:rsidRPr="00283531" w:rsidRDefault="00283531" w:rsidP="00283531">
      <w:pPr>
        <w:widowControl w:val="0"/>
        <w:spacing w:after="120" w:line="240" w:lineRule="auto"/>
        <w:ind w:left="2160" w:hanging="1440"/>
        <w:jc w:val="both"/>
        <w:rPr>
          <w:rFonts w:eastAsia="Times New Roman" w:cs="Times New Roman"/>
          <w:noProof/>
          <w:sz w:val="20"/>
        </w:rPr>
      </w:pPr>
      <w:r w:rsidRPr="00283531">
        <w:rPr>
          <w:rFonts w:eastAsia="Times New Roman" w:cs="Times New Roman"/>
          <w:sz w:val="20"/>
        </w:rPr>
        <w:tab/>
        <w:t>= Dependent on building type</w:t>
      </w:r>
      <w:r w:rsidRPr="00283531">
        <w:rPr>
          <w:rFonts w:ascii="Arial" w:eastAsiaTheme="majorEastAsia" w:hAnsi="Arial" w:cs="Times New Roman"/>
          <w:sz w:val="20"/>
          <w:vertAlign w:val="superscript"/>
        </w:rPr>
        <w:footnoteReference w:id="3"/>
      </w:r>
      <w:r w:rsidRPr="00283531">
        <w:rPr>
          <w:rFonts w:eastAsia="Times New Roman" w:cs="Times New Roman"/>
          <w:sz w:val="20"/>
        </w:rPr>
        <w:t>:</w:t>
      </w:r>
    </w:p>
    <w:tbl>
      <w:tblPr>
        <w:tblStyle w:val="TableGrid"/>
        <w:tblW w:w="4140" w:type="dxa"/>
        <w:jc w:val="center"/>
        <w:tblInd w:w="1008" w:type="dxa"/>
        <w:tblLook w:val="04A0" w:firstRow="1" w:lastRow="0" w:firstColumn="1" w:lastColumn="0" w:noHBand="0" w:noVBand="1"/>
      </w:tblPr>
      <w:tblGrid>
        <w:gridCol w:w="2070"/>
        <w:gridCol w:w="2070"/>
      </w:tblGrid>
      <w:tr w:rsidR="00283531" w:rsidRPr="00283531" w:rsidTr="00EF462C">
        <w:trPr>
          <w:tblHeader/>
          <w:jc w:val="center"/>
        </w:trPr>
        <w:tc>
          <w:tcPr>
            <w:tcW w:w="2070" w:type="dxa"/>
            <w:shd w:val="clear" w:color="auto" w:fill="7F7F7F" w:themeFill="text1" w:themeFillTint="80"/>
          </w:tcPr>
          <w:p w:rsidR="00283531" w:rsidRPr="00283531" w:rsidRDefault="00283531" w:rsidP="00283531">
            <w:pPr>
              <w:widowControl w:val="0"/>
              <w:spacing w:after="120"/>
              <w:rPr>
                <w:rFonts w:cs="Arial"/>
                <w:b/>
                <w:noProof/>
                <w:color w:val="FFFFFF" w:themeColor="background1"/>
                <w:lang w:val="en"/>
              </w:rPr>
            </w:pPr>
            <w:r w:rsidRPr="00283531">
              <w:rPr>
                <w:rFonts w:ascii="Calibri" w:hAnsi="Calibri" w:cs="Arial"/>
                <w:b/>
                <w:noProof/>
                <w:color w:val="FFFFFF" w:themeColor="background1"/>
                <w:szCs w:val="18"/>
                <w:lang w:val="en"/>
              </w:rPr>
              <w:t>Building Type</w:t>
            </w:r>
          </w:p>
        </w:tc>
        <w:tc>
          <w:tcPr>
            <w:tcW w:w="2070" w:type="dxa"/>
            <w:shd w:val="clear" w:color="auto" w:fill="7F7F7F" w:themeFill="text1" w:themeFillTint="80"/>
          </w:tcPr>
          <w:p w:rsidR="00283531" w:rsidRPr="00283531" w:rsidRDefault="00283531" w:rsidP="00283531">
            <w:pPr>
              <w:widowControl w:val="0"/>
              <w:spacing w:after="120"/>
              <w:rPr>
                <w:rFonts w:cs="Arial"/>
                <w:b/>
                <w:noProof/>
                <w:color w:val="FFFFFF" w:themeColor="background1"/>
                <w:lang w:val="en"/>
              </w:rPr>
            </w:pPr>
            <w:r w:rsidRPr="00283531">
              <w:rPr>
                <w:rFonts w:ascii="Calibri" w:hAnsi="Calibri" w:cs="Arial"/>
                <w:b/>
                <w:noProof/>
                <w:color w:val="FFFFFF" w:themeColor="background1"/>
                <w:szCs w:val="18"/>
                <w:lang w:val="en"/>
              </w:rPr>
              <w:t>Energy Savings Factor (ESF)</w:t>
            </w:r>
          </w:p>
        </w:tc>
      </w:tr>
      <w:tr w:rsidR="00283531" w:rsidRPr="00283531" w:rsidTr="00EF462C">
        <w:trPr>
          <w:jc w:val="center"/>
        </w:trPr>
        <w:tc>
          <w:tcPr>
            <w:tcW w:w="2070" w:type="dxa"/>
          </w:tcPr>
          <w:p w:rsidR="00283531" w:rsidRPr="00283531" w:rsidRDefault="00283531" w:rsidP="00283531">
            <w:pPr>
              <w:widowControl w:val="0"/>
              <w:spacing w:after="120"/>
              <w:rPr>
                <w:rFonts w:cs="Arial"/>
                <w:noProof/>
                <w:lang w:val="en"/>
              </w:rPr>
            </w:pPr>
            <w:r w:rsidRPr="00283531">
              <w:rPr>
                <w:rFonts w:ascii="Calibri" w:hAnsi="Calibri" w:cs="Arial"/>
                <w:noProof/>
                <w:szCs w:val="18"/>
                <w:lang w:val="en"/>
              </w:rPr>
              <w:t>Private Office</w:t>
            </w:r>
          </w:p>
        </w:tc>
        <w:tc>
          <w:tcPr>
            <w:tcW w:w="2070" w:type="dxa"/>
          </w:tcPr>
          <w:p w:rsidR="00283531" w:rsidRPr="00283531" w:rsidRDefault="00283531" w:rsidP="00283531">
            <w:pPr>
              <w:widowControl w:val="0"/>
              <w:spacing w:after="120"/>
              <w:rPr>
                <w:rFonts w:cs="Arial"/>
                <w:noProof/>
                <w:lang w:val="en"/>
              </w:rPr>
            </w:pPr>
            <w:r w:rsidRPr="00283531">
              <w:rPr>
                <w:rFonts w:ascii="Calibri" w:hAnsi="Calibri" w:cs="Arial"/>
                <w:noProof/>
                <w:szCs w:val="18"/>
                <w:lang w:val="en"/>
              </w:rPr>
              <w:t>21.6%</w:t>
            </w:r>
          </w:p>
        </w:tc>
      </w:tr>
      <w:tr w:rsidR="00283531" w:rsidRPr="00283531" w:rsidTr="00EF462C">
        <w:trPr>
          <w:jc w:val="center"/>
        </w:trPr>
        <w:tc>
          <w:tcPr>
            <w:tcW w:w="2070" w:type="dxa"/>
          </w:tcPr>
          <w:p w:rsidR="00283531" w:rsidRPr="00283531" w:rsidRDefault="00283531" w:rsidP="00283531">
            <w:pPr>
              <w:widowControl w:val="0"/>
              <w:spacing w:after="120"/>
              <w:rPr>
                <w:rFonts w:cs="Arial"/>
                <w:noProof/>
                <w:lang w:val="en"/>
              </w:rPr>
            </w:pPr>
            <w:r w:rsidRPr="00283531">
              <w:rPr>
                <w:rFonts w:ascii="Calibri" w:hAnsi="Calibri" w:cs="Arial"/>
                <w:noProof/>
                <w:szCs w:val="18"/>
                <w:lang w:val="en"/>
              </w:rPr>
              <w:t>Open Office</w:t>
            </w:r>
          </w:p>
        </w:tc>
        <w:tc>
          <w:tcPr>
            <w:tcW w:w="2070" w:type="dxa"/>
          </w:tcPr>
          <w:p w:rsidR="00283531" w:rsidRPr="00283531" w:rsidRDefault="00283531" w:rsidP="00283531">
            <w:pPr>
              <w:widowControl w:val="0"/>
              <w:spacing w:after="120"/>
              <w:rPr>
                <w:rFonts w:cs="Arial"/>
                <w:noProof/>
                <w:lang w:val="en"/>
              </w:rPr>
            </w:pPr>
            <w:r w:rsidRPr="00283531">
              <w:rPr>
                <w:rFonts w:ascii="Calibri" w:hAnsi="Calibri" w:cs="Arial"/>
                <w:noProof/>
                <w:szCs w:val="18"/>
                <w:lang w:val="en"/>
              </w:rPr>
              <w:t>16.0%</w:t>
            </w:r>
          </w:p>
        </w:tc>
      </w:tr>
      <w:tr w:rsidR="00283531" w:rsidRPr="00283531" w:rsidTr="00EF462C">
        <w:trPr>
          <w:jc w:val="center"/>
        </w:trPr>
        <w:tc>
          <w:tcPr>
            <w:tcW w:w="2070" w:type="dxa"/>
          </w:tcPr>
          <w:p w:rsidR="00283531" w:rsidRPr="00283531" w:rsidRDefault="00283531" w:rsidP="00283531">
            <w:pPr>
              <w:widowControl w:val="0"/>
              <w:spacing w:after="120"/>
              <w:rPr>
                <w:rFonts w:cs="Arial"/>
                <w:noProof/>
                <w:lang w:val="en"/>
              </w:rPr>
            </w:pPr>
            <w:r w:rsidRPr="00283531">
              <w:rPr>
                <w:rFonts w:ascii="Calibri" w:hAnsi="Calibri" w:cs="Arial"/>
                <w:noProof/>
                <w:szCs w:val="18"/>
                <w:lang w:val="en"/>
              </w:rPr>
              <w:t>Retail</w:t>
            </w:r>
          </w:p>
        </w:tc>
        <w:tc>
          <w:tcPr>
            <w:tcW w:w="2070" w:type="dxa"/>
          </w:tcPr>
          <w:p w:rsidR="00283531" w:rsidRPr="00283531" w:rsidRDefault="00283531" w:rsidP="00283531">
            <w:pPr>
              <w:widowControl w:val="0"/>
              <w:spacing w:after="120"/>
              <w:rPr>
                <w:rFonts w:cs="Arial"/>
                <w:noProof/>
                <w:lang w:val="en"/>
              </w:rPr>
            </w:pPr>
            <w:r w:rsidRPr="00283531">
              <w:rPr>
                <w:rFonts w:ascii="Calibri" w:hAnsi="Calibri" w:cs="Arial"/>
                <w:noProof/>
                <w:szCs w:val="18"/>
                <w:lang w:val="en"/>
              </w:rPr>
              <w:t>14.8%</w:t>
            </w:r>
          </w:p>
        </w:tc>
      </w:tr>
      <w:tr w:rsidR="00283531" w:rsidRPr="00283531" w:rsidTr="00EF462C">
        <w:trPr>
          <w:jc w:val="center"/>
        </w:trPr>
        <w:tc>
          <w:tcPr>
            <w:tcW w:w="2070" w:type="dxa"/>
          </w:tcPr>
          <w:p w:rsidR="00283531" w:rsidRPr="00283531" w:rsidRDefault="00283531" w:rsidP="00283531">
            <w:pPr>
              <w:widowControl w:val="0"/>
              <w:spacing w:after="120"/>
              <w:rPr>
                <w:rFonts w:cs="Arial"/>
                <w:noProof/>
                <w:lang w:val="en"/>
              </w:rPr>
            </w:pPr>
            <w:r w:rsidRPr="00283531">
              <w:rPr>
                <w:rFonts w:ascii="Calibri" w:hAnsi="Calibri" w:cs="Arial"/>
                <w:noProof/>
                <w:szCs w:val="18"/>
                <w:lang w:val="en"/>
              </w:rPr>
              <w:t>Classrooms</w:t>
            </w:r>
          </w:p>
        </w:tc>
        <w:tc>
          <w:tcPr>
            <w:tcW w:w="2070" w:type="dxa"/>
          </w:tcPr>
          <w:p w:rsidR="00283531" w:rsidRPr="00283531" w:rsidRDefault="00283531" w:rsidP="00283531">
            <w:pPr>
              <w:widowControl w:val="0"/>
              <w:spacing w:after="120"/>
              <w:rPr>
                <w:rFonts w:cs="Arial"/>
                <w:noProof/>
                <w:lang w:val="en"/>
              </w:rPr>
            </w:pPr>
            <w:r w:rsidRPr="00283531">
              <w:rPr>
                <w:rFonts w:ascii="Calibri" w:hAnsi="Calibri" w:cs="Arial"/>
                <w:noProof/>
                <w:szCs w:val="18"/>
                <w:lang w:val="en"/>
              </w:rPr>
              <w:t>8.3%</w:t>
            </w:r>
          </w:p>
        </w:tc>
      </w:tr>
      <w:tr w:rsidR="00283531" w:rsidRPr="00283531" w:rsidTr="00EF462C">
        <w:trPr>
          <w:jc w:val="center"/>
        </w:trPr>
        <w:tc>
          <w:tcPr>
            <w:tcW w:w="2070" w:type="dxa"/>
          </w:tcPr>
          <w:p w:rsidR="00283531" w:rsidRPr="00283531" w:rsidRDefault="00283531" w:rsidP="00283531">
            <w:pPr>
              <w:widowControl w:val="0"/>
              <w:spacing w:after="120"/>
              <w:rPr>
                <w:rFonts w:cs="Arial"/>
                <w:noProof/>
                <w:lang w:val="en"/>
              </w:rPr>
            </w:pPr>
            <w:r w:rsidRPr="00283531">
              <w:rPr>
                <w:rFonts w:ascii="Calibri" w:hAnsi="Calibri" w:cs="Arial"/>
                <w:noProof/>
                <w:szCs w:val="18"/>
                <w:lang w:val="en"/>
              </w:rPr>
              <w:t>Unknown, average</w:t>
            </w:r>
          </w:p>
        </w:tc>
        <w:tc>
          <w:tcPr>
            <w:tcW w:w="2070" w:type="dxa"/>
          </w:tcPr>
          <w:p w:rsidR="00283531" w:rsidRPr="00283531" w:rsidRDefault="00283531" w:rsidP="00283531">
            <w:pPr>
              <w:widowControl w:val="0"/>
              <w:spacing w:after="120"/>
              <w:rPr>
                <w:rFonts w:cs="Arial"/>
                <w:noProof/>
                <w:lang w:val="en"/>
              </w:rPr>
            </w:pPr>
            <w:r w:rsidRPr="00283531">
              <w:rPr>
                <w:rFonts w:ascii="Calibri" w:hAnsi="Calibri" w:cs="Arial"/>
                <w:noProof/>
                <w:szCs w:val="18"/>
                <w:lang w:val="en"/>
              </w:rPr>
              <w:t>15%</w:t>
            </w:r>
          </w:p>
        </w:tc>
      </w:tr>
    </w:tbl>
    <w:p w:rsidR="00283531" w:rsidRPr="00283531" w:rsidRDefault="00283531" w:rsidP="00283531">
      <w:pPr>
        <w:widowControl w:val="0"/>
        <w:spacing w:after="120" w:line="240" w:lineRule="auto"/>
        <w:jc w:val="both"/>
        <w:rPr>
          <w:rFonts w:eastAsia="Times New Roman" w:cs="Times New Roman"/>
          <w:noProof/>
          <w:sz w:val="20"/>
        </w:rPr>
      </w:pPr>
    </w:p>
    <w:p w:rsidR="00283531" w:rsidRPr="00283531" w:rsidRDefault="00283531" w:rsidP="00283531">
      <w:pPr>
        <w:widowControl w:val="0"/>
        <w:spacing w:after="120" w:line="240" w:lineRule="auto"/>
        <w:ind w:left="2160" w:hanging="1440"/>
        <w:jc w:val="both"/>
        <w:rPr>
          <w:rFonts w:eastAsia="Times New Roman" w:cs="Times New Roman"/>
          <w:noProof/>
          <w:sz w:val="20"/>
        </w:rPr>
      </w:pPr>
      <w:r w:rsidRPr="00283531">
        <w:rPr>
          <w:rFonts w:eastAsia="Times New Roman" w:cs="Times New Roman"/>
          <w:noProof/>
          <w:sz w:val="20"/>
        </w:rPr>
        <w:t>WHF</w:t>
      </w:r>
      <w:r w:rsidRPr="00283531">
        <w:rPr>
          <w:rFonts w:eastAsia="Times New Roman" w:cs="Times New Roman"/>
          <w:noProof/>
          <w:sz w:val="20"/>
          <w:vertAlign w:val="subscript"/>
        </w:rPr>
        <w:t>e</w:t>
      </w:r>
      <w:r w:rsidRPr="00283531">
        <w:rPr>
          <w:rFonts w:eastAsia="Times New Roman" w:cs="Times New Roman"/>
          <w:noProof/>
          <w:sz w:val="20"/>
        </w:rPr>
        <w:tab/>
        <w:t xml:space="preserve">= </w:t>
      </w:r>
      <w:r w:rsidRPr="00283531">
        <w:rPr>
          <w:rFonts w:eastAsia="Times New Roman" w:cs="Times New Roman"/>
          <w:sz w:val="20"/>
        </w:rPr>
        <w:t xml:space="preserve">Waste heat factor for energy to account for cooling energy savings from efficient lighting is </w:t>
      </w:r>
      <w:r w:rsidRPr="00283531">
        <w:rPr>
          <w:rFonts w:eastAsia="Times New Roman" w:cs="Times New Roman"/>
          <w:noProof/>
          <w:sz w:val="20"/>
        </w:rPr>
        <w:t xml:space="preserve">provided in the Reference Table in Section 4.5 </w:t>
      </w:r>
      <w:r w:rsidRPr="00283531">
        <w:rPr>
          <w:rFonts w:eastAsia="Times New Roman" w:cs="Times New Roman"/>
          <w:sz w:val="20"/>
        </w:rPr>
        <w:t>for each building type.  If building is un-cooled, the value is 1.0.</w:t>
      </w:r>
    </w:p>
    <w:p w:rsidR="00283531" w:rsidRPr="00283531" w:rsidRDefault="00283531" w:rsidP="00283531">
      <w:pPr>
        <w:keepNext/>
        <w:keepLines/>
        <w:widowControl w:val="0"/>
        <w:tabs>
          <w:tab w:val="left" w:pos="5040"/>
        </w:tabs>
        <w:spacing w:before="200" w:after="120"/>
        <w:outlineLvl w:val="5"/>
        <w:rPr>
          <w:rFonts w:eastAsia="Times New Roman" w:cs="Calibri"/>
          <w:b/>
          <w:smallCaps/>
        </w:rPr>
      </w:pPr>
      <w:r w:rsidRPr="00283531">
        <w:rPr>
          <w:rFonts w:eastAsia="Times New Roman" w:cs="Calibri"/>
          <w:b/>
          <w:smallCaps/>
        </w:rPr>
        <w:lastRenderedPageBreak/>
        <w:t>Heating Penalty</w:t>
      </w:r>
    </w:p>
    <w:p w:rsidR="00283531" w:rsidRPr="00283531" w:rsidRDefault="00283531" w:rsidP="00283531">
      <w:pPr>
        <w:widowControl w:val="0"/>
        <w:spacing w:after="120" w:line="240" w:lineRule="auto"/>
        <w:jc w:val="both"/>
        <w:rPr>
          <w:rFonts w:eastAsia="Times New Roman" w:cstheme="minorHAnsi"/>
          <w:noProof/>
          <w:sz w:val="20"/>
        </w:rPr>
      </w:pPr>
      <w:r w:rsidRPr="00283531">
        <w:rPr>
          <w:rFonts w:eastAsia="Times New Roman" w:cstheme="minorHAnsi"/>
          <w:noProof/>
          <w:sz w:val="20"/>
        </w:rPr>
        <w:t>If electrically heated building:</w:t>
      </w:r>
    </w:p>
    <w:p w:rsidR="00283531" w:rsidRPr="00283531" w:rsidRDefault="00283531" w:rsidP="00283531">
      <w:pPr>
        <w:widowControl w:val="0"/>
        <w:spacing w:after="120" w:line="240" w:lineRule="auto"/>
        <w:ind w:left="720" w:firstLine="720"/>
        <w:jc w:val="both"/>
        <w:rPr>
          <w:rFonts w:eastAsia="Times New Roman" w:cs="Times New Roman"/>
          <w:noProof/>
          <w:sz w:val="20"/>
        </w:rPr>
      </w:pPr>
      <w:r w:rsidRPr="00283531">
        <w:rPr>
          <w:rFonts w:eastAsia="Times New Roman" w:cs="Times New Roman"/>
          <w:noProof/>
          <w:sz w:val="20"/>
        </w:rPr>
        <w:t>ΔkWh</w:t>
      </w:r>
      <w:r w:rsidRPr="00283531">
        <w:rPr>
          <w:rFonts w:eastAsia="Times New Roman" w:cs="Times New Roman"/>
          <w:noProof/>
          <w:sz w:val="20"/>
          <w:vertAlign w:val="subscript"/>
        </w:rPr>
        <w:t>heatpenalty</w:t>
      </w:r>
      <w:r w:rsidRPr="00283531">
        <w:rPr>
          <w:rFonts w:ascii="Arial" w:eastAsiaTheme="majorEastAsia" w:hAnsi="Arial" w:cstheme="minorHAnsi"/>
          <w:noProof/>
          <w:sz w:val="20"/>
          <w:vertAlign w:val="superscript"/>
        </w:rPr>
        <w:footnoteReference w:id="4"/>
      </w:r>
      <w:r w:rsidRPr="00283531">
        <w:rPr>
          <w:rFonts w:eastAsia="Times New Roman" w:cs="Times New Roman"/>
          <w:noProof/>
          <w:sz w:val="20"/>
        </w:rPr>
        <w:t xml:space="preserve">  = </w:t>
      </w:r>
      <w:proofErr w:type="spellStart"/>
      <w:r w:rsidRPr="00283531">
        <w:rPr>
          <w:rFonts w:eastAsia="Times New Roman" w:cs="Times New Roman"/>
          <w:sz w:val="20"/>
        </w:rPr>
        <w:t>KW</w:t>
      </w:r>
      <w:r w:rsidRPr="00283531">
        <w:rPr>
          <w:rFonts w:eastAsia="Times New Roman" w:cs="Times New Roman"/>
          <w:sz w:val="20"/>
          <w:vertAlign w:val="subscript"/>
        </w:rPr>
        <w:t>Controlled</w:t>
      </w:r>
      <w:proofErr w:type="spellEnd"/>
      <w:r w:rsidRPr="00283531">
        <w:rPr>
          <w:rFonts w:eastAsia="Times New Roman" w:cs="Times New Roman"/>
          <w:sz w:val="20"/>
        </w:rPr>
        <w:t xml:space="preserve">* Hours * ESF </w:t>
      </w:r>
      <w:r w:rsidRPr="00283531">
        <w:rPr>
          <w:rFonts w:eastAsia="Times New Roman" w:cs="Times New Roman"/>
          <w:noProof/>
          <w:sz w:val="20"/>
        </w:rPr>
        <w:t>* -IFkWh</w:t>
      </w:r>
      <w:r w:rsidRPr="00283531">
        <w:rPr>
          <w:rFonts w:eastAsia="Times New Roman" w:cs="Times New Roman"/>
          <w:noProof/>
          <w:sz w:val="20"/>
        </w:rPr>
        <w:tab/>
      </w:r>
    </w:p>
    <w:p w:rsidR="00283531" w:rsidRPr="00283531" w:rsidRDefault="00283531" w:rsidP="00283531">
      <w:pPr>
        <w:widowControl w:val="0"/>
        <w:spacing w:after="120" w:line="240" w:lineRule="auto"/>
        <w:jc w:val="both"/>
        <w:rPr>
          <w:rFonts w:eastAsia="Times New Roman" w:cs="Times New Roman"/>
          <w:noProof/>
          <w:sz w:val="20"/>
          <w:lang w:val="nl-NL"/>
        </w:rPr>
      </w:pPr>
      <w:r w:rsidRPr="00283531">
        <w:rPr>
          <w:rFonts w:eastAsia="Times New Roman" w:cs="Times New Roman"/>
          <w:noProof/>
          <w:sz w:val="20"/>
          <w:lang w:val="nl-NL"/>
        </w:rPr>
        <w:t>Where:</w:t>
      </w:r>
    </w:p>
    <w:p w:rsidR="00283531" w:rsidRPr="00283531" w:rsidRDefault="00283531" w:rsidP="00283531">
      <w:pPr>
        <w:widowControl w:val="0"/>
        <w:spacing w:after="120" w:line="240" w:lineRule="auto"/>
        <w:ind w:left="2160" w:hanging="1440"/>
        <w:jc w:val="both"/>
        <w:rPr>
          <w:rFonts w:eastAsia="Times New Roman" w:cs="Times New Roman"/>
          <w:noProof/>
          <w:sz w:val="20"/>
          <w:lang w:val="nl-NL"/>
        </w:rPr>
      </w:pPr>
      <w:r w:rsidRPr="00283531">
        <w:rPr>
          <w:rFonts w:eastAsia="Times New Roman" w:cs="Times New Roman"/>
          <w:noProof/>
          <w:sz w:val="20"/>
          <w:lang w:val="nl-NL"/>
        </w:rPr>
        <w:t>IFkWh</w:t>
      </w:r>
      <w:r w:rsidRPr="00283531">
        <w:rPr>
          <w:rFonts w:eastAsia="Times New Roman" w:cs="Times New Roman"/>
          <w:noProof/>
          <w:sz w:val="20"/>
          <w:lang w:val="nl-NL"/>
        </w:rPr>
        <w:tab/>
        <w:t xml:space="preserve">= Lighting-HVAC Interation Factor for electric heating impacts; this factor represents the increased electric space heating requirements due to the reduction of waste heat rejected by the efficent lighting. </w:t>
      </w:r>
      <w:r w:rsidRPr="00283531">
        <w:rPr>
          <w:rFonts w:eastAsia="Times New Roman" w:cs="Times New Roman"/>
          <w:sz w:val="20"/>
        </w:rPr>
        <w:t>Values are</w:t>
      </w:r>
      <w:r w:rsidRPr="00283531">
        <w:rPr>
          <w:rFonts w:eastAsia="Times New Roman" w:cs="Times New Roman"/>
          <w:noProof/>
          <w:sz w:val="20"/>
        </w:rPr>
        <w:t xml:space="preserve"> provided in the Reference Table in Section 4.5</w:t>
      </w:r>
      <w:r w:rsidRPr="00283531">
        <w:rPr>
          <w:rFonts w:eastAsia="Times New Roman" w:cs="Times New Roman"/>
          <w:sz w:val="20"/>
        </w:rPr>
        <w:t xml:space="preserve">.  If unknown, use the </w:t>
      </w:r>
      <w:proofErr w:type="gramStart"/>
      <w:r w:rsidRPr="00283531">
        <w:rPr>
          <w:rFonts w:eastAsia="Times New Roman" w:cs="Times New Roman"/>
          <w:sz w:val="20"/>
        </w:rPr>
        <w:t>Miscellaneous</w:t>
      </w:r>
      <w:proofErr w:type="gramEnd"/>
      <w:r w:rsidRPr="00283531">
        <w:rPr>
          <w:rFonts w:eastAsia="Times New Roman" w:cs="Times New Roman"/>
          <w:sz w:val="20"/>
        </w:rPr>
        <w:t xml:space="preserve"> value.</w:t>
      </w:r>
    </w:p>
    <w:p w:rsidR="00283531" w:rsidRPr="00283531" w:rsidRDefault="00283531" w:rsidP="00283531">
      <w:pPr>
        <w:keepNext/>
        <w:keepLines/>
        <w:widowControl w:val="0"/>
        <w:tabs>
          <w:tab w:val="left" w:pos="5040"/>
        </w:tabs>
        <w:spacing w:before="200" w:after="120"/>
        <w:outlineLvl w:val="5"/>
        <w:rPr>
          <w:rFonts w:eastAsia="Times New Roman" w:cs="Calibri"/>
          <w:b/>
          <w:smallCaps/>
        </w:rPr>
      </w:pPr>
      <w:r w:rsidRPr="00283531">
        <w:rPr>
          <w:rFonts w:eastAsia="Times New Roman" w:cs="Calibri"/>
          <w:b/>
          <w:smallCaps/>
        </w:rPr>
        <w:t xml:space="preserve">Summer Coincident Peak Demand Savings </w:t>
      </w:r>
    </w:p>
    <w:p w:rsidR="00283531" w:rsidRPr="00283531" w:rsidRDefault="00283531" w:rsidP="00283531">
      <w:pPr>
        <w:widowControl w:val="0"/>
        <w:spacing w:after="120" w:line="240" w:lineRule="auto"/>
        <w:ind w:left="1440"/>
        <w:jc w:val="both"/>
        <w:rPr>
          <w:rFonts w:eastAsia="Times New Roman" w:cs="Times New Roman"/>
          <w:sz w:val="20"/>
        </w:rPr>
      </w:pPr>
      <w:r w:rsidRPr="00283531">
        <w:rPr>
          <w:rFonts w:eastAsia="Times New Roman" w:cs="Times New Roman"/>
          <w:noProof/>
          <w:sz w:val="20"/>
        </w:rPr>
        <w:t>ΔkW  = KW</w:t>
      </w:r>
      <w:r w:rsidRPr="00283531">
        <w:rPr>
          <w:rFonts w:eastAsia="Times New Roman" w:cs="Times New Roman"/>
          <w:noProof/>
          <w:sz w:val="20"/>
          <w:vertAlign w:val="subscript"/>
        </w:rPr>
        <w:t xml:space="preserve">controlled </w:t>
      </w:r>
      <w:r w:rsidRPr="00283531">
        <w:rPr>
          <w:rFonts w:eastAsia="Times New Roman" w:cs="Times New Roman"/>
          <w:noProof/>
          <w:sz w:val="20"/>
        </w:rPr>
        <w:t xml:space="preserve"> * ESF * WHF</w:t>
      </w:r>
      <w:r w:rsidRPr="00283531">
        <w:rPr>
          <w:rFonts w:eastAsia="Times New Roman" w:cs="Times New Roman"/>
          <w:noProof/>
          <w:sz w:val="20"/>
          <w:vertAlign w:val="subscript"/>
        </w:rPr>
        <w:t>d</w:t>
      </w:r>
      <w:r w:rsidRPr="00283531">
        <w:rPr>
          <w:rFonts w:eastAsia="Times New Roman" w:cs="Times New Roman"/>
          <w:noProof/>
          <w:sz w:val="20"/>
        </w:rPr>
        <w:t>* CF</w:t>
      </w:r>
    </w:p>
    <w:p w:rsidR="00283531" w:rsidRPr="00283531" w:rsidRDefault="00283531" w:rsidP="00283531">
      <w:pPr>
        <w:widowControl w:val="0"/>
        <w:spacing w:after="120" w:line="240" w:lineRule="auto"/>
        <w:ind w:left="1440" w:hanging="1440"/>
        <w:jc w:val="both"/>
        <w:rPr>
          <w:rFonts w:eastAsia="Times New Roman" w:cs="Times New Roman"/>
          <w:noProof/>
          <w:sz w:val="20"/>
          <w:lang w:val="nl-NL"/>
        </w:rPr>
      </w:pPr>
      <w:r w:rsidRPr="00283531">
        <w:rPr>
          <w:rFonts w:eastAsia="Times New Roman" w:cs="Times New Roman"/>
          <w:noProof/>
          <w:sz w:val="20"/>
          <w:lang w:val="nl-NL"/>
        </w:rPr>
        <w:t>Where:</w:t>
      </w:r>
    </w:p>
    <w:p w:rsidR="00283531" w:rsidRPr="00283531" w:rsidRDefault="00283531" w:rsidP="00283531">
      <w:pPr>
        <w:widowControl w:val="0"/>
        <w:spacing w:after="120" w:line="240" w:lineRule="auto"/>
        <w:ind w:left="2160" w:hanging="1440"/>
        <w:jc w:val="both"/>
        <w:rPr>
          <w:rFonts w:eastAsia="Times New Roman" w:cs="Times New Roman"/>
          <w:noProof/>
          <w:sz w:val="20"/>
        </w:rPr>
      </w:pPr>
      <w:r w:rsidRPr="00283531">
        <w:rPr>
          <w:rFonts w:eastAsia="Times New Roman" w:cs="Times New Roman"/>
          <w:noProof/>
          <w:sz w:val="20"/>
          <w:lang w:val="nl-NL"/>
        </w:rPr>
        <w:t>WHF</w:t>
      </w:r>
      <w:r w:rsidRPr="00283531">
        <w:rPr>
          <w:rFonts w:eastAsia="Times New Roman" w:cs="Times New Roman"/>
          <w:noProof/>
          <w:sz w:val="20"/>
          <w:vertAlign w:val="subscript"/>
          <w:lang w:val="nl-NL"/>
        </w:rPr>
        <w:t>d</w:t>
      </w:r>
      <w:r w:rsidRPr="00283531">
        <w:rPr>
          <w:rFonts w:eastAsia="Times New Roman" w:cs="Times New Roman"/>
          <w:noProof/>
          <w:sz w:val="20"/>
          <w:lang w:val="nl-NL"/>
        </w:rPr>
        <w:tab/>
        <w:t xml:space="preserve">= </w:t>
      </w:r>
      <w:r w:rsidRPr="00283531">
        <w:rPr>
          <w:rFonts w:eastAsia="Times New Roman" w:cs="Times New Roman"/>
          <w:noProof/>
          <w:sz w:val="20"/>
        </w:rPr>
        <w:t xml:space="preserve">Waste Heat Factor for Demand to account for cooling savings from efficient lighting in cooled buildings is provided in the Reference Table in Section 4.5. If the  building is un-cooled WHFd is 1. </w:t>
      </w:r>
    </w:p>
    <w:p w:rsidR="00283531" w:rsidRPr="00283531" w:rsidRDefault="00283531" w:rsidP="00283531">
      <w:pPr>
        <w:widowControl w:val="0"/>
        <w:spacing w:after="120" w:line="240" w:lineRule="auto"/>
        <w:ind w:left="2160" w:hanging="1440"/>
        <w:jc w:val="both"/>
        <w:rPr>
          <w:rFonts w:eastAsia="Times New Roman" w:cs="Times New Roman"/>
          <w:noProof/>
          <w:sz w:val="20"/>
        </w:rPr>
      </w:pPr>
      <w:r w:rsidRPr="00283531">
        <w:rPr>
          <w:rFonts w:eastAsia="Times New Roman" w:cs="Times New Roman"/>
          <w:noProof/>
          <w:sz w:val="20"/>
        </w:rPr>
        <w:t>CF</w:t>
      </w:r>
      <w:r w:rsidRPr="00283531">
        <w:rPr>
          <w:rFonts w:eastAsia="Times New Roman" w:cs="Times New Roman"/>
          <w:noProof/>
          <w:sz w:val="20"/>
        </w:rPr>
        <w:tab/>
      </w:r>
      <w:r w:rsidRPr="00283531">
        <w:rPr>
          <w:rFonts w:eastAsia="Times New Roman" w:cstheme="minorHAnsi"/>
          <w:noProof/>
          <w:sz w:val="20"/>
        </w:rPr>
        <w:t xml:space="preserve">= Summer Peak Coincidence Factor for measure </w:t>
      </w:r>
      <w:r w:rsidRPr="00283531">
        <w:rPr>
          <w:rFonts w:eastAsia="Times New Roman" w:cs="Times New Roman"/>
          <w:noProof/>
          <w:sz w:val="20"/>
        </w:rPr>
        <w:t>is provided in the Reference Table in Section 4.5</w:t>
      </w:r>
      <w:r w:rsidRPr="00283531">
        <w:rPr>
          <w:rFonts w:eastAsia="Times New Roman" w:cs="Times New Roman"/>
          <w:sz w:val="20"/>
        </w:rPr>
        <w:t xml:space="preserve">.  If unknown, use the </w:t>
      </w:r>
      <w:proofErr w:type="gramStart"/>
      <w:r w:rsidRPr="00283531">
        <w:rPr>
          <w:rFonts w:eastAsia="Times New Roman" w:cs="Times New Roman"/>
          <w:sz w:val="20"/>
        </w:rPr>
        <w:t>Miscellaneous</w:t>
      </w:r>
      <w:proofErr w:type="gramEnd"/>
      <w:r w:rsidRPr="00283531">
        <w:rPr>
          <w:rFonts w:eastAsia="Times New Roman" w:cs="Times New Roman"/>
          <w:sz w:val="20"/>
        </w:rPr>
        <w:t xml:space="preserve"> value of 0.66</w:t>
      </w:r>
      <w:r w:rsidRPr="00283531">
        <w:rPr>
          <w:rFonts w:ascii="Arial" w:eastAsiaTheme="majorEastAsia" w:hAnsi="Arial" w:cs="Times New Roman"/>
          <w:sz w:val="20"/>
          <w:vertAlign w:val="superscript"/>
        </w:rPr>
        <w:footnoteReference w:id="5"/>
      </w:r>
      <w:r w:rsidRPr="00283531">
        <w:rPr>
          <w:rFonts w:eastAsia="Times New Roman" w:cs="Times New Roman"/>
          <w:sz w:val="20"/>
        </w:rPr>
        <w:t>.</w:t>
      </w:r>
    </w:p>
    <w:p w:rsidR="00283531" w:rsidRPr="00283531" w:rsidRDefault="00283531" w:rsidP="00283531">
      <w:pPr>
        <w:keepNext/>
        <w:keepLines/>
        <w:widowControl w:val="0"/>
        <w:tabs>
          <w:tab w:val="left" w:pos="5040"/>
        </w:tabs>
        <w:spacing w:before="200" w:after="120"/>
        <w:outlineLvl w:val="5"/>
        <w:rPr>
          <w:rFonts w:eastAsia="Times New Roman" w:cs="Calibri"/>
          <w:b/>
          <w:smallCaps/>
        </w:rPr>
      </w:pPr>
      <w:r w:rsidRPr="00283531">
        <w:rPr>
          <w:rFonts w:eastAsia="Times New Roman" w:cs="Calibri"/>
          <w:b/>
          <w:smallCaps/>
        </w:rPr>
        <w:t>Natural Gas Energy Savings</w:t>
      </w:r>
    </w:p>
    <w:p w:rsidR="00283531" w:rsidRPr="00283531" w:rsidRDefault="00283531" w:rsidP="00283531">
      <w:pPr>
        <w:widowControl w:val="0"/>
        <w:spacing w:after="120" w:line="240" w:lineRule="auto"/>
        <w:ind w:left="1440" w:hanging="720"/>
        <w:jc w:val="both"/>
        <w:rPr>
          <w:rFonts w:eastAsia="Times New Roman" w:cs="Times New Roman"/>
          <w:iCs/>
          <w:sz w:val="20"/>
        </w:rPr>
      </w:pPr>
      <w:r w:rsidRPr="00283531">
        <w:rPr>
          <w:rFonts w:eastAsia="Times New Roman" w:cs="Times New Roman"/>
          <w:noProof/>
          <w:sz w:val="20"/>
        </w:rPr>
        <w:tab/>
      </w:r>
      <w:proofErr w:type="spellStart"/>
      <w:r w:rsidRPr="00283531">
        <w:rPr>
          <w:rFonts w:eastAsia="Times New Roman" w:cs="Times New Roman"/>
          <w:sz w:val="20"/>
        </w:rPr>
        <w:t>Δtherms</w:t>
      </w:r>
      <w:proofErr w:type="spellEnd"/>
      <w:r w:rsidRPr="00283531">
        <w:rPr>
          <w:rFonts w:eastAsia="Times New Roman" w:cs="Times New Roman"/>
          <w:sz w:val="20"/>
        </w:rPr>
        <w:t xml:space="preserve"> = </w:t>
      </w:r>
      <w:proofErr w:type="spellStart"/>
      <w:r w:rsidRPr="00283531">
        <w:rPr>
          <w:rFonts w:eastAsia="Times New Roman" w:cs="Times New Roman"/>
          <w:sz w:val="20"/>
        </w:rPr>
        <w:t>KW</w:t>
      </w:r>
      <w:r w:rsidRPr="00283531">
        <w:rPr>
          <w:rFonts w:eastAsia="Times New Roman" w:cs="Times New Roman"/>
          <w:sz w:val="20"/>
          <w:vertAlign w:val="subscript"/>
        </w:rPr>
        <w:t>Controlled</w:t>
      </w:r>
      <w:proofErr w:type="spellEnd"/>
      <w:r w:rsidRPr="00283531">
        <w:rPr>
          <w:rFonts w:eastAsia="Times New Roman" w:cs="Times New Roman"/>
          <w:sz w:val="20"/>
        </w:rPr>
        <w:t xml:space="preserve">* Hours * </w:t>
      </w:r>
      <w:proofErr w:type="gramStart"/>
      <w:r w:rsidRPr="00283531">
        <w:rPr>
          <w:rFonts w:eastAsia="Times New Roman" w:cs="Times New Roman"/>
          <w:sz w:val="20"/>
        </w:rPr>
        <w:t xml:space="preserve">ESF </w:t>
      </w:r>
      <w:r w:rsidRPr="00283531" w:rsidDel="00851BBE">
        <w:rPr>
          <w:rFonts w:eastAsia="Times New Roman" w:cs="Times New Roman"/>
          <w:sz w:val="20"/>
        </w:rPr>
        <w:t xml:space="preserve"> </w:t>
      </w:r>
      <w:r w:rsidRPr="00283531">
        <w:rPr>
          <w:rFonts w:eastAsia="Times New Roman" w:cs="Times New Roman"/>
          <w:sz w:val="20"/>
        </w:rPr>
        <w:t>*</w:t>
      </w:r>
      <w:proofErr w:type="gramEnd"/>
      <w:r w:rsidRPr="00283531">
        <w:rPr>
          <w:rFonts w:eastAsia="Times New Roman" w:cs="Times New Roman"/>
          <w:sz w:val="20"/>
        </w:rPr>
        <w:t xml:space="preserve"> - </w:t>
      </w:r>
      <w:proofErr w:type="spellStart"/>
      <w:r w:rsidRPr="00283531">
        <w:rPr>
          <w:rFonts w:eastAsia="Times New Roman" w:cs="Times New Roman"/>
          <w:sz w:val="20"/>
        </w:rPr>
        <w:t>IFTherms</w:t>
      </w:r>
      <w:proofErr w:type="spellEnd"/>
    </w:p>
    <w:p w:rsidR="00283531" w:rsidRPr="00283531" w:rsidRDefault="00283531" w:rsidP="00283531">
      <w:pPr>
        <w:widowControl w:val="0"/>
        <w:spacing w:after="120" w:line="240" w:lineRule="auto"/>
        <w:jc w:val="both"/>
        <w:rPr>
          <w:rFonts w:eastAsia="Times New Roman" w:cs="Times New Roman"/>
          <w:sz w:val="20"/>
        </w:rPr>
      </w:pPr>
      <w:r w:rsidRPr="00283531">
        <w:rPr>
          <w:rFonts w:eastAsia="Times New Roman" w:cs="Times New Roman"/>
          <w:sz w:val="20"/>
        </w:rPr>
        <w:t>Where:</w:t>
      </w:r>
    </w:p>
    <w:p w:rsidR="00283531" w:rsidRPr="00283531" w:rsidRDefault="00283531" w:rsidP="00283531">
      <w:pPr>
        <w:widowControl w:val="0"/>
        <w:spacing w:after="120" w:line="240" w:lineRule="auto"/>
        <w:ind w:left="2160" w:hanging="1440"/>
        <w:jc w:val="both"/>
        <w:rPr>
          <w:rFonts w:eastAsia="Times New Roman" w:cs="Times New Roman"/>
          <w:sz w:val="20"/>
        </w:rPr>
      </w:pPr>
      <w:proofErr w:type="spellStart"/>
      <w:r w:rsidRPr="00283531">
        <w:rPr>
          <w:rFonts w:eastAsia="Times New Roman" w:cs="Times New Roman"/>
          <w:sz w:val="20"/>
        </w:rPr>
        <w:t>IFTherms</w:t>
      </w:r>
      <w:proofErr w:type="spellEnd"/>
      <w:r w:rsidRPr="00283531">
        <w:rPr>
          <w:rFonts w:eastAsia="Times New Roman" w:cs="Times New Roman"/>
          <w:sz w:val="20"/>
        </w:rPr>
        <w:t xml:space="preserve"> </w:t>
      </w:r>
      <w:r w:rsidRPr="00283531">
        <w:rPr>
          <w:rFonts w:eastAsia="Times New Roman" w:cs="Times New Roman"/>
          <w:sz w:val="20"/>
        </w:rPr>
        <w:tab/>
        <w:t xml:space="preserve">= Lighting-HVAC Integration Factor for gas heating impacts; this factor represents the increased gas space heating requirements due to the reduction of waste heat rejected by the efficient lighting and </w:t>
      </w:r>
      <w:r w:rsidRPr="00283531">
        <w:rPr>
          <w:rFonts w:eastAsia="Times New Roman" w:cs="Times New Roman"/>
          <w:noProof/>
          <w:sz w:val="20"/>
        </w:rPr>
        <w:t>provided in the Reference Table in Section 4.5 by buidling type</w:t>
      </w:r>
      <w:r w:rsidRPr="00283531">
        <w:rPr>
          <w:rFonts w:eastAsia="Times New Roman" w:cs="Times New Roman"/>
          <w:sz w:val="20"/>
        </w:rPr>
        <w:t xml:space="preserve">.  </w:t>
      </w:r>
    </w:p>
    <w:p w:rsidR="00283531" w:rsidRPr="00283531" w:rsidRDefault="00283531" w:rsidP="00283531">
      <w:pPr>
        <w:keepNext/>
        <w:keepLines/>
        <w:widowControl w:val="0"/>
        <w:tabs>
          <w:tab w:val="left" w:pos="5040"/>
        </w:tabs>
        <w:spacing w:before="200" w:after="120"/>
        <w:outlineLvl w:val="5"/>
        <w:rPr>
          <w:rFonts w:eastAsia="Times New Roman" w:cs="Calibri"/>
          <w:b/>
          <w:smallCaps/>
        </w:rPr>
      </w:pPr>
      <w:r w:rsidRPr="00283531">
        <w:rPr>
          <w:rFonts w:eastAsia="Times New Roman" w:cs="Calibri"/>
          <w:b/>
          <w:smallCaps/>
        </w:rPr>
        <w:t xml:space="preserve">Water Impact Descriptions and Calculation  </w:t>
      </w:r>
    </w:p>
    <w:p w:rsidR="00283531" w:rsidRPr="00283531" w:rsidRDefault="00283531" w:rsidP="00283531">
      <w:pPr>
        <w:widowControl w:val="0"/>
        <w:spacing w:after="120" w:line="240" w:lineRule="auto"/>
        <w:jc w:val="both"/>
        <w:rPr>
          <w:rFonts w:eastAsia="Times New Roman" w:cs="Times New Roman"/>
          <w:sz w:val="20"/>
        </w:rPr>
      </w:pPr>
      <w:r w:rsidRPr="00283531">
        <w:rPr>
          <w:rFonts w:eastAsia="Times New Roman" w:cs="Times New Roman"/>
          <w:sz w:val="20"/>
        </w:rPr>
        <w:t>N/A</w:t>
      </w:r>
    </w:p>
    <w:p w:rsidR="00283531" w:rsidRPr="00283531" w:rsidRDefault="00283531" w:rsidP="00283531">
      <w:pPr>
        <w:keepNext/>
        <w:keepLines/>
        <w:widowControl w:val="0"/>
        <w:tabs>
          <w:tab w:val="left" w:pos="5040"/>
        </w:tabs>
        <w:spacing w:before="200" w:after="120"/>
        <w:outlineLvl w:val="5"/>
        <w:rPr>
          <w:rFonts w:eastAsia="Times New Roman" w:cs="Calibri"/>
          <w:b/>
          <w:smallCaps/>
        </w:rPr>
      </w:pPr>
      <w:r w:rsidRPr="00283531">
        <w:rPr>
          <w:rFonts w:eastAsia="Times New Roman" w:cs="Calibri"/>
          <w:b/>
          <w:smallCaps/>
        </w:rPr>
        <w:t xml:space="preserve">Deemed O&amp;M Cost Adjustment Calculation </w:t>
      </w:r>
    </w:p>
    <w:p w:rsidR="00283531" w:rsidRPr="00283531" w:rsidRDefault="00283531" w:rsidP="00283531">
      <w:pPr>
        <w:widowControl w:val="0"/>
        <w:spacing w:after="120" w:line="240" w:lineRule="auto"/>
        <w:jc w:val="both"/>
        <w:rPr>
          <w:rFonts w:eastAsia="Times New Roman" w:cs="Times New Roman"/>
          <w:sz w:val="20"/>
        </w:rPr>
      </w:pPr>
      <w:r w:rsidRPr="00283531">
        <w:rPr>
          <w:rFonts w:eastAsia="Times New Roman" w:cs="Times New Roman"/>
          <w:sz w:val="20"/>
        </w:rPr>
        <w:t>N/A</w:t>
      </w:r>
    </w:p>
    <w:p w:rsidR="00283531" w:rsidRPr="00283531" w:rsidRDefault="00283531" w:rsidP="00283531">
      <w:pPr>
        <w:keepNext/>
        <w:keepLines/>
        <w:widowControl w:val="0"/>
        <w:tabs>
          <w:tab w:val="left" w:pos="5040"/>
        </w:tabs>
        <w:spacing w:before="200" w:after="120"/>
        <w:outlineLvl w:val="5"/>
        <w:rPr>
          <w:rFonts w:eastAsia="Times New Roman" w:cs="Calibri"/>
          <w:b/>
          <w:smallCaps/>
        </w:rPr>
      </w:pPr>
      <w:r w:rsidRPr="00283531">
        <w:rPr>
          <w:rFonts w:eastAsia="Times New Roman" w:cs="Calibri"/>
          <w:b/>
          <w:smallCaps/>
        </w:rPr>
        <w:t>Measure Code: CI-LTG-MLLC-V0</w:t>
      </w:r>
      <w:ins w:id="4" w:author="April Desclos" w:date="2015-11-05T10:56:00Z">
        <w:r w:rsidR="00C60FFE">
          <w:rPr>
            <w:rFonts w:eastAsia="Times New Roman" w:cs="Calibri"/>
            <w:b/>
            <w:smallCaps/>
          </w:rPr>
          <w:t>3</w:t>
        </w:r>
      </w:ins>
      <w:del w:id="5" w:author="April Desclos" w:date="2015-11-05T10:56:00Z">
        <w:r w:rsidRPr="00283531" w:rsidDel="00C60FFE">
          <w:rPr>
            <w:rFonts w:eastAsia="Times New Roman" w:cs="Calibri"/>
            <w:b/>
            <w:smallCaps/>
          </w:rPr>
          <w:delText>2</w:delText>
        </w:r>
      </w:del>
      <w:r w:rsidRPr="00283531">
        <w:rPr>
          <w:rFonts w:eastAsia="Times New Roman" w:cs="Calibri"/>
          <w:b/>
          <w:smallCaps/>
        </w:rPr>
        <w:t>-1</w:t>
      </w:r>
      <w:ins w:id="6" w:author="April Desclos" w:date="2015-11-05T10:56:00Z">
        <w:r w:rsidR="00C60FFE">
          <w:rPr>
            <w:rFonts w:eastAsia="Times New Roman" w:cs="Calibri"/>
            <w:b/>
            <w:smallCaps/>
          </w:rPr>
          <w:t>6</w:t>
        </w:r>
      </w:ins>
      <w:del w:id="7" w:author="April Desclos" w:date="2015-11-05T10:56:00Z">
        <w:r w:rsidRPr="00283531" w:rsidDel="00C60FFE">
          <w:rPr>
            <w:rFonts w:eastAsia="Times New Roman" w:cs="Calibri"/>
            <w:b/>
            <w:smallCaps/>
          </w:rPr>
          <w:delText>4</w:delText>
        </w:r>
      </w:del>
      <w:r w:rsidRPr="00283531">
        <w:rPr>
          <w:rFonts w:eastAsia="Times New Roman" w:cs="Calibri"/>
          <w:b/>
          <w:smallCaps/>
        </w:rPr>
        <w:t>0601</w:t>
      </w:r>
    </w:p>
    <w:p w:rsidR="00283531" w:rsidRPr="00283531" w:rsidRDefault="00283531" w:rsidP="00283531">
      <w:pPr>
        <w:rPr>
          <w:rFonts w:eastAsiaTheme="majorEastAsia" w:cs="Times New Roman"/>
          <w:smallCaps/>
          <w:sz w:val="20"/>
        </w:rPr>
      </w:pPr>
    </w:p>
    <w:p w:rsidR="00283531" w:rsidRPr="00283531" w:rsidRDefault="00283531" w:rsidP="00283531">
      <w:pPr>
        <w:rPr>
          <w:rFonts w:eastAsiaTheme="majorEastAsia" w:cs="Times New Roman"/>
          <w:b/>
          <w:smallCaps/>
          <w:sz w:val="20"/>
        </w:rPr>
        <w:sectPr w:rsidR="00283531" w:rsidRPr="00283531" w:rsidSect="00283531">
          <w:headerReference w:type="default" r:id="rId8"/>
          <w:pgSz w:w="12240" w:h="15840" w:code="1"/>
          <w:pgMar w:top="1440" w:right="1440" w:bottom="1440" w:left="1440" w:header="720" w:footer="720" w:gutter="0"/>
          <w:cols w:space="720"/>
          <w:docGrid w:linePitch="272"/>
        </w:sectPr>
      </w:pPr>
    </w:p>
    <w:p w:rsidR="00685361" w:rsidRDefault="00685361"/>
    <w:sectPr w:rsidR="0068536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3531" w:rsidRDefault="00283531" w:rsidP="00283531">
      <w:pPr>
        <w:spacing w:after="0" w:line="240" w:lineRule="auto"/>
      </w:pPr>
      <w:r>
        <w:separator/>
      </w:r>
    </w:p>
  </w:endnote>
  <w:endnote w:type="continuationSeparator" w:id="0">
    <w:p w:rsidR="00283531" w:rsidRDefault="00283531" w:rsidP="002835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3531" w:rsidRDefault="00283531" w:rsidP="00283531">
      <w:pPr>
        <w:spacing w:after="0" w:line="240" w:lineRule="auto"/>
      </w:pPr>
      <w:r>
        <w:separator/>
      </w:r>
    </w:p>
  </w:footnote>
  <w:footnote w:type="continuationSeparator" w:id="0">
    <w:p w:rsidR="00283531" w:rsidRDefault="00283531" w:rsidP="00283531">
      <w:pPr>
        <w:spacing w:after="0" w:line="240" w:lineRule="auto"/>
      </w:pPr>
      <w:r>
        <w:continuationSeparator/>
      </w:r>
    </w:p>
  </w:footnote>
  <w:footnote w:id="1">
    <w:p w:rsidR="00283531" w:rsidRPr="009C362B" w:rsidRDefault="00283531" w:rsidP="00283531">
      <w:pPr>
        <w:pStyle w:val="Footnote"/>
        <w:rPr>
          <w:szCs w:val="18"/>
        </w:rPr>
      </w:pPr>
      <w:r w:rsidRPr="009C362B">
        <w:rPr>
          <w:rStyle w:val="FootnoteReference"/>
          <w:rFonts w:eastAsiaTheme="majorEastAsia"/>
          <w:szCs w:val="18"/>
        </w:rPr>
        <w:footnoteRef/>
      </w:r>
      <w:r w:rsidRPr="009C362B">
        <w:rPr>
          <w:szCs w:val="18"/>
        </w:rPr>
        <w:t xml:space="preserve"> Consistent with Occupancy Sensor control measure.</w:t>
      </w:r>
    </w:p>
  </w:footnote>
  <w:footnote w:id="2">
    <w:p w:rsidR="00283531" w:rsidRPr="009C362B" w:rsidRDefault="00283531" w:rsidP="00283531">
      <w:pPr>
        <w:pStyle w:val="Footnote"/>
        <w:rPr>
          <w:szCs w:val="18"/>
        </w:rPr>
      </w:pPr>
      <w:r w:rsidRPr="009C362B">
        <w:rPr>
          <w:rStyle w:val="FootnoteReference"/>
          <w:rFonts w:eastAsiaTheme="majorEastAsia"/>
          <w:szCs w:val="18"/>
        </w:rPr>
        <w:footnoteRef/>
      </w:r>
      <w:r w:rsidRPr="009C362B">
        <w:rPr>
          <w:szCs w:val="18"/>
        </w:rPr>
        <w:t xml:space="preserve"> Goldberg et al, State of Wisconsin Public Service Commission of Wisconsin, Focus on Energy Evaluation, Business Programs: Incremental Cost Study, KEMA, October 28, 2009.</w:t>
      </w:r>
    </w:p>
  </w:footnote>
  <w:footnote w:id="3">
    <w:p w:rsidR="00283531" w:rsidRPr="009C362B" w:rsidRDefault="00283531" w:rsidP="00283531">
      <w:pPr>
        <w:pStyle w:val="Footnote"/>
        <w:rPr>
          <w:szCs w:val="18"/>
        </w:rPr>
      </w:pPr>
      <w:r w:rsidRPr="009C362B">
        <w:rPr>
          <w:rStyle w:val="FootnoteReference"/>
          <w:rFonts w:eastAsiaTheme="majorEastAsia"/>
          <w:szCs w:val="18"/>
        </w:rPr>
        <w:footnoteRef/>
      </w:r>
      <w:r w:rsidRPr="009C362B">
        <w:rPr>
          <w:szCs w:val="18"/>
        </w:rPr>
        <w:t xml:space="preserve"> Based on results from “Lighting Controls Effectiveness Assessment: Final Report on Bi-Level Lighting Study” published by the California Public Utilities Commission (CPUC), prepared by ADM Associates.</w:t>
      </w:r>
    </w:p>
    <w:p w:rsidR="00283531" w:rsidRPr="009C362B" w:rsidRDefault="00C60FFE" w:rsidP="00283531">
      <w:pPr>
        <w:pStyle w:val="Footnote"/>
        <w:rPr>
          <w:szCs w:val="18"/>
        </w:rPr>
      </w:pPr>
      <w:hyperlink r:id="rId1" w:history="1">
        <w:r w:rsidR="00283531" w:rsidRPr="009C362B">
          <w:rPr>
            <w:rStyle w:val="Hyperlink"/>
            <w:szCs w:val="18"/>
          </w:rPr>
          <w:t>http://lightingcontrolsassociation.org/bi-level-switching-study-demonstrates-energy-savings/</w:t>
        </w:r>
      </w:hyperlink>
    </w:p>
  </w:footnote>
  <w:footnote w:id="4">
    <w:p w:rsidR="00283531" w:rsidRPr="009C362B" w:rsidRDefault="00283531" w:rsidP="00283531">
      <w:pPr>
        <w:pStyle w:val="Footnote"/>
        <w:rPr>
          <w:szCs w:val="18"/>
        </w:rPr>
      </w:pPr>
      <w:r w:rsidRPr="009C362B">
        <w:rPr>
          <w:rStyle w:val="FootnoteReference"/>
          <w:szCs w:val="18"/>
        </w:rPr>
        <w:footnoteRef/>
      </w:r>
      <w:proofErr w:type="gramStart"/>
      <w:r w:rsidRPr="009C362B">
        <w:rPr>
          <w:szCs w:val="18"/>
        </w:rPr>
        <w:t>Negative value because this is an increase in heating consumption due to the efficient lighting.</w:t>
      </w:r>
      <w:proofErr w:type="gramEnd"/>
    </w:p>
  </w:footnote>
  <w:footnote w:id="5">
    <w:p w:rsidR="00283531" w:rsidRPr="009C362B" w:rsidRDefault="00283531" w:rsidP="00283531">
      <w:pPr>
        <w:pStyle w:val="Footnote"/>
        <w:rPr>
          <w:szCs w:val="18"/>
        </w:rPr>
      </w:pPr>
      <w:r w:rsidRPr="009C362B">
        <w:rPr>
          <w:rStyle w:val="FootnoteReference"/>
          <w:rFonts w:eastAsiaTheme="majorEastAsia"/>
          <w:szCs w:val="18"/>
        </w:rPr>
        <w:footnoteRef/>
      </w:r>
      <w:r w:rsidRPr="009C362B">
        <w:rPr>
          <w:szCs w:val="18"/>
        </w:rPr>
        <w:t xml:space="preserve"> By applying the ESF and the same coincidence factor for general lighting savings we are in essence assuming that the savings from multi-level switching are as likely during peak periods as any other time. In the absence of better information this seems like a reasonable assumption and if anything may be on the conservative side since you might expect the peak periods to be generally sunnier and therefore more likely to have lower light levels. It is also consistent with the control type reducing the wattage lighting load, the same as the general lighting measures.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3531" w:rsidRDefault="00283531" w:rsidP="0009467B">
    <w:pPr>
      <w:pBdr>
        <w:bottom w:val="single" w:sz="4" w:space="1" w:color="auto"/>
      </w:pBdr>
    </w:pPr>
    <w:r w:rsidRPr="009327CF">
      <w:t xml:space="preserve">Illinois Statewide Technical Reference Manual - </w:t>
    </w:r>
    <w:r>
      <w:rPr>
        <w:rFonts w:ascii="Calibri" w:eastAsiaTheme="minorEastAsia" w:hAnsi="Calibri"/>
        <w:sz w:val="24"/>
        <w:szCs w:val="24"/>
      </w:rPr>
      <w:fldChar w:fldCharType="begin"/>
    </w:r>
    <w:r>
      <w:instrText xml:space="preserve"> REF _Ref355946464 \r \h </w:instrText>
    </w:r>
    <w:r>
      <w:rPr>
        <w:rFonts w:ascii="Calibri" w:eastAsiaTheme="minorEastAsia" w:hAnsi="Calibri"/>
        <w:sz w:val="24"/>
        <w:szCs w:val="24"/>
      </w:rPr>
    </w:r>
    <w:r>
      <w:rPr>
        <w:rFonts w:ascii="Calibri" w:eastAsiaTheme="minorEastAsia" w:hAnsi="Calibri"/>
        <w:sz w:val="24"/>
        <w:szCs w:val="24"/>
      </w:rPr>
      <w:fldChar w:fldCharType="separate"/>
    </w:r>
    <w:r>
      <w:t>4.5.9</w:t>
    </w:r>
    <w:r>
      <w:rPr>
        <w:rFonts w:ascii="Calibri" w:eastAsiaTheme="minorEastAsia" w:hAnsi="Calibri"/>
        <w:sz w:val="24"/>
        <w:szCs w:val="24"/>
      </w:rPr>
      <w:fldChar w:fldCharType="end"/>
    </w:r>
    <w:r>
      <w:t xml:space="preserve"> </w:t>
    </w:r>
    <w:r>
      <w:rPr>
        <w:rFonts w:ascii="Calibri" w:eastAsiaTheme="minorEastAsia" w:hAnsi="Calibri"/>
        <w:sz w:val="24"/>
        <w:szCs w:val="24"/>
      </w:rPr>
      <w:fldChar w:fldCharType="begin"/>
    </w:r>
    <w:r>
      <w:instrText xml:space="preserve"> REF _Ref355946464 \h </w:instrText>
    </w:r>
    <w:r>
      <w:rPr>
        <w:rFonts w:ascii="Calibri" w:eastAsiaTheme="minorEastAsia" w:hAnsi="Calibri"/>
        <w:sz w:val="24"/>
        <w:szCs w:val="24"/>
      </w:rPr>
    </w:r>
    <w:r>
      <w:rPr>
        <w:rFonts w:ascii="Calibri" w:eastAsiaTheme="minorEastAsia" w:hAnsi="Calibri"/>
        <w:sz w:val="24"/>
        <w:szCs w:val="24"/>
      </w:rPr>
      <w:fldChar w:fldCharType="separate"/>
    </w:r>
    <w:r>
      <w:t>Multi-Level Lighting Switch</w:t>
    </w:r>
    <w:r>
      <w:rPr>
        <w:rFonts w:ascii="Calibri" w:eastAsiaTheme="minorEastAsia" w:hAnsi="Calibri"/>
        <w:sz w:val="24"/>
        <w:szCs w:val="24"/>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2"/>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3531"/>
    <w:rsid w:val="00283531"/>
    <w:rsid w:val="00685361"/>
    <w:rsid w:val="00877778"/>
    <w:rsid w:val="00C60F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8353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aliases w:val="Footnote_Reference,o,fr"/>
    <w:uiPriority w:val="99"/>
    <w:qFormat/>
    <w:rsid w:val="00283531"/>
    <w:rPr>
      <w:rFonts w:ascii="Arial" w:hAnsi="Arial" w:cs="Times New Roman"/>
      <w:sz w:val="20"/>
      <w:vertAlign w:val="superscript"/>
    </w:rPr>
  </w:style>
  <w:style w:type="character" w:styleId="Hyperlink">
    <w:name w:val="Hyperlink"/>
    <w:uiPriority w:val="99"/>
    <w:rsid w:val="00283531"/>
    <w:rPr>
      <w:rFonts w:cs="Times New Roman"/>
      <w:color w:val="0000FF"/>
      <w:u w:val="single"/>
    </w:rPr>
  </w:style>
  <w:style w:type="character" w:customStyle="1" w:styleId="FootnoteChar">
    <w:name w:val="Footnote Char"/>
    <w:basedOn w:val="DefaultParagraphFont"/>
    <w:link w:val="Footnote"/>
    <w:rsid w:val="00283531"/>
    <w:rPr>
      <w:rFonts w:eastAsiaTheme="minorEastAsia" w:cstheme="minorHAnsi"/>
      <w:sz w:val="18"/>
      <w:szCs w:val="20"/>
    </w:rPr>
  </w:style>
  <w:style w:type="paragraph" w:customStyle="1" w:styleId="Footnote">
    <w:name w:val="Footnote"/>
    <w:basedOn w:val="FootnoteText"/>
    <w:link w:val="FootnoteChar"/>
    <w:autoRedefine/>
    <w:qFormat/>
    <w:rsid w:val="00283531"/>
    <w:pPr>
      <w:widowControl w:val="0"/>
    </w:pPr>
    <w:rPr>
      <w:rFonts w:eastAsiaTheme="minorEastAsia" w:cstheme="minorHAnsi"/>
      <w:sz w:val="18"/>
    </w:rPr>
  </w:style>
  <w:style w:type="paragraph" w:styleId="FootnoteText">
    <w:name w:val="footnote text"/>
    <w:basedOn w:val="Normal"/>
    <w:link w:val="FootnoteTextChar"/>
    <w:uiPriority w:val="99"/>
    <w:semiHidden/>
    <w:unhideWhenUsed/>
    <w:rsid w:val="0028353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83531"/>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8353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aliases w:val="Footnote_Reference,o,fr"/>
    <w:uiPriority w:val="99"/>
    <w:qFormat/>
    <w:rsid w:val="00283531"/>
    <w:rPr>
      <w:rFonts w:ascii="Arial" w:hAnsi="Arial" w:cs="Times New Roman"/>
      <w:sz w:val="20"/>
      <w:vertAlign w:val="superscript"/>
    </w:rPr>
  </w:style>
  <w:style w:type="character" w:styleId="Hyperlink">
    <w:name w:val="Hyperlink"/>
    <w:uiPriority w:val="99"/>
    <w:rsid w:val="00283531"/>
    <w:rPr>
      <w:rFonts w:cs="Times New Roman"/>
      <w:color w:val="0000FF"/>
      <w:u w:val="single"/>
    </w:rPr>
  </w:style>
  <w:style w:type="character" w:customStyle="1" w:styleId="FootnoteChar">
    <w:name w:val="Footnote Char"/>
    <w:basedOn w:val="DefaultParagraphFont"/>
    <w:link w:val="Footnote"/>
    <w:rsid w:val="00283531"/>
    <w:rPr>
      <w:rFonts w:eastAsiaTheme="minorEastAsia" w:cstheme="minorHAnsi"/>
      <w:sz w:val="18"/>
      <w:szCs w:val="20"/>
    </w:rPr>
  </w:style>
  <w:style w:type="paragraph" w:customStyle="1" w:styleId="Footnote">
    <w:name w:val="Footnote"/>
    <w:basedOn w:val="FootnoteText"/>
    <w:link w:val="FootnoteChar"/>
    <w:autoRedefine/>
    <w:qFormat/>
    <w:rsid w:val="00283531"/>
    <w:pPr>
      <w:widowControl w:val="0"/>
    </w:pPr>
    <w:rPr>
      <w:rFonts w:eastAsiaTheme="minorEastAsia" w:cstheme="minorHAnsi"/>
      <w:sz w:val="18"/>
    </w:rPr>
  </w:style>
  <w:style w:type="paragraph" w:styleId="FootnoteText">
    <w:name w:val="footnote text"/>
    <w:basedOn w:val="Normal"/>
    <w:link w:val="FootnoteTextChar"/>
    <w:uiPriority w:val="99"/>
    <w:semiHidden/>
    <w:unhideWhenUsed/>
    <w:rsid w:val="0028353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83531"/>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lightingcontrolsassociation.org/bi-level-switching-study-demonstrates-energy-saving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0E8189-7FF3-4C71-90F0-32C1789A64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688</Words>
  <Characters>3922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April Desclos</dc:creator>
  <cp:lastModifiedBy>April Desclos</cp:lastModifiedBy>
  <cp:revision>3</cp:revision>
  <dcterms:created xsi:type="dcterms:W3CDTF">2015-11-02T21:13:00Z</dcterms:created>
  <dcterms:modified xsi:type="dcterms:W3CDTF">2015-11-05T15:56:00Z</dcterms:modified>
</cp:coreProperties>
</file>