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32" w:rsidRDefault="00137532" w:rsidP="00137532">
      <w:pPr>
        <w:pStyle w:val="Heading3"/>
        <w:numPr>
          <w:ilvl w:val="2"/>
          <w:numId w:val="2"/>
        </w:numPr>
      </w:pPr>
      <w:bookmarkStart w:id="0" w:name="_Ref355947743"/>
      <w:bookmarkStart w:id="1" w:name="_Toc411593540"/>
      <w:r>
        <w:t>Boiler Pipe Insulation</w:t>
      </w:r>
      <w:bookmarkEnd w:id="0"/>
      <w:bookmarkEnd w:id="1"/>
    </w:p>
    <w:p w:rsidR="00137532" w:rsidRPr="000B7BB6" w:rsidRDefault="00137532" w:rsidP="00137532">
      <w:pPr>
        <w:pStyle w:val="Heading6"/>
      </w:pPr>
      <w:r w:rsidRPr="00B41203">
        <w:t xml:space="preserve">Description </w:t>
      </w:r>
    </w:p>
    <w:p w:rsidR="00137532" w:rsidRPr="00A05FC2" w:rsidRDefault="00137532" w:rsidP="00137532">
      <w:pPr>
        <w:keepNext/>
        <w:rPr>
          <w:rFonts w:cstheme="minorHAnsi"/>
        </w:rPr>
      </w:pPr>
      <w:r w:rsidRPr="00A05FC2">
        <w:rPr>
          <w:rFonts w:cstheme="minorHAnsi"/>
        </w:rPr>
        <w:t xml:space="preserve">This measure describes adding insulation to un-insulated </w:t>
      </w:r>
      <w:r>
        <w:rPr>
          <w:rFonts w:cstheme="minorHAnsi"/>
        </w:rPr>
        <w:t>boiler</w:t>
      </w:r>
      <w:r w:rsidRPr="00A05FC2">
        <w:rPr>
          <w:rFonts w:cstheme="minorHAnsi"/>
        </w:rPr>
        <w:t xml:space="preserve"> pipes</w:t>
      </w:r>
      <w:r>
        <w:rPr>
          <w:rFonts w:cstheme="minorHAnsi"/>
        </w:rPr>
        <w:t xml:space="preserve"> in un-conditioned basements or crawlspaces</w:t>
      </w:r>
      <w:r w:rsidRPr="00A05FC2">
        <w:rPr>
          <w:rFonts w:cstheme="minorHAnsi"/>
        </w:rPr>
        <w:t xml:space="preserve">. </w:t>
      </w:r>
    </w:p>
    <w:p w:rsidR="00137532" w:rsidRPr="000B7BB6" w:rsidRDefault="00137532" w:rsidP="00137532">
      <w:pPr>
        <w:widowControl/>
        <w:jc w:val="left"/>
        <w:rPr>
          <w:rFonts w:cstheme="minorHAnsi"/>
          <w:szCs w:val="20"/>
        </w:rPr>
      </w:pPr>
      <w:r w:rsidRPr="000B7BB6">
        <w:rPr>
          <w:rFonts w:cstheme="minorHAnsi"/>
          <w:szCs w:val="20"/>
        </w:rPr>
        <w:t xml:space="preserve">This measure was developed to be applicable to the following program types:  </w:t>
      </w:r>
      <w:r>
        <w:rPr>
          <w:rFonts w:cstheme="minorHAnsi"/>
          <w:szCs w:val="20"/>
        </w:rPr>
        <w:t xml:space="preserve">TOS, RNC, </w:t>
      </w:r>
      <w:r w:rsidRPr="000B7BB6">
        <w:rPr>
          <w:rFonts w:cstheme="minorHAnsi"/>
          <w:szCs w:val="20"/>
        </w:rPr>
        <w:t>RF</w:t>
      </w:r>
      <w:r>
        <w:rPr>
          <w:rFonts w:cstheme="minorHAnsi"/>
          <w:szCs w:val="20"/>
        </w:rPr>
        <w:t>, DI</w:t>
      </w:r>
      <w:r w:rsidRPr="000B7BB6">
        <w:rPr>
          <w:rFonts w:cstheme="minorHAnsi"/>
          <w:szCs w:val="20"/>
        </w:rPr>
        <w:t xml:space="preserve">.  </w:t>
      </w:r>
    </w:p>
    <w:p w:rsidR="00137532" w:rsidRPr="000B7BB6" w:rsidRDefault="00137532" w:rsidP="00137532">
      <w:pPr>
        <w:widowControl/>
        <w:jc w:val="left"/>
        <w:rPr>
          <w:rFonts w:cstheme="minorHAnsi"/>
          <w:szCs w:val="20"/>
        </w:rPr>
      </w:pPr>
      <w:r w:rsidRPr="000B7BB6">
        <w:rPr>
          <w:rFonts w:cstheme="minorHAnsi"/>
          <w:szCs w:val="20"/>
        </w:rPr>
        <w:t>If applied to other program types, the measure savings should be verified.</w:t>
      </w:r>
    </w:p>
    <w:p w:rsidR="00137532" w:rsidRPr="00A05FC2" w:rsidRDefault="00137532" w:rsidP="00137532">
      <w:pPr>
        <w:pStyle w:val="Heading6"/>
      </w:pPr>
      <w:r w:rsidRPr="00A05FC2">
        <w:t xml:space="preserve">Definition of Efficient Equipment </w:t>
      </w:r>
    </w:p>
    <w:p w:rsidR="00137532" w:rsidRDefault="00137532" w:rsidP="00137532">
      <w:pPr>
        <w:rPr>
          <w:rFonts w:cstheme="minorHAnsi"/>
        </w:rPr>
      </w:pPr>
      <w:r w:rsidRPr="00A05FC2">
        <w:rPr>
          <w:rFonts w:cstheme="minorHAnsi"/>
        </w:rPr>
        <w:t xml:space="preserve">The efficient case is installing pipe wrap insulation to a length of </w:t>
      </w:r>
      <w:r>
        <w:rPr>
          <w:rFonts w:cstheme="minorHAnsi"/>
        </w:rPr>
        <w:t>boiler</w:t>
      </w:r>
      <w:r w:rsidRPr="00A05FC2">
        <w:rPr>
          <w:rFonts w:cstheme="minorHAnsi"/>
        </w:rPr>
        <w:t xml:space="preserve"> pipe.</w:t>
      </w:r>
    </w:p>
    <w:p w:rsidR="00137532" w:rsidRDefault="00137532" w:rsidP="00137532">
      <w:pPr>
        <w:pStyle w:val="Heading6"/>
      </w:pPr>
      <w:r w:rsidRPr="00A05FC2">
        <w:t xml:space="preserve">Definition of Baseline Equipment </w:t>
      </w:r>
    </w:p>
    <w:p w:rsidR="00137532" w:rsidRDefault="00137532" w:rsidP="00137532">
      <w:pPr>
        <w:rPr>
          <w:rFonts w:cstheme="minorHAnsi"/>
        </w:rPr>
      </w:pPr>
      <w:r w:rsidRPr="00A05FC2">
        <w:rPr>
          <w:rFonts w:cstheme="minorHAnsi"/>
        </w:rPr>
        <w:t xml:space="preserve">The baseline is an un-insulated </w:t>
      </w:r>
      <w:r>
        <w:rPr>
          <w:rFonts w:cstheme="minorHAnsi"/>
        </w:rPr>
        <w:t>boiler</w:t>
      </w:r>
      <w:r w:rsidRPr="00A05FC2">
        <w:rPr>
          <w:rFonts w:cstheme="minorHAnsi"/>
        </w:rPr>
        <w:t xml:space="preserve"> pipe.</w:t>
      </w:r>
    </w:p>
    <w:p w:rsidR="00137532" w:rsidRDefault="00137532" w:rsidP="00137532">
      <w:pPr>
        <w:pStyle w:val="Heading6"/>
      </w:pPr>
      <w:r w:rsidRPr="00A05FC2">
        <w:t xml:space="preserve">Deemed Lifetime of Efficient Equipment </w:t>
      </w:r>
    </w:p>
    <w:p w:rsidR="00137532" w:rsidRPr="00A05FC2" w:rsidRDefault="00137532" w:rsidP="00137532">
      <w:pPr>
        <w:rPr>
          <w:rFonts w:cstheme="minorHAnsi"/>
        </w:rPr>
      </w:pPr>
      <w:r w:rsidRPr="00A05FC2">
        <w:rPr>
          <w:rFonts w:cstheme="minorHAnsi"/>
        </w:rPr>
        <w:t>The measure life is assumed to be 15 years</w:t>
      </w:r>
      <w:r w:rsidRPr="00A05FC2">
        <w:rPr>
          <w:rStyle w:val="FootnoteReference"/>
          <w:rFonts w:eastAsia="Calibri" w:cstheme="minorHAnsi"/>
        </w:rPr>
        <w:footnoteReference w:id="1"/>
      </w:r>
      <w:r w:rsidRPr="00A05FC2">
        <w:rPr>
          <w:rFonts w:cstheme="minorHAnsi"/>
        </w:rPr>
        <w:t>.</w:t>
      </w:r>
    </w:p>
    <w:p w:rsidR="00137532" w:rsidRPr="00A05FC2" w:rsidRDefault="00137532" w:rsidP="00137532">
      <w:pPr>
        <w:pStyle w:val="Heading6"/>
      </w:pPr>
      <w:r w:rsidRPr="00A05FC2">
        <w:t xml:space="preserve">Deemed Measure Cost </w:t>
      </w:r>
    </w:p>
    <w:p w:rsidR="00137532" w:rsidRPr="00A05FC2" w:rsidRDefault="00137532" w:rsidP="00137532">
      <w:pPr>
        <w:rPr>
          <w:rFonts w:cstheme="minorHAnsi"/>
        </w:rPr>
      </w:pPr>
      <w:r w:rsidRPr="00A05FC2">
        <w:rPr>
          <w:rFonts w:cstheme="minorHAnsi"/>
        </w:rPr>
        <w:t>The measure cost including material and installation is assumed to be $3 per linear foot</w:t>
      </w:r>
      <w:r w:rsidRPr="00A05FC2">
        <w:rPr>
          <w:rStyle w:val="FootnoteReference"/>
          <w:rFonts w:eastAsia="Calibri" w:cstheme="minorHAnsi"/>
        </w:rPr>
        <w:footnoteReference w:id="2"/>
      </w:r>
      <w:r w:rsidRPr="00A05FC2">
        <w:rPr>
          <w:rFonts w:cstheme="minorHAnsi"/>
        </w:rPr>
        <w:t>.</w:t>
      </w:r>
    </w:p>
    <w:p w:rsidR="00137532" w:rsidRPr="000B7BB6" w:rsidRDefault="00137532" w:rsidP="00137532">
      <w:pPr>
        <w:pStyle w:val="Heading6"/>
      </w:pPr>
      <w:proofErr w:type="spellStart"/>
      <w:r w:rsidRPr="00B41203">
        <w:t>Loadshape</w:t>
      </w:r>
      <w:proofErr w:type="spellEnd"/>
    </w:p>
    <w:p w:rsidR="00137532" w:rsidRPr="00A05FC2" w:rsidRDefault="00137532" w:rsidP="00137532">
      <w:pPr>
        <w:rPr>
          <w:rFonts w:cstheme="minorHAnsi"/>
          <w:b/>
          <w:iCs/>
        </w:rPr>
      </w:pPr>
      <w:r w:rsidRPr="00A05FC2">
        <w:rPr>
          <w:rFonts w:cstheme="minorHAnsi"/>
        </w:rPr>
        <w:t>N/A</w:t>
      </w:r>
    </w:p>
    <w:p w:rsidR="00137532" w:rsidRPr="00A05FC2" w:rsidRDefault="00137532" w:rsidP="00137532">
      <w:pPr>
        <w:pStyle w:val="Heading6"/>
      </w:pPr>
      <w:r w:rsidRPr="00A05FC2">
        <w:t xml:space="preserve">Coincidence Factor </w:t>
      </w:r>
    </w:p>
    <w:p w:rsidR="00137532" w:rsidRDefault="00137532" w:rsidP="00137532">
      <w:pPr>
        <w:rPr>
          <w:rFonts w:cstheme="minorHAnsi"/>
        </w:rPr>
      </w:pPr>
      <w:r w:rsidRPr="00A05FC2">
        <w:rPr>
          <w:rFonts w:cstheme="minorHAnsi"/>
        </w:rPr>
        <w:t>N/A</w:t>
      </w:r>
    </w:p>
    <w:p w:rsidR="00137532" w:rsidRPr="00A05FC2" w:rsidRDefault="00137532" w:rsidP="00137532">
      <w:pPr>
        <w:rPr>
          <w:rFonts w:cstheme="minorHAnsi"/>
          <w:b/>
          <w:iCs/>
        </w:rPr>
      </w:pPr>
    </w:p>
    <w:p w:rsidR="00137532" w:rsidRPr="00A05FC2" w:rsidRDefault="00137532" w:rsidP="00137532">
      <w:pPr>
        <w:pStyle w:val="AlgorithmHeading"/>
        <w:pBdr>
          <w:top w:val="double" w:sz="4" w:space="2" w:color="auto"/>
        </w:pBdr>
      </w:pPr>
      <w:r w:rsidRPr="00A05FC2">
        <w:t>Algorithm</w:t>
      </w:r>
    </w:p>
    <w:p w:rsidR="00137532" w:rsidRPr="00A05FC2" w:rsidRDefault="00137532" w:rsidP="00137532">
      <w:pPr>
        <w:pStyle w:val="Heading6"/>
      </w:pPr>
      <w:r w:rsidRPr="00A05FC2">
        <w:t xml:space="preserve">Calculation of Savings </w:t>
      </w:r>
    </w:p>
    <w:p w:rsidR="00137532" w:rsidRDefault="00137532" w:rsidP="00137532">
      <w:pPr>
        <w:pStyle w:val="Heading6"/>
      </w:pPr>
      <w:r w:rsidRPr="00A05FC2">
        <w:t>Electric Energy Savings</w:t>
      </w:r>
    </w:p>
    <w:p w:rsidR="00137532" w:rsidRPr="00A05FC2" w:rsidRDefault="00137532" w:rsidP="00137532">
      <w:pPr>
        <w:rPr>
          <w:rFonts w:cstheme="minorHAnsi"/>
          <w:b/>
          <w:iCs/>
        </w:rPr>
      </w:pPr>
      <w:r w:rsidRPr="00A05FC2">
        <w:rPr>
          <w:rFonts w:cstheme="minorHAnsi"/>
        </w:rPr>
        <w:t>N/A</w:t>
      </w:r>
    </w:p>
    <w:p w:rsidR="00137532" w:rsidRDefault="00137532" w:rsidP="00137532">
      <w:pPr>
        <w:pStyle w:val="Heading6"/>
      </w:pPr>
      <w:r w:rsidRPr="00A05FC2">
        <w:t>Summer Coincident Peak Demand Savings</w:t>
      </w:r>
    </w:p>
    <w:p w:rsidR="00137532" w:rsidRPr="00A05FC2" w:rsidRDefault="00137532" w:rsidP="00137532">
      <w:pPr>
        <w:rPr>
          <w:rFonts w:cstheme="minorHAnsi"/>
          <w:b/>
          <w:iCs/>
        </w:rPr>
      </w:pPr>
      <w:r w:rsidRPr="00A05FC2">
        <w:rPr>
          <w:rFonts w:cstheme="minorHAnsi"/>
        </w:rPr>
        <w:t>N/A</w:t>
      </w:r>
    </w:p>
    <w:p w:rsidR="00137532" w:rsidRPr="00A05FC2" w:rsidRDefault="00137532" w:rsidP="00137532">
      <w:pPr>
        <w:pStyle w:val="Heading6"/>
      </w:pPr>
      <w:r>
        <w:t>Natural Gas</w:t>
      </w:r>
      <w:r w:rsidRPr="00A05FC2">
        <w:t xml:space="preserve"> Savings </w:t>
      </w:r>
    </w:p>
    <w:p w:rsidR="00137532" w:rsidRPr="00A05FC2" w:rsidRDefault="00137532" w:rsidP="00137532">
      <w:pPr>
        <w:autoSpaceDE w:val="0"/>
        <w:autoSpaceDN w:val="0"/>
        <w:adjustRightInd w:val="0"/>
        <w:ind w:left="2880" w:hanging="1440"/>
        <w:rPr>
          <w:rFonts w:cstheme="minorHAnsi"/>
        </w:rPr>
      </w:pPr>
      <w:r w:rsidRPr="00A05FC2">
        <w:rPr>
          <w:rFonts w:cstheme="minorHAnsi"/>
          <w:noProof/>
        </w:rPr>
        <w:t>Δ</w:t>
      </w:r>
      <w:r w:rsidRPr="00A05FC2">
        <w:rPr>
          <w:rFonts w:cstheme="minorHAnsi"/>
        </w:rPr>
        <w:t>Therm</w:t>
      </w:r>
      <w:r w:rsidRPr="00A05FC2">
        <w:rPr>
          <w:rFonts w:cstheme="minorHAnsi"/>
        </w:rPr>
        <w:tab/>
        <w:t>= ((</w:t>
      </w:r>
      <w:r>
        <w:rPr>
          <w:rFonts w:cstheme="minorHAnsi"/>
        </w:rPr>
        <w:t>(</w:t>
      </w:r>
      <w:r w:rsidRPr="00A05FC2">
        <w:rPr>
          <w:rFonts w:cstheme="minorHAnsi"/>
        </w:rPr>
        <w:t>1/</w:t>
      </w:r>
      <w:proofErr w:type="spellStart"/>
      <w:r w:rsidRPr="00A05FC2">
        <w:rPr>
          <w:rFonts w:cstheme="minorHAnsi"/>
        </w:rPr>
        <w:t>R</w:t>
      </w:r>
      <w:r w:rsidRPr="00F866AB">
        <w:rPr>
          <w:rFonts w:cstheme="minorHAnsi"/>
          <w:vertAlign w:val="subscript"/>
        </w:rPr>
        <w:t>exist</w:t>
      </w:r>
      <w:proofErr w:type="spellEnd"/>
      <w:r w:rsidRPr="00A05FC2">
        <w:rPr>
          <w:rFonts w:cstheme="minorHAnsi"/>
        </w:rPr>
        <w:t xml:space="preserve"> </w:t>
      </w:r>
      <w:r>
        <w:rPr>
          <w:rFonts w:cstheme="minorHAnsi"/>
        </w:rPr>
        <w:t xml:space="preserve">* </w:t>
      </w:r>
      <w:proofErr w:type="spellStart"/>
      <w:r>
        <w:rPr>
          <w:rFonts w:cstheme="minorHAnsi"/>
        </w:rPr>
        <w:t>C</w:t>
      </w:r>
      <w:r w:rsidRPr="00F866AB">
        <w:rPr>
          <w:rFonts w:cstheme="minorHAnsi"/>
          <w:vertAlign w:val="subscript"/>
        </w:rPr>
        <w:t>exist</w:t>
      </w:r>
      <w:proofErr w:type="spellEnd"/>
      <w:r>
        <w:rPr>
          <w:rFonts w:cstheme="minorHAnsi"/>
        </w:rPr>
        <w:t xml:space="preserve">) </w:t>
      </w:r>
      <w:r w:rsidRPr="00A05FC2">
        <w:rPr>
          <w:rFonts w:cstheme="minorHAnsi"/>
        </w:rPr>
        <w:t xml:space="preserve">– </w:t>
      </w:r>
      <w:r>
        <w:rPr>
          <w:rFonts w:cstheme="minorHAnsi"/>
        </w:rPr>
        <w:t>(</w:t>
      </w:r>
      <w:r w:rsidRPr="00A05FC2">
        <w:rPr>
          <w:rFonts w:cstheme="minorHAnsi"/>
        </w:rPr>
        <w:t>1/</w:t>
      </w:r>
      <w:proofErr w:type="spellStart"/>
      <w:r w:rsidRPr="00A05FC2">
        <w:rPr>
          <w:rFonts w:cstheme="minorHAnsi"/>
        </w:rPr>
        <w:t>R</w:t>
      </w:r>
      <w:r w:rsidRPr="00F866AB">
        <w:rPr>
          <w:rFonts w:cstheme="minorHAnsi"/>
          <w:vertAlign w:val="subscript"/>
        </w:rPr>
        <w:t>new</w:t>
      </w:r>
      <w:proofErr w:type="spellEnd"/>
      <w:r>
        <w:rPr>
          <w:rFonts w:cstheme="minorHAnsi"/>
        </w:rPr>
        <w:t xml:space="preserve"> * </w:t>
      </w:r>
      <w:proofErr w:type="spellStart"/>
      <w:r>
        <w:rPr>
          <w:rFonts w:cstheme="minorHAnsi"/>
        </w:rPr>
        <w:t>C</w:t>
      </w:r>
      <w:r w:rsidRPr="00F866AB">
        <w:rPr>
          <w:rFonts w:cstheme="minorHAnsi"/>
          <w:vertAlign w:val="subscript"/>
        </w:rPr>
        <w:t>new</w:t>
      </w:r>
      <w:proofErr w:type="spellEnd"/>
      <w:r>
        <w:rPr>
          <w:rFonts w:cstheme="minorHAnsi"/>
        </w:rPr>
        <w:t>)</w:t>
      </w:r>
      <w:r w:rsidRPr="00A05FC2">
        <w:rPr>
          <w:rFonts w:cstheme="minorHAnsi"/>
        </w:rPr>
        <w:t xml:space="preserve">) * </w:t>
      </w:r>
      <w:r w:rsidRPr="000B7BB6">
        <w:rPr>
          <w:rFonts w:cstheme="minorHAnsi"/>
          <w:noProof/>
        </w:rPr>
        <w:t>FLH_heat</w:t>
      </w:r>
      <w:r w:rsidRPr="00A05FC2">
        <w:rPr>
          <w:rFonts w:cstheme="minorHAnsi"/>
        </w:rPr>
        <w:t xml:space="preserve"> * </w:t>
      </w:r>
      <w:r>
        <w:rPr>
          <w:rFonts w:cstheme="minorHAnsi"/>
        </w:rPr>
        <w:t>L *</w:t>
      </w:r>
      <w:r w:rsidRPr="00127456">
        <w:rPr>
          <w:rFonts w:cstheme="minorHAnsi"/>
        </w:rPr>
        <w:t xml:space="preserve"> </w:t>
      </w:r>
      <w:proofErr w:type="gramStart"/>
      <w:r w:rsidRPr="00A05FC2">
        <w:rPr>
          <w:rFonts w:cstheme="minorHAnsi"/>
        </w:rPr>
        <w:t>ΔT</w:t>
      </w:r>
      <w:r>
        <w:rPr>
          <w:rFonts w:cstheme="minorHAnsi"/>
          <w:vertAlign w:val="subscript"/>
        </w:rPr>
        <w:t xml:space="preserve"> </w:t>
      </w:r>
      <w:r>
        <w:rPr>
          <w:rFonts w:cstheme="minorHAnsi"/>
        </w:rPr>
        <w:t>)</w:t>
      </w:r>
      <w:proofErr w:type="gramEnd"/>
      <w:r w:rsidRPr="00A05FC2">
        <w:rPr>
          <w:rFonts w:cstheme="minorHAnsi"/>
        </w:rPr>
        <w:t xml:space="preserve"> / </w:t>
      </w:r>
      <w:proofErr w:type="spellStart"/>
      <w:r w:rsidRPr="00A05FC2">
        <w:rPr>
          <w:rFonts w:cstheme="minorHAnsi"/>
        </w:rPr>
        <w:t>η</w:t>
      </w:r>
      <w:r>
        <w:rPr>
          <w:rFonts w:cstheme="minorHAnsi"/>
        </w:rPr>
        <w:t>Boiler</w:t>
      </w:r>
      <w:proofErr w:type="spellEnd"/>
      <w:r w:rsidRPr="00A05FC2">
        <w:rPr>
          <w:rFonts w:cstheme="minorHAnsi"/>
        </w:rPr>
        <w:t xml:space="preserve"> /100,000</w:t>
      </w:r>
    </w:p>
    <w:p w:rsidR="00137532" w:rsidRPr="00A05FC2" w:rsidRDefault="00137532" w:rsidP="00137532">
      <w:pPr>
        <w:rPr>
          <w:rFonts w:cstheme="minorHAnsi"/>
          <w:noProof/>
        </w:rPr>
      </w:pPr>
      <w:r w:rsidRPr="00A05FC2">
        <w:rPr>
          <w:rFonts w:cstheme="minorHAnsi"/>
          <w:noProof/>
        </w:rPr>
        <w:t>Where:</w:t>
      </w:r>
    </w:p>
    <w:p w:rsidR="00137532" w:rsidRPr="00A05FC2" w:rsidRDefault="00137532" w:rsidP="00137532">
      <w:pPr>
        <w:autoSpaceDE w:val="0"/>
        <w:autoSpaceDN w:val="0"/>
        <w:adjustRightInd w:val="0"/>
        <w:ind w:left="2160" w:hanging="1440"/>
        <w:rPr>
          <w:rFonts w:cstheme="minorHAnsi"/>
        </w:rPr>
      </w:pPr>
      <w:proofErr w:type="spellStart"/>
      <w:r w:rsidRPr="00A05FC2">
        <w:rPr>
          <w:rFonts w:cstheme="minorHAnsi"/>
        </w:rPr>
        <w:t>R</w:t>
      </w:r>
      <w:r w:rsidRPr="00F866AB">
        <w:rPr>
          <w:rFonts w:cstheme="minorHAnsi"/>
          <w:vertAlign w:val="subscript"/>
        </w:rPr>
        <w:t>exist</w:t>
      </w:r>
      <w:proofErr w:type="spellEnd"/>
      <w:r w:rsidRPr="00A05FC2">
        <w:rPr>
          <w:rFonts w:cstheme="minorHAnsi"/>
        </w:rPr>
        <w:tab/>
        <w:t xml:space="preserve">= Pipe heat loss coefficient of </w:t>
      </w:r>
      <w:proofErr w:type="spellStart"/>
      <w:r w:rsidRPr="00A05FC2">
        <w:rPr>
          <w:rFonts w:cstheme="minorHAnsi"/>
        </w:rPr>
        <w:t>uninsulated</w:t>
      </w:r>
      <w:proofErr w:type="spellEnd"/>
      <w:r w:rsidRPr="00A05FC2">
        <w:rPr>
          <w:rFonts w:cstheme="minorHAnsi"/>
        </w:rPr>
        <w:t xml:space="preserve"> pipe (existing) [(</w:t>
      </w:r>
      <w:proofErr w:type="spellStart"/>
      <w:r w:rsidRPr="00A05FC2">
        <w:rPr>
          <w:rFonts w:cstheme="minorHAnsi"/>
        </w:rPr>
        <w:t>hr</w:t>
      </w:r>
      <w:proofErr w:type="spellEnd"/>
      <w:r w:rsidRPr="00A05FC2">
        <w:rPr>
          <w:rFonts w:cstheme="minorHAnsi"/>
        </w:rPr>
        <w:t>-°F-ft</w:t>
      </w:r>
      <w:r>
        <w:rPr>
          <w:rFonts w:cstheme="minorHAnsi"/>
          <w:vertAlign w:val="superscript"/>
        </w:rPr>
        <w:t>2</w:t>
      </w:r>
      <w:r w:rsidRPr="00A05FC2">
        <w:rPr>
          <w:rFonts w:cstheme="minorHAnsi"/>
        </w:rPr>
        <w:t xml:space="preserve">)/Btu] </w:t>
      </w:r>
    </w:p>
    <w:p w:rsidR="00137532" w:rsidRPr="00A05FC2" w:rsidRDefault="00137532" w:rsidP="00137532">
      <w:pPr>
        <w:autoSpaceDE w:val="0"/>
        <w:autoSpaceDN w:val="0"/>
        <w:adjustRightInd w:val="0"/>
        <w:ind w:left="2160"/>
        <w:rPr>
          <w:rFonts w:cstheme="minorHAnsi"/>
        </w:rPr>
      </w:pPr>
      <w:r w:rsidRPr="00A05FC2">
        <w:rPr>
          <w:rFonts w:cstheme="minorHAnsi"/>
        </w:rPr>
        <w:lastRenderedPageBreak/>
        <w:t xml:space="preserve">= </w:t>
      </w:r>
      <w:r>
        <w:rPr>
          <w:rFonts w:cstheme="minorHAnsi"/>
        </w:rPr>
        <w:t>0.5</w:t>
      </w:r>
      <w:r w:rsidRPr="00A05FC2">
        <w:rPr>
          <w:rStyle w:val="FootnoteReference"/>
          <w:rFonts w:eastAsia="Calibri" w:cstheme="minorHAnsi"/>
        </w:rPr>
        <w:footnoteReference w:id="3"/>
      </w:r>
    </w:p>
    <w:p w:rsidR="00137532" w:rsidRPr="00A05FC2" w:rsidRDefault="00137532" w:rsidP="00137532">
      <w:pPr>
        <w:autoSpaceDE w:val="0"/>
        <w:autoSpaceDN w:val="0"/>
        <w:adjustRightInd w:val="0"/>
        <w:ind w:left="2160" w:hanging="1440"/>
        <w:rPr>
          <w:rFonts w:cstheme="minorHAnsi"/>
        </w:rPr>
      </w:pPr>
      <w:proofErr w:type="spellStart"/>
      <w:r w:rsidRPr="00A05FC2">
        <w:rPr>
          <w:rFonts w:cstheme="minorHAnsi"/>
        </w:rPr>
        <w:t>R</w:t>
      </w:r>
      <w:r w:rsidRPr="00F866AB">
        <w:rPr>
          <w:rFonts w:cstheme="minorHAnsi"/>
          <w:vertAlign w:val="subscript"/>
        </w:rPr>
        <w:t>new</w:t>
      </w:r>
      <w:proofErr w:type="spellEnd"/>
      <w:r w:rsidRPr="00A05FC2">
        <w:rPr>
          <w:rFonts w:cstheme="minorHAnsi"/>
        </w:rPr>
        <w:tab/>
        <w:t>= Pipe heat loss coefficient of insulated pipe (new) [(</w:t>
      </w:r>
      <w:proofErr w:type="spellStart"/>
      <w:r w:rsidRPr="00A05FC2">
        <w:rPr>
          <w:rFonts w:cstheme="minorHAnsi"/>
        </w:rPr>
        <w:t>hr</w:t>
      </w:r>
      <w:proofErr w:type="spellEnd"/>
      <w:r w:rsidRPr="00A05FC2">
        <w:rPr>
          <w:rFonts w:cstheme="minorHAnsi"/>
        </w:rPr>
        <w:t>-°F-ft</w:t>
      </w:r>
      <w:r>
        <w:rPr>
          <w:rFonts w:cstheme="minorHAnsi"/>
          <w:vertAlign w:val="superscript"/>
        </w:rPr>
        <w:t>2</w:t>
      </w:r>
      <w:r w:rsidRPr="00A05FC2">
        <w:rPr>
          <w:rFonts w:cstheme="minorHAnsi"/>
        </w:rPr>
        <w:t>)/Btu]</w:t>
      </w:r>
    </w:p>
    <w:p w:rsidR="00137532" w:rsidRPr="00A05FC2" w:rsidRDefault="00137532" w:rsidP="00137532">
      <w:pPr>
        <w:autoSpaceDE w:val="0"/>
        <w:autoSpaceDN w:val="0"/>
        <w:adjustRightInd w:val="0"/>
        <w:ind w:left="2160"/>
        <w:rPr>
          <w:rFonts w:cstheme="minorHAnsi"/>
        </w:rPr>
      </w:pPr>
      <w:r w:rsidRPr="00A05FC2">
        <w:rPr>
          <w:rFonts w:cstheme="minorHAnsi"/>
        </w:rPr>
        <w:t>= Actual (</w:t>
      </w:r>
      <w:r>
        <w:rPr>
          <w:rFonts w:cstheme="minorHAnsi"/>
        </w:rPr>
        <w:t>0.5</w:t>
      </w:r>
      <w:r w:rsidRPr="00A05FC2">
        <w:rPr>
          <w:rFonts w:cstheme="minorHAnsi"/>
        </w:rPr>
        <w:t xml:space="preserve"> + R value of insulation)</w:t>
      </w:r>
    </w:p>
    <w:p w:rsidR="00137532" w:rsidRPr="000B7BB6" w:rsidRDefault="00137532" w:rsidP="00137532">
      <w:pPr>
        <w:ind w:firstLine="720"/>
        <w:rPr>
          <w:rFonts w:cstheme="minorHAnsi"/>
          <w:noProof/>
        </w:rPr>
      </w:pPr>
      <w:r w:rsidRPr="000B7BB6">
        <w:rPr>
          <w:rFonts w:cstheme="minorHAnsi"/>
          <w:noProof/>
        </w:rPr>
        <w:t>FLH_heat</w:t>
      </w:r>
      <w:r w:rsidRPr="000B7BB6">
        <w:rPr>
          <w:rFonts w:cstheme="minorHAnsi"/>
          <w:noProof/>
        </w:rPr>
        <w:tab/>
        <w:t>= Full load hours of heating</w:t>
      </w:r>
    </w:p>
    <w:p w:rsidR="00137532" w:rsidRPr="000B7BB6" w:rsidRDefault="00137532" w:rsidP="00137532">
      <w:pPr>
        <w:ind w:left="1440" w:hanging="720"/>
        <w:rPr>
          <w:rFonts w:cstheme="minorHAnsi"/>
          <w:noProof/>
        </w:rPr>
      </w:pPr>
      <w:r w:rsidRPr="000B7BB6">
        <w:rPr>
          <w:rFonts w:cstheme="minorHAnsi"/>
          <w:noProof/>
        </w:rPr>
        <w:tab/>
      </w:r>
      <w:r w:rsidRPr="000B7BB6">
        <w:rPr>
          <w:rFonts w:cstheme="minorHAnsi"/>
          <w:noProof/>
        </w:rPr>
        <w:tab/>
        <w:t>= Dependent on location</w:t>
      </w:r>
      <w:r w:rsidRPr="000B7BB6">
        <w:rPr>
          <w:rStyle w:val="FootnoteReference"/>
          <w:rFonts w:cstheme="minorHAnsi"/>
          <w:noProof/>
        </w:rPr>
        <w:footnoteReference w:id="4"/>
      </w:r>
      <w:r w:rsidRPr="00B41203">
        <w:rPr>
          <w:rFonts w:cstheme="minorHAnsi"/>
          <w:noProof/>
        </w:rPr>
        <w:t>:</w:t>
      </w:r>
    </w:p>
    <w:tbl>
      <w:tblPr>
        <w:tblW w:w="3426" w:type="dxa"/>
        <w:tblInd w:w="2988" w:type="dxa"/>
        <w:tblLook w:val="04A0" w:firstRow="1" w:lastRow="0" w:firstColumn="1" w:lastColumn="0" w:noHBand="0" w:noVBand="1"/>
      </w:tblPr>
      <w:tblGrid>
        <w:gridCol w:w="2160"/>
        <w:gridCol w:w="1266"/>
      </w:tblGrid>
      <w:tr w:rsidR="00137532" w:rsidRPr="00A05FC2" w:rsidTr="00934F83">
        <w:trPr>
          <w:trHeight w:val="270"/>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p w:rsidR="00137532" w:rsidRPr="00A05FC2" w:rsidRDefault="00137532" w:rsidP="00934F83">
            <w:pPr>
              <w:widowControl/>
              <w:jc w:val="center"/>
              <w:rPr>
                <w:rFonts w:cstheme="minorHAnsi"/>
                <w:b/>
                <w:bCs/>
                <w:color w:val="FFFFFF" w:themeColor="background1"/>
                <w:szCs w:val="20"/>
              </w:rPr>
            </w:pPr>
            <w:r w:rsidRPr="00A05FC2">
              <w:rPr>
                <w:rFonts w:cstheme="minorHAnsi"/>
                <w:b/>
                <w:bCs/>
                <w:color w:val="FFFFFF" w:themeColor="background1"/>
                <w:szCs w:val="20"/>
              </w:rPr>
              <w:t>Climate Zone</w:t>
            </w:r>
          </w:p>
          <w:p w:rsidR="00137532" w:rsidRPr="000B7BB6" w:rsidRDefault="00137532" w:rsidP="00934F83">
            <w:pPr>
              <w:jc w:val="center"/>
              <w:rPr>
                <w:rFonts w:cstheme="minorHAnsi"/>
                <w:b/>
                <w:color w:val="FFFFFF" w:themeColor="background1"/>
                <w:szCs w:val="20"/>
              </w:rPr>
            </w:pPr>
            <w:r w:rsidRPr="000B7BB6">
              <w:rPr>
                <w:rFonts w:cstheme="minorHAnsi"/>
                <w:b/>
                <w:color w:val="FFFFFF" w:themeColor="background1"/>
                <w:szCs w:val="20"/>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137532" w:rsidRPr="000B7BB6" w:rsidRDefault="00137532" w:rsidP="00934F83">
            <w:pPr>
              <w:jc w:val="center"/>
              <w:rPr>
                <w:rFonts w:cstheme="minorHAnsi"/>
                <w:b/>
                <w:color w:val="FFFFFF" w:themeColor="background1"/>
                <w:szCs w:val="20"/>
              </w:rPr>
            </w:pPr>
            <w:proofErr w:type="spellStart"/>
            <w:r w:rsidRPr="000B7BB6">
              <w:rPr>
                <w:rFonts w:cstheme="minorHAnsi"/>
                <w:b/>
                <w:color w:val="FFFFFF" w:themeColor="background1"/>
                <w:szCs w:val="20"/>
              </w:rPr>
              <w:t>FLH_heat</w:t>
            </w:r>
            <w:proofErr w:type="spellEnd"/>
          </w:p>
        </w:tc>
      </w:tr>
      <w:tr w:rsidR="00137532" w:rsidRPr="00A05FC2" w:rsidTr="00934F83">
        <w:trPr>
          <w:trHeight w:val="187"/>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137532" w:rsidRPr="00A05FC2" w:rsidRDefault="00137532" w:rsidP="00934F83">
            <w:pPr>
              <w:pStyle w:val="TableText"/>
            </w:pPr>
            <w:r w:rsidRPr="00A05FC2">
              <w:t>1 (Rockford)</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137532" w:rsidRPr="00A05FC2" w:rsidRDefault="00137532" w:rsidP="00934F83">
            <w:pPr>
              <w:pStyle w:val="TableText"/>
            </w:pPr>
            <w:r w:rsidRPr="00A05FC2">
              <w:t>1,969</w:t>
            </w:r>
          </w:p>
        </w:tc>
      </w:tr>
      <w:tr w:rsidR="00137532" w:rsidRPr="00A05FC2" w:rsidTr="00934F83">
        <w:trPr>
          <w:trHeight w:val="187"/>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137532" w:rsidRPr="00A05FC2" w:rsidRDefault="00137532" w:rsidP="00934F83">
            <w:pPr>
              <w:pStyle w:val="TableText"/>
            </w:pPr>
            <w:r w:rsidRPr="00A05FC2">
              <w:t>2 (Chicago)</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137532" w:rsidRPr="00A05FC2" w:rsidRDefault="00137532" w:rsidP="00934F83">
            <w:pPr>
              <w:pStyle w:val="TableText"/>
            </w:pPr>
            <w:r w:rsidRPr="00A05FC2">
              <w:t>1,840</w:t>
            </w:r>
          </w:p>
        </w:tc>
      </w:tr>
      <w:tr w:rsidR="00137532" w:rsidRPr="00A05FC2" w:rsidTr="00934F83">
        <w:trPr>
          <w:trHeight w:val="187"/>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137532" w:rsidRPr="00A05FC2" w:rsidRDefault="00137532" w:rsidP="00934F83">
            <w:pPr>
              <w:pStyle w:val="TableText"/>
            </w:pPr>
            <w:r w:rsidRPr="00A05FC2">
              <w:t>3 (Springfield)</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137532" w:rsidRPr="00A05FC2" w:rsidRDefault="00137532" w:rsidP="00934F83">
            <w:pPr>
              <w:pStyle w:val="TableText"/>
            </w:pPr>
            <w:r w:rsidRPr="00A05FC2">
              <w:t>1,754</w:t>
            </w:r>
          </w:p>
        </w:tc>
      </w:tr>
      <w:tr w:rsidR="00137532" w:rsidRPr="00A05FC2" w:rsidTr="00934F83">
        <w:trPr>
          <w:trHeight w:val="115"/>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137532" w:rsidRPr="00A05FC2" w:rsidRDefault="00137532" w:rsidP="00934F83">
            <w:pPr>
              <w:pStyle w:val="TableText"/>
            </w:pPr>
            <w:r w:rsidRPr="00A05FC2">
              <w:t>4 (Belleville)</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137532" w:rsidRPr="00A05FC2" w:rsidRDefault="00137532" w:rsidP="00934F83">
            <w:pPr>
              <w:pStyle w:val="TableText"/>
            </w:pPr>
            <w:r w:rsidRPr="00A05FC2">
              <w:t>1,266</w:t>
            </w:r>
          </w:p>
        </w:tc>
      </w:tr>
      <w:tr w:rsidR="00137532" w:rsidRPr="00A05FC2" w:rsidTr="00934F83">
        <w:trPr>
          <w:trHeight w:val="115"/>
        </w:trPr>
        <w:tc>
          <w:tcPr>
            <w:tcW w:w="2160" w:type="dxa"/>
            <w:tcBorders>
              <w:top w:val="nil"/>
              <w:left w:val="single" w:sz="8" w:space="0" w:color="auto"/>
              <w:bottom w:val="single" w:sz="8" w:space="0" w:color="auto"/>
              <w:right w:val="single" w:sz="8" w:space="0" w:color="auto"/>
            </w:tcBorders>
            <w:shd w:val="clear" w:color="auto" w:fill="FFFFFF" w:themeFill="background1"/>
            <w:noWrap/>
            <w:vAlign w:val="bottom"/>
            <w:hideMark/>
          </w:tcPr>
          <w:p w:rsidR="00137532" w:rsidRPr="00A05FC2" w:rsidRDefault="00137532" w:rsidP="00934F83">
            <w:pPr>
              <w:pStyle w:val="TableText"/>
            </w:pPr>
            <w:r w:rsidRPr="00A05FC2">
              <w:t>5 (Marion)</w:t>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137532" w:rsidRPr="00A05FC2" w:rsidRDefault="00137532" w:rsidP="00934F83">
            <w:pPr>
              <w:pStyle w:val="TableText"/>
            </w:pPr>
            <w:r w:rsidRPr="00A05FC2">
              <w:t>1,288</w:t>
            </w:r>
          </w:p>
        </w:tc>
      </w:tr>
      <w:tr w:rsidR="00137532" w:rsidRPr="00A05FC2" w:rsidTr="00934F83">
        <w:trPr>
          <w:trHeight w:val="133"/>
        </w:trPr>
        <w:tc>
          <w:tcPr>
            <w:tcW w:w="2160"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137532" w:rsidRPr="00A05FC2" w:rsidRDefault="00137532" w:rsidP="00934F83">
            <w:pPr>
              <w:pStyle w:val="TableText"/>
            </w:pPr>
            <w:r w:rsidRPr="00A05FC2">
              <w:t>Weighted Average</w:t>
            </w:r>
            <w:r w:rsidRPr="000B7BB6">
              <w:rPr>
                <w:rStyle w:val="FootnoteReference"/>
                <w:rFonts w:cstheme="minorHAnsi"/>
              </w:rPr>
              <w:footnoteReference w:id="5"/>
            </w:r>
          </w:p>
        </w:tc>
        <w:tc>
          <w:tcPr>
            <w:tcW w:w="1266" w:type="dxa"/>
            <w:tcBorders>
              <w:top w:val="nil"/>
              <w:left w:val="nil"/>
              <w:bottom w:val="single" w:sz="8" w:space="0" w:color="auto"/>
              <w:right w:val="single" w:sz="8" w:space="0" w:color="auto"/>
            </w:tcBorders>
            <w:shd w:val="clear" w:color="auto" w:fill="FFFFFF" w:themeFill="background1"/>
            <w:vAlign w:val="center"/>
            <w:hideMark/>
          </w:tcPr>
          <w:p w:rsidR="00137532" w:rsidRPr="00A05FC2" w:rsidRDefault="00137532" w:rsidP="00934F83">
            <w:pPr>
              <w:pStyle w:val="TableText"/>
            </w:pPr>
            <w:r w:rsidRPr="00A05FC2">
              <w:t>1,821</w:t>
            </w:r>
          </w:p>
        </w:tc>
      </w:tr>
    </w:tbl>
    <w:p w:rsidR="00137532" w:rsidRDefault="00137532" w:rsidP="00137532">
      <w:pPr>
        <w:autoSpaceDE w:val="0"/>
        <w:autoSpaceDN w:val="0"/>
        <w:adjustRightInd w:val="0"/>
        <w:ind w:firstLine="720"/>
        <w:rPr>
          <w:rFonts w:cstheme="minorHAnsi"/>
        </w:rPr>
      </w:pPr>
    </w:p>
    <w:p w:rsidR="00137532" w:rsidRPr="00A05FC2" w:rsidRDefault="00137532" w:rsidP="00137532">
      <w:pPr>
        <w:autoSpaceDE w:val="0"/>
        <w:autoSpaceDN w:val="0"/>
        <w:adjustRightInd w:val="0"/>
        <w:ind w:firstLine="720"/>
        <w:rPr>
          <w:rFonts w:cstheme="minorHAnsi"/>
        </w:rPr>
      </w:pPr>
      <w:r w:rsidRPr="00A05FC2">
        <w:rPr>
          <w:rFonts w:cstheme="minorHAnsi"/>
        </w:rPr>
        <w:t>L</w:t>
      </w:r>
      <w:r w:rsidRPr="00A05FC2">
        <w:rPr>
          <w:rFonts w:cstheme="minorHAnsi"/>
        </w:rPr>
        <w:tab/>
      </w:r>
      <w:r w:rsidRPr="00A05FC2">
        <w:rPr>
          <w:rFonts w:cstheme="minorHAnsi"/>
        </w:rPr>
        <w:tab/>
        <w:t xml:space="preserve">= Length of </w:t>
      </w:r>
      <w:r>
        <w:rPr>
          <w:rFonts w:cstheme="minorHAnsi"/>
        </w:rPr>
        <w:t xml:space="preserve">boiler </w:t>
      </w:r>
      <w:r w:rsidRPr="00A05FC2">
        <w:rPr>
          <w:rFonts w:cstheme="minorHAnsi"/>
        </w:rPr>
        <w:t xml:space="preserve">pipe </w:t>
      </w:r>
      <w:r>
        <w:rPr>
          <w:rFonts w:cstheme="minorHAnsi"/>
        </w:rPr>
        <w:t xml:space="preserve">in unconditioned space </w:t>
      </w:r>
      <w:r w:rsidRPr="00A05FC2">
        <w:rPr>
          <w:rFonts w:cstheme="minorHAnsi"/>
        </w:rPr>
        <w:t>covered by pipe wrap (</w:t>
      </w:r>
      <w:proofErr w:type="spellStart"/>
      <w:r w:rsidRPr="00A05FC2">
        <w:rPr>
          <w:rFonts w:cstheme="minorHAnsi"/>
        </w:rPr>
        <w:t>ft</w:t>
      </w:r>
      <w:proofErr w:type="spellEnd"/>
      <w:r w:rsidRPr="00A05FC2">
        <w:rPr>
          <w:rFonts w:cstheme="minorHAnsi"/>
        </w:rPr>
        <w:t>)</w:t>
      </w:r>
    </w:p>
    <w:p w:rsidR="00137532" w:rsidRPr="00A05FC2" w:rsidRDefault="00137532" w:rsidP="00137532">
      <w:pPr>
        <w:autoSpaceDE w:val="0"/>
        <w:autoSpaceDN w:val="0"/>
        <w:adjustRightInd w:val="0"/>
        <w:ind w:firstLine="720"/>
        <w:rPr>
          <w:rFonts w:cstheme="minorHAnsi"/>
        </w:rPr>
      </w:pPr>
      <w:r w:rsidRPr="00A05FC2">
        <w:rPr>
          <w:rFonts w:cstheme="minorHAnsi"/>
        </w:rPr>
        <w:tab/>
      </w:r>
      <w:r w:rsidRPr="00A05FC2">
        <w:rPr>
          <w:rFonts w:cstheme="minorHAnsi"/>
        </w:rPr>
        <w:tab/>
        <w:t>= Actual</w:t>
      </w:r>
    </w:p>
    <w:p w:rsidR="00137532" w:rsidRPr="00A05FC2" w:rsidRDefault="00137532" w:rsidP="00137532">
      <w:pPr>
        <w:autoSpaceDE w:val="0"/>
        <w:autoSpaceDN w:val="0"/>
        <w:adjustRightInd w:val="0"/>
        <w:ind w:firstLine="720"/>
        <w:rPr>
          <w:rFonts w:cstheme="minorHAnsi"/>
        </w:rPr>
      </w:pPr>
      <w:proofErr w:type="spellStart"/>
      <w:r w:rsidRPr="00A05FC2">
        <w:rPr>
          <w:rFonts w:cstheme="minorHAnsi"/>
        </w:rPr>
        <w:t>C</w:t>
      </w:r>
      <w:r w:rsidRPr="00F866AB">
        <w:rPr>
          <w:rFonts w:cstheme="minorHAnsi"/>
          <w:vertAlign w:val="subscript"/>
        </w:rPr>
        <w:t>exist</w:t>
      </w:r>
      <w:proofErr w:type="spellEnd"/>
      <w:r w:rsidRPr="00A05FC2">
        <w:rPr>
          <w:rFonts w:cstheme="minorHAnsi"/>
        </w:rPr>
        <w:tab/>
      </w:r>
      <w:r w:rsidRPr="00A05FC2">
        <w:rPr>
          <w:rFonts w:cstheme="minorHAnsi"/>
        </w:rPr>
        <w:tab/>
        <w:t xml:space="preserve">= Circumference of </w:t>
      </w:r>
      <w:r>
        <w:rPr>
          <w:rFonts w:cstheme="minorHAnsi"/>
        </w:rPr>
        <w:t xml:space="preserve">bare </w:t>
      </w:r>
      <w:r w:rsidRPr="00A05FC2">
        <w:rPr>
          <w:rFonts w:cstheme="minorHAnsi"/>
        </w:rPr>
        <w:t>pipe (</w:t>
      </w:r>
      <w:proofErr w:type="spellStart"/>
      <w:r w:rsidRPr="00A05FC2">
        <w:rPr>
          <w:rFonts w:cstheme="minorHAnsi"/>
        </w:rPr>
        <w:t>ft</w:t>
      </w:r>
      <w:proofErr w:type="spellEnd"/>
      <w:r w:rsidRPr="00A05FC2">
        <w:rPr>
          <w:rFonts w:cstheme="minorHAnsi"/>
        </w:rPr>
        <w:t>) (Diameter (in) * π/12)</w:t>
      </w:r>
    </w:p>
    <w:p w:rsidR="00137532" w:rsidRPr="00A05FC2" w:rsidRDefault="00137532" w:rsidP="00137532">
      <w:pPr>
        <w:autoSpaceDE w:val="0"/>
        <w:autoSpaceDN w:val="0"/>
        <w:adjustRightInd w:val="0"/>
        <w:ind w:firstLine="720"/>
        <w:rPr>
          <w:rFonts w:cstheme="minorHAnsi"/>
        </w:rPr>
      </w:pPr>
      <w:r w:rsidRPr="00A05FC2">
        <w:rPr>
          <w:rFonts w:cstheme="minorHAnsi"/>
        </w:rPr>
        <w:tab/>
      </w:r>
      <w:r w:rsidRPr="00A05FC2">
        <w:rPr>
          <w:rFonts w:cstheme="minorHAnsi"/>
        </w:rPr>
        <w:tab/>
        <w:t>= Actual (0.5” pipe = 0.131ft, 0.75” pipe = 0.196ft)</w:t>
      </w:r>
    </w:p>
    <w:p w:rsidR="00137532" w:rsidRPr="00A05FC2" w:rsidRDefault="00137532" w:rsidP="00137532">
      <w:pPr>
        <w:autoSpaceDE w:val="0"/>
        <w:autoSpaceDN w:val="0"/>
        <w:adjustRightInd w:val="0"/>
        <w:ind w:left="2160" w:hanging="1440"/>
        <w:rPr>
          <w:rFonts w:cstheme="minorHAnsi"/>
        </w:rPr>
        <w:pPrChange w:id="2" w:author="Samuel Dent" w:date="2015-12-17T05:59:00Z">
          <w:pPr>
            <w:autoSpaceDE w:val="0"/>
            <w:autoSpaceDN w:val="0"/>
            <w:adjustRightInd w:val="0"/>
            <w:ind w:firstLine="720"/>
          </w:pPr>
        </w:pPrChange>
      </w:pPr>
      <w:proofErr w:type="spellStart"/>
      <w:r w:rsidRPr="00A05FC2">
        <w:rPr>
          <w:rFonts w:cstheme="minorHAnsi"/>
        </w:rPr>
        <w:t>C</w:t>
      </w:r>
      <w:r w:rsidRPr="008B13A1">
        <w:rPr>
          <w:rFonts w:cstheme="minorHAnsi"/>
          <w:vertAlign w:val="subscript"/>
        </w:rPr>
        <w:t>new</w:t>
      </w:r>
      <w:proofErr w:type="spellEnd"/>
      <w:r w:rsidRPr="008B13A1">
        <w:rPr>
          <w:rFonts w:cstheme="minorHAnsi"/>
          <w:vertAlign w:val="subscript"/>
        </w:rPr>
        <w:tab/>
      </w:r>
      <w:del w:id="3" w:author="Samuel Dent" w:date="2015-12-17T05:59:00Z">
        <w:r w:rsidRPr="00A05FC2" w:rsidDel="00137532">
          <w:rPr>
            <w:rFonts w:cstheme="minorHAnsi"/>
          </w:rPr>
          <w:tab/>
        </w:r>
      </w:del>
      <w:r w:rsidRPr="00A05FC2">
        <w:rPr>
          <w:rFonts w:cstheme="minorHAnsi"/>
        </w:rPr>
        <w:t>= Circumference of pipe</w:t>
      </w:r>
      <w:r>
        <w:rPr>
          <w:rFonts w:cstheme="minorHAnsi"/>
        </w:rPr>
        <w:t xml:space="preserve"> with insulation</w:t>
      </w:r>
      <w:r w:rsidRPr="00A05FC2">
        <w:rPr>
          <w:rFonts w:cstheme="minorHAnsi"/>
        </w:rPr>
        <w:t xml:space="preserve"> (</w:t>
      </w:r>
      <w:proofErr w:type="spellStart"/>
      <w:r w:rsidRPr="00A05FC2">
        <w:rPr>
          <w:rFonts w:cstheme="minorHAnsi"/>
        </w:rPr>
        <w:t>ft</w:t>
      </w:r>
      <w:proofErr w:type="spellEnd"/>
      <w:r w:rsidRPr="00A05FC2">
        <w:rPr>
          <w:rFonts w:cstheme="minorHAnsi"/>
        </w:rPr>
        <w:t>) (</w:t>
      </w:r>
      <w:ins w:id="4" w:author="Samuel Dent" w:date="2015-12-17T05:58:00Z">
        <w:r>
          <w:t>[</w:t>
        </w:r>
      </w:ins>
      <w:ins w:id="5" w:author="Samuel Dent" w:date="2015-12-17T05:59:00Z">
        <w:r>
          <w:t>Diameter of pipe</w:t>
        </w:r>
      </w:ins>
      <w:ins w:id="6" w:author="Samuel Dent" w:date="2015-12-17T05:58:00Z">
        <w:r>
          <w:t xml:space="preserve"> (</w:t>
        </w:r>
      </w:ins>
      <w:ins w:id="7" w:author="Samuel Dent" w:date="2015-12-17T05:59:00Z">
        <w:r>
          <w:t>in</w:t>
        </w:r>
      </w:ins>
      <w:ins w:id="8" w:author="Samuel Dent" w:date="2015-12-17T05:58:00Z">
        <w:r>
          <w:t xml:space="preserve">)] + </w:t>
        </w:r>
      </w:ins>
      <w:ins w:id="9" w:author="Samuel Dent" w:date="2015-12-17T05:59:00Z">
        <w:r>
          <w:t>(</w:t>
        </w:r>
      </w:ins>
      <w:bookmarkStart w:id="10" w:name="_GoBack"/>
      <w:bookmarkEnd w:id="10"/>
      <w:ins w:id="11" w:author="Samuel Dent" w:date="2015-12-17T05:58:00Z">
        <w:r w:rsidRPr="00467FEE">
          <w:t xml:space="preserve">[Thickness </w:t>
        </w:r>
        <w:r>
          <w:t>of Insulation (</w:t>
        </w:r>
      </w:ins>
      <w:ins w:id="12" w:author="Samuel Dent" w:date="2015-12-17T05:59:00Z">
        <w:r>
          <w:t>in</w:t>
        </w:r>
      </w:ins>
      <w:ins w:id="13" w:author="Samuel Dent" w:date="2015-12-17T05:58:00Z">
        <w:r>
          <w:t>)]*2))</w:t>
        </w:r>
      </w:ins>
      <w:ins w:id="14" w:author="Samuel Dent" w:date="2015-12-17T05:59:00Z">
        <w:r>
          <w:t xml:space="preserve"> </w:t>
        </w:r>
      </w:ins>
      <w:del w:id="15" w:author="Samuel Dent" w:date="2015-12-17T05:58:00Z">
        <w:r w:rsidRPr="00A05FC2" w:rsidDel="00137532">
          <w:rPr>
            <w:rFonts w:cstheme="minorHAnsi"/>
          </w:rPr>
          <w:delText xml:space="preserve">Diameter (in) </w:delText>
        </w:r>
      </w:del>
      <w:r w:rsidRPr="00A05FC2">
        <w:rPr>
          <w:rFonts w:cstheme="minorHAnsi"/>
        </w:rPr>
        <w:t>* π/12)</w:t>
      </w:r>
    </w:p>
    <w:p w:rsidR="00137532" w:rsidRPr="00A05FC2" w:rsidRDefault="00137532" w:rsidP="00137532">
      <w:pPr>
        <w:autoSpaceDE w:val="0"/>
        <w:autoSpaceDN w:val="0"/>
        <w:adjustRightInd w:val="0"/>
        <w:ind w:firstLine="720"/>
        <w:rPr>
          <w:rFonts w:cstheme="minorHAnsi"/>
        </w:rPr>
      </w:pPr>
      <w:r w:rsidRPr="00A05FC2">
        <w:rPr>
          <w:rFonts w:cstheme="minorHAnsi"/>
        </w:rPr>
        <w:tab/>
      </w:r>
      <w:r w:rsidRPr="00A05FC2">
        <w:rPr>
          <w:rFonts w:cstheme="minorHAnsi"/>
        </w:rPr>
        <w:tab/>
        <w:t xml:space="preserve">= Actual </w:t>
      </w:r>
    </w:p>
    <w:p w:rsidR="00137532" w:rsidRDefault="00137532" w:rsidP="00137532">
      <w:pPr>
        <w:autoSpaceDE w:val="0"/>
        <w:autoSpaceDN w:val="0"/>
        <w:adjustRightInd w:val="0"/>
        <w:ind w:left="2160" w:hanging="1440"/>
        <w:rPr>
          <w:rFonts w:cstheme="minorHAnsi"/>
        </w:rPr>
      </w:pPr>
      <w:r w:rsidRPr="00A05FC2">
        <w:rPr>
          <w:rFonts w:cstheme="minorHAnsi"/>
        </w:rPr>
        <w:t>ΔT</w:t>
      </w:r>
      <w:r w:rsidRPr="00A05FC2">
        <w:rPr>
          <w:rFonts w:cstheme="minorHAnsi"/>
        </w:rPr>
        <w:tab/>
        <w:t xml:space="preserve">= Average temperature difference between </w:t>
      </w:r>
      <w:r>
        <w:rPr>
          <w:rFonts w:cstheme="minorHAnsi"/>
        </w:rPr>
        <w:t>circulated heated</w:t>
      </w:r>
      <w:r w:rsidRPr="00A05FC2">
        <w:rPr>
          <w:rFonts w:cstheme="minorHAnsi"/>
        </w:rPr>
        <w:t xml:space="preserve"> water and </w:t>
      </w:r>
      <w:r>
        <w:rPr>
          <w:rFonts w:cstheme="minorHAnsi"/>
        </w:rPr>
        <w:t>unconditioned space</w:t>
      </w:r>
      <w:r w:rsidRPr="00A05FC2">
        <w:rPr>
          <w:rFonts w:cstheme="minorHAnsi"/>
        </w:rPr>
        <w:t xml:space="preserve"> air temperature (°F)</w:t>
      </w:r>
      <w:r w:rsidRPr="00A05FC2">
        <w:rPr>
          <w:rFonts w:cstheme="minorHAnsi"/>
        </w:rPr>
        <w:tab/>
      </w:r>
      <w:r>
        <w:rPr>
          <w:rStyle w:val="FootnoteReference"/>
        </w:rPr>
        <w:footnoteReference w:id="6"/>
      </w:r>
    </w:p>
    <w:p w:rsidR="00137532" w:rsidRPr="00A05FC2" w:rsidRDefault="00137532" w:rsidP="00137532">
      <w:pPr>
        <w:autoSpaceDE w:val="0"/>
        <w:autoSpaceDN w:val="0"/>
        <w:adjustRightInd w:val="0"/>
        <w:ind w:left="2160" w:hanging="1440"/>
        <w:rPr>
          <w:rFonts w:cstheme="minorHAnsi"/>
        </w:rPr>
      </w:pPr>
      <w:r>
        <w:rPr>
          <w:rFonts w:cstheme="minorHAnsi"/>
        </w:rPr>
        <w:tab/>
        <w:t>Pipes in unconditioned basement:</w:t>
      </w:r>
    </w:p>
    <w:tbl>
      <w:tblPr>
        <w:tblStyle w:val="TableGrid"/>
        <w:tblW w:w="0" w:type="auto"/>
        <w:jc w:val="center"/>
        <w:tblInd w:w="2178" w:type="dxa"/>
        <w:tblLook w:val="04A0" w:firstRow="1" w:lastRow="0" w:firstColumn="1" w:lastColumn="0" w:noHBand="0" w:noVBand="1"/>
      </w:tblPr>
      <w:tblGrid>
        <w:gridCol w:w="2610"/>
        <w:gridCol w:w="1440"/>
      </w:tblGrid>
      <w:tr w:rsidR="00137532" w:rsidRPr="00F40C53" w:rsidTr="00934F83">
        <w:trPr>
          <w:trHeight w:val="224"/>
          <w:jc w:val="center"/>
        </w:trPr>
        <w:tc>
          <w:tcPr>
            <w:tcW w:w="2610" w:type="dxa"/>
            <w:shd w:val="clear" w:color="auto" w:fill="7F7F7F" w:themeFill="text1" w:themeFillTint="80"/>
          </w:tcPr>
          <w:p w:rsidR="00137532" w:rsidRPr="009C362B" w:rsidRDefault="00137532" w:rsidP="00934F83">
            <w:pPr>
              <w:pStyle w:val="TableText"/>
              <w:rPr>
                <w:b/>
                <w:color w:val="FFFFFF" w:themeColor="background1"/>
              </w:rPr>
            </w:pPr>
            <w:r w:rsidRPr="009C362B">
              <w:rPr>
                <w:b/>
                <w:color w:val="FFFFFF" w:themeColor="background1"/>
              </w:rPr>
              <w:t>Outdoor reset controls</w:t>
            </w:r>
          </w:p>
        </w:tc>
        <w:tc>
          <w:tcPr>
            <w:tcW w:w="1440" w:type="dxa"/>
            <w:shd w:val="clear" w:color="auto" w:fill="7F7F7F" w:themeFill="text1" w:themeFillTint="80"/>
          </w:tcPr>
          <w:p w:rsidR="00137532" w:rsidRPr="009C362B" w:rsidRDefault="00137532" w:rsidP="00934F83">
            <w:pPr>
              <w:pStyle w:val="TableText"/>
              <w:rPr>
                <w:b/>
                <w:color w:val="FFFFFF" w:themeColor="background1"/>
              </w:rPr>
            </w:pPr>
            <w:r w:rsidRPr="009C362B">
              <w:rPr>
                <w:b/>
                <w:color w:val="FFFFFF" w:themeColor="background1"/>
              </w:rPr>
              <w:t>ΔT (°F)</w:t>
            </w:r>
            <w:r w:rsidRPr="009C362B">
              <w:rPr>
                <w:b/>
                <w:color w:val="FFFFFF" w:themeColor="background1"/>
              </w:rPr>
              <w:tab/>
            </w:r>
          </w:p>
        </w:tc>
      </w:tr>
      <w:tr w:rsidR="00137532" w:rsidRPr="00D32FAA" w:rsidTr="00934F83">
        <w:trPr>
          <w:jc w:val="center"/>
        </w:trPr>
        <w:tc>
          <w:tcPr>
            <w:tcW w:w="2610" w:type="dxa"/>
          </w:tcPr>
          <w:p w:rsidR="00137532" w:rsidRPr="00D32FAA" w:rsidRDefault="00137532" w:rsidP="00934F83">
            <w:pPr>
              <w:pStyle w:val="TableText"/>
              <w:rPr>
                <w:rFonts w:asciiTheme="minorHAnsi" w:hAnsiTheme="minorHAnsi"/>
                <w:szCs w:val="22"/>
              </w:rPr>
            </w:pPr>
            <w:r w:rsidRPr="00D32FAA">
              <w:lastRenderedPageBreak/>
              <w:t>Boiler without reset control</w:t>
            </w:r>
          </w:p>
        </w:tc>
        <w:tc>
          <w:tcPr>
            <w:tcW w:w="1440" w:type="dxa"/>
          </w:tcPr>
          <w:p w:rsidR="00137532" w:rsidRPr="00D32FAA" w:rsidRDefault="00137532" w:rsidP="00934F83">
            <w:pPr>
              <w:pStyle w:val="TableText"/>
              <w:rPr>
                <w:rFonts w:asciiTheme="minorHAnsi" w:hAnsiTheme="minorHAnsi"/>
                <w:szCs w:val="22"/>
              </w:rPr>
            </w:pPr>
            <w:r w:rsidRPr="00D32FAA">
              <w:t>110</w:t>
            </w:r>
          </w:p>
        </w:tc>
      </w:tr>
      <w:tr w:rsidR="00137532" w:rsidRPr="00D32FAA" w:rsidTr="00934F83">
        <w:trPr>
          <w:jc w:val="center"/>
        </w:trPr>
        <w:tc>
          <w:tcPr>
            <w:tcW w:w="2610" w:type="dxa"/>
          </w:tcPr>
          <w:p w:rsidR="00137532" w:rsidRPr="00D32FAA" w:rsidRDefault="00137532" w:rsidP="00934F83">
            <w:pPr>
              <w:pStyle w:val="TableText"/>
              <w:rPr>
                <w:rFonts w:asciiTheme="minorHAnsi" w:hAnsiTheme="minorHAnsi"/>
                <w:szCs w:val="22"/>
              </w:rPr>
            </w:pPr>
            <w:r w:rsidRPr="00D32FAA">
              <w:t>Boiler with reset control</w:t>
            </w:r>
          </w:p>
        </w:tc>
        <w:tc>
          <w:tcPr>
            <w:tcW w:w="1440" w:type="dxa"/>
          </w:tcPr>
          <w:p w:rsidR="00137532" w:rsidRPr="00D32FAA" w:rsidRDefault="00137532" w:rsidP="00934F83">
            <w:pPr>
              <w:pStyle w:val="TableText"/>
              <w:rPr>
                <w:rFonts w:asciiTheme="minorHAnsi" w:hAnsiTheme="minorHAnsi"/>
                <w:szCs w:val="22"/>
              </w:rPr>
            </w:pPr>
            <w:r w:rsidRPr="00D32FAA">
              <w:t>70</w:t>
            </w:r>
          </w:p>
        </w:tc>
      </w:tr>
    </w:tbl>
    <w:p w:rsidR="00137532" w:rsidRDefault="00137532" w:rsidP="00137532">
      <w:pPr>
        <w:ind w:left="2160"/>
        <w:rPr>
          <w:rFonts w:cstheme="minorHAnsi"/>
        </w:rPr>
      </w:pPr>
    </w:p>
    <w:p w:rsidR="00137532" w:rsidRDefault="00137532" w:rsidP="00137532">
      <w:pPr>
        <w:ind w:left="2160"/>
        <w:rPr>
          <w:rFonts w:cstheme="minorHAnsi"/>
        </w:rPr>
      </w:pPr>
      <w:r>
        <w:rPr>
          <w:rFonts w:cstheme="minorHAnsi"/>
        </w:rPr>
        <w:t>Pipes in crawl space:</w:t>
      </w:r>
    </w:p>
    <w:tbl>
      <w:tblPr>
        <w:tblW w:w="4749" w:type="dxa"/>
        <w:jc w:val="center"/>
        <w:tblInd w:w="2988" w:type="dxa"/>
        <w:tblLook w:val="04A0" w:firstRow="1" w:lastRow="0" w:firstColumn="1" w:lastColumn="0" w:noHBand="0" w:noVBand="1"/>
      </w:tblPr>
      <w:tblGrid>
        <w:gridCol w:w="1749"/>
        <w:gridCol w:w="1549"/>
        <w:gridCol w:w="1451"/>
      </w:tblGrid>
      <w:tr w:rsidR="00137532" w:rsidRPr="00A05FC2" w:rsidTr="00934F83">
        <w:trPr>
          <w:trHeight w:val="270"/>
          <w:jc w:val="center"/>
        </w:trPr>
        <w:tc>
          <w:tcPr>
            <w:tcW w:w="1749" w:type="dxa"/>
            <w:vMerge w:val="restart"/>
            <w:tcBorders>
              <w:top w:val="single" w:sz="8" w:space="0" w:color="auto"/>
              <w:left w:val="single" w:sz="8" w:space="0" w:color="auto"/>
              <w:right w:val="single" w:sz="8" w:space="0" w:color="auto"/>
            </w:tcBorders>
            <w:shd w:val="clear" w:color="auto" w:fill="7F7F7F" w:themeFill="text1" w:themeFillTint="80"/>
            <w:noWrap/>
            <w:vAlign w:val="center"/>
          </w:tcPr>
          <w:p w:rsidR="00137532" w:rsidRPr="000B7BB6" w:rsidRDefault="00137532" w:rsidP="00934F83">
            <w:pPr>
              <w:jc w:val="center"/>
              <w:rPr>
                <w:rFonts w:cstheme="minorHAnsi"/>
                <w:b/>
                <w:color w:val="FFFFFF" w:themeColor="background1"/>
              </w:rPr>
            </w:pPr>
            <w:r w:rsidRPr="000B7BB6">
              <w:rPr>
                <w:rFonts w:cstheme="minorHAnsi"/>
                <w:b/>
                <w:color w:val="FFFFFF" w:themeColor="background1"/>
              </w:rPr>
              <w:t>Climate Zone</w:t>
            </w:r>
          </w:p>
          <w:p w:rsidR="00137532" w:rsidRPr="000B7BB6" w:rsidRDefault="00137532" w:rsidP="00934F83">
            <w:pPr>
              <w:jc w:val="center"/>
              <w:rPr>
                <w:rFonts w:cstheme="minorHAnsi"/>
                <w:b/>
                <w:color w:val="FFFFFF" w:themeColor="background1"/>
              </w:rPr>
            </w:pPr>
            <w:r w:rsidRPr="000B7BB6">
              <w:rPr>
                <w:rFonts w:cstheme="minorHAnsi"/>
                <w:b/>
                <w:color w:val="FFFFFF" w:themeColor="background1"/>
              </w:rPr>
              <w:t>(City based upon)</w:t>
            </w:r>
          </w:p>
        </w:tc>
        <w:tc>
          <w:tcPr>
            <w:tcW w:w="3000" w:type="dxa"/>
            <w:gridSpan w:val="2"/>
            <w:tcBorders>
              <w:top w:val="single" w:sz="8" w:space="0" w:color="auto"/>
              <w:left w:val="nil"/>
              <w:bottom w:val="single" w:sz="8" w:space="0" w:color="auto"/>
              <w:right w:val="single" w:sz="8" w:space="0" w:color="auto"/>
            </w:tcBorders>
            <w:shd w:val="clear" w:color="auto" w:fill="7F7F7F" w:themeFill="text1" w:themeFillTint="80"/>
            <w:noWrap/>
            <w:vAlign w:val="bottom"/>
          </w:tcPr>
          <w:p w:rsidR="00137532" w:rsidRPr="005301FC" w:rsidRDefault="00137532" w:rsidP="00934F83">
            <w:pPr>
              <w:jc w:val="center"/>
              <w:rPr>
                <w:rFonts w:cstheme="minorHAnsi"/>
                <w:b/>
                <w:color w:val="FFFFFF" w:themeColor="background1"/>
              </w:rPr>
            </w:pPr>
            <w:r w:rsidRPr="004D5892">
              <w:rPr>
                <w:rFonts w:cstheme="minorHAnsi"/>
                <w:b/>
                <w:color w:val="FFFFFF" w:themeColor="background1"/>
              </w:rPr>
              <w:t>ΔT</w:t>
            </w:r>
            <w:r>
              <w:rPr>
                <w:rFonts w:cstheme="minorHAnsi"/>
                <w:b/>
                <w:color w:val="FFFFFF" w:themeColor="background1"/>
              </w:rPr>
              <w:t xml:space="preserve"> </w:t>
            </w:r>
            <w:r w:rsidRPr="004D5892">
              <w:rPr>
                <w:rFonts w:cstheme="minorHAnsi"/>
                <w:b/>
                <w:color w:val="FFFFFF" w:themeColor="background1"/>
              </w:rPr>
              <w:t>(°F)</w:t>
            </w:r>
            <w:r w:rsidRPr="004D5892">
              <w:rPr>
                <w:rFonts w:cstheme="minorHAnsi"/>
                <w:b/>
                <w:color w:val="FFFFFF" w:themeColor="background1"/>
              </w:rPr>
              <w:tab/>
            </w:r>
          </w:p>
        </w:tc>
      </w:tr>
      <w:tr w:rsidR="00137532" w:rsidRPr="00A05FC2" w:rsidTr="00934F83">
        <w:trPr>
          <w:trHeight w:val="270"/>
          <w:jc w:val="center"/>
        </w:trPr>
        <w:tc>
          <w:tcPr>
            <w:tcW w:w="1749" w:type="dxa"/>
            <w:vMerge/>
            <w:tcBorders>
              <w:left w:val="single" w:sz="8" w:space="0" w:color="auto"/>
              <w:bottom w:val="single" w:sz="8" w:space="0" w:color="auto"/>
              <w:right w:val="single" w:sz="8" w:space="0" w:color="auto"/>
            </w:tcBorders>
            <w:shd w:val="clear" w:color="auto" w:fill="7F7F7F" w:themeFill="text1" w:themeFillTint="80"/>
            <w:noWrap/>
            <w:vAlign w:val="center"/>
            <w:hideMark/>
          </w:tcPr>
          <w:p w:rsidR="00137532" w:rsidRPr="000B7BB6" w:rsidRDefault="00137532" w:rsidP="00934F83">
            <w:pPr>
              <w:jc w:val="center"/>
              <w:rPr>
                <w:rFonts w:cstheme="minorHAnsi"/>
                <w:b/>
                <w:color w:val="FFFFFF" w:themeColor="background1"/>
              </w:rPr>
            </w:pPr>
          </w:p>
        </w:tc>
        <w:tc>
          <w:tcPr>
            <w:tcW w:w="1549" w:type="dxa"/>
            <w:tcBorders>
              <w:top w:val="single" w:sz="8" w:space="0" w:color="auto"/>
              <w:left w:val="nil"/>
              <w:bottom w:val="single" w:sz="8" w:space="0" w:color="auto"/>
              <w:right w:val="single" w:sz="8" w:space="0" w:color="auto"/>
            </w:tcBorders>
            <w:shd w:val="clear" w:color="auto" w:fill="7F7F7F" w:themeFill="text1" w:themeFillTint="80"/>
            <w:noWrap/>
            <w:vAlign w:val="bottom"/>
            <w:hideMark/>
          </w:tcPr>
          <w:p w:rsidR="00137532" w:rsidRPr="000B7BB6" w:rsidRDefault="00137532" w:rsidP="00934F83">
            <w:pPr>
              <w:jc w:val="center"/>
              <w:rPr>
                <w:rFonts w:cstheme="minorHAnsi"/>
                <w:b/>
                <w:color w:val="FFFFFF" w:themeColor="background1"/>
              </w:rPr>
            </w:pPr>
            <w:r>
              <w:rPr>
                <w:rFonts w:cstheme="minorHAnsi"/>
                <w:b/>
                <w:color w:val="FFFFFF" w:themeColor="background1"/>
              </w:rPr>
              <w:t>Boiler without reset control</w:t>
            </w:r>
          </w:p>
        </w:tc>
        <w:tc>
          <w:tcPr>
            <w:tcW w:w="1451" w:type="dxa"/>
            <w:tcBorders>
              <w:top w:val="single" w:sz="8" w:space="0" w:color="auto"/>
              <w:left w:val="nil"/>
              <w:bottom w:val="single" w:sz="8" w:space="0" w:color="auto"/>
              <w:right w:val="single" w:sz="8" w:space="0" w:color="auto"/>
            </w:tcBorders>
            <w:shd w:val="clear" w:color="auto" w:fill="7F7F7F" w:themeFill="text1" w:themeFillTint="80"/>
            <w:hideMark/>
          </w:tcPr>
          <w:p w:rsidR="00137532" w:rsidRPr="000B7BB6" w:rsidRDefault="00137532" w:rsidP="00934F83">
            <w:pPr>
              <w:jc w:val="center"/>
              <w:rPr>
                <w:rFonts w:cstheme="minorHAnsi"/>
                <w:b/>
                <w:color w:val="FFFFFF" w:themeColor="background1"/>
              </w:rPr>
            </w:pPr>
            <w:r>
              <w:rPr>
                <w:rFonts w:cstheme="minorHAnsi"/>
                <w:b/>
                <w:color w:val="FFFFFF" w:themeColor="background1"/>
              </w:rPr>
              <w:t>Boiler with reset control</w:t>
            </w:r>
          </w:p>
        </w:tc>
      </w:tr>
      <w:tr w:rsidR="00137532" w:rsidRPr="00A05FC2" w:rsidTr="00934F83">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rsidR="00137532" w:rsidRPr="00A05FC2" w:rsidRDefault="00137532" w:rsidP="00934F83">
            <w:pPr>
              <w:pStyle w:val="TableText"/>
            </w:pPr>
            <w:r w:rsidRPr="00A05FC2">
              <w:t>1 (Rockford)</w:t>
            </w:r>
          </w:p>
        </w:tc>
        <w:tc>
          <w:tcPr>
            <w:tcW w:w="1549" w:type="dxa"/>
            <w:tcBorders>
              <w:top w:val="nil"/>
              <w:left w:val="nil"/>
              <w:bottom w:val="single" w:sz="4" w:space="0" w:color="auto"/>
              <w:right w:val="single" w:sz="8" w:space="0" w:color="auto"/>
            </w:tcBorders>
            <w:noWrap/>
            <w:vAlign w:val="bottom"/>
          </w:tcPr>
          <w:p w:rsidR="00137532" w:rsidRPr="00A05FC2" w:rsidRDefault="00137532" w:rsidP="00934F83">
            <w:pPr>
              <w:pStyle w:val="TableText"/>
            </w:pPr>
            <w:r>
              <w:t>127</w:t>
            </w:r>
          </w:p>
        </w:tc>
        <w:tc>
          <w:tcPr>
            <w:tcW w:w="1451" w:type="dxa"/>
            <w:tcBorders>
              <w:top w:val="single" w:sz="8" w:space="0" w:color="auto"/>
              <w:left w:val="single" w:sz="8" w:space="0" w:color="auto"/>
              <w:bottom w:val="single" w:sz="8" w:space="0" w:color="auto"/>
              <w:right w:val="single" w:sz="8" w:space="0" w:color="auto"/>
            </w:tcBorders>
            <w:vAlign w:val="bottom"/>
          </w:tcPr>
          <w:p w:rsidR="00137532" w:rsidRPr="00A05FC2" w:rsidRDefault="00137532" w:rsidP="00934F83">
            <w:pPr>
              <w:pStyle w:val="TableText"/>
            </w:pPr>
            <w:r>
              <w:t>87</w:t>
            </w:r>
          </w:p>
        </w:tc>
      </w:tr>
      <w:tr w:rsidR="00137532" w:rsidRPr="00A05FC2" w:rsidTr="00934F83">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rsidR="00137532" w:rsidRPr="00A05FC2" w:rsidRDefault="00137532" w:rsidP="00934F83">
            <w:pPr>
              <w:pStyle w:val="TableText"/>
            </w:pPr>
            <w:r w:rsidRPr="00A05FC2">
              <w:t>2 (Chicago)</w:t>
            </w:r>
          </w:p>
        </w:tc>
        <w:tc>
          <w:tcPr>
            <w:tcW w:w="1549" w:type="dxa"/>
            <w:tcBorders>
              <w:top w:val="nil"/>
              <w:left w:val="nil"/>
              <w:bottom w:val="single" w:sz="4" w:space="0" w:color="auto"/>
              <w:right w:val="single" w:sz="8" w:space="0" w:color="auto"/>
            </w:tcBorders>
            <w:noWrap/>
            <w:vAlign w:val="bottom"/>
          </w:tcPr>
          <w:p w:rsidR="00137532" w:rsidRPr="00A05FC2" w:rsidRDefault="00137532" w:rsidP="00934F83">
            <w:pPr>
              <w:pStyle w:val="TableText"/>
            </w:pPr>
            <w:r>
              <w:t>126</w:t>
            </w:r>
          </w:p>
        </w:tc>
        <w:tc>
          <w:tcPr>
            <w:tcW w:w="1451" w:type="dxa"/>
            <w:tcBorders>
              <w:top w:val="single" w:sz="8" w:space="0" w:color="auto"/>
              <w:left w:val="single" w:sz="8" w:space="0" w:color="auto"/>
              <w:bottom w:val="single" w:sz="8" w:space="0" w:color="auto"/>
              <w:right w:val="single" w:sz="8" w:space="0" w:color="auto"/>
            </w:tcBorders>
            <w:vAlign w:val="bottom"/>
          </w:tcPr>
          <w:p w:rsidR="00137532" w:rsidRPr="00A05FC2" w:rsidRDefault="00137532" w:rsidP="00934F83">
            <w:pPr>
              <w:pStyle w:val="TableText"/>
            </w:pPr>
            <w:r>
              <w:t>86</w:t>
            </w:r>
          </w:p>
        </w:tc>
      </w:tr>
      <w:tr w:rsidR="00137532" w:rsidRPr="00A05FC2" w:rsidTr="00934F83">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rsidR="00137532" w:rsidRPr="00A05FC2" w:rsidRDefault="00137532" w:rsidP="00934F83">
            <w:pPr>
              <w:pStyle w:val="TableText"/>
            </w:pPr>
            <w:r w:rsidRPr="00A05FC2">
              <w:t>3 (Springfield)</w:t>
            </w:r>
          </w:p>
        </w:tc>
        <w:tc>
          <w:tcPr>
            <w:tcW w:w="1549" w:type="dxa"/>
            <w:tcBorders>
              <w:top w:val="nil"/>
              <w:left w:val="nil"/>
              <w:bottom w:val="single" w:sz="4" w:space="0" w:color="auto"/>
              <w:right w:val="single" w:sz="8" w:space="0" w:color="auto"/>
            </w:tcBorders>
            <w:noWrap/>
            <w:vAlign w:val="bottom"/>
          </w:tcPr>
          <w:p w:rsidR="00137532" w:rsidRPr="00A05FC2" w:rsidRDefault="00137532" w:rsidP="00934F83">
            <w:pPr>
              <w:pStyle w:val="TableText"/>
            </w:pPr>
            <w:r>
              <w:t>122</w:t>
            </w:r>
          </w:p>
        </w:tc>
        <w:tc>
          <w:tcPr>
            <w:tcW w:w="1451" w:type="dxa"/>
            <w:tcBorders>
              <w:top w:val="single" w:sz="8" w:space="0" w:color="auto"/>
              <w:left w:val="single" w:sz="8" w:space="0" w:color="auto"/>
              <w:bottom w:val="single" w:sz="8" w:space="0" w:color="auto"/>
              <w:right w:val="single" w:sz="8" w:space="0" w:color="auto"/>
            </w:tcBorders>
            <w:vAlign w:val="bottom"/>
          </w:tcPr>
          <w:p w:rsidR="00137532" w:rsidRPr="00A05FC2" w:rsidRDefault="00137532" w:rsidP="00934F83">
            <w:pPr>
              <w:pStyle w:val="TableText"/>
            </w:pPr>
            <w:r>
              <w:t>82</w:t>
            </w:r>
          </w:p>
        </w:tc>
      </w:tr>
      <w:tr w:rsidR="00137532" w:rsidRPr="00A05FC2" w:rsidTr="00934F83">
        <w:trPr>
          <w:trHeight w:val="300"/>
          <w:jc w:val="center"/>
        </w:trPr>
        <w:tc>
          <w:tcPr>
            <w:tcW w:w="1749" w:type="dxa"/>
            <w:tcBorders>
              <w:top w:val="nil"/>
              <w:left w:val="single" w:sz="4" w:space="0" w:color="auto"/>
              <w:bottom w:val="single" w:sz="4" w:space="0" w:color="auto"/>
              <w:right w:val="single" w:sz="4" w:space="0" w:color="auto"/>
            </w:tcBorders>
            <w:noWrap/>
            <w:vAlign w:val="center"/>
            <w:hideMark/>
          </w:tcPr>
          <w:p w:rsidR="00137532" w:rsidRPr="00A05FC2" w:rsidRDefault="00137532" w:rsidP="00934F83">
            <w:pPr>
              <w:pStyle w:val="TableText"/>
            </w:pPr>
            <w:r w:rsidRPr="00A05FC2">
              <w:t>4 (Belleville)</w:t>
            </w:r>
          </w:p>
        </w:tc>
        <w:tc>
          <w:tcPr>
            <w:tcW w:w="1549" w:type="dxa"/>
            <w:tcBorders>
              <w:top w:val="nil"/>
              <w:left w:val="nil"/>
              <w:bottom w:val="single" w:sz="4" w:space="0" w:color="auto"/>
              <w:right w:val="single" w:sz="8" w:space="0" w:color="auto"/>
            </w:tcBorders>
            <w:noWrap/>
            <w:vAlign w:val="bottom"/>
          </w:tcPr>
          <w:p w:rsidR="00137532" w:rsidRPr="00A05FC2" w:rsidRDefault="00137532" w:rsidP="00934F83">
            <w:pPr>
              <w:pStyle w:val="TableText"/>
            </w:pPr>
            <w:r>
              <w:t>120</w:t>
            </w:r>
          </w:p>
        </w:tc>
        <w:tc>
          <w:tcPr>
            <w:tcW w:w="1451" w:type="dxa"/>
            <w:tcBorders>
              <w:top w:val="single" w:sz="8" w:space="0" w:color="auto"/>
              <w:left w:val="single" w:sz="8" w:space="0" w:color="auto"/>
              <w:bottom w:val="single" w:sz="8" w:space="0" w:color="auto"/>
              <w:right w:val="single" w:sz="8" w:space="0" w:color="auto"/>
            </w:tcBorders>
            <w:vAlign w:val="bottom"/>
          </w:tcPr>
          <w:p w:rsidR="00137532" w:rsidRPr="00A05FC2" w:rsidRDefault="00137532" w:rsidP="00934F83">
            <w:pPr>
              <w:pStyle w:val="TableText"/>
            </w:pPr>
            <w:r>
              <w:t>80</w:t>
            </w:r>
          </w:p>
        </w:tc>
      </w:tr>
      <w:tr w:rsidR="00137532" w:rsidRPr="00A05FC2" w:rsidTr="00934F83">
        <w:trPr>
          <w:trHeight w:val="315"/>
          <w:jc w:val="center"/>
        </w:trPr>
        <w:tc>
          <w:tcPr>
            <w:tcW w:w="1749" w:type="dxa"/>
            <w:tcBorders>
              <w:top w:val="nil"/>
              <w:left w:val="single" w:sz="4" w:space="0" w:color="auto"/>
              <w:bottom w:val="nil"/>
              <w:right w:val="single" w:sz="4" w:space="0" w:color="auto"/>
            </w:tcBorders>
            <w:noWrap/>
            <w:vAlign w:val="center"/>
            <w:hideMark/>
          </w:tcPr>
          <w:p w:rsidR="00137532" w:rsidRPr="00A05FC2" w:rsidRDefault="00137532" w:rsidP="00934F83">
            <w:pPr>
              <w:pStyle w:val="TableText"/>
            </w:pPr>
            <w:r w:rsidRPr="00A05FC2">
              <w:t>5 (Marion)</w:t>
            </w:r>
          </w:p>
        </w:tc>
        <w:tc>
          <w:tcPr>
            <w:tcW w:w="1549" w:type="dxa"/>
            <w:tcBorders>
              <w:top w:val="nil"/>
              <w:left w:val="nil"/>
              <w:bottom w:val="nil"/>
              <w:right w:val="single" w:sz="8" w:space="0" w:color="auto"/>
            </w:tcBorders>
            <w:vAlign w:val="bottom"/>
          </w:tcPr>
          <w:p w:rsidR="00137532" w:rsidRPr="00A05FC2" w:rsidRDefault="00137532" w:rsidP="00934F83">
            <w:pPr>
              <w:pStyle w:val="TableText"/>
            </w:pPr>
            <w:r>
              <w:t>120</w:t>
            </w:r>
          </w:p>
        </w:tc>
        <w:tc>
          <w:tcPr>
            <w:tcW w:w="1451" w:type="dxa"/>
            <w:tcBorders>
              <w:top w:val="single" w:sz="8" w:space="0" w:color="auto"/>
              <w:left w:val="single" w:sz="8" w:space="0" w:color="auto"/>
              <w:bottom w:val="single" w:sz="8" w:space="0" w:color="auto"/>
              <w:right w:val="single" w:sz="8" w:space="0" w:color="auto"/>
            </w:tcBorders>
            <w:vAlign w:val="bottom"/>
          </w:tcPr>
          <w:p w:rsidR="00137532" w:rsidRPr="00A05FC2" w:rsidRDefault="00137532" w:rsidP="00934F83">
            <w:pPr>
              <w:pStyle w:val="TableText"/>
            </w:pPr>
            <w:r>
              <w:t>80</w:t>
            </w:r>
          </w:p>
        </w:tc>
      </w:tr>
      <w:tr w:rsidR="00137532" w:rsidRPr="00A05FC2" w:rsidTr="00934F83">
        <w:trPr>
          <w:trHeight w:val="270"/>
          <w:jc w:val="center"/>
        </w:trPr>
        <w:tc>
          <w:tcPr>
            <w:tcW w:w="1749" w:type="dxa"/>
            <w:tcBorders>
              <w:top w:val="single" w:sz="8" w:space="0" w:color="auto"/>
              <w:left w:val="single" w:sz="8" w:space="0" w:color="auto"/>
              <w:bottom w:val="single" w:sz="8" w:space="0" w:color="auto"/>
              <w:right w:val="single" w:sz="4" w:space="0" w:color="auto"/>
            </w:tcBorders>
            <w:noWrap/>
            <w:vAlign w:val="bottom"/>
            <w:hideMark/>
          </w:tcPr>
          <w:p w:rsidR="00137532" w:rsidRPr="00A05FC2" w:rsidRDefault="00137532" w:rsidP="00934F83">
            <w:pPr>
              <w:pStyle w:val="TableText"/>
            </w:pPr>
            <w:r w:rsidRPr="000B7BB6">
              <w:t>Weighted Average</w:t>
            </w:r>
            <w:r w:rsidRPr="000B7BB6">
              <w:rPr>
                <w:rStyle w:val="FootnoteReference"/>
                <w:rFonts w:cstheme="minorHAnsi"/>
              </w:rPr>
              <w:footnoteReference w:id="7"/>
            </w:r>
          </w:p>
        </w:tc>
        <w:tc>
          <w:tcPr>
            <w:tcW w:w="1549" w:type="dxa"/>
            <w:tcBorders>
              <w:top w:val="single" w:sz="8" w:space="0" w:color="auto"/>
              <w:left w:val="nil"/>
              <w:bottom w:val="single" w:sz="8" w:space="0" w:color="auto"/>
              <w:right w:val="single" w:sz="8" w:space="0" w:color="auto"/>
            </w:tcBorders>
            <w:noWrap/>
            <w:vAlign w:val="bottom"/>
          </w:tcPr>
          <w:p w:rsidR="00137532" w:rsidRPr="00A05FC2" w:rsidRDefault="00137532" w:rsidP="00934F83">
            <w:pPr>
              <w:pStyle w:val="TableText"/>
            </w:pPr>
            <w:r>
              <w:t>125</w:t>
            </w:r>
          </w:p>
        </w:tc>
        <w:tc>
          <w:tcPr>
            <w:tcW w:w="1451" w:type="dxa"/>
            <w:tcBorders>
              <w:top w:val="single" w:sz="8" w:space="0" w:color="auto"/>
              <w:left w:val="single" w:sz="8" w:space="0" w:color="auto"/>
              <w:bottom w:val="single" w:sz="8" w:space="0" w:color="auto"/>
              <w:right w:val="single" w:sz="8" w:space="0" w:color="auto"/>
            </w:tcBorders>
            <w:vAlign w:val="bottom"/>
          </w:tcPr>
          <w:p w:rsidR="00137532" w:rsidRPr="00A05FC2" w:rsidRDefault="00137532" w:rsidP="00934F83">
            <w:pPr>
              <w:pStyle w:val="TableText"/>
            </w:pPr>
            <w:r>
              <w:t>85</w:t>
            </w:r>
          </w:p>
        </w:tc>
      </w:tr>
    </w:tbl>
    <w:p w:rsidR="00137532" w:rsidRDefault="00137532" w:rsidP="00137532">
      <w:pPr>
        <w:ind w:left="2160" w:hanging="1440"/>
        <w:rPr>
          <w:rFonts w:cstheme="minorHAnsi"/>
        </w:rPr>
      </w:pPr>
    </w:p>
    <w:p w:rsidR="00137532" w:rsidRDefault="00137532" w:rsidP="00137532">
      <w:pPr>
        <w:ind w:left="2160" w:hanging="1440"/>
        <w:rPr>
          <w:rFonts w:cstheme="minorHAnsi"/>
          <w:noProof/>
        </w:rPr>
      </w:pPr>
      <w:proofErr w:type="spellStart"/>
      <w:proofErr w:type="gramStart"/>
      <w:r w:rsidRPr="00A05FC2">
        <w:rPr>
          <w:rFonts w:cstheme="minorHAnsi"/>
        </w:rPr>
        <w:t>η</w:t>
      </w:r>
      <w:r>
        <w:rPr>
          <w:rFonts w:cstheme="minorHAnsi"/>
        </w:rPr>
        <w:t>Boiler</w:t>
      </w:r>
      <w:proofErr w:type="spellEnd"/>
      <w:proofErr w:type="gramEnd"/>
      <w:r w:rsidRPr="00A05FC2">
        <w:rPr>
          <w:rFonts w:cstheme="minorHAnsi"/>
        </w:rPr>
        <w:t xml:space="preserve"> </w:t>
      </w:r>
      <w:r w:rsidRPr="00A05FC2">
        <w:rPr>
          <w:rFonts w:cstheme="minorHAnsi"/>
        </w:rPr>
        <w:tab/>
      </w:r>
      <w:r w:rsidRPr="00A05FC2">
        <w:rPr>
          <w:rFonts w:cstheme="minorHAnsi"/>
          <w:noProof/>
        </w:rPr>
        <w:t xml:space="preserve">= </w:t>
      </w:r>
      <w:r>
        <w:rPr>
          <w:rFonts w:cstheme="minorHAnsi"/>
          <w:noProof/>
        </w:rPr>
        <w:t>E</w:t>
      </w:r>
      <w:r w:rsidRPr="00A05FC2">
        <w:rPr>
          <w:rFonts w:cstheme="minorHAnsi"/>
          <w:noProof/>
        </w:rPr>
        <w:t xml:space="preserve">fficiency of </w:t>
      </w:r>
      <w:r>
        <w:rPr>
          <w:rFonts w:cstheme="minorHAnsi"/>
          <w:noProof/>
        </w:rPr>
        <w:t>boiler</w:t>
      </w:r>
    </w:p>
    <w:p w:rsidR="00137532" w:rsidRPr="00A05FC2" w:rsidRDefault="00137532" w:rsidP="00137532">
      <w:pPr>
        <w:ind w:left="2160"/>
        <w:rPr>
          <w:rFonts w:cstheme="minorHAnsi"/>
          <w:noProof/>
        </w:rPr>
      </w:pPr>
      <w:r w:rsidRPr="00A05FC2">
        <w:rPr>
          <w:rFonts w:cstheme="minorHAnsi"/>
          <w:noProof/>
        </w:rPr>
        <w:t>= 0.</w:t>
      </w:r>
      <w:r>
        <w:rPr>
          <w:rFonts w:cstheme="minorHAnsi"/>
          <w:noProof/>
        </w:rPr>
        <w:t>819</w:t>
      </w:r>
      <w:r w:rsidRPr="00A05FC2">
        <w:rPr>
          <w:rFonts w:cstheme="minorHAnsi"/>
          <w:noProof/>
        </w:rPr>
        <w:t xml:space="preserve"> </w:t>
      </w:r>
      <w:r w:rsidRPr="00A05FC2">
        <w:rPr>
          <w:rStyle w:val="FootnoteReference"/>
          <w:rFonts w:eastAsia="Calibri" w:cstheme="minorHAnsi"/>
          <w:noProof/>
        </w:rPr>
        <w:footnoteReference w:id="8"/>
      </w:r>
    </w:p>
    <w:p w:rsidR="00137532" w:rsidRDefault="00137532" w:rsidP="00137532">
      <w:pPr>
        <w:autoSpaceDE w:val="0"/>
        <w:autoSpaceDN w:val="0"/>
        <w:adjustRightInd w:val="0"/>
        <w:rPr>
          <w:rFonts w:cstheme="minorHAnsi"/>
        </w:rPr>
      </w:pPr>
      <w:r w:rsidRPr="00B41203">
        <w:rPr>
          <w:rFonts w:cstheme="minorHAnsi"/>
          <w:noProof/>
        </w:rPr>
        <mc:AlternateContent>
          <mc:Choice Requires="wps">
            <w:drawing>
              <wp:inline distT="0" distB="0" distL="0" distR="0" wp14:anchorId="190175F5" wp14:editId="6816E4E2">
                <wp:extent cx="5636895" cy="1138687"/>
                <wp:effectExtent l="0" t="0" r="20955" b="23495"/>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138687"/>
                        </a:xfrm>
                        <a:prstGeom prst="rect">
                          <a:avLst/>
                        </a:prstGeom>
                        <a:solidFill>
                          <a:srgbClr val="FFFFFF"/>
                        </a:solidFill>
                        <a:ln w="9525">
                          <a:solidFill>
                            <a:srgbClr val="000000"/>
                          </a:solidFill>
                          <a:miter lim="800000"/>
                          <a:headEnd/>
                          <a:tailEnd/>
                        </a:ln>
                      </wps:spPr>
                      <wps:txbx>
                        <w:txbxContent>
                          <w:p w:rsidR="00137532" w:rsidRPr="002F2634" w:rsidRDefault="00137532" w:rsidP="00137532">
                            <w:pPr>
                              <w:autoSpaceDE w:val="0"/>
                              <w:autoSpaceDN w:val="0"/>
                              <w:adjustRightInd w:val="0"/>
                              <w:rPr>
                                <w:rFonts w:cstheme="minorHAnsi"/>
                              </w:rPr>
                            </w:pPr>
                            <w:r w:rsidRPr="002F2634">
                              <w:rPr>
                                <w:rFonts w:cstheme="minorHAnsi"/>
                              </w:rPr>
                              <w:t xml:space="preserve">For example, insulating </w:t>
                            </w:r>
                            <w:r>
                              <w:rPr>
                                <w:rFonts w:cstheme="minorHAnsi"/>
                              </w:rPr>
                              <w:t>10</w:t>
                            </w:r>
                            <w:r w:rsidRPr="002F2634">
                              <w:rPr>
                                <w:rFonts w:cstheme="minorHAnsi"/>
                              </w:rPr>
                              <w:t xml:space="preserve"> feet of 0.75” pipe with R-</w:t>
                            </w:r>
                            <w:r>
                              <w:rPr>
                                <w:rFonts w:cstheme="minorHAnsi"/>
                              </w:rPr>
                              <w:t>3</w:t>
                            </w:r>
                            <w:r w:rsidRPr="002F2634">
                              <w:rPr>
                                <w:rFonts w:cstheme="minorHAnsi"/>
                              </w:rPr>
                              <w:t xml:space="preserve"> wrap</w:t>
                            </w:r>
                            <w:r>
                              <w:rPr>
                                <w:rFonts w:cstheme="minorHAnsi"/>
                              </w:rPr>
                              <w:t xml:space="preserve"> (0.75” thickness) in a crawl space of a Marion home with a boiler without reset control</w:t>
                            </w:r>
                            <w:r w:rsidRPr="002F2634">
                              <w:rPr>
                                <w:rFonts w:cstheme="minorHAnsi"/>
                              </w:rPr>
                              <w:t>:</w:t>
                            </w:r>
                          </w:p>
                          <w:p w:rsidR="00137532" w:rsidRPr="002F2634" w:rsidRDefault="00137532" w:rsidP="00137532">
                            <w:pPr>
                              <w:autoSpaceDE w:val="0"/>
                              <w:autoSpaceDN w:val="0"/>
                              <w:adjustRightInd w:val="0"/>
                              <w:ind w:left="2880" w:hanging="1440"/>
                              <w:rPr>
                                <w:rFonts w:cstheme="minorHAnsi"/>
                              </w:rPr>
                            </w:pPr>
                            <w:r w:rsidRPr="002F2634">
                              <w:rPr>
                                <w:rFonts w:cstheme="minorHAnsi"/>
                                <w:noProof/>
                              </w:rPr>
                              <w:t>Δ</w:t>
                            </w:r>
                            <w:r w:rsidRPr="002F2634">
                              <w:rPr>
                                <w:rFonts w:cstheme="minorHAnsi"/>
                              </w:rPr>
                              <w:t>Therm</w:t>
                            </w:r>
                            <w:r w:rsidRPr="002F2634">
                              <w:rPr>
                                <w:rFonts w:cstheme="minorHAnsi"/>
                              </w:rPr>
                              <w:tab/>
                            </w:r>
                            <w:r>
                              <w:rPr>
                                <w:rFonts w:cstheme="minorHAnsi"/>
                              </w:rPr>
                              <w:t>= (((1/0.5 * 0.196) – (1/3.5 * 0.589)) * 10 * 12</w:t>
                            </w:r>
                            <w:r w:rsidRPr="002F2634">
                              <w:rPr>
                                <w:rFonts w:cstheme="minorHAnsi"/>
                              </w:rPr>
                              <w:t xml:space="preserve">0 * </w:t>
                            </w:r>
                            <w:r>
                              <w:rPr>
                                <w:rFonts w:cstheme="minorHAnsi"/>
                              </w:rPr>
                              <w:t>1288</w:t>
                            </w:r>
                            <w:r w:rsidRPr="002F2634">
                              <w:rPr>
                                <w:rFonts w:cstheme="minorHAnsi"/>
                              </w:rPr>
                              <w:t>) / 0.</w:t>
                            </w:r>
                            <w:r>
                              <w:rPr>
                                <w:rFonts w:cstheme="minorHAnsi"/>
                              </w:rPr>
                              <w:t>819</w:t>
                            </w:r>
                            <w:r w:rsidRPr="002F2634">
                              <w:rPr>
                                <w:rFonts w:cstheme="minorHAnsi"/>
                              </w:rPr>
                              <w:t xml:space="preserve"> / 100,000</w:t>
                            </w:r>
                          </w:p>
                          <w:p w:rsidR="00137532" w:rsidRPr="002F2634" w:rsidRDefault="00137532" w:rsidP="00137532">
                            <w:pPr>
                              <w:autoSpaceDE w:val="0"/>
                              <w:autoSpaceDN w:val="0"/>
                              <w:adjustRightInd w:val="0"/>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t xml:space="preserve">= </w:t>
                            </w:r>
                            <w:r>
                              <w:rPr>
                                <w:rFonts w:cstheme="minorHAnsi"/>
                              </w:rPr>
                              <w:t>4.2</w:t>
                            </w:r>
                            <w:r w:rsidRPr="002F2634">
                              <w:rPr>
                                <w:rFonts w:cstheme="minorHAnsi"/>
                              </w:rPr>
                              <w:t xml:space="preserve"> therms</w:t>
                            </w:r>
                          </w:p>
                          <w:p w:rsidR="00137532" w:rsidRDefault="00137532" w:rsidP="00137532"/>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43.85pt;height:8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">
                <v:textbox>
                  <w:txbxContent>
                    <w:p w:rsidR="00137532" w:rsidRPr="002F2634" w:rsidRDefault="00137532" w:rsidP="00137532">
                      <w:pPr>
                        <w:autoSpaceDE w:val="0"/>
                        <w:autoSpaceDN w:val="0"/>
                        <w:adjustRightInd w:val="0"/>
                        <w:rPr>
                          <w:rFonts w:cstheme="minorHAnsi"/>
                        </w:rPr>
                      </w:pPr>
                      <w:r w:rsidRPr="002F2634">
                        <w:rPr>
                          <w:rFonts w:cstheme="minorHAnsi"/>
                        </w:rPr>
                        <w:t xml:space="preserve">For example, insulating </w:t>
                      </w:r>
                      <w:r>
                        <w:rPr>
                          <w:rFonts w:cstheme="minorHAnsi"/>
                        </w:rPr>
                        <w:t>10</w:t>
                      </w:r>
                      <w:r w:rsidRPr="002F2634">
                        <w:rPr>
                          <w:rFonts w:cstheme="minorHAnsi"/>
                        </w:rPr>
                        <w:t xml:space="preserve"> feet of 0.75” pipe with R-</w:t>
                      </w:r>
                      <w:r>
                        <w:rPr>
                          <w:rFonts w:cstheme="minorHAnsi"/>
                        </w:rPr>
                        <w:t>3</w:t>
                      </w:r>
                      <w:r w:rsidRPr="002F2634">
                        <w:rPr>
                          <w:rFonts w:cstheme="minorHAnsi"/>
                        </w:rPr>
                        <w:t xml:space="preserve"> wrap</w:t>
                      </w:r>
                      <w:r>
                        <w:rPr>
                          <w:rFonts w:cstheme="minorHAnsi"/>
                        </w:rPr>
                        <w:t xml:space="preserve"> (0.75” thickness) in a crawl space of a Marion home with a boiler without reset control</w:t>
                      </w:r>
                      <w:r w:rsidRPr="002F2634">
                        <w:rPr>
                          <w:rFonts w:cstheme="minorHAnsi"/>
                        </w:rPr>
                        <w:t>:</w:t>
                      </w:r>
                    </w:p>
                    <w:p w:rsidR="00137532" w:rsidRPr="002F2634" w:rsidRDefault="00137532" w:rsidP="00137532">
                      <w:pPr>
                        <w:autoSpaceDE w:val="0"/>
                        <w:autoSpaceDN w:val="0"/>
                        <w:adjustRightInd w:val="0"/>
                        <w:ind w:left="2880" w:hanging="1440"/>
                        <w:rPr>
                          <w:rFonts w:cstheme="minorHAnsi"/>
                        </w:rPr>
                      </w:pPr>
                      <w:r w:rsidRPr="002F2634">
                        <w:rPr>
                          <w:rFonts w:cstheme="minorHAnsi"/>
                          <w:noProof/>
                        </w:rPr>
                        <w:t>Δ</w:t>
                      </w:r>
                      <w:r w:rsidRPr="002F2634">
                        <w:rPr>
                          <w:rFonts w:cstheme="minorHAnsi"/>
                        </w:rPr>
                        <w:t>Therm</w:t>
                      </w:r>
                      <w:r w:rsidRPr="002F2634">
                        <w:rPr>
                          <w:rFonts w:cstheme="minorHAnsi"/>
                        </w:rPr>
                        <w:tab/>
                      </w:r>
                      <w:r>
                        <w:rPr>
                          <w:rFonts w:cstheme="minorHAnsi"/>
                        </w:rPr>
                        <w:t>= (((1/0.5 * 0.196) – (1/3.5 * 0.589)) * 10 * 12</w:t>
                      </w:r>
                      <w:r w:rsidRPr="002F2634">
                        <w:rPr>
                          <w:rFonts w:cstheme="minorHAnsi"/>
                        </w:rPr>
                        <w:t xml:space="preserve">0 * </w:t>
                      </w:r>
                      <w:r>
                        <w:rPr>
                          <w:rFonts w:cstheme="minorHAnsi"/>
                        </w:rPr>
                        <w:t>1288</w:t>
                      </w:r>
                      <w:r w:rsidRPr="002F2634">
                        <w:rPr>
                          <w:rFonts w:cstheme="minorHAnsi"/>
                        </w:rPr>
                        <w:t>) / 0.</w:t>
                      </w:r>
                      <w:r>
                        <w:rPr>
                          <w:rFonts w:cstheme="minorHAnsi"/>
                        </w:rPr>
                        <w:t>819</w:t>
                      </w:r>
                      <w:r w:rsidRPr="002F2634">
                        <w:rPr>
                          <w:rFonts w:cstheme="minorHAnsi"/>
                        </w:rPr>
                        <w:t xml:space="preserve"> / 100,000</w:t>
                      </w:r>
                    </w:p>
                    <w:p w:rsidR="00137532" w:rsidRPr="002F2634" w:rsidRDefault="00137532" w:rsidP="00137532">
                      <w:pPr>
                        <w:autoSpaceDE w:val="0"/>
                        <w:autoSpaceDN w:val="0"/>
                        <w:adjustRightInd w:val="0"/>
                        <w:rPr>
                          <w:rFonts w:cstheme="minorHAnsi"/>
                        </w:rPr>
                      </w:pPr>
                      <w:r w:rsidRPr="002F2634">
                        <w:rPr>
                          <w:rFonts w:cstheme="minorHAnsi"/>
                        </w:rPr>
                        <w:tab/>
                      </w:r>
                      <w:r w:rsidRPr="002F2634">
                        <w:rPr>
                          <w:rFonts w:cstheme="minorHAnsi"/>
                        </w:rPr>
                        <w:tab/>
                      </w:r>
                      <w:r w:rsidRPr="002F2634">
                        <w:rPr>
                          <w:rFonts w:cstheme="minorHAnsi"/>
                        </w:rPr>
                        <w:tab/>
                      </w:r>
                      <w:r w:rsidRPr="002F2634">
                        <w:rPr>
                          <w:rFonts w:cstheme="minorHAnsi"/>
                        </w:rPr>
                        <w:tab/>
                        <w:t xml:space="preserve">= </w:t>
                      </w:r>
                      <w:r>
                        <w:rPr>
                          <w:rFonts w:cstheme="minorHAnsi"/>
                        </w:rPr>
                        <w:t>4.2</w:t>
                      </w:r>
                      <w:r w:rsidRPr="002F2634">
                        <w:rPr>
                          <w:rFonts w:cstheme="minorHAnsi"/>
                        </w:rPr>
                        <w:t xml:space="preserve"> therms</w:t>
                      </w:r>
                    </w:p>
                    <w:p w:rsidR="00137532" w:rsidRDefault="00137532" w:rsidP="00137532"/>
                  </w:txbxContent>
                </v:textbox>
                <w10:anchorlock/>
              </v:shape>
            </w:pict>
          </mc:Fallback>
        </mc:AlternateContent>
      </w:r>
    </w:p>
    <w:p w:rsidR="00137532" w:rsidRPr="00A05FC2" w:rsidRDefault="00137532" w:rsidP="00137532">
      <w:pPr>
        <w:pStyle w:val="Heading6"/>
      </w:pPr>
      <w:r w:rsidRPr="00A05FC2">
        <w:t xml:space="preserve">Water Impact Descriptions and Calculation  </w:t>
      </w:r>
    </w:p>
    <w:p w:rsidR="00137532" w:rsidRPr="00A05FC2" w:rsidRDefault="00137532" w:rsidP="00137532">
      <w:pPr>
        <w:rPr>
          <w:rFonts w:cstheme="minorHAnsi"/>
          <w:iCs/>
        </w:rPr>
      </w:pPr>
      <w:r w:rsidRPr="00A05FC2">
        <w:rPr>
          <w:rFonts w:cstheme="minorHAnsi"/>
        </w:rPr>
        <w:t>N/A</w:t>
      </w:r>
    </w:p>
    <w:p w:rsidR="00137532" w:rsidRPr="00A05FC2" w:rsidRDefault="00137532" w:rsidP="00137532">
      <w:pPr>
        <w:pStyle w:val="Heading6"/>
      </w:pPr>
      <w:r w:rsidRPr="00A05FC2">
        <w:t xml:space="preserve">Deemed O&amp;M Cost Adjustment Calculation </w:t>
      </w:r>
    </w:p>
    <w:p w:rsidR="00137532" w:rsidRPr="00A05FC2" w:rsidRDefault="00137532" w:rsidP="00137532">
      <w:pPr>
        <w:rPr>
          <w:rFonts w:cstheme="minorHAnsi"/>
          <w:iCs/>
        </w:rPr>
      </w:pPr>
      <w:r w:rsidRPr="00A05FC2">
        <w:rPr>
          <w:rFonts w:cstheme="minorHAnsi"/>
        </w:rPr>
        <w:t>N/A</w:t>
      </w:r>
    </w:p>
    <w:p w:rsidR="00137532" w:rsidRDefault="00137532" w:rsidP="00137532">
      <w:pPr>
        <w:pStyle w:val="Heading6"/>
      </w:pPr>
      <w:r>
        <w:t xml:space="preserve">Measure Code: </w:t>
      </w:r>
      <w:r w:rsidRPr="0069549D">
        <w:t>RS-</w:t>
      </w:r>
      <w:r>
        <w:t>HVC</w:t>
      </w:r>
      <w:r w:rsidRPr="0069549D">
        <w:t>-</w:t>
      </w:r>
      <w:r>
        <w:t>PINS</w:t>
      </w:r>
      <w:r w:rsidRPr="0069549D">
        <w:t>-V01-</w:t>
      </w:r>
      <w:r>
        <w:t>130601</w:t>
      </w:r>
    </w:p>
    <w:p w:rsidR="00137532" w:rsidRDefault="00137532" w:rsidP="00137532">
      <w:pPr>
        <w:widowControl/>
        <w:spacing w:after="200" w:line="276" w:lineRule="auto"/>
        <w:jc w:val="left"/>
        <w:sectPr w:rsidR="00137532" w:rsidSect="00137532">
          <w:headerReference w:type="default" r:id="rId8"/>
          <w:pgSz w:w="12240" w:h="15840" w:code="1"/>
          <w:pgMar w:top="1440" w:right="1440" w:bottom="1440" w:left="1440" w:header="720" w:footer="720" w:gutter="0"/>
          <w:cols w:space="720"/>
          <w:docGrid w:linePitch="360"/>
        </w:sectPr>
      </w:pPr>
    </w:p>
    <w:p w:rsidR="00137532" w:rsidRDefault="00137532" w:rsidP="00137532">
      <w:pPr>
        <w:widowControl/>
        <w:spacing w:after="200" w:line="276" w:lineRule="auto"/>
        <w:jc w:val="left"/>
      </w:pPr>
      <w:r>
        <w:lastRenderedPageBreak/>
        <w:br w:type="page"/>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532" w:rsidRDefault="00137532" w:rsidP="00137532">
      <w:pPr>
        <w:spacing w:after="0"/>
      </w:pPr>
      <w:r>
        <w:separator/>
      </w:r>
    </w:p>
  </w:endnote>
  <w:endnote w:type="continuationSeparator" w:id="0">
    <w:p w:rsidR="00137532" w:rsidRDefault="00137532" w:rsidP="001375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532" w:rsidRDefault="00137532" w:rsidP="00137532">
      <w:pPr>
        <w:spacing w:after="0"/>
      </w:pPr>
      <w:r>
        <w:separator/>
      </w:r>
    </w:p>
  </w:footnote>
  <w:footnote w:type="continuationSeparator" w:id="0">
    <w:p w:rsidR="00137532" w:rsidRDefault="00137532" w:rsidP="00137532">
      <w:pPr>
        <w:spacing w:after="0"/>
      </w:pPr>
      <w:r>
        <w:continuationSeparator/>
      </w:r>
    </w:p>
  </w:footnote>
  <w:footnote w:id="1">
    <w:p w:rsidR="00137532" w:rsidRPr="009C362B" w:rsidRDefault="00137532" w:rsidP="00137532">
      <w:pPr>
        <w:pStyle w:val="Footnote"/>
        <w:rPr>
          <w:szCs w:val="18"/>
        </w:rPr>
      </w:pPr>
      <w:r w:rsidRPr="009C362B">
        <w:rPr>
          <w:rStyle w:val="FootnoteReference"/>
          <w:rFonts w:eastAsia="Calibri"/>
          <w:sz w:val="18"/>
          <w:szCs w:val="18"/>
        </w:rPr>
        <w:footnoteRef/>
      </w:r>
      <w:r w:rsidRPr="009C362B">
        <w:rPr>
          <w:szCs w:val="18"/>
        </w:rPr>
        <w:t xml:space="preserve"> Measure Life Report, Residential and Commercial/Industrial Lighting and HVAC Measures, GDS Associates, June 2007.</w:t>
      </w:r>
    </w:p>
    <w:p w:rsidR="00137532" w:rsidRPr="009C362B" w:rsidRDefault="00137532" w:rsidP="00137532">
      <w:pPr>
        <w:pStyle w:val="Footnote"/>
        <w:rPr>
          <w:szCs w:val="18"/>
        </w:rPr>
      </w:pPr>
      <w:hyperlink r:id="rId1" w:history="1">
        <w:r w:rsidRPr="009C362B">
          <w:rPr>
            <w:rStyle w:val="Hyperlink"/>
            <w:szCs w:val="18"/>
          </w:rPr>
          <w:t>http://www.ctsavesenergy.org/files/Measure%20Life%20Report%202007.pdf</w:t>
        </w:r>
      </w:hyperlink>
    </w:p>
  </w:footnote>
  <w:footnote w:id="2">
    <w:p w:rsidR="00137532" w:rsidRPr="009C362B" w:rsidRDefault="00137532" w:rsidP="00137532">
      <w:pPr>
        <w:pStyle w:val="Footnote"/>
        <w:rPr>
          <w:szCs w:val="18"/>
        </w:rPr>
      </w:pPr>
      <w:r w:rsidRPr="009C362B">
        <w:rPr>
          <w:rStyle w:val="FootnoteReference"/>
          <w:rFonts w:eastAsia="Calibri" w:cstheme="minorHAnsi"/>
          <w:sz w:val="18"/>
          <w:szCs w:val="18"/>
        </w:rPr>
        <w:footnoteRef/>
      </w:r>
      <w:r w:rsidRPr="009C362B">
        <w:rPr>
          <w:szCs w:val="18"/>
        </w:rPr>
        <w:t xml:space="preserve"> </w:t>
      </w:r>
      <w:proofErr w:type="gramStart"/>
      <w:r w:rsidRPr="009C362B">
        <w:rPr>
          <w:rStyle w:val="FootnoteChar"/>
          <w:szCs w:val="18"/>
        </w:rPr>
        <w:t>Consistent with DEER 2008 Database Technology and Measure Cost Data (</w:t>
      </w:r>
      <w:hyperlink r:id="rId2" w:history="1">
        <w:r w:rsidRPr="009C362B">
          <w:rPr>
            <w:rStyle w:val="FootnoteChar"/>
            <w:szCs w:val="18"/>
          </w:rPr>
          <w:t>www.deeresources.com</w:t>
        </w:r>
      </w:hyperlink>
      <w:r w:rsidRPr="009C362B">
        <w:rPr>
          <w:rStyle w:val="FootnoteChar"/>
          <w:szCs w:val="18"/>
        </w:rPr>
        <w:t>).</w:t>
      </w:r>
      <w:proofErr w:type="gramEnd"/>
    </w:p>
  </w:footnote>
  <w:footnote w:id="3">
    <w:p w:rsidR="00137532" w:rsidRPr="009C362B" w:rsidRDefault="00137532" w:rsidP="00137532">
      <w:pPr>
        <w:pStyle w:val="Footnote"/>
        <w:rPr>
          <w:szCs w:val="18"/>
        </w:rPr>
      </w:pPr>
      <w:r w:rsidRPr="009C362B">
        <w:rPr>
          <w:rStyle w:val="FootnoteReference"/>
          <w:rFonts w:eastAsia="Calibri"/>
          <w:sz w:val="18"/>
          <w:szCs w:val="18"/>
        </w:rPr>
        <w:footnoteRef/>
      </w:r>
      <w:r w:rsidRPr="009C362B">
        <w:rPr>
          <w:szCs w:val="18"/>
        </w:rPr>
        <w:t xml:space="preserve"> Assumption based on data obtained from the 3E </w:t>
      </w:r>
      <w:proofErr w:type="gramStart"/>
      <w:r w:rsidRPr="009C362B">
        <w:rPr>
          <w:szCs w:val="18"/>
        </w:rPr>
        <w:t>Plus</w:t>
      </w:r>
      <w:proofErr w:type="gramEnd"/>
      <w:r w:rsidRPr="009C362B">
        <w:rPr>
          <w:szCs w:val="18"/>
        </w:rPr>
        <w:t xml:space="preserve"> heat loss calculation software provided by the NAIMA (North American Insulation Manufacturer Association) and derived from Table 15 and Table 16 of 2009 ASHRAE Fundamentals Handbook, Chapter 23 Insulation for Mechanical Systems, page 23.17.</w:t>
      </w:r>
    </w:p>
  </w:footnote>
  <w:footnote w:id="4">
    <w:p w:rsidR="00137532" w:rsidRPr="009C362B" w:rsidRDefault="00137532" w:rsidP="00137532">
      <w:pPr>
        <w:pStyle w:val="Footnote"/>
        <w:rPr>
          <w:szCs w:val="18"/>
        </w:rPr>
      </w:pPr>
      <w:r w:rsidRPr="009C362B">
        <w:rPr>
          <w:rStyle w:val="FootnoteReference"/>
          <w:sz w:val="18"/>
          <w:szCs w:val="18"/>
        </w:rPr>
        <w:footnoteRef/>
      </w:r>
      <w:r w:rsidRPr="009C362B">
        <w:rPr>
          <w:szCs w:val="18"/>
        </w:rPr>
        <w:t xml:space="preserve"> Full load heating hours for heat pumps are provided for Rockford, Chicago and Springfield in the Energy Star Calculator. Estimates for the other locations were calculated based on the FLH to Heating Degree Day (from NCDC) ratio. VEIC consider Energy Star estimates to be high due to oversizing not being adequately addressed. Using average Illinois billing data (from </w:t>
      </w:r>
      <w:hyperlink r:id="rId3" w:history="1">
        <w:r w:rsidRPr="009C362B">
          <w:rPr>
            <w:rStyle w:val="Hyperlink"/>
            <w:szCs w:val="18"/>
          </w:rPr>
          <w:t>http://www.icc.illinois.gov/ags/consumereducation.aspx</w:t>
        </w:r>
      </w:hyperlink>
      <w:r w:rsidRPr="009C362B">
        <w:rPr>
          <w:szCs w:val="18"/>
        </w:rPr>
        <w:t>) VEIC estimated the average gas heating load and used this to estimate the average home heating output (using 83% average gas heat efficiency). Dividing this by a typical 36,000 Btu/</w:t>
      </w:r>
      <w:proofErr w:type="spellStart"/>
      <w:r w:rsidRPr="009C362B">
        <w:rPr>
          <w:szCs w:val="18"/>
        </w:rPr>
        <w:t>hr</w:t>
      </w:r>
      <w:proofErr w:type="spellEnd"/>
      <w:r w:rsidRPr="009C362B">
        <w:rPr>
          <w:szCs w:val="18"/>
        </w:rPr>
        <w:t xml:space="preserve"> ASHP gives an estimate of average ASHP </w:t>
      </w:r>
      <w:proofErr w:type="spellStart"/>
      <w:r w:rsidRPr="009C362B">
        <w:rPr>
          <w:szCs w:val="18"/>
        </w:rPr>
        <w:t>FLH_heat</w:t>
      </w:r>
      <w:proofErr w:type="spellEnd"/>
      <w:r w:rsidRPr="009C362B">
        <w:rPr>
          <w:szCs w:val="18"/>
        </w:rPr>
        <w:t xml:space="preserve"> of 1821 hours. We used the ratio of this value to the average of the locations using the Energy Star data (1994 hours) to scale down the Energy Star estimates. There is a county mapping table in the Appendix providing the appropriate city to use for each county of Illinois.</w:t>
      </w:r>
    </w:p>
  </w:footnote>
  <w:footnote w:id="5">
    <w:p w:rsidR="00137532" w:rsidRPr="009C362B" w:rsidRDefault="00137532" w:rsidP="00137532">
      <w:pPr>
        <w:pStyle w:val="Footnote"/>
        <w:rPr>
          <w:szCs w:val="18"/>
        </w:rPr>
      </w:pPr>
      <w:r w:rsidRPr="009C362B">
        <w:rPr>
          <w:rStyle w:val="FootnoteReference"/>
          <w:sz w:val="18"/>
          <w:szCs w:val="18"/>
        </w:rPr>
        <w:footnoteRef/>
      </w:r>
      <w:r w:rsidRPr="009C362B">
        <w:rPr>
          <w:szCs w:val="18"/>
        </w:rPr>
        <w:t xml:space="preserve"> Weighted based on number of occupied residential housing units in each zone.</w:t>
      </w:r>
    </w:p>
  </w:footnote>
  <w:footnote w:id="6">
    <w:p w:rsidR="00137532" w:rsidRPr="009C362B" w:rsidRDefault="00137532" w:rsidP="00137532">
      <w:pPr>
        <w:pStyle w:val="Footnote"/>
        <w:rPr>
          <w:szCs w:val="18"/>
        </w:rPr>
      </w:pPr>
      <w:r w:rsidRPr="009C362B">
        <w:rPr>
          <w:rStyle w:val="FootnoteReference"/>
          <w:sz w:val="18"/>
          <w:szCs w:val="18"/>
        </w:rPr>
        <w:footnoteRef/>
      </w:r>
      <w:r w:rsidRPr="009C362B">
        <w:rPr>
          <w:szCs w:val="18"/>
        </w:rPr>
        <w:t xml:space="preserve"> Assumes 160°F water temp for a boiler without reset control, 120°F for a boiler with reset control, and 50°F air temperature for pipes in unconditioned basements and the following average heating season outdoor temperatures as the air temperature in crawl spaces: Zone 1 – 33.1, Zone 2 – 34.4, Zone 3 – 37.7, Zone 4 – 40.0, Zone 5 – 39.8, Weighted Average – 35.3 (NCDC 1881-2010 </w:t>
      </w:r>
      <w:proofErr w:type="spellStart"/>
      <w:r w:rsidRPr="009C362B">
        <w:rPr>
          <w:szCs w:val="18"/>
        </w:rPr>
        <w:t>Normals</w:t>
      </w:r>
      <w:proofErr w:type="spellEnd"/>
      <w:r w:rsidRPr="009C362B">
        <w:rPr>
          <w:szCs w:val="18"/>
        </w:rPr>
        <w:t>, average of monthly averages Nov – Apr for zones 1-3 and Nov-March for zones 4 and 5).</w:t>
      </w:r>
    </w:p>
  </w:footnote>
  <w:footnote w:id="7">
    <w:p w:rsidR="00137532" w:rsidRPr="009C362B" w:rsidRDefault="00137532" w:rsidP="00137532">
      <w:pPr>
        <w:pStyle w:val="Footnote"/>
        <w:rPr>
          <w:szCs w:val="18"/>
        </w:rPr>
      </w:pPr>
      <w:r w:rsidRPr="009C362B">
        <w:rPr>
          <w:rStyle w:val="FootnoteReference"/>
          <w:sz w:val="18"/>
          <w:szCs w:val="18"/>
        </w:rPr>
        <w:footnoteRef/>
      </w:r>
      <w:r w:rsidRPr="009C362B">
        <w:rPr>
          <w:szCs w:val="18"/>
        </w:rPr>
        <w:t xml:space="preserve"> Weighted based on number of occupied residential housing units in each zone.</w:t>
      </w:r>
    </w:p>
  </w:footnote>
  <w:footnote w:id="8">
    <w:p w:rsidR="00137532" w:rsidRPr="009C362B" w:rsidRDefault="00137532" w:rsidP="00137532">
      <w:pPr>
        <w:pStyle w:val="Footnote"/>
        <w:rPr>
          <w:szCs w:val="18"/>
        </w:rPr>
      </w:pPr>
      <w:r w:rsidRPr="009C362B">
        <w:rPr>
          <w:rStyle w:val="FootnoteReference"/>
          <w:rFonts w:eastAsia="Calibri"/>
          <w:sz w:val="18"/>
          <w:szCs w:val="18"/>
        </w:rPr>
        <w:footnoteRef/>
      </w:r>
      <w:r w:rsidRPr="009C362B">
        <w:rPr>
          <w:szCs w:val="18"/>
        </w:rPr>
        <w:t xml:space="preserve"> </w:t>
      </w:r>
      <w:proofErr w:type="gramStart"/>
      <w:r w:rsidRPr="009C362B">
        <w:rPr>
          <w:szCs w:val="18"/>
        </w:rPr>
        <w:t>Average efficiency of boiler units found in Ameren PY3-PY4 data.</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532" w:rsidRPr="00A05FC2" w:rsidRDefault="00137532" w:rsidP="00645A06">
    <w:pPr>
      <w:pStyle w:val="HeaderIL"/>
    </w:pPr>
    <w:r w:rsidRPr="005D746C">
      <w:t>Illinois Statewide Technical Reference Manual -</w:t>
    </w:r>
    <w:r>
      <w:t xml:space="preserve"> </w:t>
    </w:r>
    <w:r>
      <w:fldChar w:fldCharType="begin"/>
    </w:r>
    <w:r>
      <w:instrText xml:space="preserve"> REF _Ref355947743 \r \h </w:instrText>
    </w:r>
    <w:r>
      <w:fldChar w:fldCharType="separate"/>
    </w:r>
    <w:r>
      <w:t>5.3.2</w:t>
    </w:r>
    <w:r>
      <w:fldChar w:fldCharType="end"/>
    </w:r>
    <w:r>
      <w:t xml:space="preserve"> </w:t>
    </w:r>
    <w:r>
      <w:fldChar w:fldCharType="begin"/>
    </w:r>
    <w:r>
      <w:instrText xml:space="preserve"> REF _Ref355947743 \h </w:instrText>
    </w:r>
    <w:r>
      <w:fldChar w:fldCharType="separate"/>
    </w:r>
    <w:r>
      <w:t>Boiler Pipe Insulation</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EE32657"/>
    <w:multiLevelType w:val="multilevel"/>
    <w:tmpl w:val="36328C2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532"/>
    <w:rsid w:val="00137532"/>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3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3753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3753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3753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3753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3753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137532"/>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13753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3753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3753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3753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3753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3753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37532"/>
    <w:rPr>
      <w:rFonts w:ascii="Calibri" w:eastAsiaTheme="minorEastAsia" w:hAnsi="Calibri" w:cs="Arial"/>
      <w:bCs/>
      <w:i/>
      <w:noProof/>
    </w:rPr>
  </w:style>
  <w:style w:type="character" w:customStyle="1" w:styleId="Heading5Char">
    <w:name w:val="Heading 5 Char"/>
    <w:basedOn w:val="DefaultParagraphFont"/>
    <w:link w:val="Heading5"/>
    <w:uiPriority w:val="99"/>
    <w:rsid w:val="00137532"/>
    <w:rPr>
      <w:rFonts w:ascii="Calibri" w:eastAsia="Times New Roman" w:hAnsi="Calibri" w:cs="Times New Roman"/>
      <w:sz w:val="20"/>
    </w:rPr>
  </w:style>
  <w:style w:type="character" w:customStyle="1" w:styleId="Heading6Char">
    <w:name w:val="Heading 6 Char"/>
    <w:basedOn w:val="DefaultParagraphFont"/>
    <w:link w:val="Heading6"/>
    <w:uiPriority w:val="9"/>
    <w:rsid w:val="00137532"/>
    <w:rPr>
      <w:rFonts w:eastAsia="Times New Roman" w:cs="Calibri"/>
      <w:b/>
      <w:smallCaps/>
    </w:rPr>
  </w:style>
  <w:style w:type="character" w:customStyle="1" w:styleId="Heading7Char">
    <w:name w:val="Heading 7 Char"/>
    <w:basedOn w:val="DefaultParagraphFont"/>
    <w:link w:val="Heading7"/>
    <w:uiPriority w:val="99"/>
    <w:rsid w:val="0013753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3753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37532"/>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137532"/>
    <w:rPr>
      <w:rFonts w:ascii="Calibri" w:eastAsiaTheme="minorEastAsia" w:hAnsi="Calibri" w:cs="Times New Roman"/>
      <w:bCs/>
      <w:sz w:val="24"/>
      <w:szCs w:val="24"/>
    </w:rPr>
  </w:style>
  <w:style w:type="table" w:styleId="TableGrid">
    <w:name w:val="Table Grid"/>
    <w:basedOn w:val="TableNormal"/>
    <w:uiPriority w:val="59"/>
    <w:rsid w:val="0013753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137532"/>
    <w:rPr>
      <w:rFonts w:ascii="Arial" w:hAnsi="Arial" w:cs="Times New Roman"/>
      <w:sz w:val="20"/>
      <w:vertAlign w:val="superscript"/>
    </w:rPr>
  </w:style>
  <w:style w:type="character" w:styleId="Hyperlink">
    <w:name w:val="Hyperlink"/>
    <w:uiPriority w:val="99"/>
    <w:rsid w:val="00137532"/>
    <w:rPr>
      <w:rFonts w:cs="Times New Roman"/>
      <w:color w:val="0000FF"/>
      <w:u w:val="single"/>
    </w:rPr>
  </w:style>
  <w:style w:type="paragraph" w:customStyle="1" w:styleId="TableText">
    <w:name w:val="Table Text"/>
    <w:basedOn w:val="Normal"/>
    <w:autoRedefine/>
    <w:qFormat/>
    <w:rsid w:val="00137532"/>
    <w:pPr>
      <w:jc w:val="left"/>
    </w:pPr>
    <w:rPr>
      <w:rFonts w:ascii="Calibri" w:hAnsi="Calibri" w:cs="Arial"/>
      <w:noProof/>
      <w:szCs w:val="18"/>
      <w:lang w:val="en"/>
    </w:rPr>
  </w:style>
  <w:style w:type="character" w:customStyle="1" w:styleId="FootnoteChar">
    <w:name w:val="Footnote Char"/>
    <w:basedOn w:val="DefaultParagraphFont"/>
    <w:link w:val="Footnote"/>
    <w:rsid w:val="00137532"/>
    <w:rPr>
      <w:rFonts w:eastAsiaTheme="minorEastAsia" w:cstheme="minorHAnsi"/>
      <w:sz w:val="18"/>
      <w:szCs w:val="20"/>
    </w:rPr>
  </w:style>
  <w:style w:type="paragraph" w:customStyle="1" w:styleId="AlgorithmHeading">
    <w:name w:val="Algorithm Heading"/>
    <w:basedOn w:val="Normal"/>
    <w:link w:val="AlgorithmHeadingChar"/>
    <w:qFormat/>
    <w:rsid w:val="00137532"/>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137532"/>
    <w:rPr>
      <w:rFonts w:eastAsia="Times New Roman" w:cstheme="minorHAnsi"/>
      <w:b/>
      <w:sz w:val="20"/>
      <w:szCs w:val="20"/>
    </w:rPr>
  </w:style>
  <w:style w:type="paragraph" w:customStyle="1" w:styleId="HeaderIL">
    <w:name w:val="Header IL"/>
    <w:basedOn w:val="Header"/>
    <w:link w:val="HeaderILChar"/>
    <w:qFormat/>
    <w:rsid w:val="00137532"/>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137532"/>
    <w:rPr>
      <w:rFonts w:eastAsia="Times New Roman" w:cs="Times New Roman"/>
      <w:sz w:val="20"/>
    </w:rPr>
  </w:style>
  <w:style w:type="paragraph" w:customStyle="1" w:styleId="Footnote">
    <w:name w:val="Footnote"/>
    <w:basedOn w:val="FootnoteText"/>
    <w:link w:val="FootnoteChar"/>
    <w:autoRedefine/>
    <w:qFormat/>
    <w:rsid w:val="00137532"/>
    <w:pPr>
      <w:jc w:val="left"/>
    </w:pPr>
    <w:rPr>
      <w:rFonts w:eastAsiaTheme="minorEastAsia" w:cstheme="minorHAnsi"/>
      <w:sz w:val="18"/>
    </w:rPr>
  </w:style>
  <w:style w:type="paragraph" w:styleId="Header">
    <w:name w:val="header"/>
    <w:basedOn w:val="Normal"/>
    <w:link w:val="HeaderChar"/>
    <w:uiPriority w:val="99"/>
    <w:semiHidden/>
    <w:unhideWhenUsed/>
    <w:rsid w:val="00137532"/>
    <w:pPr>
      <w:tabs>
        <w:tab w:val="center" w:pos="4680"/>
        <w:tab w:val="right" w:pos="9360"/>
      </w:tabs>
      <w:spacing w:after="0"/>
    </w:pPr>
  </w:style>
  <w:style w:type="character" w:customStyle="1" w:styleId="HeaderChar">
    <w:name w:val="Header Char"/>
    <w:basedOn w:val="DefaultParagraphFont"/>
    <w:link w:val="Header"/>
    <w:uiPriority w:val="99"/>
    <w:semiHidden/>
    <w:rsid w:val="00137532"/>
    <w:rPr>
      <w:rFonts w:eastAsia="Times New Roman" w:cs="Times New Roman"/>
      <w:sz w:val="20"/>
    </w:rPr>
  </w:style>
  <w:style w:type="paragraph" w:styleId="FootnoteText">
    <w:name w:val="footnote text"/>
    <w:basedOn w:val="Normal"/>
    <w:link w:val="FootnoteTextChar"/>
    <w:uiPriority w:val="99"/>
    <w:semiHidden/>
    <w:unhideWhenUsed/>
    <w:rsid w:val="00137532"/>
    <w:pPr>
      <w:spacing w:after="0"/>
    </w:pPr>
    <w:rPr>
      <w:szCs w:val="20"/>
    </w:rPr>
  </w:style>
  <w:style w:type="character" w:customStyle="1" w:styleId="FootnoteTextChar">
    <w:name w:val="Footnote Text Char"/>
    <w:basedOn w:val="DefaultParagraphFont"/>
    <w:link w:val="FootnoteText"/>
    <w:uiPriority w:val="99"/>
    <w:semiHidden/>
    <w:rsid w:val="00137532"/>
    <w:rPr>
      <w:rFonts w:eastAsia="Times New Roman" w:cs="Times New Roman"/>
      <w:sz w:val="20"/>
      <w:szCs w:val="20"/>
    </w:rPr>
  </w:style>
  <w:style w:type="paragraph" w:styleId="BalloonText">
    <w:name w:val="Balloon Text"/>
    <w:basedOn w:val="Normal"/>
    <w:link w:val="BalloonTextChar"/>
    <w:uiPriority w:val="99"/>
    <w:semiHidden/>
    <w:unhideWhenUsed/>
    <w:rsid w:val="001375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53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32"/>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137532"/>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137532"/>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137532"/>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137532"/>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137532"/>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137532"/>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137532"/>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137532"/>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137532"/>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37532"/>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137532"/>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137532"/>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137532"/>
    <w:rPr>
      <w:rFonts w:ascii="Calibri" w:eastAsiaTheme="minorEastAsia" w:hAnsi="Calibri" w:cs="Arial"/>
      <w:bCs/>
      <w:i/>
      <w:noProof/>
    </w:rPr>
  </w:style>
  <w:style w:type="character" w:customStyle="1" w:styleId="Heading5Char">
    <w:name w:val="Heading 5 Char"/>
    <w:basedOn w:val="DefaultParagraphFont"/>
    <w:link w:val="Heading5"/>
    <w:uiPriority w:val="99"/>
    <w:rsid w:val="00137532"/>
    <w:rPr>
      <w:rFonts w:ascii="Calibri" w:eastAsia="Times New Roman" w:hAnsi="Calibri" w:cs="Times New Roman"/>
      <w:sz w:val="20"/>
    </w:rPr>
  </w:style>
  <w:style w:type="character" w:customStyle="1" w:styleId="Heading6Char">
    <w:name w:val="Heading 6 Char"/>
    <w:basedOn w:val="DefaultParagraphFont"/>
    <w:link w:val="Heading6"/>
    <w:uiPriority w:val="9"/>
    <w:rsid w:val="00137532"/>
    <w:rPr>
      <w:rFonts w:eastAsia="Times New Roman" w:cs="Calibri"/>
      <w:b/>
      <w:smallCaps/>
    </w:rPr>
  </w:style>
  <w:style w:type="character" w:customStyle="1" w:styleId="Heading7Char">
    <w:name w:val="Heading 7 Char"/>
    <w:basedOn w:val="DefaultParagraphFont"/>
    <w:link w:val="Heading7"/>
    <w:uiPriority w:val="99"/>
    <w:rsid w:val="00137532"/>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137532"/>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137532"/>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137532"/>
    <w:rPr>
      <w:rFonts w:ascii="Calibri" w:eastAsiaTheme="minorEastAsia" w:hAnsi="Calibri" w:cs="Times New Roman"/>
      <w:bCs/>
      <w:sz w:val="24"/>
      <w:szCs w:val="24"/>
    </w:rPr>
  </w:style>
  <w:style w:type="table" w:styleId="TableGrid">
    <w:name w:val="Table Grid"/>
    <w:basedOn w:val="TableNormal"/>
    <w:uiPriority w:val="59"/>
    <w:rsid w:val="0013753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137532"/>
    <w:rPr>
      <w:rFonts w:ascii="Arial" w:hAnsi="Arial" w:cs="Times New Roman"/>
      <w:sz w:val="20"/>
      <w:vertAlign w:val="superscript"/>
    </w:rPr>
  </w:style>
  <w:style w:type="character" w:styleId="Hyperlink">
    <w:name w:val="Hyperlink"/>
    <w:uiPriority w:val="99"/>
    <w:rsid w:val="00137532"/>
    <w:rPr>
      <w:rFonts w:cs="Times New Roman"/>
      <w:color w:val="0000FF"/>
      <w:u w:val="single"/>
    </w:rPr>
  </w:style>
  <w:style w:type="paragraph" w:customStyle="1" w:styleId="TableText">
    <w:name w:val="Table Text"/>
    <w:basedOn w:val="Normal"/>
    <w:autoRedefine/>
    <w:qFormat/>
    <w:rsid w:val="00137532"/>
    <w:pPr>
      <w:jc w:val="left"/>
    </w:pPr>
    <w:rPr>
      <w:rFonts w:ascii="Calibri" w:hAnsi="Calibri" w:cs="Arial"/>
      <w:noProof/>
      <w:szCs w:val="18"/>
      <w:lang w:val="en"/>
    </w:rPr>
  </w:style>
  <w:style w:type="character" w:customStyle="1" w:styleId="FootnoteChar">
    <w:name w:val="Footnote Char"/>
    <w:basedOn w:val="DefaultParagraphFont"/>
    <w:link w:val="Footnote"/>
    <w:rsid w:val="00137532"/>
    <w:rPr>
      <w:rFonts w:eastAsiaTheme="minorEastAsia" w:cstheme="minorHAnsi"/>
      <w:sz w:val="18"/>
      <w:szCs w:val="20"/>
    </w:rPr>
  </w:style>
  <w:style w:type="paragraph" w:customStyle="1" w:styleId="AlgorithmHeading">
    <w:name w:val="Algorithm Heading"/>
    <w:basedOn w:val="Normal"/>
    <w:link w:val="AlgorithmHeadingChar"/>
    <w:qFormat/>
    <w:rsid w:val="00137532"/>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137532"/>
    <w:rPr>
      <w:rFonts w:eastAsia="Times New Roman" w:cstheme="minorHAnsi"/>
      <w:b/>
      <w:sz w:val="20"/>
      <w:szCs w:val="20"/>
    </w:rPr>
  </w:style>
  <w:style w:type="paragraph" w:customStyle="1" w:styleId="HeaderIL">
    <w:name w:val="Header IL"/>
    <w:basedOn w:val="Header"/>
    <w:link w:val="HeaderILChar"/>
    <w:qFormat/>
    <w:rsid w:val="00137532"/>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137532"/>
    <w:rPr>
      <w:rFonts w:eastAsia="Times New Roman" w:cs="Times New Roman"/>
      <w:sz w:val="20"/>
    </w:rPr>
  </w:style>
  <w:style w:type="paragraph" w:customStyle="1" w:styleId="Footnote">
    <w:name w:val="Footnote"/>
    <w:basedOn w:val="FootnoteText"/>
    <w:link w:val="FootnoteChar"/>
    <w:autoRedefine/>
    <w:qFormat/>
    <w:rsid w:val="00137532"/>
    <w:pPr>
      <w:jc w:val="left"/>
    </w:pPr>
    <w:rPr>
      <w:rFonts w:eastAsiaTheme="minorEastAsia" w:cstheme="minorHAnsi"/>
      <w:sz w:val="18"/>
    </w:rPr>
  </w:style>
  <w:style w:type="paragraph" w:styleId="Header">
    <w:name w:val="header"/>
    <w:basedOn w:val="Normal"/>
    <w:link w:val="HeaderChar"/>
    <w:uiPriority w:val="99"/>
    <w:semiHidden/>
    <w:unhideWhenUsed/>
    <w:rsid w:val="00137532"/>
    <w:pPr>
      <w:tabs>
        <w:tab w:val="center" w:pos="4680"/>
        <w:tab w:val="right" w:pos="9360"/>
      </w:tabs>
      <w:spacing w:after="0"/>
    </w:pPr>
  </w:style>
  <w:style w:type="character" w:customStyle="1" w:styleId="HeaderChar">
    <w:name w:val="Header Char"/>
    <w:basedOn w:val="DefaultParagraphFont"/>
    <w:link w:val="Header"/>
    <w:uiPriority w:val="99"/>
    <w:semiHidden/>
    <w:rsid w:val="00137532"/>
    <w:rPr>
      <w:rFonts w:eastAsia="Times New Roman" w:cs="Times New Roman"/>
      <w:sz w:val="20"/>
    </w:rPr>
  </w:style>
  <w:style w:type="paragraph" w:styleId="FootnoteText">
    <w:name w:val="footnote text"/>
    <w:basedOn w:val="Normal"/>
    <w:link w:val="FootnoteTextChar"/>
    <w:uiPriority w:val="99"/>
    <w:semiHidden/>
    <w:unhideWhenUsed/>
    <w:rsid w:val="00137532"/>
    <w:pPr>
      <w:spacing w:after="0"/>
    </w:pPr>
    <w:rPr>
      <w:szCs w:val="20"/>
    </w:rPr>
  </w:style>
  <w:style w:type="character" w:customStyle="1" w:styleId="FootnoteTextChar">
    <w:name w:val="Footnote Text Char"/>
    <w:basedOn w:val="DefaultParagraphFont"/>
    <w:link w:val="FootnoteText"/>
    <w:uiPriority w:val="99"/>
    <w:semiHidden/>
    <w:rsid w:val="00137532"/>
    <w:rPr>
      <w:rFonts w:eastAsia="Times New Roman" w:cs="Times New Roman"/>
      <w:sz w:val="20"/>
      <w:szCs w:val="20"/>
    </w:rPr>
  </w:style>
  <w:style w:type="paragraph" w:styleId="BalloonText">
    <w:name w:val="Balloon Text"/>
    <w:basedOn w:val="Normal"/>
    <w:link w:val="BalloonTextChar"/>
    <w:uiPriority w:val="99"/>
    <w:semiHidden/>
    <w:unhideWhenUsed/>
    <w:rsid w:val="001375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753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illinois.gov/ags/consumereducation.aspx" TargetMode="External"/><Relationship Id="rId2" Type="http://schemas.openxmlformats.org/officeDocument/2006/relationships/hyperlink" Target="http://www.ctsavesenergy.org/files/Measure%20Life%20Report%202007.pdf" TargetMode="External"/><Relationship Id="rId1" Type="http://schemas.openxmlformats.org/officeDocument/2006/relationships/hyperlink" Target="http://mn.gov/commerce/energy/images/ElectricFoodService_v03.2.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1B61D0A6</Template>
  <TotalTime>3</TotalTime>
  <Pages>5</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2015-12-17T10:57:00Z</dcterms:created>
  <dcterms:modified xsi:type="dcterms:W3CDTF">2015-12-17T11:00:00Z</dcterms:modified>
</cp:coreProperties>
</file>