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40D" w:rsidRPr="005D34D2" w:rsidRDefault="0047740D" w:rsidP="00276B3F">
      <w:pPr>
        <w:pStyle w:val="Heading3"/>
        <w:numPr>
          <w:ilvl w:val="2"/>
          <w:numId w:val="2"/>
        </w:numPr>
        <w:rPr>
          <w:rFonts w:eastAsiaTheme="majorEastAsia"/>
          <w:szCs w:val="22"/>
        </w:rPr>
      </w:pPr>
      <w:bookmarkStart w:id="0" w:name="_Ref376521087"/>
      <w:bookmarkStart w:id="1" w:name="_Toc411593479"/>
      <w:proofErr w:type="spellStart"/>
      <w:r>
        <w:t>Linkageless</w:t>
      </w:r>
      <w:proofErr w:type="spellEnd"/>
      <w:r>
        <w:t xml:space="preserve"> Boiler Controls for Space Heating</w:t>
      </w:r>
      <w:bookmarkEnd w:id="0"/>
      <w:bookmarkEnd w:id="1"/>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Description </w:t>
      </w:r>
    </w:p>
    <w:p w:rsidR="0047740D" w:rsidRPr="005D0FEA" w:rsidRDefault="0047740D" w:rsidP="0047740D">
      <w:pPr>
        <w:rPr>
          <w:rFonts w:cstheme="minorHAnsi"/>
        </w:rPr>
      </w:pPr>
      <w:r>
        <w:t xml:space="preserve">This measure is for a non-residential boiler providing space heating and currently having single point positioning combustion control. In single-point positioning control, the fuel valve is linked to the combustion air damper via a jackshaft mechanism to maintain correspondence between fuel and combustion air input. Most boilers with single point </w:t>
      </w:r>
      <w:r w:rsidRPr="008D7A98">
        <w:rPr>
          <w:rFonts w:cstheme="minorHAnsi"/>
        </w:rPr>
        <w:t>positioning control do not maintain low excess air levels over their entire firing range. Generally these boilers are calibrated at hi</w:t>
      </w:r>
      <w:r w:rsidRPr="005D0FEA">
        <w:rPr>
          <w:rFonts w:cstheme="minorHAnsi"/>
        </w:rPr>
        <w:t>gh fire, but due to the non-linearity required for efficient combustion, excess air levels tend to dramatically increase as the firing rate decreases. Boiler efficiency drops as the excess air levels are increased.</w:t>
      </w:r>
    </w:p>
    <w:p w:rsidR="0047740D" w:rsidRPr="0009467B" w:rsidRDefault="0047740D" w:rsidP="0047740D">
      <w:pPr>
        <w:pStyle w:val="NoSpacing"/>
        <w:rPr>
          <w:rFonts w:asciiTheme="minorHAnsi" w:hAnsiTheme="minorHAnsi" w:cstheme="minorHAnsi"/>
        </w:rPr>
      </w:pPr>
      <w:r w:rsidRPr="00E331E3">
        <w:rPr>
          <w:rFonts w:asciiTheme="minorHAnsi" w:hAnsiTheme="minorHAnsi" w:cstheme="minorHAnsi"/>
        </w:rPr>
        <w:t xml:space="preserve">This measure was developed to be applicable to the following program types:  TOS, RF.  </w:t>
      </w:r>
    </w:p>
    <w:p w:rsidR="0047740D" w:rsidRPr="005D0FEA" w:rsidRDefault="0047740D" w:rsidP="0047740D">
      <w:pPr>
        <w:rPr>
          <w:rFonts w:cstheme="minorHAnsi"/>
        </w:rPr>
      </w:pPr>
      <w:r w:rsidRPr="008D7A98">
        <w:rPr>
          <w:rFonts w:cstheme="minorHAnsi"/>
        </w:rPr>
        <w:t>If applied to other program types, the measure savings should be verified.</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Definition of Efficient Equipment </w:t>
      </w:r>
    </w:p>
    <w:p w:rsidR="0047740D" w:rsidRPr="006B38AB" w:rsidRDefault="0047740D" w:rsidP="0047740D">
      <w:r w:rsidRPr="006B38AB">
        <w:t xml:space="preserve">To qualify the boiler burner must have a </w:t>
      </w:r>
      <w:proofErr w:type="spellStart"/>
      <w:r w:rsidRPr="006B38AB">
        <w:t>linkageless</w:t>
      </w:r>
      <w:proofErr w:type="spellEnd"/>
      <w:r w:rsidRPr="006B38AB">
        <w:t xml:space="preserve"> control system allowing the combustion air damper position to be adjusted and set for optimal efficiency at several firing rates throughout the burner’s firing range. This requires the fuel valve and combustion air damper to each be powered by a separate </w:t>
      </w:r>
      <w:r w:rsidRPr="008D1324">
        <w:t>actuator. An alternative to the combustion air damper is a Variable Speed Drive on the combustion air fan.</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Definition of Baseline Equipment </w:t>
      </w:r>
    </w:p>
    <w:p w:rsidR="0047740D" w:rsidRPr="006B38AB" w:rsidRDefault="0047740D" w:rsidP="0047740D">
      <w:r w:rsidRPr="006B38AB">
        <w:t>The baseline boiler utilizes single point positioning for the burner combustion control.</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Deemed Lifetime of Efficient Equipment </w:t>
      </w:r>
    </w:p>
    <w:p w:rsidR="0047740D" w:rsidRPr="005D34D2" w:rsidRDefault="0047740D" w:rsidP="0047740D">
      <w:pPr>
        <w:rPr>
          <w:rFonts w:cstheme="minorHAnsi"/>
          <w:szCs w:val="24"/>
        </w:rPr>
      </w:pPr>
      <w:r w:rsidRPr="005D34D2">
        <w:rPr>
          <w:rFonts w:cstheme="minorHAnsi"/>
        </w:rPr>
        <w:t xml:space="preserve">The expected measure life is assumed to be </w:t>
      </w:r>
      <w:r>
        <w:rPr>
          <w:rFonts w:cstheme="minorHAnsi"/>
          <w:noProof/>
        </w:rPr>
        <w:t>16</w:t>
      </w:r>
      <w:r w:rsidRPr="005D34D2">
        <w:rPr>
          <w:rFonts w:cstheme="minorHAnsi"/>
          <w:noProof/>
        </w:rPr>
        <w:t xml:space="preserve"> years.</w:t>
      </w:r>
      <w:r w:rsidRPr="005D34D2">
        <w:rPr>
          <w:rFonts w:cstheme="minorHAnsi"/>
          <w:vertAlign w:val="superscript"/>
        </w:rPr>
        <w:footnoteReference w:id="1"/>
      </w:r>
      <w:r w:rsidRPr="005D34D2">
        <w:rPr>
          <w:rFonts w:cstheme="minorHAnsi"/>
        </w:rPr>
        <w:t xml:space="preserve"> </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Deemed Measure Cost </w:t>
      </w:r>
    </w:p>
    <w:p w:rsidR="0047740D" w:rsidRPr="00580502" w:rsidRDefault="0047740D" w:rsidP="0047740D">
      <w:r w:rsidRPr="006B38AB">
        <w:t>The</w:t>
      </w:r>
      <w:r>
        <w:t xml:space="preserve"> deemed</w:t>
      </w:r>
      <w:r w:rsidRPr="006B38AB">
        <w:t xml:space="preserve"> </w:t>
      </w:r>
      <w:r>
        <w:t xml:space="preserve">measure </w:t>
      </w:r>
      <w:r w:rsidRPr="006B38AB">
        <w:t>cost is estimated at $2.50/</w:t>
      </w:r>
      <w:proofErr w:type="spellStart"/>
      <w:r w:rsidRPr="006B38AB">
        <w:t>M</w:t>
      </w:r>
      <w:r>
        <w:t>Btu</w:t>
      </w:r>
      <w:proofErr w:type="spellEnd"/>
      <w:r>
        <w:t>/</w:t>
      </w:r>
      <w:proofErr w:type="spellStart"/>
      <w:r>
        <w:t>hr</w:t>
      </w:r>
      <w:proofErr w:type="spellEnd"/>
      <w:r w:rsidRPr="006B38AB">
        <w:t xml:space="preserve"> burner input.</w:t>
      </w:r>
      <w:r>
        <w:rPr>
          <w:rStyle w:val="FootnoteReference"/>
        </w:rPr>
        <w:footnoteReference w:id="2"/>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Deemed O&amp;M Cost Adjustments </w:t>
      </w:r>
    </w:p>
    <w:p w:rsidR="0047740D" w:rsidRPr="005D34D2" w:rsidRDefault="0047740D" w:rsidP="0047740D">
      <w:pPr>
        <w:rPr>
          <w:rFonts w:cstheme="minorHAnsi"/>
          <w:szCs w:val="24"/>
        </w:rPr>
      </w:pPr>
      <w:r w:rsidRPr="005D34D2">
        <w:rPr>
          <w:rFonts w:cstheme="minorHAnsi"/>
        </w:rPr>
        <w:t>N/A</w:t>
      </w:r>
    </w:p>
    <w:p w:rsidR="0047740D" w:rsidRPr="005D34D2" w:rsidRDefault="0047740D" w:rsidP="0047740D">
      <w:pPr>
        <w:pStyle w:val="Heading6"/>
      </w:pPr>
      <w:proofErr w:type="spellStart"/>
      <w:r w:rsidRPr="005D34D2">
        <w:t>Loadshape</w:t>
      </w:r>
      <w:proofErr w:type="spellEnd"/>
    </w:p>
    <w:p w:rsidR="0047740D" w:rsidRPr="005D34D2" w:rsidRDefault="0047740D" w:rsidP="0047740D">
      <w:pPr>
        <w:rPr>
          <w:rFonts w:cstheme="minorHAnsi"/>
          <w:szCs w:val="24"/>
        </w:rPr>
      </w:pPr>
      <w:r w:rsidRPr="005D34D2">
        <w:rPr>
          <w:rFonts w:cstheme="minorHAnsi"/>
        </w:rPr>
        <w:t>N/A</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Coincidence Factor </w:t>
      </w:r>
    </w:p>
    <w:p w:rsidR="0047740D" w:rsidRDefault="0047740D" w:rsidP="0047740D">
      <w:pPr>
        <w:rPr>
          <w:rFonts w:cstheme="minorHAnsi"/>
        </w:rPr>
      </w:pPr>
      <w:r w:rsidRPr="005D34D2">
        <w:rPr>
          <w:rFonts w:cstheme="minorHAnsi"/>
        </w:rPr>
        <w:t>N/A</w:t>
      </w:r>
    </w:p>
    <w:p w:rsidR="0047740D" w:rsidRPr="005D34D2" w:rsidRDefault="0047740D" w:rsidP="0047740D">
      <w:pPr>
        <w:rPr>
          <w:rFonts w:cstheme="minorHAnsi"/>
          <w:szCs w:val="24"/>
        </w:rPr>
      </w:pPr>
    </w:p>
    <w:p w:rsidR="0047740D" w:rsidRPr="005D34D2" w:rsidRDefault="0047740D" w:rsidP="0047740D">
      <w:pPr>
        <w:keepNext/>
        <w:pBdr>
          <w:top w:val="double" w:sz="4" w:space="1" w:color="auto"/>
          <w:bottom w:val="double" w:sz="4" w:space="1" w:color="auto"/>
        </w:pBdr>
        <w:jc w:val="center"/>
        <w:rPr>
          <w:rFonts w:cstheme="minorHAnsi"/>
          <w:b/>
          <w:szCs w:val="20"/>
        </w:rPr>
      </w:pPr>
      <w:r w:rsidRPr="005D34D2">
        <w:rPr>
          <w:rFonts w:cstheme="minorHAnsi"/>
          <w:b/>
          <w:szCs w:val="20"/>
        </w:rPr>
        <w:lastRenderedPageBreak/>
        <w:t>Algorithm</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Calculation of Savings </w:t>
      </w:r>
    </w:p>
    <w:p w:rsidR="0047740D" w:rsidRPr="005D34D2" w:rsidRDefault="0047740D" w:rsidP="0047740D">
      <w:pPr>
        <w:keepNext/>
        <w:keepLines/>
        <w:spacing w:before="200" w:line="276" w:lineRule="auto"/>
        <w:ind w:left="1152" w:hanging="1152"/>
        <w:outlineLvl w:val="5"/>
        <w:rPr>
          <w:rFonts w:eastAsiaTheme="majorEastAsia" w:cstheme="minorHAnsi"/>
          <w:b/>
          <w:smallCaps/>
        </w:rPr>
      </w:pPr>
      <w:r w:rsidRPr="00AE2142">
        <w:rPr>
          <w:rFonts w:eastAsiaTheme="majorEastAsia" w:cstheme="minorHAnsi"/>
          <w:b/>
          <w:smallCaps/>
        </w:rPr>
        <w:t xml:space="preserve">Electric </w:t>
      </w:r>
      <w:r w:rsidRPr="005D34D2">
        <w:rPr>
          <w:rFonts w:eastAsiaTheme="majorEastAsia" w:cstheme="minorHAnsi"/>
          <w:b/>
          <w:smallCaps/>
        </w:rPr>
        <w:t xml:space="preserve">Energy Savings </w:t>
      </w:r>
    </w:p>
    <w:p w:rsidR="0047740D" w:rsidRDefault="0047740D" w:rsidP="0047740D">
      <w:pPr>
        <w:widowControl/>
        <w:autoSpaceDE w:val="0"/>
        <w:autoSpaceDN w:val="0"/>
        <w:adjustRightInd w:val="0"/>
        <w:jc w:val="left"/>
        <w:rPr>
          <w:rFonts w:ascii="Calibri" w:eastAsiaTheme="minorHAnsi" w:hAnsi="Calibri" w:cs="Calibri"/>
          <w:szCs w:val="20"/>
        </w:rPr>
      </w:pPr>
      <w:r>
        <w:rPr>
          <w:rFonts w:ascii="Calibri" w:eastAsiaTheme="minorHAnsi" w:hAnsi="Calibri" w:cs="Calibri"/>
          <w:szCs w:val="20"/>
        </w:rPr>
        <w:t xml:space="preserve">When a Variable Speed Drive is incorporated, electrical savings are calculated according to the </w:t>
      </w:r>
      <w:ins w:id="2" w:author="Samuel Dent" w:date="2015-12-17T05:49:00Z">
        <w:r>
          <w:rPr>
            <w:rFonts w:ascii="Calibri" w:eastAsiaTheme="minorHAnsi" w:hAnsi="Calibri" w:cs="Calibri"/>
            <w:szCs w:val="20"/>
          </w:rPr>
          <w:t xml:space="preserve">“4.4.17 </w:t>
        </w:r>
      </w:ins>
      <w:r>
        <w:rPr>
          <w:rFonts w:ascii="Calibri" w:eastAsiaTheme="minorHAnsi" w:hAnsi="Calibri" w:cs="Calibri"/>
          <w:szCs w:val="20"/>
        </w:rPr>
        <w:t xml:space="preserve">Variable Speed Drive </w:t>
      </w:r>
      <w:ins w:id="3" w:author="Samuel Dent" w:date="2015-12-17T05:49:00Z">
        <w:r>
          <w:rPr>
            <w:rFonts w:ascii="Calibri" w:eastAsiaTheme="minorHAnsi" w:hAnsi="Calibri" w:cs="Calibri"/>
            <w:szCs w:val="20"/>
          </w:rPr>
          <w:t xml:space="preserve">for HVAC Pumps and Cooling Tower Fans” </w:t>
        </w:r>
      </w:ins>
      <w:r>
        <w:rPr>
          <w:rFonts w:ascii="Calibri" w:eastAsiaTheme="minorHAnsi" w:hAnsi="Calibri" w:cs="Calibri"/>
          <w:szCs w:val="20"/>
        </w:rPr>
        <w:t>measure.</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Summer Coincident Peak Demand Savings </w:t>
      </w:r>
    </w:p>
    <w:p w:rsidR="0047740D" w:rsidRPr="005D34D2" w:rsidRDefault="0047740D" w:rsidP="0047740D">
      <w:pPr>
        <w:rPr>
          <w:rFonts w:cstheme="minorHAnsi"/>
          <w:szCs w:val="24"/>
        </w:rPr>
      </w:pPr>
      <w:r w:rsidRPr="005D34D2">
        <w:rPr>
          <w:rFonts w:cstheme="minorHAnsi"/>
        </w:rPr>
        <w:t>N/A</w:t>
      </w:r>
    </w:p>
    <w:p w:rsidR="0047740D" w:rsidRPr="005D34D2" w:rsidRDefault="0047740D" w:rsidP="0047740D">
      <w:pPr>
        <w:pStyle w:val="Heading6"/>
      </w:pPr>
      <w:r w:rsidRPr="005D34D2">
        <w:t xml:space="preserve">Natural Gas Savings </w:t>
      </w:r>
    </w:p>
    <w:p w:rsidR="0047740D" w:rsidRDefault="0047740D" w:rsidP="0047740D">
      <w:pPr>
        <w:ind w:left="720" w:firstLine="720"/>
      </w:pPr>
      <w:proofErr w:type="spellStart"/>
      <w:r>
        <w:t>Δtherms</w:t>
      </w:r>
      <w:proofErr w:type="spellEnd"/>
      <w:r>
        <w:tab/>
        <w:t xml:space="preserve">= </w:t>
      </w:r>
      <w:proofErr w:type="spellStart"/>
      <w:r>
        <w:t>Ngi</w:t>
      </w:r>
      <w:proofErr w:type="spellEnd"/>
      <w:r>
        <w:t xml:space="preserve"> * SF * EFLH / 100</w:t>
      </w:r>
    </w:p>
    <w:p w:rsidR="0047740D" w:rsidRDefault="0047740D" w:rsidP="0047740D">
      <w:r>
        <w:t>Where:</w:t>
      </w:r>
    </w:p>
    <w:p w:rsidR="0047740D" w:rsidRDefault="0047740D" w:rsidP="0047740D">
      <w:pPr>
        <w:ind w:left="720" w:firstLine="720"/>
      </w:pPr>
      <w:proofErr w:type="spellStart"/>
      <w:r>
        <w:t>Ngi</w:t>
      </w:r>
      <w:proofErr w:type="spellEnd"/>
      <w:r>
        <w:tab/>
        <w:t>= Boiler gas input size (</w:t>
      </w:r>
      <w:proofErr w:type="spellStart"/>
      <w:r>
        <w:t>kBtu</w:t>
      </w:r>
      <w:proofErr w:type="spellEnd"/>
      <w:r>
        <w:t>/</w:t>
      </w:r>
      <w:proofErr w:type="spellStart"/>
      <w:r>
        <w:t>hr</w:t>
      </w:r>
      <w:proofErr w:type="spellEnd"/>
      <w:r>
        <w:t xml:space="preserve">) = custom </w:t>
      </w:r>
    </w:p>
    <w:p w:rsidR="0047740D" w:rsidRDefault="0047740D" w:rsidP="0047740D">
      <w:pPr>
        <w:ind w:left="720" w:firstLine="720"/>
      </w:pPr>
      <w:r>
        <w:t xml:space="preserve">SF </w:t>
      </w:r>
      <w:r>
        <w:tab/>
        <w:t>= Savings factor</w:t>
      </w:r>
    </w:p>
    <w:p w:rsidR="0047740D" w:rsidRDefault="0047740D" w:rsidP="0047740D">
      <w:pPr>
        <w:ind w:left="1440"/>
      </w:pPr>
      <w:r>
        <w:t xml:space="preserve">Note:  Savings factor is the percentage increase in efficiency as a result of the addition of </w:t>
      </w:r>
      <w:proofErr w:type="spellStart"/>
      <w:r>
        <w:t>linkageless</w:t>
      </w:r>
      <w:proofErr w:type="spellEnd"/>
      <w:r>
        <w:t xml:space="preserve"> burner controls. At an average boiler load of 35%, single point controls are assumed to have excess air of 91%, while </w:t>
      </w:r>
      <w:proofErr w:type="spellStart"/>
      <w:r>
        <w:t>linkageless</w:t>
      </w:r>
      <w:proofErr w:type="spellEnd"/>
      <w:r>
        <w:t xml:space="preserve"> controls are assumed to have 34% excess air.</w:t>
      </w:r>
      <w:r>
        <w:rPr>
          <w:rStyle w:val="FootnoteReference"/>
        </w:rPr>
        <w:footnoteReference w:id="3"/>
      </w:r>
      <w:r>
        <w:t xml:space="preserve"> The difference between controls types is 57% at this average operating condition. A 15% reduction in excess air is approximately a 1% increase in efficiency.</w:t>
      </w:r>
      <w:r>
        <w:rPr>
          <w:rStyle w:val="FootnoteReference"/>
        </w:rPr>
        <w:footnoteReference w:id="4"/>
      </w:r>
      <w:r>
        <w:t xml:space="preserve"> Therefore the nominal combustion efficiency increase is 57 / 15 * 1% = 3.8%.</w:t>
      </w:r>
    </w:p>
    <w:p w:rsidR="0047740D" w:rsidRDefault="0047740D" w:rsidP="0047740D">
      <w:pPr>
        <w:ind w:left="1440" w:firstLine="720"/>
      </w:pPr>
      <w:r>
        <w:t>= 3.8%</w:t>
      </w:r>
    </w:p>
    <w:p w:rsidR="0047740D" w:rsidRDefault="0047740D" w:rsidP="0047740D">
      <w:pPr>
        <w:ind w:left="1440"/>
        <w:rPr>
          <w:noProof/>
        </w:rPr>
      </w:pPr>
      <w:r w:rsidRPr="00B44AA8">
        <w:rPr>
          <w:noProof/>
        </w:rPr>
        <w:t xml:space="preserve">EFLH </w:t>
      </w:r>
      <w:r w:rsidRPr="00B44AA8">
        <w:rPr>
          <w:noProof/>
        </w:rPr>
        <w:tab/>
        <w:t>= Equivalent Full Load Hours for heating</w:t>
      </w:r>
      <w:r>
        <w:rPr>
          <w:noProof/>
        </w:rPr>
        <w:t xml:space="preserve"> are provided in section 4.4 HVAC End Use</w:t>
      </w:r>
    </w:p>
    <w:p w:rsidR="0047740D" w:rsidRPr="008D7A98" w:rsidRDefault="0047740D" w:rsidP="0047740D">
      <w:pPr>
        <w:ind w:left="1440"/>
        <w:rPr>
          <w:rFonts w:cstheme="minorHAnsi"/>
          <w:noProof/>
        </w:rPr>
      </w:pPr>
      <w:r w:rsidRPr="0009467B">
        <w:rPr>
          <w:rFonts w:eastAsia="Calibri" w:cstheme="minorHAnsi"/>
          <w:szCs w:val="20"/>
        </w:rPr>
        <w:t xml:space="preserve">100 </w:t>
      </w:r>
      <w:r w:rsidRPr="0009467B">
        <w:rPr>
          <w:rFonts w:eastAsia="Calibri" w:cstheme="minorHAnsi"/>
          <w:szCs w:val="20"/>
        </w:rPr>
        <w:tab/>
        <w:t xml:space="preserve">= convert </w:t>
      </w:r>
      <w:proofErr w:type="spellStart"/>
      <w:r w:rsidRPr="0009467B">
        <w:rPr>
          <w:rFonts w:eastAsia="Calibri" w:cstheme="minorHAnsi"/>
          <w:szCs w:val="20"/>
        </w:rPr>
        <w:t>kBtu</w:t>
      </w:r>
      <w:proofErr w:type="spellEnd"/>
      <w:r w:rsidRPr="0009467B">
        <w:rPr>
          <w:rFonts w:eastAsia="Calibri" w:cstheme="minorHAnsi"/>
          <w:szCs w:val="20"/>
        </w:rPr>
        <w:t xml:space="preserve"> to therms</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Water Impact Descriptions and Calculation  </w:t>
      </w:r>
    </w:p>
    <w:p w:rsidR="0047740D" w:rsidRPr="00672262" w:rsidRDefault="0047740D" w:rsidP="0047740D">
      <w:pPr>
        <w:rPr>
          <w:rFonts w:cstheme="minorHAnsi"/>
        </w:rPr>
      </w:pPr>
      <w:r w:rsidRPr="00672262">
        <w:rPr>
          <w:rFonts w:cstheme="minorHAnsi"/>
        </w:rPr>
        <w:t>N/A</w:t>
      </w:r>
    </w:p>
    <w:p w:rsidR="0047740D" w:rsidRPr="00DE5CC1" w:rsidRDefault="0047740D" w:rsidP="0047740D">
      <w:pPr>
        <w:keepNext/>
        <w:keepLines/>
        <w:spacing w:before="200" w:line="276" w:lineRule="auto"/>
        <w:ind w:left="1152" w:hanging="1152"/>
        <w:outlineLvl w:val="5"/>
        <w:rPr>
          <w:rFonts w:eastAsiaTheme="majorEastAsia" w:cstheme="minorHAnsi"/>
          <w:b/>
          <w:smallCaps/>
          <w:sz w:val="22"/>
        </w:rPr>
      </w:pPr>
      <w:r w:rsidRPr="00DE5CC1">
        <w:rPr>
          <w:rFonts w:eastAsiaTheme="majorEastAsia" w:cstheme="minorHAnsi"/>
          <w:b/>
          <w:smallCaps/>
          <w:sz w:val="22"/>
        </w:rPr>
        <w:t xml:space="preserve">Deemed O&amp;M Cost Adjustment Calculation </w:t>
      </w:r>
    </w:p>
    <w:p w:rsidR="0047740D" w:rsidRPr="00672262" w:rsidRDefault="0047740D" w:rsidP="0047740D">
      <w:pPr>
        <w:rPr>
          <w:rFonts w:cstheme="minorHAnsi"/>
        </w:rPr>
      </w:pPr>
      <w:r w:rsidRPr="00672262">
        <w:rPr>
          <w:rFonts w:cstheme="minorHAnsi"/>
        </w:rPr>
        <w:t>N/A</w:t>
      </w:r>
    </w:p>
    <w:p w:rsidR="0047740D" w:rsidRDefault="0047740D" w:rsidP="0047740D">
      <w:pPr>
        <w:pStyle w:val="Heading6"/>
        <w:sectPr w:rsidR="0047740D" w:rsidSect="0047740D">
          <w:headerReference w:type="default" r:id="rId8"/>
          <w:pgSz w:w="12240" w:h="15840" w:code="1"/>
          <w:pgMar w:top="1440" w:right="1440" w:bottom="1440" w:left="1440" w:header="720" w:footer="720" w:gutter="0"/>
          <w:cols w:space="720"/>
          <w:docGrid w:linePitch="272"/>
        </w:sectPr>
      </w:pPr>
      <w:r w:rsidRPr="008456CC">
        <w:t xml:space="preserve">Measure Code: </w:t>
      </w:r>
      <w:r>
        <w:t>CI</w:t>
      </w:r>
      <w:r w:rsidRPr="008456CC">
        <w:t>-</w:t>
      </w:r>
      <w:r>
        <w:t>HVC</w:t>
      </w:r>
      <w:r w:rsidRPr="00ED5CE0">
        <w:t>-</w:t>
      </w:r>
      <w:r>
        <w:t>LBC</w:t>
      </w:r>
      <w:r w:rsidRPr="008456CC">
        <w:t>-</w:t>
      </w:r>
      <w:del w:id="4" w:author="Samuel Dent" w:date="2015-12-17T05:52:00Z">
        <w:r w:rsidRPr="008456CC" w:rsidDel="009778E9">
          <w:delText>V04</w:delText>
        </w:r>
      </w:del>
      <w:ins w:id="5" w:author="Samuel Dent" w:date="2015-12-17T05:52:00Z">
        <w:r w:rsidR="009778E9" w:rsidRPr="008456CC">
          <w:t>V0</w:t>
        </w:r>
        <w:r w:rsidR="009778E9">
          <w:t>5</w:t>
        </w:r>
      </w:ins>
      <w:r w:rsidRPr="008456CC">
        <w:t>-</w:t>
      </w:r>
      <w:del w:id="6" w:author="Samuel Dent" w:date="2015-12-17T05:52:00Z">
        <w:r w:rsidRPr="008456CC" w:rsidDel="009778E9">
          <w:delText>14060</w:delText>
        </w:r>
        <w:r w:rsidDel="009778E9">
          <w:delText>1</w:delText>
        </w:r>
      </w:del>
      <w:ins w:id="7" w:author="Samuel Dent" w:date="2015-12-17T05:52:00Z">
        <w:r w:rsidR="009778E9" w:rsidRPr="008456CC">
          <w:t>1</w:t>
        </w:r>
        <w:r w:rsidR="009778E9">
          <w:t>6</w:t>
        </w:r>
        <w:bookmarkStart w:id="8" w:name="_GoBack"/>
        <w:bookmarkEnd w:id="8"/>
        <w:r w:rsidR="009778E9" w:rsidRPr="008456CC">
          <w:t>060</w:t>
        </w:r>
        <w:r w:rsidR="009778E9">
          <w:t>1</w:t>
        </w:r>
      </w:ins>
    </w:p>
    <w:p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40D" w:rsidRDefault="0047740D" w:rsidP="0047740D">
      <w:pPr>
        <w:spacing w:after="0"/>
      </w:pPr>
      <w:r>
        <w:separator/>
      </w:r>
    </w:p>
  </w:endnote>
  <w:endnote w:type="continuationSeparator" w:id="0">
    <w:p w:rsidR="0047740D" w:rsidRDefault="0047740D" w:rsidP="004774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40D" w:rsidRDefault="0047740D" w:rsidP="0047740D">
      <w:pPr>
        <w:spacing w:after="0"/>
      </w:pPr>
      <w:r>
        <w:separator/>
      </w:r>
    </w:p>
  </w:footnote>
  <w:footnote w:type="continuationSeparator" w:id="0">
    <w:p w:rsidR="0047740D" w:rsidRDefault="0047740D" w:rsidP="0047740D">
      <w:pPr>
        <w:spacing w:after="0"/>
      </w:pPr>
      <w:r>
        <w:continuationSeparator/>
      </w:r>
    </w:p>
  </w:footnote>
  <w:footnote w:id="1">
    <w:p w:rsidR="0047740D" w:rsidRPr="009C362B" w:rsidRDefault="0047740D" w:rsidP="0047740D">
      <w:pPr>
        <w:pStyle w:val="Footnote"/>
        <w:rPr>
          <w:szCs w:val="18"/>
        </w:rPr>
      </w:pPr>
      <w:r w:rsidRPr="009C362B">
        <w:rPr>
          <w:rStyle w:val="FootnoteReference"/>
          <w:szCs w:val="18"/>
        </w:rPr>
        <w:footnoteRef/>
      </w:r>
      <w:r w:rsidRPr="009C362B">
        <w:rPr>
          <w:szCs w:val="18"/>
        </w:rPr>
        <w:t xml:space="preserve"> Total number of hours for heating with a base temperature of 55°F for Chicago, IL as noted by National Climate Data Center</w:t>
      </w:r>
    </w:p>
  </w:footnote>
  <w:footnote w:id="2">
    <w:p w:rsidR="0047740D" w:rsidRPr="009C362B" w:rsidRDefault="0047740D" w:rsidP="0047740D">
      <w:pPr>
        <w:pStyle w:val="Footnote"/>
        <w:rPr>
          <w:szCs w:val="18"/>
        </w:rPr>
      </w:pPr>
    </w:p>
  </w:footnote>
  <w:footnote w:id="3">
    <w:p w:rsidR="0047740D" w:rsidRPr="009C362B" w:rsidRDefault="0047740D" w:rsidP="0047740D">
      <w:pPr>
        <w:pStyle w:val="Footnote"/>
        <w:rPr>
          <w:szCs w:val="18"/>
        </w:rPr>
      </w:pPr>
      <w:r w:rsidRPr="009C362B">
        <w:rPr>
          <w:rStyle w:val="FootnoteReference"/>
          <w:szCs w:val="18"/>
        </w:rPr>
        <w:footnoteRef/>
      </w:r>
      <w:r w:rsidRPr="009C362B">
        <w:rPr>
          <w:szCs w:val="18"/>
        </w:rPr>
        <w:t xml:space="preserve"> Available and Emerging Technologies for Reducing Greenhouse Gas Emissions from Industrial, Commercial, and Institutional Boilers, Prepared by the Sector Policies and Programs Division Office of Air Quality Planning and Standards U.S. Environmental Protection Agency Research Triangle Park, North Carolina 27711, October 2010, Table 1. ICI Boilers – Summary of Greenhouse Gas Emission Reduction Measures, pg. 8 </w:t>
      </w:r>
    </w:p>
  </w:footnote>
  <w:footnote w:id="4">
    <w:p w:rsidR="0047740D" w:rsidRPr="009C362B" w:rsidRDefault="0047740D" w:rsidP="0047740D">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Department of Energy (DOE).</w:t>
      </w:r>
      <w:proofErr w:type="gramEnd"/>
      <w:r w:rsidRPr="009C362B">
        <w:rPr>
          <w:szCs w:val="18"/>
        </w:rPr>
        <w:t xml:space="preserve"> January 2012, Steam Tip Sheet #4, Improve Your Boiler’s Combustion Efficiency. </w:t>
      </w:r>
      <w:proofErr w:type="gramStart"/>
      <w:r w:rsidRPr="009C362B">
        <w:rPr>
          <w:szCs w:val="18"/>
        </w:rPr>
        <w:t>Advanced Manufacturing Office.</w:t>
      </w:r>
      <w:proofErr w:type="gramEnd"/>
      <w:r w:rsidRPr="009C362B">
        <w:rPr>
          <w:szCs w:val="18"/>
        </w:rPr>
        <w:t xml:space="preserve"> Washington, DC: U.S. Department of Energy. This value was determined as an appropriate average over the stack temperatures and excess air levels indicated.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40D" w:rsidRPr="0084244F" w:rsidRDefault="0047740D" w:rsidP="00281191">
    <w:pPr>
      <w:pStyle w:val="Header"/>
      <w:pBdr>
        <w:bottom w:val="single" w:sz="4" w:space="0" w:color="auto"/>
      </w:pBdr>
      <w:rPr>
        <w:sz w:val="24"/>
      </w:rPr>
    </w:pPr>
    <w:r w:rsidRPr="0084244F">
      <w:rPr>
        <w:sz w:val="22"/>
      </w:rPr>
      <w:t>Illinois Statewide Technical Reference Manual -</w:t>
    </w:r>
    <w:r>
      <w:t xml:space="preserve"> </w:t>
    </w:r>
    <w:r>
      <w:fldChar w:fldCharType="begin"/>
    </w:r>
    <w:r>
      <w:instrText xml:space="preserve"> REF _Ref376521087 \r \h </w:instrText>
    </w:r>
    <w:r>
      <w:fldChar w:fldCharType="separate"/>
    </w:r>
    <w:r>
      <w:t>4.4.21</w:t>
    </w:r>
    <w:r>
      <w:fldChar w:fldCharType="end"/>
    </w:r>
    <w:r>
      <w:t xml:space="preserve"> </w:t>
    </w:r>
    <w:r>
      <w:fldChar w:fldCharType="begin"/>
    </w:r>
    <w:r>
      <w:instrText xml:space="preserve"> REF _Ref376521087 \h </w:instrText>
    </w:r>
    <w:r>
      <w:fldChar w:fldCharType="separate"/>
    </w:r>
    <w:proofErr w:type="spellStart"/>
    <w:r>
      <w:t>Linkageless</w:t>
    </w:r>
    <w:proofErr w:type="spellEnd"/>
    <w:r>
      <w:t xml:space="preserve"> Boiler Controls for Space Heating</w:t>
    </w:r>
    <w:r>
      <w:fldChar w:fldCharType="end"/>
    </w:r>
    <w:r>
      <w:rPr>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0E464812"/>
    <w:multiLevelType w:val="multilevel"/>
    <w:tmpl w:val="2452DD4E"/>
    <w:lvl w:ilvl="0">
      <w:start w:val="4"/>
      <w:numFmt w:val="decimal"/>
      <w:lvlText w:val="%1"/>
      <w:lvlJc w:val="left"/>
      <w:pPr>
        <w:ind w:left="600" w:hanging="600"/>
      </w:pPr>
      <w:rPr>
        <w:rFonts w:eastAsiaTheme="minorEastAsia" w:hint="default"/>
      </w:rPr>
    </w:lvl>
    <w:lvl w:ilvl="1">
      <w:start w:val="4"/>
      <w:numFmt w:val="decimal"/>
      <w:lvlText w:val="%1.%2"/>
      <w:lvlJc w:val="left"/>
      <w:pPr>
        <w:ind w:left="600" w:hanging="600"/>
      </w:pPr>
      <w:rPr>
        <w:rFonts w:eastAsiaTheme="minorEastAsia" w:hint="default"/>
      </w:rPr>
    </w:lvl>
    <w:lvl w:ilvl="2">
      <w:start w:val="2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40D"/>
    <w:rsid w:val="00276B3F"/>
    <w:rsid w:val="0047740D"/>
    <w:rsid w:val="009778E9"/>
    <w:rsid w:val="00D5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40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7740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7740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7740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7740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7740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7740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7740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7740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7740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7740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7740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7740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7740D"/>
    <w:rPr>
      <w:rFonts w:ascii="Calibri" w:eastAsiaTheme="minorEastAsia" w:hAnsi="Calibri" w:cs="Arial"/>
      <w:bCs/>
      <w:i/>
      <w:noProof/>
    </w:rPr>
  </w:style>
  <w:style w:type="character" w:customStyle="1" w:styleId="Heading5Char">
    <w:name w:val="Heading 5 Char"/>
    <w:basedOn w:val="DefaultParagraphFont"/>
    <w:link w:val="Heading5"/>
    <w:uiPriority w:val="99"/>
    <w:rsid w:val="0047740D"/>
    <w:rPr>
      <w:rFonts w:ascii="Calibri" w:eastAsia="Times New Roman" w:hAnsi="Calibri" w:cs="Times New Roman"/>
      <w:sz w:val="20"/>
    </w:rPr>
  </w:style>
  <w:style w:type="character" w:customStyle="1" w:styleId="Heading6Char">
    <w:name w:val="Heading 6 Char"/>
    <w:basedOn w:val="DefaultParagraphFont"/>
    <w:link w:val="Heading6"/>
    <w:uiPriority w:val="9"/>
    <w:rsid w:val="0047740D"/>
    <w:rPr>
      <w:rFonts w:eastAsia="Times New Roman" w:cs="Calibri"/>
      <w:b/>
      <w:smallCaps/>
    </w:rPr>
  </w:style>
  <w:style w:type="character" w:customStyle="1" w:styleId="Heading7Char">
    <w:name w:val="Heading 7 Char"/>
    <w:basedOn w:val="DefaultParagraphFont"/>
    <w:link w:val="Heading7"/>
    <w:uiPriority w:val="99"/>
    <w:rsid w:val="0047740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7740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7740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7740D"/>
    <w:rPr>
      <w:rFonts w:ascii="Calibri" w:eastAsiaTheme="minorEastAsia" w:hAnsi="Calibri" w:cs="Times New Roman"/>
      <w:bCs/>
      <w:sz w:val="24"/>
      <w:szCs w:val="24"/>
    </w:rPr>
  </w:style>
  <w:style w:type="paragraph" w:styleId="Header">
    <w:name w:val="header"/>
    <w:basedOn w:val="Normal"/>
    <w:link w:val="HeaderChar"/>
    <w:uiPriority w:val="99"/>
    <w:rsid w:val="0047740D"/>
    <w:pPr>
      <w:tabs>
        <w:tab w:val="center" w:pos="4320"/>
        <w:tab w:val="right" w:pos="8640"/>
      </w:tabs>
    </w:pPr>
  </w:style>
  <w:style w:type="character" w:customStyle="1" w:styleId="HeaderChar">
    <w:name w:val="Header Char"/>
    <w:basedOn w:val="DefaultParagraphFont"/>
    <w:link w:val="Header"/>
    <w:uiPriority w:val="99"/>
    <w:rsid w:val="0047740D"/>
    <w:rPr>
      <w:rFonts w:eastAsia="Times New Roman" w:cs="Times New Roman"/>
      <w:sz w:val="20"/>
    </w:rPr>
  </w:style>
  <w:style w:type="character" w:styleId="FootnoteReference">
    <w:name w:val="footnote reference"/>
    <w:aliases w:val="Footnote_Reference,o,fr"/>
    <w:uiPriority w:val="99"/>
    <w:qFormat/>
    <w:rsid w:val="0047740D"/>
    <w:rPr>
      <w:rFonts w:ascii="Arial" w:hAnsi="Arial" w:cs="Times New Roman"/>
      <w:sz w:val="20"/>
      <w:vertAlign w:val="superscript"/>
    </w:rPr>
  </w:style>
  <w:style w:type="paragraph" w:styleId="NoSpacing">
    <w:name w:val="No Spacing"/>
    <w:uiPriority w:val="1"/>
    <w:qFormat/>
    <w:rsid w:val="0047740D"/>
    <w:pPr>
      <w:spacing w:after="0" w:line="240" w:lineRule="auto"/>
    </w:pPr>
    <w:rPr>
      <w:rFonts w:ascii="Times New Roman" w:eastAsia="Times New Roman" w:hAnsi="Times New Roman" w:cs="Times New Roman"/>
      <w:sz w:val="20"/>
      <w:szCs w:val="20"/>
    </w:rPr>
  </w:style>
  <w:style w:type="character" w:customStyle="1" w:styleId="FootnoteChar">
    <w:name w:val="Footnote Char"/>
    <w:basedOn w:val="DefaultParagraphFont"/>
    <w:link w:val="Footnote"/>
    <w:rsid w:val="0047740D"/>
    <w:rPr>
      <w:rFonts w:eastAsiaTheme="minorEastAsia" w:cstheme="minorHAnsi"/>
      <w:sz w:val="18"/>
      <w:szCs w:val="20"/>
    </w:rPr>
  </w:style>
  <w:style w:type="paragraph" w:customStyle="1" w:styleId="Footnote">
    <w:name w:val="Footnote"/>
    <w:basedOn w:val="FootnoteText"/>
    <w:link w:val="FootnoteChar"/>
    <w:autoRedefine/>
    <w:qFormat/>
    <w:rsid w:val="0047740D"/>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47740D"/>
    <w:pPr>
      <w:spacing w:after="0"/>
    </w:pPr>
    <w:rPr>
      <w:szCs w:val="20"/>
    </w:rPr>
  </w:style>
  <w:style w:type="character" w:customStyle="1" w:styleId="FootnoteTextChar">
    <w:name w:val="Footnote Text Char"/>
    <w:basedOn w:val="DefaultParagraphFont"/>
    <w:link w:val="FootnoteText"/>
    <w:uiPriority w:val="99"/>
    <w:semiHidden/>
    <w:rsid w:val="0047740D"/>
    <w:rPr>
      <w:rFonts w:eastAsia="Times New Roman" w:cs="Times New Roman"/>
      <w:sz w:val="20"/>
      <w:szCs w:val="20"/>
    </w:rPr>
  </w:style>
  <w:style w:type="paragraph" w:styleId="BalloonText">
    <w:name w:val="Balloon Text"/>
    <w:basedOn w:val="Normal"/>
    <w:link w:val="BalloonTextChar"/>
    <w:uiPriority w:val="99"/>
    <w:semiHidden/>
    <w:unhideWhenUsed/>
    <w:rsid w:val="009778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8E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40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7740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47740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47740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47740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47740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47740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47740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47740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47740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7740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7740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47740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47740D"/>
    <w:rPr>
      <w:rFonts w:ascii="Calibri" w:eastAsiaTheme="minorEastAsia" w:hAnsi="Calibri" w:cs="Arial"/>
      <w:bCs/>
      <w:i/>
      <w:noProof/>
    </w:rPr>
  </w:style>
  <w:style w:type="character" w:customStyle="1" w:styleId="Heading5Char">
    <w:name w:val="Heading 5 Char"/>
    <w:basedOn w:val="DefaultParagraphFont"/>
    <w:link w:val="Heading5"/>
    <w:uiPriority w:val="99"/>
    <w:rsid w:val="0047740D"/>
    <w:rPr>
      <w:rFonts w:ascii="Calibri" w:eastAsia="Times New Roman" w:hAnsi="Calibri" w:cs="Times New Roman"/>
      <w:sz w:val="20"/>
    </w:rPr>
  </w:style>
  <w:style w:type="character" w:customStyle="1" w:styleId="Heading6Char">
    <w:name w:val="Heading 6 Char"/>
    <w:basedOn w:val="DefaultParagraphFont"/>
    <w:link w:val="Heading6"/>
    <w:uiPriority w:val="9"/>
    <w:rsid w:val="0047740D"/>
    <w:rPr>
      <w:rFonts w:eastAsia="Times New Roman" w:cs="Calibri"/>
      <w:b/>
      <w:smallCaps/>
    </w:rPr>
  </w:style>
  <w:style w:type="character" w:customStyle="1" w:styleId="Heading7Char">
    <w:name w:val="Heading 7 Char"/>
    <w:basedOn w:val="DefaultParagraphFont"/>
    <w:link w:val="Heading7"/>
    <w:uiPriority w:val="99"/>
    <w:rsid w:val="0047740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47740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47740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47740D"/>
    <w:rPr>
      <w:rFonts w:ascii="Calibri" w:eastAsiaTheme="minorEastAsia" w:hAnsi="Calibri" w:cs="Times New Roman"/>
      <w:bCs/>
      <w:sz w:val="24"/>
      <w:szCs w:val="24"/>
    </w:rPr>
  </w:style>
  <w:style w:type="paragraph" w:styleId="Header">
    <w:name w:val="header"/>
    <w:basedOn w:val="Normal"/>
    <w:link w:val="HeaderChar"/>
    <w:uiPriority w:val="99"/>
    <w:rsid w:val="0047740D"/>
    <w:pPr>
      <w:tabs>
        <w:tab w:val="center" w:pos="4320"/>
        <w:tab w:val="right" w:pos="8640"/>
      </w:tabs>
    </w:pPr>
  </w:style>
  <w:style w:type="character" w:customStyle="1" w:styleId="HeaderChar">
    <w:name w:val="Header Char"/>
    <w:basedOn w:val="DefaultParagraphFont"/>
    <w:link w:val="Header"/>
    <w:uiPriority w:val="99"/>
    <w:rsid w:val="0047740D"/>
    <w:rPr>
      <w:rFonts w:eastAsia="Times New Roman" w:cs="Times New Roman"/>
      <w:sz w:val="20"/>
    </w:rPr>
  </w:style>
  <w:style w:type="character" w:styleId="FootnoteReference">
    <w:name w:val="footnote reference"/>
    <w:aliases w:val="Footnote_Reference,o,fr"/>
    <w:uiPriority w:val="99"/>
    <w:qFormat/>
    <w:rsid w:val="0047740D"/>
    <w:rPr>
      <w:rFonts w:ascii="Arial" w:hAnsi="Arial" w:cs="Times New Roman"/>
      <w:sz w:val="20"/>
      <w:vertAlign w:val="superscript"/>
    </w:rPr>
  </w:style>
  <w:style w:type="paragraph" w:styleId="NoSpacing">
    <w:name w:val="No Spacing"/>
    <w:uiPriority w:val="1"/>
    <w:qFormat/>
    <w:rsid w:val="0047740D"/>
    <w:pPr>
      <w:spacing w:after="0" w:line="240" w:lineRule="auto"/>
    </w:pPr>
    <w:rPr>
      <w:rFonts w:ascii="Times New Roman" w:eastAsia="Times New Roman" w:hAnsi="Times New Roman" w:cs="Times New Roman"/>
      <w:sz w:val="20"/>
      <w:szCs w:val="20"/>
    </w:rPr>
  </w:style>
  <w:style w:type="character" w:customStyle="1" w:styleId="FootnoteChar">
    <w:name w:val="Footnote Char"/>
    <w:basedOn w:val="DefaultParagraphFont"/>
    <w:link w:val="Footnote"/>
    <w:rsid w:val="0047740D"/>
    <w:rPr>
      <w:rFonts w:eastAsiaTheme="minorEastAsia" w:cstheme="minorHAnsi"/>
      <w:sz w:val="18"/>
      <w:szCs w:val="20"/>
    </w:rPr>
  </w:style>
  <w:style w:type="paragraph" w:customStyle="1" w:styleId="Footnote">
    <w:name w:val="Footnote"/>
    <w:basedOn w:val="FootnoteText"/>
    <w:link w:val="FootnoteChar"/>
    <w:autoRedefine/>
    <w:qFormat/>
    <w:rsid w:val="0047740D"/>
    <w:pPr>
      <w:jc w:val="left"/>
    </w:pPr>
    <w:rPr>
      <w:rFonts w:eastAsiaTheme="minorEastAsia" w:cstheme="minorHAnsi"/>
      <w:sz w:val="18"/>
    </w:rPr>
  </w:style>
  <w:style w:type="paragraph" w:styleId="FootnoteText">
    <w:name w:val="footnote text"/>
    <w:basedOn w:val="Normal"/>
    <w:link w:val="FootnoteTextChar"/>
    <w:uiPriority w:val="99"/>
    <w:semiHidden/>
    <w:unhideWhenUsed/>
    <w:rsid w:val="0047740D"/>
    <w:pPr>
      <w:spacing w:after="0"/>
    </w:pPr>
    <w:rPr>
      <w:szCs w:val="20"/>
    </w:rPr>
  </w:style>
  <w:style w:type="character" w:customStyle="1" w:styleId="FootnoteTextChar">
    <w:name w:val="Footnote Text Char"/>
    <w:basedOn w:val="DefaultParagraphFont"/>
    <w:link w:val="FootnoteText"/>
    <w:uiPriority w:val="99"/>
    <w:semiHidden/>
    <w:rsid w:val="0047740D"/>
    <w:rPr>
      <w:rFonts w:eastAsia="Times New Roman" w:cs="Times New Roman"/>
      <w:sz w:val="20"/>
      <w:szCs w:val="20"/>
    </w:rPr>
  </w:style>
  <w:style w:type="paragraph" w:styleId="BalloonText">
    <w:name w:val="Balloon Text"/>
    <w:basedOn w:val="Normal"/>
    <w:link w:val="BalloonTextChar"/>
    <w:uiPriority w:val="99"/>
    <w:semiHidden/>
    <w:unhideWhenUsed/>
    <w:rsid w:val="009778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8E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1B61D0A6</Template>
  <TotalTime>3</TotalTime>
  <Pages>3</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3</cp:revision>
  <dcterms:created xsi:type="dcterms:W3CDTF">2015-12-17T10:48:00Z</dcterms:created>
  <dcterms:modified xsi:type="dcterms:W3CDTF">2015-12-17T10:52:00Z</dcterms:modified>
</cp:coreProperties>
</file>