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26C" w:rsidRPr="000B7BB6" w:rsidRDefault="0048526C" w:rsidP="0048526C">
      <w:pPr>
        <w:pStyle w:val="Heading3"/>
        <w:numPr>
          <w:ilvl w:val="2"/>
          <w:numId w:val="2"/>
        </w:numPr>
      </w:pPr>
      <w:bookmarkStart w:id="0" w:name="_Toc319489383"/>
      <w:bookmarkStart w:id="1" w:name="_Toc319662654"/>
      <w:bookmarkStart w:id="2" w:name="_Ref325436031"/>
      <w:bookmarkStart w:id="3" w:name="_Ref325436035"/>
      <w:bookmarkStart w:id="4" w:name="_Toc333219088"/>
      <w:bookmarkStart w:id="5" w:name="_Toc411593548"/>
      <w:r w:rsidRPr="000B7BB6">
        <w:t>HVAC Tune Up (Central Air Conditioning or Air Source Heat Pump)</w:t>
      </w:r>
      <w:bookmarkEnd w:id="0"/>
      <w:bookmarkEnd w:id="1"/>
      <w:bookmarkEnd w:id="2"/>
      <w:bookmarkEnd w:id="3"/>
      <w:bookmarkEnd w:id="4"/>
      <w:bookmarkEnd w:id="5"/>
      <w:r w:rsidRPr="000B7BB6">
        <w:t xml:space="preserve"> </w:t>
      </w:r>
    </w:p>
    <w:p w:rsidR="0048526C" w:rsidRPr="00A05FC2" w:rsidRDefault="0048526C" w:rsidP="0048526C">
      <w:pPr>
        <w:pStyle w:val="Heading6"/>
      </w:pPr>
      <w:r w:rsidRPr="00A05FC2">
        <w:t xml:space="preserve">Description </w:t>
      </w:r>
    </w:p>
    <w:p w:rsidR="0048526C" w:rsidRPr="00A05FC2" w:rsidRDefault="0048526C" w:rsidP="0048526C">
      <w:pPr>
        <w:keepNext/>
        <w:rPr>
          <w:rFonts w:cstheme="minorHAnsi"/>
        </w:rPr>
      </w:pPr>
      <w:r w:rsidRPr="00A05FC2">
        <w:rPr>
          <w:rFonts w:cstheme="minorHAnsi"/>
        </w:rPr>
        <w:t>This measure involves the measurement of refrigerant charge levels and airflow over the central air conditioning or heat pump unit coil, correction of any problems found and post-treatment re-measurement.  Measurements must be performed with standard industry tools and the results tracked by the efficiency program.</w:t>
      </w:r>
    </w:p>
    <w:p w:rsidR="0048526C" w:rsidRPr="00A05FC2" w:rsidRDefault="0048526C" w:rsidP="0048526C">
      <w:pPr>
        <w:rPr>
          <w:rFonts w:cstheme="minorHAnsi"/>
        </w:rPr>
      </w:pPr>
      <w:r w:rsidRPr="00A05FC2">
        <w:rPr>
          <w:rFonts w:cstheme="minorHAnsi"/>
        </w:rPr>
        <w:t>Savings from this measure are developed using a reputable Wisconsin study. It is recommended that future evaluation be conducted in Illinois to generate a more locally appropriate characterization.</w:t>
      </w:r>
    </w:p>
    <w:p w:rsidR="0048526C" w:rsidRPr="000B7BB6" w:rsidRDefault="0048526C" w:rsidP="0048526C">
      <w:pPr>
        <w:widowControl/>
        <w:jc w:val="left"/>
        <w:rPr>
          <w:rFonts w:cstheme="minorHAnsi"/>
          <w:szCs w:val="20"/>
        </w:rPr>
      </w:pPr>
      <w:r w:rsidRPr="000B7BB6">
        <w:rPr>
          <w:rFonts w:cstheme="minorHAnsi"/>
          <w:szCs w:val="20"/>
        </w:rPr>
        <w:t xml:space="preserve">This measure was developed to be applicable to the following program types:  RF.  </w:t>
      </w:r>
    </w:p>
    <w:p w:rsidR="0048526C" w:rsidRPr="000B7BB6" w:rsidRDefault="0048526C" w:rsidP="0048526C">
      <w:pPr>
        <w:widowControl/>
        <w:jc w:val="left"/>
        <w:rPr>
          <w:rFonts w:cstheme="minorHAnsi"/>
          <w:szCs w:val="20"/>
        </w:rPr>
      </w:pPr>
      <w:r w:rsidRPr="000B7BB6">
        <w:rPr>
          <w:rFonts w:cstheme="minorHAnsi"/>
          <w:szCs w:val="20"/>
        </w:rPr>
        <w:t>If applied to other program types, the measure savings should be verified.</w:t>
      </w:r>
    </w:p>
    <w:p w:rsidR="0048526C" w:rsidRPr="00A05FC2" w:rsidRDefault="0048526C" w:rsidP="0048526C">
      <w:pPr>
        <w:pStyle w:val="Heading6"/>
      </w:pPr>
      <w:r w:rsidRPr="00A05FC2">
        <w:t xml:space="preserve">Definition of Efficient Equipment </w:t>
      </w:r>
    </w:p>
    <w:p w:rsidR="0048526C" w:rsidRPr="00A05FC2" w:rsidRDefault="0048526C" w:rsidP="0048526C">
      <w:pPr>
        <w:rPr>
          <w:rFonts w:cstheme="minorHAnsi"/>
        </w:rPr>
      </w:pPr>
      <w:r w:rsidRPr="00A05FC2">
        <w:rPr>
          <w:rFonts w:cstheme="minorHAnsi"/>
        </w:rPr>
        <w:t>N/A</w:t>
      </w:r>
    </w:p>
    <w:p w:rsidR="0048526C" w:rsidRPr="00A05FC2" w:rsidRDefault="0048526C" w:rsidP="0048526C">
      <w:pPr>
        <w:pStyle w:val="Heading6"/>
      </w:pPr>
      <w:r w:rsidRPr="00A05FC2">
        <w:t xml:space="preserve">Definition of Baseline Equipment </w:t>
      </w:r>
    </w:p>
    <w:p w:rsidR="0048526C" w:rsidRPr="00A05FC2" w:rsidRDefault="0048526C" w:rsidP="0048526C">
      <w:pPr>
        <w:rPr>
          <w:rFonts w:cstheme="minorHAnsi"/>
          <w:b/>
        </w:rPr>
      </w:pPr>
      <w:r w:rsidRPr="00A05FC2">
        <w:rPr>
          <w:rFonts w:cstheme="minorHAnsi"/>
        </w:rPr>
        <w:t>This measure assumes that the existing unit being maintained is either a residential central air conditioning unit or an air source heat pump that has not been serviced for at least 3 years.</w:t>
      </w:r>
    </w:p>
    <w:p w:rsidR="0048526C" w:rsidRPr="00A05FC2" w:rsidRDefault="0048526C" w:rsidP="0048526C">
      <w:pPr>
        <w:pStyle w:val="Heading6"/>
      </w:pPr>
      <w:r w:rsidRPr="00A05FC2">
        <w:t xml:space="preserve">Deemed Lifetime of Efficient Equipment </w:t>
      </w:r>
    </w:p>
    <w:p w:rsidR="0048526C" w:rsidRPr="00ED4066" w:rsidRDefault="0048526C" w:rsidP="0048526C">
      <w:pPr>
        <w:rPr>
          <w:rFonts w:cstheme="minorHAnsi"/>
        </w:rPr>
      </w:pPr>
      <w:r w:rsidRPr="00ED4066">
        <w:rPr>
          <w:rFonts w:cstheme="minorHAnsi"/>
        </w:rPr>
        <w:t>The measure life is assumed to be 2 years</w:t>
      </w:r>
      <w:r w:rsidRPr="00ED4066">
        <w:rPr>
          <w:rFonts w:cstheme="minorHAnsi"/>
          <w:vertAlign w:val="superscript"/>
        </w:rPr>
        <w:footnoteReference w:id="1"/>
      </w:r>
      <w:r w:rsidRPr="00ED4066">
        <w:rPr>
          <w:rFonts w:cstheme="minorHAnsi"/>
        </w:rPr>
        <w:t>.</w:t>
      </w:r>
    </w:p>
    <w:p w:rsidR="0048526C" w:rsidRPr="00A05FC2" w:rsidRDefault="0048526C" w:rsidP="0048526C">
      <w:pPr>
        <w:pStyle w:val="Heading6"/>
      </w:pPr>
      <w:r w:rsidRPr="00A05FC2">
        <w:t xml:space="preserve">Deemed Measure Cost </w:t>
      </w:r>
    </w:p>
    <w:p w:rsidR="0048526C" w:rsidRPr="00A05FC2" w:rsidRDefault="0048526C" w:rsidP="0048526C">
      <w:pPr>
        <w:rPr>
          <w:rFonts w:cstheme="minorHAnsi"/>
        </w:rPr>
      </w:pPr>
      <w:r w:rsidRPr="00A05FC2">
        <w:rPr>
          <w:rFonts w:cstheme="minorHAnsi"/>
        </w:rPr>
        <w:t>If the implementation mechanism involves delivering and paying for the tune up service, the actual cost should be used. If however the customer is provided a rebate and the program relies on private contractors performing the work, the measure cost should be assumed to be $175</w:t>
      </w:r>
      <w:r w:rsidRPr="00A05FC2">
        <w:rPr>
          <w:rStyle w:val="FootnoteReference"/>
          <w:rFonts w:eastAsia="Calibri" w:cstheme="minorHAnsi"/>
        </w:rPr>
        <w:footnoteReference w:id="2"/>
      </w:r>
      <w:r w:rsidRPr="00A05FC2">
        <w:rPr>
          <w:rFonts w:cstheme="minorHAnsi"/>
        </w:rPr>
        <w:t>.</w:t>
      </w:r>
    </w:p>
    <w:p w:rsidR="0048526C" w:rsidRPr="00A05FC2" w:rsidRDefault="0048526C" w:rsidP="0048526C">
      <w:pPr>
        <w:pStyle w:val="Heading6"/>
      </w:pPr>
      <w:proofErr w:type="spellStart"/>
      <w:r w:rsidRPr="00A05FC2">
        <w:t>Loadshape</w:t>
      </w:r>
      <w:proofErr w:type="spellEnd"/>
    </w:p>
    <w:p w:rsidR="0048526C" w:rsidRPr="000B7BB6" w:rsidRDefault="0048526C" w:rsidP="0048526C">
      <w:pPr>
        <w:widowControl/>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R08 - Residential Cooling</w:t>
      </w:r>
    </w:p>
    <w:p w:rsidR="0048526C" w:rsidRPr="00A05FC2" w:rsidRDefault="0048526C" w:rsidP="0048526C">
      <w:pPr>
        <w:pStyle w:val="Heading6"/>
      </w:pPr>
      <w:r w:rsidRPr="00A05FC2">
        <w:t xml:space="preserve">Coincidence Factor </w:t>
      </w:r>
    </w:p>
    <w:p w:rsidR="0048526C" w:rsidRPr="000B7BB6" w:rsidRDefault="0048526C" w:rsidP="0048526C">
      <w:pPr>
        <w:rPr>
          <w:rFonts w:cstheme="minorHAnsi"/>
        </w:rPr>
      </w:pPr>
      <w:r w:rsidRPr="00B41203">
        <w:rPr>
          <w:rFonts w:cstheme="minorHAnsi"/>
        </w:rPr>
        <w:t>The summer peak coincidence factor for cooling is provided in two different ways below. Th</w:t>
      </w:r>
      <w:r w:rsidRPr="000B7BB6">
        <w:rPr>
          <w:rFonts w:cstheme="minorHAnsi"/>
        </w:rPr>
        <w:t xml:space="preserve">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rsidR="0048526C" w:rsidRPr="000B7BB6" w:rsidRDefault="0048526C" w:rsidP="0048526C">
      <w:pPr>
        <w:ind w:left="720"/>
        <w:rPr>
          <w:rFonts w:cstheme="minorHAnsi"/>
        </w:rPr>
      </w:pPr>
      <w:r w:rsidRPr="000B7BB6">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Central A/C (during utility peak hour) </w:t>
      </w:r>
    </w:p>
    <w:p w:rsidR="0048526C" w:rsidRPr="00B41203" w:rsidRDefault="0048526C" w:rsidP="0048526C">
      <w:pPr>
        <w:ind w:left="720" w:firstLine="720"/>
        <w:rPr>
          <w:rFonts w:cstheme="minorHAnsi"/>
        </w:rPr>
      </w:pPr>
      <w:r w:rsidRPr="000B7BB6">
        <w:rPr>
          <w:rFonts w:cstheme="minorHAnsi"/>
        </w:rPr>
        <w:t xml:space="preserve">= </w:t>
      </w:r>
      <w:r>
        <w:rPr>
          <w:rFonts w:cstheme="minorHAnsi"/>
        </w:rPr>
        <w:t>68</w:t>
      </w:r>
      <w:r w:rsidRPr="000B7BB6">
        <w:rPr>
          <w:rFonts w:cstheme="minorHAnsi"/>
        </w:rPr>
        <w:t>%</w:t>
      </w:r>
      <w:r w:rsidRPr="000B7BB6">
        <w:rPr>
          <w:rStyle w:val="FootnoteReference"/>
          <w:rFonts w:cstheme="minorHAnsi"/>
        </w:rPr>
        <w:footnoteReference w:id="3"/>
      </w:r>
    </w:p>
    <w:p w:rsidR="0048526C" w:rsidRPr="000B7BB6" w:rsidRDefault="0048526C" w:rsidP="0048526C">
      <w:pPr>
        <w:ind w:left="1440" w:hanging="72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Pr>
          <w:rFonts w:cstheme="minorHAnsi"/>
        </w:rPr>
        <w:tab/>
      </w:r>
      <w:r w:rsidRPr="000B7BB6">
        <w:rPr>
          <w:rFonts w:cstheme="minorHAnsi"/>
        </w:rPr>
        <w:t xml:space="preserve">= Summer System Peak Coincidence Factor for </w:t>
      </w:r>
      <w:r>
        <w:rPr>
          <w:rFonts w:cstheme="minorHAnsi"/>
        </w:rPr>
        <w:t>Heat Pumps</w:t>
      </w:r>
      <w:r w:rsidRPr="000B7BB6">
        <w:rPr>
          <w:rFonts w:cstheme="minorHAnsi"/>
        </w:rPr>
        <w:t xml:space="preserve"> (during system peak hour)</w:t>
      </w:r>
    </w:p>
    <w:p w:rsidR="0048526C" w:rsidRPr="00B41203" w:rsidRDefault="0048526C" w:rsidP="0048526C">
      <w:pPr>
        <w:ind w:left="720" w:firstLine="720"/>
        <w:rPr>
          <w:rFonts w:cstheme="minorHAnsi"/>
        </w:rPr>
      </w:pP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4"/>
      </w:r>
    </w:p>
    <w:p w:rsidR="0048526C" w:rsidRPr="000B7BB6" w:rsidRDefault="0048526C" w:rsidP="0048526C">
      <w:pPr>
        <w:ind w:left="720"/>
        <w:rPr>
          <w:rFonts w:cstheme="minorHAnsi"/>
        </w:rPr>
      </w:pPr>
      <w:r w:rsidRPr="000B7BB6">
        <w:rPr>
          <w:rFonts w:cstheme="minorHAnsi"/>
        </w:rPr>
        <w:lastRenderedPageBreak/>
        <w:t>CF</w:t>
      </w:r>
      <w:r w:rsidRPr="000B7BB6">
        <w:rPr>
          <w:rFonts w:cstheme="minorHAnsi"/>
          <w:vertAlign w:val="subscript"/>
        </w:rPr>
        <w:t xml:space="preserve">PJM </w:t>
      </w:r>
      <w:r w:rsidRPr="000B7BB6">
        <w:rPr>
          <w:rFonts w:cstheme="minorHAnsi"/>
        </w:rPr>
        <w:t> </w:t>
      </w:r>
      <w:r w:rsidRPr="000B7BB6">
        <w:rPr>
          <w:rFonts w:cstheme="minorHAnsi"/>
        </w:rPr>
        <w:tab/>
        <w:t>= PJM Summer Peak Coincidence Factor for Central A/C (average during PJM peak period)</w:t>
      </w:r>
    </w:p>
    <w:p w:rsidR="0048526C" w:rsidRDefault="0048526C" w:rsidP="0048526C">
      <w:pPr>
        <w:ind w:left="720" w:firstLine="720"/>
        <w:rPr>
          <w:rFonts w:cstheme="minorHAnsi"/>
        </w:rPr>
      </w:pPr>
      <w:r w:rsidRPr="000B7BB6">
        <w:rPr>
          <w:rFonts w:cstheme="minorHAnsi"/>
        </w:rPr>
        <w:t>= 46.6%</w:t>
      </w:r>
      <w:r w:rsidRPr="000B7BB6">
        <w:rPr>
          <w:rStyle w:val="FootnoteReference"/>
          <w:rFonts w:cstheme="minorHAnsi"/>
        </w:rPr>
        <w:footnoteReference w:id="5"/>
      </w:r>
    </w:p>
    <w:p w:rsidR="0048526C" w:rsidRPr="00B41203" w:rsidRDefault="0048526C" w:rsidP="0048526C">
      <w:pPr>
        <w:ind w:left="720" w:firstLine="720"/>
        <w:rPr>
          <w:rFonts w:cstheme="minorHAnsi"/>
        </w:rPr>
      </w:pPr>
    </w:p>
    <w:p w:rsidR="0048526C" w:rsidRPr="00A05FC2" w:rsidRDefault="0048526C" w:rsidP="0048526C">
      <w:pPr>
        <w:pStyle w:val="AlgorithmHeading"/>
      </w:pPr>
      <w:r w:rsidRPr="00A05FC2">
        <w:t>Algorithm</w:t>
      </w:r>
    </w:p>
    <w:p w:rsidR="0048526C" w:rsidRPr="00A05FC2" w:rsidRDefault="0048526C" w:rsidP="0048526C">
      <w:pPr>
        <w:pStyle w:val="Heading6"/>
      </w:pPr>
      <w:r w:rsidRPr="00A05FC2">
        <w:t xml:space="preserve">Calculation of Savings </w:t>
      </w:r>
    </w:p>
    <w:p w:rsidR="0048526C" w:rsidRPr="00A05FC2" w:rsidRDefault="0048526C" w:rsidP="0048526C">
      <w:pPr>
        <w:pStyle w:val="Heading6"/>
      </w:pPr>
      <w:r w:rsidRPr="00A05FC2">
        <w:t>Electric Energy Savings</w:t>
      </w:r>
    </w:p>
    <w:p w:rsidR="0048526C" w:rsidRPr="00A05FC2" w:rsidRDefault="0048526C" w:rsidP="0048526C">
      <w:pPr>
        <w:ind w:left="720"/>
        <w:rPr>
          <w:rFonts w:cstheme="minorHAnsi"/>
        </w:rPr>
      </w:pPr>
      <w:r w:rsidRPr="00A05FC2">
        <w:rPr>
          <w:rFonts w:cstheme="minorHAnsi"/>
          <w:noProof/>
        </w:rPr>
        <w:t>Δ</w:t>
      </w:r>
      <w:proofErr w:type="spellStart"/>
      <w:r w:rsidRPr="00A05FC2">
        <w:rPr>
          <w:rFonts w:cstheme="minorHAnsi"/>
        </w:rPr>
        <w:t>kWh</w:t>
      </w:r>
      <w:r w:rsidRPr="00A05FC2">
        <w:rPr>
          <w:rFonts w:cstheme="minorHAnsi"/>
          <w:vertAlign w:val="subscript"/>
        </w:rPr>
        <w:t>Central</w:t>
      </w:r>
      <w:proofErr w:type="spellEnd"/>
      <w:r w:rsidRPr="00A05FC2">
        <w:rPr>
          <w:rFonts w:cstheme="minorHAnsi"/>
          <w:vertAlign w:val="subscript"/>
        </w:rPr>
        <w:t xml:space="preserve"> AC </w:t>
      </w:r>
      <w:r w:rsidRPr="00A05FC2">
        <w:rPr>
          <w:rFonts w:cstheme="minorHAnsi"/>
        </w:rPr>
        <w:tab/>
      </w:r>
      <w:r w:rsidRPr="00A05FC2">
        <w:rPr>
          <w:rFonts w:cstheme="minorHAnsi"/>
        </w:rPr>
        <w:tab/>
        <w:t xml:space="preserve">= </w:t>
      </w:r>
      <w:r w:rsidRPr="00A05FC2">
        <w:rPr>
          <w:rFonts w:cstheme="minorHAnsi"/>
          <w:noProof/>
        </w:rPr>
        <w:t xml:space="preserve">(FLHcool * </w:t>
      </w:r>
      <w:r w:rsidRPr="00B41203">
        <w:rPr>
          <w:rFonts w:cstheme="minorHAnsi"/>
          <w:noProof/>
        </w:rPr>
        <w:t xml:space="preserve"> Capacity_cooling</w:t>
      </w:r>
      <w:r w:rsidRPr="00A05FC2">
        <w:rPr>
          <w:rFonts w:cstheme="minorHAnsi"/>
          <w:noProof/>
        </w:rPr>
        <w:t>* (1/SEER</w:t>
      </w:r>
      <w:r w:rsidRPr="00A05FC2">
        <w:rPr>
          <w:rFonts w:cstheme="minorHAnsi"/>
          <w:noProof/>
          <w:vertAlign w:val="subscript"/>
        </w:rPr>
        <w:t>CAC</w:t>
      </w:r>
      <w:r w:rsidRPr="00A05FC2">
        <w:rPr>
          <w:rFonts w:cstheme="minorHAnsi"/>
          <w:noProof/>
        </w:rPr>
        <w:t>))/1000  *</w:t>
      </w:r>
      <w:r w:rsidRPr="00A05FC2">
        <w:rPr>
          <w:rFonts w:cstheme="minorHAnsi"/>
        </w:rPr>
        <w:t xml:space="preserve"> </w:t>
      </w:r>
      <w:proofErr w:type="spellStart"/>
      <w:r w:rsidRPr="00A05FC2">
        <w:rPr>
          <w:rFonts w:cstheme="minorHAnsi"/>
        </w:rPr>
        <w:t>MFe</w:t>
      </w:r>
      <w:proofErr w:type="spellEnd"/>
    </w:p>
    <w:p w:rsidR="0048526C" w:rsidRPr="00A05FC2" w:rsidRDefault="0048526C" w:rsidP="0048526C">
      <w:pPr>
        <w:ind w:left="2880" w:hanging="2160"/>
        <w:jc w:val="left"/>
        <w:rPr>
          <w:rFonts w:cstheme="minorHAnsi"/>
        </w:rPr>
      </w:pPr>
      <w:r w:rsidRPr="00A05FC2">
        <w:rPr>
          <w:rFonts w:cstheme="minorHAnsi"/>
          <w:noProof/>
        </w:rPr>
        <w:t>Δ</w:t>
      </w:r>
      <w:proofErr w:type="spellStart"/>
      <w:r w:rsidRPr="00A05FC2">
        <w:rPr>
          <w:rFonts w:cstheme="minorHAnsi"/>
        </w:rPr>
        <w:t>kWh</w:t>
      </w:r>
      <w:r w:rsidRPr="00A05FC2">
        <w:rPr>
          <w:rFonts w:cstheme="minorHAnsi"/>
          <w:vertAlign w:val="subscript"/>
        </w:rPr>
        <w:t>Air</w:t>
      </w:r>
      <w:proofErr w:type="spellEnd"/>
      <w:r w:rsidRPr="00A05FC2">
        <w:rPr>
          <w:rFonts w:cstheme="minorHAnsi"/>
          <w:vertAlign w:val="subscript"/>
        </w:rPr>
        <w:t xml:space="preserve"> Source Heat Pump</w:t>
      </w:r>
      <w:r w:rsidRPr="00A05FC2">
        <w:rPr>
          <w:rFonts w:cstheme="minorHAnsi"/>
        </w:rPr>
        <w:tab/>
        <w:t>= (</w:t>
      </w:r>
      <w:r w:rsidRPr="00A05FC2">
        <w:rPr>
          <w:rFonts w:cstheme="minorHAnsi"/>
          <w:noProof/>
        </w:rPr>
        <w:t>(</w:t>
      </w:r>
      <w:proofErr w:type="spellStart"/>
      <w:r w:rsidRPr="00A05FC2">
        <w:rPr>
          <w:rFonts w:cstheme="minorHAnsi"/>
          <w:noProof/>
        </w:rPr>
        <w:t>FLHcool</w:t>
      </w:r>
      <w:proofErr w:type="spellEnd"/>
      <w:r w:rsidRPr="00A05FC2">
        <w:rPr>
          <w:rFonts w:cstheme="minorHAnsi"/>
          <w:noProof/>
        </w:rPr>
        <w:t xml:space="preserve"> * </w:t>
      </w:r>
      <w:r w:rsidRPr="00B41203">
        <w:rPr>
          <w:rFonts w:cstheme="minorHAnsi"/>
          <w:noProof/>
        </w:rPr>
        <w:t xml:space="preserve">Capacity_cooling </w:t>
      </w:r>
      <w:r w:rsidRPr="00A05FC2">
        <w:rPr>
          <w:rFonts w:cstheme="minorHAnsi"/>
          <w:noProof/>
        </w:rPr>
        <w:t>* (1/SEER</w:t>
      </w:r>
      <w:r w:rsidRPr="00A05FC2">
        <w:rPr>
          <w:rFonts w:cstheme="minorHAnsi"/>
          <w:noProof/>
          <w:vertAlign w:val="subscript"/>
        </w:rPr>
        <w:t>ASHP</w:t>
      </w:r>
      <w:r w:rsidRPr="00A05FC2">
        <w:rPr>
          <w:rFonts w:cstheme="minorHAnsi"/>
          <w:noProof/>
        </w:rPr>
        <w:t>))/1000  *</w:t>
      </w:r>
      <w:r w:rsidRPr="00A05FC2">
        <w:rPr>
          <w:rFonts w:cstheme="minorHAnsi"/>
        </w:rPr>
        <w:t xml:space="preserve"> </w:t>
      </w:r>
      <w:proofErr w:type="spellStart"/>
      <w:r w:rsidRPr="00A05FC2">
        <w:rPr>
          <w:rFonts w:cstheme="minorHAnsi"/>
        </w:rPr>
        <w:t>MFe</w:t>
      </w:r>
      <w:proofErr w:type="spellEnd"/>
      <w:r w:rsidRPr="00A05FC2">
        <w:rPr>
          <w:rFonts w:cstheme="minorHAnsi"/>
        </w:rPr>
        <w:t>)</w:t>
      </w:r>
      <w:r w:rsidRPr="00A05FC2">
        <w:rPr>
          <w:rFonts w:cstheme="minorHAnsi"/>
          <w:noProof/>
        </w:rPr>
        <w:t xml:space="preserve"> + (FLHheat * </w:t>
      </w:r>
      <w:r w:rsidRPr="00B41203">
        <w:rPr>
          <w:rFonts w:cstheme="minorHAnsi"/>
          <w:noProof/>
        </w:rPr>
        <w:t xml:space="preserve">Capacity_heating </w:t>
      </w:r>
      <w:r w:rsidRPr="00A05FC2">
        <w:rPr>
          <w:rFonts w:cstheme="minorHAnsi"/>
        </w:rPr>
        <w:t>* (1/HSPF</w:t>
      </w:r>
      <w:r w:rsidRPr="00A05FC2">
        <w:rPr>
          <w:rFonts w:cstheme="minorHAnsi"/>
          <w:noProof/>
          <w:vertAlign w:val="subscript"/>
        </w:rPr>
        <w:t>ASHP</w:t>
      </w:r>
      <w:r w:rsidRPr="00A05FC2">
        <w:rPr>
          <w:rFonts w:cstheme="minorHAnsi"/>
        </w:rPr>
        <w:t xml:space="preserve">))/1000 * </w:t>
      </w:r>
      <w:proofErr w:type="spellStart"/>
      <w:r w:rsidRPr="00A05FC2">
        <w:rPr>
          <w:rFonts w:cstheme="minorHAnsi"/>
        </w:rPr>
        <w:t>MFe</w:t>
      </w:r>
      <w:proofErr w:type="spellEnd"/>
      <w:r w:rsidRPr="00A05FC2">
        <w:rPr>
          <w:rFonts w:cstheme="minorHAnsi"/>
        </w:rPr>
        <w:t>)</w:t>
      </w:r>
    </w:p>
    <w:p w:rsidR="0048526C" w:rsidRPr="00A05FC2" w:rsidRDefault="0048526C" w:rsidP="0048526C">
      <w:pPr>
        <w:rPr>
          <w:rFonts w:cstheme="minorHAnsi"/>
          <w:noProof/>
        </w:rPr>
      </w:pPr>
      <w:r w:rsidRPr="00A05FC2">
        <w:rPr>
          <w:rFonts w:cstheme="minorHAnsi"/>
          <w:noProof/>
        </w:rPr>
        <w:t>Where:</w:t>
      </w:r>
    </w:p>
    <w:p w:rsidR="0048526C" w:rsidRPr="00A05FC2" w:rsidRDefault="0048526C" w:rsidP="0048526C">
      <w:pPr>
        <w:ind w:left="720"/>
        <w:rPr>
          <w:rFonts w:cstheme="minorHAnsi"/>
          <w:noProof/>
        </w:rPr>
      </w:pPr>
      <w:r w:rsidRPr="00A05FC2">
        <w:rPr>
          <w:rFonts w:cstheme="minorHAnsi"/>
          <w:noProof/>
        </w:rPr>
        <w:t>FLHcool</w:t>
      </w:r>
      <w:r w:rsidRPr="00A05FC2">
        <w:rPr>
          <w:rFonts w:cstheme="minorHAnsi"/>
          <w:noProof/>
        </w:rPr>
        <w:tab/>
        <w:t xml:space="preserve"> </w:t>
      </w:r>
      <w:r w:rsidRPr="00A05FC2">
        <w:rPr>
          <w:rFonts w:cstheme="minorHAnsi"/>
          <w:noProof/>
        </w:rPr>
        <w:tab/>
        <w:t>= Full load cooling hours</w:t>
      </w:r>
    </w:p>
    <w:p w:rsidR="0048526C" w:rsidRPr="00A05FC2" w:rsidRDefault="0048526C" w:rsidP="0048526C">
      <w:pPr>
        <w:ind w:left="720"/>
        <w:rPr>
          <w:rFonts w:cstheme="minorHAnsi"/>
          <w:noProof/>
        </w:rPr>
      </w:pPr>
      <w:r w:rsidRPr="00A05FC2">
        <w:rPr>
          <w:rFonts w:cstheme="minorHAnsi"/>
          <w:noProof/>
        </w:rPr>
        <w:tab/>
      </w:r>
      <w:r w:rsidRPr="00A05FC2">
        <w:rPr>
          <w:rFonts w:cstheme="minorHAnsi"/>
          <w:noProof/>
        </w:rPr>
        <w:tab/>
        <w:t>Dependent on location as below:</w:t>
      </w:r>
      <w:r w:rsidRPr="00A05FC2">
        <w:rPr>
          <w:rStyle w:val="FootnoteReference"/>
          <w:rFonts w:eastAsia="Calibri" w:cstheme="minorHAnsi"/>
          <w:noProof/>
        </w:rPr>
        <w:footnoteReference w:id="6"/>
      </w:r>
    </w:p>
    <w:tbl>
      <w:tblPr>
        <w:tblW w:w="4633" w:type="dxa"/>
        <w:tblInd w:w="2880" w:type="dxa"/>
        <w:tblLook w:val="04A0" w:firstRow="1" w:lastRow="0" w:firstColumn="1" w:lastColumn="0" w:noHBand="0" w:noVBand="1"/>
      </w:tblPr>
      <w:tblGrid>
        <w:gridCol w:w="1808"/>
        <w:gridCol w:w="1478"/>
        <w:gridCol w:w="1347"/>
      </w:tblGrid>
      <w:tr w:rsidR="0048526C" w:rsidRPr="00A05FC2" w:rsidTr="00785D9A">
        <w:trPr>
          <w:trHeight w:val="270"/>
        </w:trPr>
        <w:tc>
          <w:tcPr>
            <w:tcW w:w="1808"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rsidR="0048526C" w:rsidRPr="000B7BB6" w:rsidRDefault="0048526C" w:rsidP="00785D9A">
            <w:pPr>
              <w:jc w:val="center"/>
              <w:rPr>
                <w:rFonts w:cstheme="minorHAnsi"/>
                <w:b/>
                <w:color w:val="FFFFFF" w:themeColor="background1"/>
              </w:rPr>
            </w:pPr>
            <w:r w:rsidRPr="000B7BB6">
              <w:rPr>
                <w:rFonts w:cstheme="minorHAnsi"/>
                <w:b/>
                <w:color w:val="FFFFFF" w:themeColor="background1"/>
              </w:rPr>
              <w:t>Climate Zone</w:t>
            </w:r>
          </w:p>
          <w:p w:rsidR="0048526C" w:rsidRPr="000B7BB6" w:rsidRDefault="0048526C" w:rsidP="00785D9A">
            <w:pPr>
              <w:jc w:val="center"/>
              <w:rPr>
                <w:rFonts w:cstheme="minorHAnsi"/>
                <w:b/>
                <w:color w:val="FFFFFF" w:themeColor="background1"/>
              </w:rPr>
            </w:pPr>
            <w:r w:rsidRPr="000B7BB6">
              <w:rPr>
                <w:rFonts w:cstheme="minorHAnsi"/>
                <w:b/>
                <w:color w:val="FFFFFF" w:themeColor="background1"/>
              </w:rPr>
              <w:t>(City based upon)</w:t>
            </w:r>
          </w:p>
        </w:tc>
        <w:tc>
          <w:tcPr>
            <w:tcW w:w="1478"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rsidR="0048526C" w:rsidRPr="000B7BB6" w:rsidRDefault="0048526C" w:rsidP="00785D9A">
            <w:pPr>
              <w:jc w:val="center"/>
              <w:rPr>
                <w:rFonts w:cstheme="minorHAnsi"/>
                <w:b/>
                <w:color w:val="FFFFFF" w:themeColor="background1"/>
              </w:rPr>
            </w:pPr>
            <w:proofErr w:type="spellStart"/>
            <w:r w:rsidRPr="00B41203">
              <w:rPr>
                <w:rFonts w:cstheme="minorHAnsi"/>
                <w:b/>
                <w:color w:val="FFFFFF" w:themeColor="background1"/>
              </w:rPr>
              <w:t>FLHcool</w:t>
            </w:r>
            <w:proofErr w:type="spellEnd"/>
          </w:p>
          <w:p w:rsidR="0048526C" w:rsidRPr="000B7BB6" w:rsidRDefault="0048526C" w:rsidP="00785D9A">
            <w:pPr>
              <w:jc w:val="center"/>
              <w:rPr>
                <w:rFonts w:cstheme="minorHAnsi"/>
                <w:b/>
                <w:color w:val="FFFFFF" w:themeColor="background1"/>
              </w:rPr>
            </w:pPr>
            <w:r w:rsidRPr="000B7BB6">
              <w:rPr>
                <w:rFonts w:cstheme="minorHAnsi"/>
                <w:b/>
                <w:color w:val="FFFFFF" w:themeColor="background1"/>
              </w:rPr>
              <w:t>Single Family</w:t>
            </w:r>
          </w:p>
        </w:tc>
        <w:tc>
          <w:tcPr>
            <w:tcW w:w="1347" w:type="dxa"/>
            <w:tcBorders>
              <w:top w:val="single" w:sz="8" w:space="0" w:color="auto"/>
              <w:left w:val="nil"/>
              <w:bottom w:val="single" w:sz="8" w:space="0" w:color="auto"/>
              <w:right w:val="single" w:sz="8" w:space="0" w:color="auto"/>
            </w:tcBorders>
            <w:shd w:val="clear" w:color="auto" w:fill="7F7F7F" w:themeFill="text1" w:themeFillTint="80"/>
            <w:vAlign w:val="center"/>
          </w:tcPr>
          <w:p w:rsidR="0048526C" w:rsidRPr="000B7BB6" w:rsidRDefault="0048526C" w:rsidP="00785D9A">
            <w:pPr>
              <w:jc w:val="center"/>
              <w:rPr>
                <w:rFonts w:cstheme="minorHAnsi"/>
                <w:b/>
                <w:color w:val="FFFFFF" w:themeColor="background1"/>
              </w:rPr>
            </w:pPr>
            <w:proofErr w:type="spellStart"/>
            <w:r w:rsidRPr="00B41203">
              <w:rPr>
                <w:rFonts w:cstheme="minorHAnsi"/>
                <w:b/>
                <w:color w:val="FFFFFF" w:themeColor="background1"/>
              </w:rPr>
              <w:t>FLHcool</w:t>
            </w:r>
            <w:proofErr w:type="spellEnd"/>
          </w:p>
          <w:p w:rsidR="0048526C" w:rsidRPr="000B7BB6" w:rsidRDefault="0048526C" w:rsidP="00785D9A">
            <w:pPr>
              <w:jc w:val="center"/>
              <w:rPr>
                <w:rFonts w:cstheme="minorHAnsi"/>
                <w:b/>
                <w:color w:val="FFFFFF" w:themeColor="background1"/>
              </w:rPr>
            </w:pPr>
            <w:r w:rsidRPr="000B7BB6">
              <w:rPr>
                <w:rFonts w:cstheme="minorHAnsi"/>
                <w:b/>
                <w:color w:val="FFFFFF" w:themeColor="background1"/>
              </w:rPr>
              <w:t>Multifamily</w:t>
            </w:r>
          </w:p>
        </w:tc>
      </w:tr>
      <w:tr w:rsidR="0048526C" w:rsidRPr="00A05FC2" w:rsidTr="00785D9A">
        <w:trPr>
          <w:trHeight w:val="187"/>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48526C" w:rsidRPr="00A05FC2" w:rsidRDefault="0048526C" w:rsidP="00785D9A">
            <w:pPr>
              <w:pStyle w:val="TableText"/>
            </w:pPr>
            <w:r w:rsidRPr="00A05FC2">
              <w:t>1 (Rockford)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48526C" w:rsidRPr="00A05FC2" w:rsidRDefault="0048526C" w:rsidP="00785D9A">
            <w:pPr>
              <w:pStyle w:val="TableText"/>
            </w:pPr>
            <w:r w:rsidRPr="000B7BB6">
              <w:t>512</w:t>
            </w:r>
          </w:p>
        </w:tc>
        <w:tc>
          <w:tcPr>
            <w:tcW w:w="1347" w:type="dxa"/>
            <w:tcBorders>
              <w:top w:val="nil"/>
              <w:left w:val="nil"/>
              <w:bottom w:val="single" w:sz="8" w:space="0" w:color="auto"/>
              <w:right w:val="single" w:sz="8" w:space="0" w:color="auto"/>
            </w:tcBorders>
            <w:shd w:val="clear" w:color="auto" w:fill="FFFFFF" w:themeFill="background1"/>
            <w:vAlign w:val="center"/>
          </w:tcPr>
          <w:p w:rsidR="0048526C" w:rsidRPr="00A05FC2" w:rsidRDefault="0048526C" w:rsidP="00785D9A">
            <w:pPr>
              <w:pStyle w:val="TableText"/>
            </w:pPr>
            <w:r w:rsidRPr="000B7BB6">
              <w:t>467</w:t>
            </w:r>
          </w:p>
        </w:tc>
      </w:tr>
      <w:tr w:rsidR="0048526C" w:rsidRPr="00A05FC2" w:rsidTr="00785D9A">
        <w:trPr>
          <w:trHeight w:val="187"/>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48526C" w:rsidRPr="00A05FC2" w:rsidRDefault="0048526C" w:rsidP="00785D9A">
            <w:pPr>
              <w:pStyle w:val="TableText"/>
            </w:pPr>
            <w:r w:rsidRPr="00A05FC2">
              <w:t>2 (Chicago)</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48526C" w:rsidRPr="00A05FC2" w:rsidRDefault="0048526C" w:rsidP="00785D9A">
            <w:pPr>
              <w:pStyle w:val="TableText"/>
            </w:pPr>
            <w:r w:rsidRPr="000B7BB6">
              <w:t>570</w:t>
            </w:r>
          </w:p>
        </w:tc>
        <w:tc>
          <w:tcPr>
            <w:tcW w:w="1347" w:type="dxa"/>
            <w:tcBorders>
              <w:top w:val="nil"/>
              <w:left w:val="nil"/>
              <w:bottom w:val="single" w:sz="8" w:space="0" w:color="auto"/>
              <w:right w:val="single" w:sz="8" w:space="0" w:color="auto"/>
            </w:tcBorders>
            <w:shd w:val="clear" w:color="auto" w:fill="FFFFFF" w:themeFill="background1"/>
            <w:vAlign w:val="center"/>
          </w:tcPr>
          <w:p w:rsidR="0048526C" w:rsidRPr="00A05FC2" w:rsidRDefault="0048526C" w:rsidP="00785D9A">
            <w:pPr>
              <w:pStyle w:val="TableText"/>
            </w:pPr>
            <w:r w:rsidRPr="000B7BB6">
              <w:t>506</w:t>
            </w:r>
          </w:p>
        </w:tc>
      </w:tr>
      <w:tr w:rsidR="0048526C" w:rsidRPr="00A05FC2" w:rsidTr="00785D9A">
        <w:trPr>
          <w:trHeight w:val="187"/>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48526C" w:rsidRPr="00A05FC2" w:rsidRDefault="0048526C" w:rsidP="00785D9A">
            <w:pPr>
              <w:pStyle w:val="TableText"/>
            </w:pPr>
            <w:r w:rsidRPr="00A05FC2">
              <w:t>3 (Springfield)</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48526C" w:rsidRPr="00A05FC2" w:rsidRDefault="0048526C" w:rsidP="00785D9A">
            <w:pPr>
              <w:pStyle w:val="TableText"/>
            </w:pPr>
            <w:r w:rsidRPr="000B7BB6">
              <w:t>730</w:t>
            </w:r>
          </w:p>
        </w:tc>
        <w:tc>
          <w:tcPr>
            <w:tcW w:w="1347" w:type="dxa"/>
            <w:tcBorders>
              <w:top w:val="nil"/>
              <w:left w:val="nil"/>
              <w:bottom w:val="single" w:sz="8" w:space="0" w:color="auto"/>
              <w:right w:val="single" w:sz="8" w:space="0" w:color="auto"/>
            </w:tcBorders>
            <w:shd w:val="clear" w:color="auto" w:fill="FFFFFF" w:themeFill="background1"/>
            <w:vAlign w:val="center"/>
          </w:tcPr>
          <w:p w:rsidR="0048526C" w:rsidRPr="00A05FC2" w:rsidRDefault="0048526C" w:rsidP="00785D9A">
            <w:pPr>
              <w:pStyle w:val="TableText"/>
            </w:pPr>
            <w:r w:rsidRPr="000B7BB6">
              <w:t>663</w:t>
            </w:r>
          </w:p>
        </w:tc>
      </w:tr>
      <w:tr w:rsidR="0048526C" w:rsidRPr="00A05FC2" w:rsidTr="00785D9A">
        <w:trPr>
          <w:trHeight w:val="115"/>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48526C" w:rsidRPr="00A05FC2" w:rsidRDefault="0048526C" w:rsidP="00785D9A">
            <w:pPr>
              <w:pStyle w:val="TableText"/>
            </w:pPr>
            <w:r w:rsidRPr="00A05FC2">
              <w:t>4 (Belleville)</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48526C" w:rsidRPr="00A05FC2" w:rsidRDefault="0048526C" w:rsidP="00785D9A">
            <w:pPr>
              <w:pStyle w:val="TableText"/>
            </w:pPr>
            <w:r w:rsidRPr="000B7BB6">
              <w:t>1,035</w:t>
            </w:r>
          </w:p>
        </w:tc>
        <w:tc>
          <w:tcPr>
            <w:tcW w:w="1347" w:type="dxa"/>
            <w:tcBorders>
              <w:top w:val="nil"/>
              <w:left w:val="nil"/>
              <w:bottom w:val="single" w:sz="8" w:space="0" w:color="auto"/>
              <w:right w:val="single" w:sz="8" w:space="0" w:color="auto"/>
            </w:tcBorders>
            <w:shd w:val="clear" w:color="auto" w:fill="FFFFFF" w:themeFill="background1"/>
            <w:vAlign w:val="center"/>
          </w:tcPr>
          <w:p w:rsidR="0048526C" w:rsidRPr="00A05FC2" w:rsidRDefault="0048526C" w:rsidP="00785D9A">
            <w:pPr>
              <w:pStyle w:val="TableText"/>
            </w:pPr>
            <w:r w:rsidRPr="000B7BB6">
              <w:t>940</w:t>
            </w:r>
          </w:p>
        </w:tc>
      </w:tr>
      <w:tr w:rsidR="0048526C" w:rsidRPr="00A05FC2" w:rsidTr="00785D9A">
        <w:trPr>
          <w:trHeight w:val="115"/>
        </w:trPr>
        <w:tc>
          <w:tcPr>
            <w:tcW w:w="1808"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48526C" w:rsidRPr="00A05FC2" w:rsidRDefault="0048526C" w:rsidP="00785D9A">
            <w:pPr>
              <w:pStyle w:val="TableText"/>
            </w:pPr>
            <w:r w:rsidRPr="00A05FC2">
              <w:t>5 (Marion)</w:t>
            </w:r>
          </w:p>
        </w:tc>
        <w:tc>
          <w:tcPr>
            <w:tcW w:w="1478" w:type="dxa"/>
            <w:tcBorders>
              <w:top w:val="nil"/>
              <w:left w:val="nil"/>
              <w:bottom w:val="single" w:sz="8" w:space="0" w:color="auto"/>
              <w:right w:val="single" w:sz="8" w:space="0" w:color="auto"/>
            </w:tcBorders>
            <w:shd w:val="clear" w:color="auto" w:fill="FFFFFF" w:themeFill="background1"/>
            <w:vAlign w:val="center"/>
            <w:hideMark/>
          </w:tcPr>
          <w:p w:rsidR="0048526C" w:rsidRPr="00A05FC2" w:rsidRDefault="0048526C" w:rsidP="00785D9A">
            <w:pPr>
              <w:pStyle w:val="TableText"/>
            </w:pPr>
            <w:r w:rsidRPr="000B7BB6">
              <w:t>903</w:t>
            </w:r>
          </w:p>
        </w:tc>
        <w:tc>
          <w:tcPr>
            <w:tcW w:w="1347" w:type="dxa"/>
            <w:tcBorders>
              <w:top w:val="nil"/>
              <w:left w:val="nil"/>
              <w:bottom w:val="single" w:sz="8" w:space="0" w:color="auto"/>
              <w:right w:val="single" w:sz="8" w:space="0" w:color="auto"/>
            </w:tcBorders>
            <w:shd w:val="clear" w:color="auto" w:fill="FFFFFF" w:themeFill="background1"/>
            <w:vAlign w:val="center"/>
          </w:tcPr>
          <w:p w:rsidR="0048526C" w:rsidRPr="00A05FC2" w:rsidRDefault="0048526C" w:rsidP="00785D9A">
            <w:pPr>
              <w:pStyle w:val="TableText"/>
            </w:pPr>
            <w:r w:rsidRPr="000B7BB6">
              <w:t>820</w:t>
            </w:r>
          </w:p>
        </w:tc>
      </w:tr>
      <w:tr w:rsidR="0048526C" w:rsidRPr="00A05FC2" w:rsidTr="00785D9A">
        <w:trPr>
          <w:trHeight w:val="133"/>
        </w:trPr>
        <w:tc>
          <w:tcPr>
            <w:tcW w:w="1808" w:type="dxa"/>
            <w:tcBorders>
              <w:top w:val="nil"/>
              <w:left w:val="single" w:sz="8" w:space="0" w:color="auto"/>
              <w:bottom w:val="single" w:sz="8" w:space="0" w:color="auto"/>
              <w:right w:val="single" w:sz="8" w:space="0" w:color="auto"/>
            </w:tcBorders>
            <w:shd w:val="clear" w:color="auto" w:fill="auto"/>
            <w:noWrap/>
            <w:vAlign w:val="center"/>
            <w:hideMark/>
          </w:tcPr>
          <w:p w:rsidR="0048526C" w:rsidRPr="00A05FC2" w:rsidRDefault="0048526C" w:rsidP="00785D9A">
            <w:pPr>
              <w:pStyle w:val="TableText"/>
            </w:pPr>
            <w:r w:rsidRPr="000B7BB6">
              <w:t>Weighted Average</w:t>
            </w:r>
            <w:r w:rsidRPr="000B7BB6">
              <w:rPr>
                <w:rStyle w:val="FootnoteReference"/>
                <w:rFonts w:cstheme="minorHAnsi"/>
              </w:rPr>
              <w:footnoteReference w:id="7"/>
            </w:r>
          </w:p>
        </w:tc>
        <w:tc>
          <w:tcPr>
            <w:tcW w:w="1478" w:type="dxa"/>
            <w:tcBorders>
              <w:top w:val="nil"/>
              <w:left w:val="nil"/>
              <w:bottom w:val="single" w:sz="8" w:space="0" w:color="auto"/>
              <w:right w:val="single" w:sz="8" w:space="0" w:color="auto"/>
            </w:tcBorders>
            <w:shd w:val="clear" w:color="auto" w:fill="auto"/>
            <w:vAlign w:val="center"/>
            <w:hideMark/>
          </w:tcPr>
          <w:p w:rsidR="0048526C" w:rsidRPr="00A05FC2" w:rsidRDefault="0048526C" w:rsidP="00785D9A">
            <w:pPr>
              <w:pStyle w:val="TableText"/>
            </w:pPr>
            <w:r w:rsidRPr="000B7BB6">
              <w:t>629</w:t>
            </w:r>
          </w:p>
        </w:tc>
        <w:tc>
          <w:tcPr>
            <w:tcW w:w="1347" w:type="dxa"/>
            <w:tcBorders>
              <w:top w:val="nil"/>
              <w:left w:val="nil"/>
              <w:bottom w:val="single" w:sz="8" w:space="0" w:color="auto"/>
              <w:right w:val="single" w:sz="8" w:space="0" w:color="auto"/>
            </w:tcBorders>
            <w:vAlign w:val="center"/>
          </w:tcPr>
          <w:p w:rsidR="0048526C" w:rsidRPr="00A05FC2" w:rsidRDefault="0048526C" w:rsidP="00785D9A">
            <w:pPr>
              <w:pStyle w:val="TableText"/>
            </w:pPr>
            <w:r w:rsidRPr="000B7BB6">
              <w:t>564</w:t>
            </w:r>
          </w:p>
        </w:tc>
      </w:tr>
    </w:tbl>
    <w:p w:rsidR="0048526C" w:rsidRPr="00A05FC2" w:rsidRDefault="0048526C" w:rsidP="0048526C">
      <w:pPr>
        <w:ind w:left="720"/>
        <w:rPr>
          <w:rFonts w:cstheme="minorHAnsi"/>
          <w:noProof/>
        </w:rPr>
      </w:pPr>
    </w:p>
    <w:p w:rsidR="0048526C" w:rsidRPr="00A05FC2" w:rsidRDefault="0048526C" w:rsidP="0048526C">
      <w:pPr>
        <w:ind w:left="720"/>
        <w:rPr>
          <w:rFonts w:cstheme="minorHAnsi"/>
          <w:noProof/>
        </w:rPr>
      </w:pPr>
      <w:r w:rsidRPr="00B41203">
        <w:rPr>
          <w:rFonts w:cstheme="minorHAnsi"/>
          <w:noProof/>
        </w:rPr>
        <w:t>Capacity_cooling</w:t>
      </w:r>
      <w:r w:rsidRPr="00A05FC2">
        <w:rPr>
          <w:rFonts w:cstheme="minorHAnsi"/>
          <w:noProof/>
        </w:rPr>
        <w:tab/>
        <w:t xml:space="preserve">= Cooling cpacity of equipment in </w:t>
      </w:r>
      <w:r>
        <w:rPr>
          <w:rFonts w:cstheme="minorHAnsi"/>
          <w:noProof/>
        </w:rPr>
        <w:t>Btu/hr</w:t>
      </w:r>
      <w:r w:rsidRPr="00A05FC2">
        <w:rPr>
          <w:rFonts w:cstheme="minorHAnsi"/>
          <w:noProof/>
        </w:rPr>
        <w:t xml:space="preserve"> (note 1 ton = 12,000 </w:t>
      </w:r>
      <w:r>
        <w:rPr>
          <w:rFonts w:cstheme="minorHAnsi"/>
          <w:noProof/>
        </w:rPr>
        <w:t>Btu/hr</w:t>
      </w:r>
      <w:r w:rsidRPr="00A05FC2">
        <w:rPr>
          <w:rFonts w:cstheme="minorHAnsi"/>
          <w:noProof/>
        </w:rPr>
        <w:t>)</w:t>
      </w:r>
    </w:p>
    <w:p w:rsidR="0048526C" w:rsidRPr="00A05FC2" w:rsidRDefault="0048526C" w:rsidP="0048526C">
      <w:pPr>
        <w:ind w:left="1440" w:firstLine="720"/>
        <w:rPr>
          <w:rFonts w:cstheme="minorHAnsi"/>
          <w:noProof/>
        </w:rPr>
      </w:pPr>
      <w:r w:rsidRPr="00A05FC2">
        <w:rPr>
          <w:rFonts w:cstheme="minorHAnsi"/>
          <w:noProof/>
        </w:rPr>
        <w:t xml:space="preserve">= Actual </w:t>
      </w:r>
    </w:p>
    <w:p w:rsidR="0048526C" w:rsidRPr="00A05FC2" w:rsidRDefault="0048526C" w:rsidP="0048526C">
      <w:pPr>
        <w:ind w:left="2160" w:hanging="1440"/>
        <w:rPr>
          <w:rFonts w:cstheme="minorHAnsi"/>
          <w:noProof/>
        </w:rPr>
      </w:pPr>
      <w:r w:rsidRPr="00A05FC2">
        <w:rPr>
          <w:rFonts w:cstheme="minorHAnsi"/>
          <w:noProof/>
        </w:rPr>
        <w:t>SEER</w:t>
      </w:r>
      <w:r w:rsidRPr="00A05FC2">
        <w:rPr>
          <w:rFonts w:cstheme="minorHAnsi"/>
          <w:noProof/>
          <w:vertAlign w:val="subscript"/>
        </w:rPr>
        <w:t>CAC</w:t>
      </w:r>
      <w:r w:rsidRPr="00A05FC2">
        <w:rPr>
          <w:rFonts w:cstheme="minorHAnsi"/>
          <w:noProof/>
        </w:rPr>
        <w:tab/>
        <w:t>= SEER Efficiency of existing central air conditioning unit receiving maintenence</w:t>
      </w:r>
    </w:p>
    <w:p w:rsidR="0048526C" w:rsidRPr="00A05FC2" w:rsidRDefault="0048526C" w:rsidP="0048526C">
      <w:pPr>
        <w:ind w:left="1440" w:firstLine="720"/>
        <w:rPr>
          <w:rFonts w:cstheme="minorHAnsi"/>
          <w:noProof/>
        </w:rPr>
      </w:pPr>
      <w:r w:rsidRPr="00A05FC2">
        <w:rPr>
          <w:rFonts w:cstheme="minorHAnsi"/>
          <w:noProof/>
        </w:rPr>
        <w:t xml:space="preserve">= Actual. If unknown assume 10 SEER </w:t>
      </w:r>
      <w:r w:rsidRPr="00A05FC2">
        <w:rPr>
          <w:rStyle w:val="FootnoteReference"/>
          <w:rFonts w:eastAsia="Calibri" w:cstheme="minorHAnsi"/>
          <w:noProof/>
        </w:rPr>
        <w:footnoteReference w:id="8"/>
      </w:r>
    </w:p>
    <w:p w:rsidR="0048526C" w:rsidRPr="00A05FC2" w:rsidRDefault="0048526C" w:rsidP="0048526C">
      <w:pPr>
        <w:ind w:left="720"/>
        <w:rPr>
          <w:rFonts w:cstheme="minorHAnsi"/>
          <w:noProof/>
        </w:rPr>
      </w:pPr>
      <w:r w:rsidRPr="00A05FC2">
        <w:rPr>
          <w:rFonts w:cstheme="minorHAnsi"/>
          <w:noProof/>
        </w:rPr>
        <w:t>MFe</w:t>
      </w:r>
      <w:r w:rsidRPr="00A05FC2">
        <w:rPr>
          <w:rFonts w:cstheme="minorHAnsi"/>
          <w:noProof/>
        </w:rPr>
        <w:tab/>
      </w:r>
      <w:r w:rsidRPr="00A05FC2">
        <w:rPr>
          <w:rFonts w:cstheme="minorHAnsi"/>
          <w:noProof/>
        </w:rPr>
        <w:tab/>
        <w:t>= Maintenance energy savings factor</w:t>
      </w:r>
    </w:p>
    <w:p w:rsidR="0048526C" w:rsidRPr="00A05FC2" w:rsidRDefault="0048526C" w:rsidP="0048526C">
      <w:pPr>
        <w:ind w:left="720"/>
        <w:rPr>
          <w:rFonts w:cstheme="minorHAnsi"/>
          <w:noProof/>
        </w:rPr>
      </w:pPr>
      <w:r w:rsidRPr="00A05FC2">
        <w:rPr>
          <w:rFonts w:cstheme="minorHAnsi"/>
          <w:noProof/>
        </w:rPr>
        <w:tab/>
      </w:r>
      <w:r w:rsidRPr="00A05FC2">
        <w:rPr>
          <w:rFonts w:cstheme="minorHAnsi"/>
          <w:noProof/>
        </w:rPr>
        <w:tab/>
        <w:t>= 0.05</w:t>
      </w:r>
      <w:r w:rsidRPr="00A05FC2">
        <w:rPr>
          <w:rStyle w:val="FootnoteReference"/>
          <w:rFonts w:eastAsia="Calibri" w:cstheme="minorHAnsi"/>
          <w:noProof/>
        </w:rPr>
        <w:footnoteReference w:id="9"/>
      </w:r>
    </w:p>
    <w:p w:rsidR="0048526C" w:rsidRPr="00A05FC2" w:rsidRDefault="0048526C" w:rsidP="0048526C">
      <w:pPr>
        <w:ind w:left="720"/>
        <w:rPr>
          <w:rFonts w:cstheme="minorHAnsi"/>
          <w:noProof/>
        </w:rPr>
      </w:pPr>
      <w:r w:rsidRPr="00A05FC2">
        <w:rPr>
          <w:rFonts w:cstheme="minorHAnsi"/>
          <w:noProof/>
        </w:rPr>
        <w:t>SEER</w:t>
      </w:r>
      <w:r w:rsidRPr="00A05FC2">
        <w:rPr>
          <w:rFonts w:cstheme="minorHAnsi"/>
          <w:noProof/>
          <w:vertAlign w:val="subscript"/>
        </w:rPr>
        <w:t>ASHP</w:t>
      </w:r>
      <w:r w:rsidRPr="00A05FC2">
        <w:rPr>
          <w:rFonts w:cstheme="minorHAnsi"/>
          <w:noProof/>
          <w:vertAlign w:val="subscript"/>
        </w:rPr>
        <w:tab/>
      </w:r>
      <w:r w:rsidRPr="00A05FC2">
        <w:rPr>
          <w:rFonts w:cstheme="minorHAnsi"/>
          <w:noProof/>
          <w:vertAlign w:val="subscript"/>
        </w:rPr>
        <w:tab/>
      </w:r>
      <w:r w:rsidRPr="00A05FC2">
        <w:rPr>
          <w:rFonts w:cstheme="minorHAnsi"/>
          <w:noProof/>
        </w:rPr>
        <w:t>= SEER Efficiency of existing air source heat pump unit receiving maintenence</w:t>
      </w:r>
    </w:p>
    <w:p w:rsidR="0048526C" w:rsidRPr="00A05FC2" w:rsidRDefault="0048526C" w:rsidP="0048526C">
      <w:pPr>
        <w:ind w:left="1440" w:firstLine="720"/>
        <w:rPr>
          <w:rFonts w:cstheme="minorHAnsi"/>
          <w:noProof/>
        </w:rPr>
      </w:pPr>
      <w:r w:rsidRPr="00A05FC2">
        <w:rPr>
          <w:rFonts w:cstheme="minorHAnsi"/>
          <w:noProof/>
        </w:rPr>
        <w:lastRenderedPageBreak/>
        <w:t xml:space="preserve">= Actual. If unknown assume 10 SEER </w:t>
      </w:r>
      <w:r w:rsidRPr="00A05FC2">
        <w:rPr>
          <w:rStyle w:val="FootnoteReference"/>
          <w:rFonts w:eastAsia="Calibri" w:cstheme="minorHAnsi"/>
          <w:noProof/>
        </w:rPr>
        <w:footnoteReference w:id="10"/>
      </w:r>
    </w:p>
    <w:p w:rsidR="0048526C" w:rsidRPr="00A05FC2" w:rsidRDefault="0048526C" w:rsidP="0048526C">
      <w:pPr>
        <w:ind w:left="720"/>
        <w:rPr>
          <w:rFonts w:cstheme="minorHAnsi"/>
        </w:rPr>
      </w:pPr>
      <w:proofErr w:type="spellStart"/>
      <w:r w:rsidRPr="00A05FC2">
        <w:rPr>
          <w:rFonts w:cstheme="minorHAnsi"/>
        </w:rPr>
        <w:t>FLHheat</w:t>
      </w:r>
      <w:proofErr w:type="spellEnd"/>
      <w:r w:rsidRPr="00A05FC2">
        <w:rPr>
          <w:rFonts w:cstheme="minorHAnsi"/>
        </w:rPr>
        <w:tab/>
      </w:r>
      <w:r w:rsidRPr="00A05FC2">
        <w:rPr>
          <w:rFonts w:cstheme="minorHAnsi"/>
        </w:rPr>
        <w:tab/>
        <w:t>= Full load heating hours</w:t>
      </w:r>
    </w:p>
    <w:p w:rsidR="0048526C" w:rsidRPr="00A05FC2" w:rsidRDefault="0048526C" w:rsidP="0048526C">
      <w:pPr>
        <w:ind w:left="720"/>
        <w:rPr>
          <w:rFonts w:cstheme="minorHAnsi"/>
          <w:noProof/>
        </w:rPr>
      </w:pPr>
      <w:r w:rsidRPr="00A05FC2">
        <w:rPr>
          <w:rFonts w:cstheme="minorHAnsi"/>
        </w:rPr>
        <w:tab/>
      </w:r>
      <w:r w:rsidRPr="00A05FC2">
        <w:rPr>
          <w:rFonts w:cstheme="minorHAnsi"/>
        </w:rPr>
        <w:tab/>
      </w:r>
      <w:r w:rsidRPr="00A05FC2">
        <w:rPr>
          <w:rFonts w:cstheme="minorHAnsi"/>
          <w:noProof/>
        </w:rPr>
        <w:t>Dependent on location:</w:t>
      </w:r>
      <w:r w:rsidRPr="000B7BB6">
        <w:rPr>
          <w:rStyle w:val="FootnoteReference"/>
          <w:rFonts w:cstheme="minorHAnsi"/>
          <w:noProof/>
        </w:rPr>
        <w:footnoteReference w:id="11"/>
      </w:r>
    </w:p>
    <w:tbl>
      <w:tblPr>
        <w:tblW w:w="2959" w:type="dxa"/>
        <w:jc w:val="center"/>
        <w:tblInd w:w="1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1029"/>
      </w:tblGrid>
      <w:tr w:rsidR="0048526C" w:rsidRPr="00A05FC2" w:rsidTr="00785D9A">
        <w:trPr>
          <w:tblHeader/>
          <w:jc w:val="center"/>
        </w:trPr>
        <w:tc>
          <w:tcPr>
            <w:tcW w:w="1930" w:type="dxa"/>
            <w:shd w:val="clear" w:color="auto" w:fill="7F7F7F" w:themeFill="text1" w:themeFillTint="80"/>
            <w:vAlign w:val="bottom"/>
          </w:tcPr>
          <w:p w:rsidR="0048526C" w:rsidRPr="000B7BB6" w:rsidRDefault="0048526C" w:rsidP="00785D9A">
            <w:pPr>
              <w:jc w:val="center"/>
              <w:rPr>
                <w:rFonts w:cstheme="minorHAnsi"/>
                <w:b/>
                <w:color w:val="FFFFFF" w:themeColor="background1"/>
              </w:rPr>
            </w:pPr>
            <w:r w:rsidRPr="000B7BB6">
              <w:rPr>
                <w:rFonts w:cstheme="minorHAnsi"/>
                <w:b/>
                <w:color w:val="FFFFFF" w:themeColor="background1"/>
              </w:rPr>
              <w:t>Climate Zone</w:t>
            </w:r>
          </w:p>
          <w:p w:rsidR="0048526C" w:rsidRPr="000B7BB6" w:rsidRDefault="0048526C" w:rsidP="00785D9A">
            <w:pPr>
              <w:jc w:val="center"/>
              <w:rPr>
                <w:rStyle w:val="FootnoteReference"/>
                <w:rFonts w:cstheme="minorHAnsi"/>
                <w:b/>
                <w:color w:val="FFFFFF" w:themeColor="background1"/>
              </w:rPr>
            </w:pPr>
            <w:r w:rsidRPr="000B7BB6">
              <w:rPr>
                <w:rFonts w:cstheme="minorHAnsi"/>
                <w:b/>
                <w:color w:val="FFFFFF" w:themeColor="background1"/>
              </w:rPr>
              <w:t>(City based upon)</w:t>
            </w:r>
          </w:p>
        </w:tc>
        <w:tc>
          <w:tcPr>
            <w:tcW w:w="1029" w:type="dxa"/>
            <w:shd w:val="clear" w:color="auto" w:fill="7F7F7F" w:themeFill="text1" w:themeFillTint="80"/>
            <w:vAlign w:val="center"/>
          </w:tcPr>
          <w:p w:rsidR="0048526C" w:rsidRPr="000B7BB6" w:rsidRDefault="0048526C" w:rsidP="00785D9A">
            <w:pPr>
              <w:jc w:val="center"/>
              <w:rPr>
                <w:rStyle w:val="FootnoteReference"/>
                <w:rFonts w:cstheme="minorHAnsi"/>
                <w:b/>
                <w:color w:val="FFFFFF" w:themeColor="background1"/>
              </w:rPr>
            </w:pPr>
            <w:proofErr w:type="spellStart"/>
            <w:r w:rsidRPr="000B7BB6">
              <w:rPr>
                <w:rStyle w:val="FootnoteReference"/>
                <w:rFonts w:cstheme="minorHAnsi"/>
                <w:b/>
                <w:color w:val="FFFFFF" w:themeColor="background1"/>
              </w:rPr>
              <w:t>FLHheat</w:t>
            </w:r>
            <w:proofErr w:type="spellEnd"/>
          </w:p>
        </w:tc>
      </w:tr>
      <w:tr w:rsidR="0048526C" w:rsidRPr="00A05FC2" w:rsidTr="00785D9A">
        <w:trPr>
          <w:jc w:val="center"/>
        </w:trPr>
        <w:tc>
          <w:tcPr>
            <w:tcW w:w="1930" w:type="dxa"/>
            <w:shd w:val="clear" w:color="auto" w:fill="auto"/>
            <w:vAlign w:val="bottom"/>
          </w:tcPr>
          <w:p w:rsidR="0048526C" w:rsidRPr="00A05FC2" w:rsidRDefault="0048526C" w:rsidP="00785D9A">
            <w:pPr>
              <w:pStyle w:val="TableText"/>
            </w:pPr>
            <w:r w:rsidRPr="00A05FC2">
              <w:t>1 (Rockford)</w:t>
            </w:r>
          </w:p>
        </w:tc>
        <w:tc>
          <w:tcPr>
            <w:tcW w:w="1029" w:type="dxa"/>
            <w:shd w:val="clear" w:color="auto" w:fill="auto"/>
            <w:vAlign w:val="center"/>
          </w:tcPr>
          <w:p w:rsidR="0048526C" w:rsidRPr="00A05FC2" w:rsidRDefault="0048526C" w:rsidP="00785D9A">
            <w:pPr>
              <w:pStyle w:val="TableText"/>
            </w:pPr>
            <w:r w:rsidRPr="000B7BB6">
              <w:t>2208</w:t>
            </w:r>
          </w:p>
        </w:tc>
      </w:tr>
      <w:tr w:rsidR="0048526C" w:rsidRPr="00A05FC2" w:rsidTr="00785D9A">
        <w:trPr>
          <w:jc w:val="center"/>
        </w:trPr>
        <w:tc>
          <w:tcPr>
            <w:tcW w:w="1930" w:type="dxa"/>
            <w:shd w:val="clear" w:color="auto" w:fill="auto"/>
            <w:vAlign w:val="bottom"/>
          </w:tcPr>
          <w:p w:rsidR="0048526C" w:rsidRPr="00A05FC2" w:rsidRDefault="0048526C" w:rsidP="00785D9A">
            <w:pPr>
              <w:pStyle w:val="TableText"/>
            </w:pPr>
            <w:r w:rsidRPr="00A05FC2">
              <w:t>2 (Chicago)</w:t>
            </w:r>
          </w:p>
        </w:tc>
        <w:tc>
          <w:tcPr>
            <w:tcW w:w="1029" w:type="dxa"/>
            <w:shd w:val="clear" w:color="auto" w:fill="auto"/>
            <w:vAlign w:val="center"/>
          </w:tcPr>
          <w:p w:rsidR="0048526C" w:rsidRPr="00A05FC2" w:rsidRDefault="0048526C" w:rsidP="00785D9A">
            <w:pPr>
              <w:pStyle w:val="TableText"/>
            </w:pPr>
            <w:r w:rsidRPr="000B7BB6">
              <w:t>2064</w:t>
            </w:r>
          </w:p>
        </w:tc>
      </w:tr>
      <w:tr w:rsidR="0048526C" w:rsidRPr="00A05FC2" w:rsidTr="00785D9A">
        <w:trPr>
          <w:jc w:val="center"/>
        </w:trPr>
        <w:tc>
          <w:tcPr>
            <w:tcW w:w="1930" w:type="dxa"/>
            <w:shd w:val="clear" w:color="auto" w:fill="auto"/>
            <w:vAlign w:val="bottom"/>
          </w:tcPr>
          <w:p w:rsidR="0048526C" w:rsidRPr="00A05FC2" w:rsidRDefault="0048526C" w:rsidP="00785D9A">
            <w:pPr>
              <w:pStyle w:val="TableText"/>
            </w:pPr>
            <w:r w:rsidRPr="00A05FC2">
              <w:t>3 (Springfield)</w:t>
            </w:r>
          </w:p>
        </w:tc>
        <w:tc>
          <w:tcPr>
            <w:tcW w:w="1029" w:type="dxa"/>
            <w:shd w:val="clear" w:color="auto" w:fill="auto"/>
            <w:vAlign w:val="center"/>
          </w:tcPr>
          <w:p w:rsidR="0048526C" w:rsidRPr="00A05FC2" w:rsidRDefault="0048526C" w:rsidP="00785D9A">
            <w:pPr>
              <w:pStyle w:val="TableText"/>
            </w:pPr>
            <w:r w:rsidRPr="000B7BB6">
              <w:t>1967</w:t>
            </w:r>
          </w:p>
        </w:tc>
      </w:tr>
      <w:tr w:rsidR="0048526C" w:rsidRPr="00A05FC2" w:rsidTr="00785D9A">
        <w:trPr>
          <w:jc w:val="center"/>
        </w:trPr>
        <w:tc>
          <w:tcPr>
            <w:tcW w:w="1930" w:type="dxa"/>
            <w:shd w:val="clear" w:color="auto" w:fill="auto"/>
            <w:vAlign w:val="bottom"/>
          </w:tcPr>
          <w:p w:rsidR="0048526C" w:rsidRPr="00A05FC2" w:rsidRDefault="0048526C" w:rsidP="00785D9A">
            <w:pPr>
              <w:pStyle w:val="TableText"/>
            </w:pPr>
            <w:r w:rsidRPr="00A05FC2">
              <w:t>4 (Belleville)</w:t>
            </w:r>
          </w:p>
        </w:tc>
        <w:tc>
          <w:tcPr>
            <w:tcW w:w="1029" w:type="dxa"/>
            <w:shd w:val="clear" w:color="auto" w:fill="auto"/>
            <w:vAlign w:val="center"/>
          </w:tcPr>
          <w:p w:rsidR="0048526C" w:rsidRPr="00A05FC2" w:rsidRDefault="0048526C" w:rsidP="00785D9A">
            <w:pPr>
              <w:pStyle w:val="TableText"/>
            </w:pPr>
            <w:r w:rsidRPr="000B7BB6">
              <w:t>1420</w:t>
            </w:r>
          </w:p>
        </w:tc>
      </w:tr>
      <w:tr w:rsidR="0048526C" w:rsidRPr="00A05FC2" w:rsidTr="00785D9A">
        <w:trPr>
          <w:trHeight w:val="107"/>
          <w:jc w:val="center"/>
        </w:trPr>
        <w:tc>
          <w:tcPr>
            <w:tcW w:w="1930" w:type="dxa"/>
            <w:shd w:val="clear" w:color="auto" w:fill="auto"/>
            <w:vAlign w:val="bottom"/>
          </w:tcPr>
          <w:p w:rsidR="0048526C" w:rsidRPr="00A05FC2" w:rsidRDefault="0048526C" w:rsidP="00785D9A">
            <w:pPr>
              <w:pStyle w:val="TableText"/>
            </w:pPr>
            <w:r w:rsidRPr="00A05FC2">
              <w:t>5 (Marion)</w:t>
            </w:r>
          </w:p>
        </w:tc>
        <w:tc>
          <w:tcPr>
            <w:tcW w:w="1029" w:type="dxa"/>
            <w:shd w:val="clear" w:color="auto" w:fill="auto"/>
            <w:vAlign w:val="center"/>
          </w:tcPr>
          <w:p w:rsidR="0048526C" w:rsidRPr="00A05FC2" w:rsidRDefault="0048526C" w:rsidP="00785D9A">
            <w:pPr>
              <w:pStyle w:val="TableText"/>
            </w:pPr>
            <w:r w:rsidRPr="000B7BB6">
              <w:t>1445</w:t>
            </w:r>
          </w:p>
        </w:tc>
      </w:tr>
      <w:tr w:rsidR="0048526C" w:rsidRPr="00A05FC2" w:rsidTr="00785D9A">
        <w:trPr>
          <w:jc w:val="center"/>
        </w:trPr>
        <w:tc>
          <w:tcPr>
            <w:tcW w:w="1930" w:type="dxa"/>
            <w:shd w:val="clear" w:color="auto" w:fill="auto"/>
            <w:vAlign w:val="center"/>
          </w:tcPr>
          <w:p w:rsidR="0048526C" w:rsidRPr="00A05FC2" w:rsidRDefault="0048526C" w:rsidP="00785D9A">
            <w:pPr>
              <w:pStyle w:val="TableText"/>
            </w:pPr>
            <w:r w:rsidRPr="000B7BB6">
              <w:t>Weighted Average</w:t>
            </w:r>
            <w:r w:rsidRPr="000B7BB6">
              <w:rPr>
                <w:rStyle w:val="FootnoteReference"/>
                <w:rFonts w:cstheme="minorHAnsi"/>
              </w:rPr>
              <w:footnoteReference w:id="12"/>
            </w:r>
          </w:p>
        </w:tc>
        <w:tc>
          <w:tcPr>
            <w:tcW w:w="1029" w:type="dxa"/>
            <w:shd w:val="clear" w:color="auto" w:fill="auto"/>
            <w:vAlign w:val="center"/>
          </w:tcPr>
          <w:p w:rsidR="0048526C" w:rsidRPr="00A05FC2" w:rsidRDefault="0048526C" w:rsidP="00785D9A">
            <w:pPr>
              <w:pStyle w:val="TableText"/>
            </w:pPr>
            <w:r w:rsidRPr="000B7BB6">
              <w:t>1821</w:t>
            </w:r>
          </w:p>
        </w:tc>
      </w:tr>
    </w:tbl>
    <w:p w:rsidR="0048526C" w:rsidRPr="00A05FC2" w:rsidRDefault="0048526C" w:rsidP="0048526C">
      <w:pPr>
        <w:ind w:left="2160" w:hanging="1440"/>
        <w:rPr>
          <w:rFonts w:cstheme="minorHAnsi"/>
        </w:rPr>
      </w:pPr>
    </w:p>
    <w:p w:rsidR="0048526C" w:rsidRPr="00A05FC2" w:rsidRDefault="0048526C" w:rsidP="0048526C">
      <w:pPr>
        <w:ind w:left="720"/>
        <w:rPr>
          <w:rFonts w:cstheme="minorHAnsi"/>
          <w:noProof/>
        </w:rPr>
      </w:pPr>
      <w:r w:rsidRPr="00B41203">
        <w:rPr>
          <w:rFonts w:cstheme="minorHAnsi"/>
          <w:noProof/>
        </w:rPr>
        <w:t>Capacity_heating</w:t>
      </w:r>
      <w:r w:rsidRPr="00A05FC2">
        <w:rPr>
          <w:rFonts w:cstheme="minorHAnsi"/>
          <w:noProof/>
        </w:rPr>
        <w:tab/>
        <w:t xml:space="preserve">= Heating cpacity of equipment in </w:t>
      </w:r>
      <w:r>
        <w:rPr>
          <w:rFonts w:cstheme="minorHAnsi"/>
          <w:noProof/>
        </w:rPr>
        <w:t>Btu/hr</w:t>
      </w:r>
      <w:r w:rsidRPr="00A05FC2">
        <w:rPr>
          <w:rFonts w:cstheme="minorHAnsi"/>
          <w:noProof/>
        </w:rPr>
        <w:t xml:space="preserve"> (note 1 ton = 12,000 </w:t>
      </w:r>
      <w:r>
        <w:rPr>
          <w:rFonts w:cstheme="minorHAnsi"/>
          <w:noProof/>
        </w:rPr>
        <w:t>Btu/hr</w:t>
      </w:r>
      <w:r w:rsidRPr="00A05FC2">
        <w:rPr>
          <w:rFonts w:cstheme="minorHAnsi"/>
          <w:noProof/>
        </w:rPr>
        <w:t>)</w:t>
      </w:r>
    </w:p>
    <w:p w:rsidR="0048526C" w:rsidRPr="00A05FC2" w:rsidRDefault="0048526C" w:rsidP="0048526C">
      <w:pPr>
        <w:ind w:left="1440" w:firstLine="720"/>
        <w:rPr>
          <w:rFonts w:cstheme="minorHAnsi"/>
          <w:noProof/>
        </w:rPr>
      </w:pPr>
      <w:r w:rsidRPr="00A05FC2">
        <w:rPr>
          <w:rFonts w:cstheme="minorHAnsi"/>
          <w:noProof/>
        </w:rPr>
        <w:t xml:space="preserve">= Actual </w:t>
      </w:r>
    </w:p>
    <w:p w:rsidR="0048526C" w:rsidRPr="00A05FC2" w:rsidRDefault="0048526C" w:rsidP="0048526C">
      <w:pPr>
        <w:ind w:left="2160" w:hanging="1440"/>
        <w:rPr>
          <w:rFonts w:cstheme="minorHAnsi"/>
        </w:rPr>
      </w:pPr>
      <w:r w:rsidRPr="00A05FC2">
        <w:rPr>
          <w:rFonts w:cstheme="minorHAnsi"/>
        </w:rPr>
        <w:t>HSPF</w:t>
      </w:r>
      <w:del w:id="6" w:author="Samuel Dent" w:date="2015-12-17T06:04:00Z">
        <w:r w:rsidRPr="00A05FC2" w:rsidDel="0048526C">
          <w:rPr>
            <w:rFonts w:cstheme="minorHAnsi"/>
          </w:rPr>
          <w:delText>base</w:delText>
        </w:r>
      </w:del>
      <w:ins w:id="7" w:author="Samuel Dent" w:date="2015-12-17T06:04:00Z">
        <w:r>
          <w:rPr>
            <w:rFonts w:cstheme="minorHAnsi"/>
            <w:vertAlign w:val="subscript"/>
          </w:rPr>
          <w:t>ASHP</w:t>
        </w:r>
      </w:ins>
      <w:r w:rsidRPr="00A05FC2">
        <w:rPr>
          <w:rFonts w:cstheme="minorHAnsi"/>
        </w:rPr>
        <w:tab/>
        <w:t xml:space="preserve">= Heating Season Performance Factor </w:t>
      </w:r>
      <w:r w:rsidRPr="00A05FC2">
        <w:rPr>
          <w:rFonts w:cstheme="minorHAnsi"/>
          <w:noProof/>
        </w:rPr>
        <w:t>of existing air source heat pump unit receiving maintenence</w:t>
      </w:r>
    </w:p>
    <w:p w:rsidR="0048526C" w:rsidRPr="00A05FC2" w:rsidRDefault="0048526C" w:rsidP="0048526C">
      <w:pPr>
        <w:ind w:left="720"/>
        <w:rPr>
          <w:rFonts w:cstheme="minorHAnsi"/>
        </w:rPr>
      </w:pPr>
      <w:r w:rsidRPr="00A05FC2">
        <w:rPr>
          <w:rFonts w:cstheme="minorHAnsi"/>
        </w:rPr>
        <w:tab/>
      </w:r>
      <w:r w:rsidRPr="00A05FC2">
        <w:rPr>
          <w:rFonts w:cstheme="minorHAnsi"/>
        </w:rPr>
        <w:tab/>
        <w:t xml:space="preserve">= Actual. If unknown assume 6.8 HSPF </w:t>
      </w:r>
      <w:r w:rsidRPr="00A05FC2">
        <w:rPr>
          <w:rStyle w:val="FootnoteReference"/>
          <w:rFonts w:eastAsia="Calibri" w:cstheme="minorHAnsi"/>
        </w:rPr>
        <w:footnoteReference w:id="13"/>
      </w:r>
    </w:p>
    <w:p w:rsidR="0048526C" w:rsidRDefault="0048526C" w:rsidP="0048526C">
      <w:pPr>
        <w:rPr>
          <w:rFonts w:cstheme="minorHAnsi"/>
        </w:rPr>
      </w:pPr>
      <w:r w:rsidRPr="00B41203">
        <w:rPr>
          <w:rFonts w:cstheme="minorHAnsi"/>
          <w:noProof/>
        </w:rPr>
        <mc:AlternateContent>
          <mc:Choice Requires="wps">
            <w:drawing>
              <wp:inline distT="0" distB="0" distL="0" distR="0" wp14:anchorId="2A0E2C4D" wp14:editId="7CC63F4A">
                <wp:extent cx="5884433" cy="1733107"/>
                <wp:effectExtent l="0" t="0" r="21590" b="19685"/>
                <wp:docPr id="4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433" cy="1733107"/>
                        </a:xfrm>
                        <a:prstGeom prst="rect">
                          <a:avLst/>
                        </a:prstGeom>
                        <a:solidFill>
                          <a:srgbClr val="FFFFFF"/>
                        </a:solidFill>
                        <a:ln w="9525">
                          <a:solidFill>
                            <a:srgbClr val="000000"/>
                          </a:solidFill>
                          <a:miter lim="800000"/>
                          <a:headEnd/>
                          <a:tailEnd/>
                        </a:ln>
                      </wps:spPr>
                      <wps:txbx>
                        <w:txbxContent>
                          <w:p w:rsidR="0048526C" w:rsidRPr="002F2634" w:rsidRDefault="0048526C" w:rsidP="0048526C">
                            <w:pPr>
                              <w:rPr>
                                <w:rFonts w:cstheme="minorHAnsi"/>
                              </w:rPr>
                            </w:pPr>
                            <w:r w:rsidRPr="002F2634">
                              <w:rPr>
                                <w:rFonts w:cstheme="minorHAnsi"/>
                              </w:rPr>
                              <w:t>For example, maintenance of a 3-ton, SEER 10 air conditioning unit in a single family house in Springfield:</w:t>
                            </w:r>
                          </w:p>
                          <w:p w:rsidR="0048526C" w:rsidRPr="002F2634" w:rsidRDefault="0048526C" w:rsidP="0048526C">
                            <w:pPr>
                              <w:ind w:left="720"/>
                              <w:rPr>
                                <w:rFonts w:cstheme="minorHAnsi"/>
                              </w:rPr>
                            </w:pPr>
                            <w:r w:rsidRPr="002F2634">
                              <w:rPr>
                                <w:rFonts w:cstheme="minorHAnsi"/>
                              </w:rPr>
                              <w:tab/>
                            </w:r>
                            <w:r w:rsidRPr="002F2634">
                              <w:rPr>
                                <w:rFonts w:cstheme="minorHAnsi"/>
                                <w:noProof/>
                              </w:rPr>
                              <w:t>Δ</w:t>
                            </w:r>
                            <w:proofErr w:type="spellStart"/>
                            <w:r w:rsidRPr="002F2634">
                              <w:rPr>
                                <w:rFonts w:cstheme="minorHAnsi"/>
                              </w:rPr>
                              <w:t>kWh</w:t>
                            </w:r>
                            <w:r w:rsidRPr="002F2634">
                              <w:rPr>
                                <w:rFonts w:cstheme="minorHAnsi"/>
                                <w:noProof/>
                                <w:vertAlign w:val="subscript"/>
                              </w:rPr>
                              <w:t>CAC</w:t>
                            </w:r>
                            <w:proofErr w:type="spellEnd"/>
                            <w:r w:rsidRPr="002F2634">
                              <w:rPr>
                                <w:rFonts w:cstheme="minorHAnsi"/>
                                <w:noProof/>
                                <w:vertAlign w:val="subscript"/>
                              </w:rPr>
                              <w:tab/>
                            </w:r>
                            <w:r w:rsidRPr="002F2634">
                              <w:rPr>
                                <w:rFonts w:cstheme="minorHAnsi"/>
                              </w:rPr>
                              <w:tab/>
                              <w:t xml:space="preserve">= </w:t>
                            </w:r>
                            <w:r w:rsidRPr="002F2634">
                              <w:rPr>
                                <w:rFonts w:cstheme="minorHAnsi"/>
                                <w:noProof/>
                              </w:rPr>
                              <w:t>(730 * 36,000 * (1/10))/1000  *</w:t>
                            </w:r>
                            <w:r w:rsidRPr="002F2634">
                              <w:rPr>
                                <w:rFonts w:cstheme="minorHAnsi"/>
                              </w:rPr>
                              <w:t xml:space="preserve"> 0.05</w:t>
                            </w:r>
                          </w:p>
                          <w:p w:rsidR="0048526C" w:rsidRPr="002F2634" w:rsidRDefault="0048526C" w:rsidP="0048526C">
                            <w:pPr>
                              <w:ind w:left="720"/>
                              <w:rPr>
                                <w:rFonts w:cstheme="minorHAnsi"/>
                              </w:rPr>
                            </w:pPr>
                            <w:r w:rsidRPr="002F2634">
                              <w:rPr>
                                <w:rFonts w:cstheme="minorHAnsi"/>
                              </w:rPr>
                              <w:tab/>
                            </w:r>
                            <w:r w:rsidRPr="002F2634">
                              <w:rPr>
                                <w:rFonts w:cstheme="minorHAnsi"/>
                              </w:rPr>
                              <w:tab/>
                            </w:r>
                            <w:r w:rsidRPr="002F2634">
                              <w:rPr>
                                <w:rFonts w:cstheme="minorHAnsi"/>
                              </w:rPr>
                              <w:tab/>
                              <w:t>= 131 kWh</w:t>
                            </w:r>
                          </w:p>
                          <w:p w:rsidR="0048526C" w:rsidRPr="002F2634" w:rsidRDefault="0048526C" w:rsidP="0048526C">
                            <w:pPr>
                              <w:rPr>
                                <w:rFonts w:cstheme="minorHAnsi"/>
                              </w:rPr>
                            </w:pPr>
                            <w:r w:rsidRPr="002F2634">
                              <w:rPr>
                                <w:rFonts w:cstheme="minorHAnsi"/>
                              </w:rPr>
                              <w:t>For example, maintenance of a 3-ton, SEER 10, HSPF 6.8 air source heat pump unit in a single family house in Springfield:</w:t>
                            </w:r>
                          </w:p>
                          <w:p w:rsidR="0048526C" w:rsidRPr="002F2634" w:rsidRDefault="0048526C" w:rsidP="0048526C">
                            <w:pPr>
                              <w:ind w:left="2880" w:hanging="1440"/>
                              <w:rPr>
                                <w:rFonts w:cstheme="minorHAnsi"/>
                              </w:rPr>
                            </w:pPr>
                            <w:r w:rsidRPr="002F2634">
                              <w:rPr>
                                <w:rFonts w:cstheme="minorHAnsi"/>
                                <w:noProof/>
                              </w:rPr>
                              <w:t>Δ</w:t>
                            </w:r>
                            <w:proofErr w:type="spellStart"/>
                            <w:r w:rsidRPr="002F2634">
                              <w:rPr>
                                <w:rFonts w:cstheme="minorHAnsi"/>
                              </w:rPr>
                              <w:t>kWh</w:t>
                            </w:r>
                            <w:r w:rsidRPr="002F2634">
                              <w:rPr>
                                <w:rFonts w:cstheme="minorHAnsi"/>
                                <w:noProof/>
                                <w:vertAlign w:val="subscript"/>
                              </w:rPr>
                              <w:t>ASHP</w:t>
                            </w:r>
                            <w:proofErr w:type="spellEnd"/>
                            <w:r w:rsidRPr="002F2634">
                              <w:rPr>
                                <w:rFonts w:cstheme="minorHAnsi"/>
                              </w:rPr>
                              <w:tab/>
                              <w:t>= (</w:t>
                            </w:r>
                            <w:r w:rsidRPr="002F2634">
                              <w:rPr>
                                <w:rFonts w:cstheme="minorHAnsi"/>
                                <w:noProof/>
                              </w:rPr>
                              <w:t>(730 * 36,000 * (1/10))/1000  *</w:t>
                            </w:r>
                            <w:r w:rsidRPr="002F2634">
                              <w:rPr>
                                <w:rFonts w:cstheme="minorHAnsi"/>
                              </w:rPr>
                              <w:t xml:space="preserve"> 0.05) + (</w:t>
                            </w:r>
                            <w:r w:rsidRPr="002F2634">
                              <w:rPr>
                                <w:rFonts w:cstheme="minorHAnsi"/>
                                <w:noProof/>
                              </w:rPr>
                              <w:t xml:space="preserve">1967 * </w:t>
                            </w:r>
                            <w:r w:rsidRPr="002F2634">
                              <w:rPr>
                                <w:rFonts w:cstheme="minorHAnsi"/>
                              </w:rPr>
                              <w:t>36,000 * (1/6.8))/1000 * 0.05)</w:t>
                            </w:r>
                          </w:p>
                          <w:p w:rsidR="0048526C" w:rsidRPr="002F2634" w:rsidRDefault="0048526C" w:rsidP="0048526C">
                            <w:pPr>
                              <w:ind w:left="720"/>
                              <w:rPr>
                                <w:rFonts w:cstheme="minorHAnsi"/>
                              </w:rPr>
                            </w:pPr>
                            <w:r w:rsidRPr="002F2634">
                              <w:rPr>
                                <w:rFonts w:cstheme="minorHAnsi"/>
                              </w:rPr>
                              <w:tab/>
                            </w:r>
                            <w:r w:rsidRPr="002F2634">
                              <w:rPr>
                                <w:rFonts w:cstheme="minorHAnsi"/>
                              </w:rPr>
                              <w:tab/>
                            </w:r>
                            <w:r w:rsidRPr="002F2634">
                              <w:rPr>
                                <w:rFonts w:cstheme="minorHAnsi"/>
                              </w:rPr>
                              <w:tab/>
                              <w:t>= 652 kWh</w:t>
                            </w:r>
                          </w:p>
                          <w:p w:rsidR="0048526C" w:rsidRDefault="0048526C" w:rsidP="0048526C"/>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3.35pt;height:1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Di6JgIAAEcEAAAOAAAAZHJzL2Uyb0RvYy54bWysU9uO2yAQfa/Uf0C8N7YTp8lacVbbbFNV&#10;2l6k3X4AxjhGBcYFEnv79Ttgb5reXqrygBhmOMycM7O5HrQiJ2GdBFPSbJZSIgyHWppDSb887F+t&#10;KXGemZopMKKkj8LR6+3LF5u+K8QcWlC1sARBjCv6rqSt912RJI63QjM3g04YdDZgNfNo2kNSW9Yj&#10;ulbJPE1fJz3YurPAhXN4ezs66TbiN43g/lPTOOGJKinm5uNu416FPdluWHGwrGsln9Jg/5CFZtLg&#10;p2eoW+YZOVr5G5SW3IKDxs846ASaRnIRa8BqsvSXau5b1olYC5LjujNN7v/B8o+nz5bIuqT5KqfE&#10;MI0iPYjBkzcwkHngp+9cgWH3HQb6Aa9R51ir6+6Af3XEwK5l5iBurIW+FazG/LLwMrl4OuK4AFL1&#10;H6DGb9jRQwQaGqsDeUgHQXTU6fGsTUiF4+Vyvc7zxYISjr5stVhk6Sr+wYrn5511/p0ATcKhpBbF&#10;j/DsdOd8SIcVzyHhNwdK1nupVDTsodopS04MG2Uf14T+U5gypC/p1XK+HBn4K0Qa158gtPTY8Urq&#10;kq7PQawIvL01dexHz6Qaz5iyMhORgbuRRT9UwyRMBfUjUmph7GycRDy0YL9T0mNXl9R9OzIrKFHv&#10;DcpyleV5GINo5MvVHA176akuPcxwhCqpp2Q87nwcnUCYgRuUr5GR2KDzmMmUK3Zr5HuarDAOl3aM&#10;+jH/2ycAAAD//wMAUEsDBBQABgAIAAAAIQAKOjT23QAAAAUBAAAPAAAAZHJzL2Rvd25yZXYueG1s&#10;TI/BTsMwEETvSPyDtUi9IOo0oKQJcSpUCQQ3KFW5uvE2iWqvg+2m4e8xXOCy0mhGM2+r1WQ0G9H5&#10;3pKAxTwBhtRY1VMrYPv+eLME5oMkJbUlFPCFHlb15UUlS2XP9IbjJrQslpAvpYAuhKHk3DcdGunn&#10;dkCK3sE6I0OUruXKyXMsN5qnSZJxI3uKC50ccN1hc9ycjIDl3fP44V9uX3dNdtBFuM7Hp08nxOxq&#10;ergHFnAKf2H4wY/oUEemvT2R8kwLiI+E3xu9Is1yYHsBaZ4WwOuK/6evvwEAAP//AwBQSwECLQAU&#10;AAYACAAAACEAtoM4kv4AAADhAQAAEwAAAAAAAAAAAAAAAAAAAAAAW0NvbnRlbnRfVHlwZXNdLnht&#10;bFBLAQItABQABgAIAAAAIQA4/SH/1gAAAJQBAAALAAAAAAAAAAAAAAAAAC8BAABfcmVscy8ucmVs&#10;c1BLAQItABQABgAIAAAAIQBt2Di6JgIAAEcEAAAOAAAAAAAAAAAAAAAAAC4CAABkcnMvZTJvRG9j&#10;LnhtbFBLAQItABQABgAIAAAAIQAKOjT23QAAAAUBAAAPAAAAAAAAAAAAAAAAAIAEAABkcnMvZG93&#10;bnJldi54bWxQSwUGAAAAAAQABADzAAAAigUAAAAA&#10;">
                <v:textbox>
                  <w:txbxContent>
                    <w:p w:rsidR="0048526C" w:rsidRPr="002F2634" w:rsidRDefault="0048526C" w:rsidP="0048526C">
                      <w:pPr>
                        <w:rPr>
                          <w:rFonts w:cstheme="minorHAnsi"/>
                        </w:rPr>
                      </w:pPr>
                      <w:r w:rsidRPr="002F2634">
                        <w:rPr>
                          <w:rFonts w:cstheme="minorHAnsi"/>
                        </w:rPr>
                        <w:t>For example, maintenance of a 3-ton, SEER 10 air conditioning unit in a single family house in Springfield:</w:t>
                      </w:r>
                    </w:p>
                    <w:p w:rsidR="0048526C" w:rsidRPr="002F2634" w:rsidRDefault="0048526C" w:rsidP="0048526C">
                      <w:pPr>
                        <w:ind w:left="720"/>
                        <w:rPr>
                          <w:rFonts w:cstheme="minorHAnsi"/>
                        </w:rPr>
                      </w:pPr>
                      <w:r w:rsidRPr="002F2634">
                        <w:rPr>
                          <w:rFonts w:cstheme="minorHAnsi"/>
                        </w:rPr>
                        <w:tab/>
                      </w:r>
                      <w:r w:rsidRPr="002F2634">
                        <w:rPr>
                          <w:rFonts w:cstheme="minorHAnsi"/>
                          <w:noProof/>
                        </w:rPr>
                        <w:t>Δ</w:t>
                      </w:r>
                      <w:proofErr w:type="spellStart"/>
                      <w:r w:rsidRPr="002F2634">
                        <w:rPr>
                          <w:rFonts w:cstheme="minorHAnsi"/>
                        </w:rPr>
                        <w:t>kWh</w:t>
                      </w:r>
                      <w:r w:rsidRPr="002F2634">
                        <w:rPr>
                          <w:rFonts w:cstheme="minorHAnsi"/>
                          <w:noProof/>
                          <w:vertAlign w:val="subscript"/>
                        </w:rPr>
                        <w:t>CAC</w:t>
                      </w:r>
                      <w:proofErr w:type="spellEnd"/>
                      <w:r w:rsidRPr="002F2634">
                        <w:rPr>
                          <w:rFonts w:cstheme="minorHAnsi"/>
                          <w:noProof/>
                          <w:vertAlign w:val="subscript"/>
                        </w:rPr>
                        <w:tab/>
                      </w:r>
                      <w:r w:rsidRPr="002F2634">
                        <w:rPr>
                          <w:rFonts w:cstheme="minorHAnsi"/>
                        </w:rPr>
                        <w:tab/>
                        <w:t xml:space="preserve">= </w:t>
                      </w:r>
                      <w:r w:rsidRPr="002F2634">
                        <w:rPr>
                          <w:rFonts w:cstheme="minorHAnsi"/>
                          <w:noProof/>
                        </w:rPr>
                        <w:t>(730 * 36,000 * (1/10))/1000  *</w:t>
                      </w:r>
                      <w:r w:rsidRPr="002F2634">
                        <w:rPr>
                          <w:rFonts w:cstheme="minorHAnsi"/>
                        </w:rPr>
                        <w:t xml:space="preserve"> 0.05</w:t>
                      </w:r>
                    </w:p>
                    <w:p w:rsidR="0048526C" w:rsidRPr="002F2634" w:rsidRDefault="0048526C" w:rsidP="0048526C">
                      <w:pPr>
                        <w:ind w:left="720"/>
                        <w:rPr>
                          <w:rFonts w:cstheme="minorHAnsi"/>
                        </w:rPr>
                      </w:pPr>
                      <w:r w:rsidRPr="002F2634">
                        <w:rPr>
                          <w:rFonts w:cstheme="minorHAnsi"/>
                        </w:rPr>
                        <w:tab/>
                      </w:r>
                      <w:r w:rsidRPr="002F2634">
                        <w:rPr>
                          <w:rFonts w:cstheme="minorHAnsi"/>
                        </w:rPr>
                        <w:tab/>
                      </w:r>
                      <w:r w:rsidRPr="002F2634">
                        <w:rPr>
                          <w:rFonts w:cstheme="minorHAnsi"/>
                        </w:rPr>
                        <w:tab/>
                        <w:t>= 131 kWh</w:t>
                      </w:r>
                    </w:p>
                    <w:p w:rsidR="0048526C" w:rsidRPr="002F2634" w:rsidRDefault="0048526C" w:rsidP="0048526C">
                      <w:pPr>
                        <w:rPr>
                          <w:rFonts w:cstheme="minorHAnsi"/>
                        </w:rPr>
                      </w:pPr>
                      <w:r w:rsidRPr="002F2634">
                        <w:rPr>
                          <w:rFonts w:cstheme="minorHAnsi"/>
                        </w:rPr>
                        <w:t>For example, maintenance of a 3-ton, SEER 10, HSPF 6.8 air source heat pump unit in a single family house in Springfield:</w:t>
                      </w:r>
                    </w:p>
                    <w:p w:rsidR="0048526C" w:rsidRPr="002F2634" w:rsidRDefault="0048526C" w:rsidP="0048526C">
                      <w:pPr>
                        <w:ind w:left="2880" w:hanging="1440"/>
                        <w:rPr>
                          <w:rFonts w:cstheme="minorHAnsi"/>
                        </w:rPr>
                      </w:pPr>
                      <w:r w:rsidRPr="002F2634">
                        <w:rPr>
                          <w:rFonts w:cstheme="minorHAnsi"/>
                          <w:noProof/>
                        </w:rPr>
                        <w:t>Δ</w:t>
                      </w:r>
                      <w:proofErr w:type="spellStart"/>
                      <w:r w:rsidRPr="002F2634">
                        <w:rPr>
                          <w:rFonts w:cstheme="minorHAnsi"/>
                        </w:rPr>
                        <w:t>kWh</w:t>
                      </w:r>
                      <w:r w:rsidRPr="002F2634">
                        <w:rPr>
                          <w:rFonts w:cstheme="minorHAnsi"/>
                          <w:noProof/>
                          <w:vertAlign w:val="subscript"/>
                        </w:rPr>
                        <w:t>ASHP</w:t>
                      </w:r>
                      <w:proofErr w:type="spellEnd"/>
                      <w:r w:rsidRPr="002F2634">
                        <w:rPr>
                          <w:rFonts w:cstheme="minorHAnsi"/>
                        </w:rPr>
                        <w:tab/>
                        <w:t>= (</w:t>
                      </w:r>
                      <w:r w:rsidRPr="002F2634">
                        <w:rPr>
                          <w:rFonts w:cstheme="minorHAnsi"/>
                          <w:noProof/>
                        </w:rPr>
                        <w:t>(730 * 36,000 * (1/10))/1000  *</w:t>
                      </w:r>
                      <w:r w:rsidRPr="002F2634">
                        <w:rPr>
                          <w:rFonts w:cstheme="minorHAnsi"/>
                        </w:rPr>
                        <w:t xml:space="preserve"> 0.05) + (</w:t>
                      </w:r>
                      <w:r w:rsidRPr="002F2634">
                        <w:rPr>
                          <w:rFonts w:cstheme="minorHAnsi"/>
                          <w:noProof/>
                        </w:rPr>
                        <w:t xml:space="preserve">1967 * </w:t>
                      </w:r>
                      <w:r w:rsidRPr="002F2634">
                        <w:rPr>
                          <w:rFonts w:cstheme="minorHAnsi"/>
                        </w:rPr>
                        <w:t>36,000 * (1/6.8))/1000 * 0.05)</w:t>
                      </w:r>
                    </w:p>
                    <w:p w:rsidR="0048526C" w:rsidRPr="002F2634" w:rsidRDefault="0048526C" w:rsidP="0048526C">
                      <w:pPr>
                        <w:ind w:left="720"/>
                        <w:rPr>
                          <w:rFonts w:cstheme="minorHAnsi"/>
                        </w:rPr>
                      </w:pPr>
                      <w:r w:rsidRPr="002F2634">
                        <w:rPr>
                          <w:rFonts w:cstheme="minorHAnsi"/>
                        </w:rPr>
                        <w:tab/>
                      </w:r>
                      <w:r w:rsidRPr="002F2634">
                        <w:rPr>
                          <w:rFonts w:cstheme="minorHAnsi"/>
                        </w:rPr>
                        <w:tab/>
                      </w:r>
                      <w:r w:rsidRPr="002F2634">
                        <w:rPr>
                          <w:rFonts w:cstheme="minorHAnsi"/>
                        </w:rPr>
                        <w:tab/>
                        <w:t>= 652 kWh</w:t>
                      </w:r>
                    </w:p>
                    <w:p w:rsidR="0048526C" w:rsidRDefault="0048526C" w:rsidP="0048526C"/>
                  </w:txbxContent>
                </v:textbox>
                <w10:anchorlock/>
              </v:shape>
            </w:pict>
          </mc:Fallback>
        </mc:AlternateContent>
      </w:r>
    </w:p>
    <w:p w:rsidR="0048526C" w:rsidRPr="00A05FC2" w:rsidRDefault="0048526C" w:rsidP="0048526C">
      <w:pPr>
        <w:pStyle w:val="Heading6"/>
      </w:pPr>
      <w:r w:rsidRPr="00A05FC2">
        <w:t xml:space="preserve">Summer Coincident Peak Demand Savings </w:t>
      </w:r>
    </w:p>
    <w:p w:rsidR="0048526C" w:rsidRPr="00A05FC2" w:rsidRDefault="0048526C" w:rsidP="0048526C">
      <w:pPr>
        <w:tabs>
          <w:tab w:val="left" w:pos="1440"/>
          <w:tab w:val="left" w:pos="2160"/>
        </w:tabs>
        <w:ind w:left="2340" w:hanging="2340"/>
        <w:rPr>
          <w:rFonts w:cstheme="minorHAnsi"/>
        </w:rPr>
      </w:pPr>
      <w:r w:rsidRPr="00A05FC2">
        <w:rPr>
          <w:rFonts w:cstheme="minorHAnsi"/>
        </w:rPr>
        <w:tab/>
      </w:r>
      <w:r>
        <w:rPr>
          <w:rFonts w:cstheme="minorHAnsi"/>
        </w:rPr>
        <w:t>∆</w:t>
      </w:r>
      <w:r w:rsidRPr="00A05FC2">
        <w:rPr>
          <w:rFonts w:cstheme="minorHAnsi"/>
          <w:noProof/>
        </w:rPr>
        <w:t>kW</w:t>
      </w:r>
      <w:r w:rsidRPr="00A05FC2">
        <w:rPr>
          <w:rFonts w:cstheme="minorHAnsi"/>
          <w:vertAlign w:val="subscript"/>
        </w:rPr>
        <w:tab/>
      </w:r>
      <w:r w:rsidRPr="00A05FC2">
        <w:rPr>
          <w:rFonts w:cstheme="minorHAnsi"/>
          <w:b/>
        </w:rPr>
        <w:t xml:space="preserve">= </w:t>
      </w:r>
      <w:r w:rsidRPr="00A05FC2">
        <w:rPr>
          <w:rFonts w:cstheme="minorHAnsi"/>
          <w:noProof/>
        </w:rPr>
        <w:t>Capacity_cooling * (1/EER)/1000  *</w:t>
      </w:r>
      <w:r w:rsidRPr="00A05FC2">
        <w:rPr>
          <w:rFonts w:cstheme="minorHAnsi"/>
        </w:rPr>
        <w:t xml:space="preserve"> </w:t>
      </w:r>
      <w:proofErr w:type="spellStart"/>
      <w:r w:rsidRPr="00A05FC2">
        <w:rPr>
          <w:rFonts w:cstheme="minorHAnsi"/>
        </w:rPr>
        <w:t>MFd</w:t>
      </w:r>
      <w:proofErr w:type="spellEnd"/>
      <w:r w:rsidRPr="00A05FC2">
        <w:rPr>
          <w:rFonts w:cstheme="minorHAnsi"/>
        </w:rPr>
        <w:t xml:space="preserve"> * CF</w:t>
      </w:r>
    </w:p>
    <w:p w:rsidR="0048526C" w:rsidRPr="00A05FC2" w:rsidRDefault="0048526C" w:rsidP="0048526C">
      <w:pPr>
        <w:tabs>
          <w:tab w:val="left" w:pos="1440"/>
          <w:tab w:val="left" w:pos="2160"/>
        </w:tabs>
        <w:ind w:left="2340" w:hanging="2340"/>
        <w:rPr>
          <w:rFonts w:cstheme="minorHAnsi"/>
        </w:rPr>
      </w:pPr>
      <w:r w:rsidRPr="00A05FC2">
        <w:rPr>
          <w:rFonts w:cstheme="minorHAnsi"/>
        </w:rPr>
        <w:lastRenderedPageBreak/>
        <w:t>Where:</w:t>
      </w:r>
    </w:p>
    <w:p w:rsidR="0048526C" w:rsidRPr="00A05FC2" w:rsidRDefault="0048526C" w:rsidP="0048526C">
      <w:pPr>
        <w:ind w:left="720"/>
        <w:rPr>
          <w:rFonts w:cstheme="minorHAnsi"/>
          <w:noProof/>
        </w:rPr>
      </w:pPr>
      <w:r w:rsidRPr="00A05FC2">
        <w:rPr>
          <w:rFonts w:cstheme="minorHAnsi"/>
          <w:noProof/>
        </w:rPr>
        <w:t xml:space="preserve">EER </w:t>
      </w:r>
      <w:r w:rsidRPr="00A05FC2">
        <w:rPr>
          <w:rFonts w:cstheme="minorHAnsi"/>
          <w:noProof/>
        </w:rPr>
        <w:tab/>
      </w:r>
      <w:r w:rsidRPr="00A05FC2">
        <w:rPr>
          <w:rFonts w:cstheme="minorHAnsi"/>
          <w:noProof/>
        </w:rPr>
        <w:tab/>
        <w:t>= EER Efficiency of existing unit receiving maintenance in Btu/H/Watts</w:t>
      </w:r>
    </w:p>
    <w:p w:rsidR="0048526C" w:rsidRPr="00A05FC2" w:rsidRDefault="0048526C" w:rsidP="0048526C">
      <w:pPr>
        <w:ind w:left="1440" w:firstLine="720"/>
        <w:rPr>
          <w:rFonts w:cstheme="minorHAnsi"/>
          <w:noProof/>
        </w:rPr>
      </w:pPr>
      <w:r w:rsidRPr="00A05FC2">
        <w:rPr>
          <w:rFonts w:cstheme="minorHAnsi"/>
          <w:noProof/>
        </w:rPr>
        <w:t>= Calculate using Actual SEER</w:t>
      </w:r>
    </w:p>
    <w:p w:rsidR="0048526C" w:rsidRPr="00A05FC2" w:rsidRDefault="0048526C" w:rsidP="0048526C">
      <w:pPr>
        <w:ind w:left="2160"/>
        <w:rPr>
          <w:rFonts w:cstheme="minorHAnsi"/>
          <w:noProof/>
        </w:rPr>
      </w:pPr>
      <w:r w:rsidRPr="00A05FC2">
        <w:rPr>
          <w:rFonts w:cstheme="minorHAnsi"/>
          <w:noProof/>
        </w:rPr>
        <w:t xml:space="preserve">= </w:t>
      </w:r>
      <w:r w:rsidRPr="00B41203">
        <w:rPr>
          <w:rFonts w:cstheme="minorHAnsi"/>
        </w:rPr>
        <w:t>- 0.02*SEER</w:t>
      </w:r>
      <w:r w:rsidRPr="000B7BB6">
        <w:rPr>
          <w:rFonts w:cstheme="minorHAnsi"/>
          <w:vertAlign w:val="superscript"/>
        </w:rPr>
        <w:t>2</w:t>
      </w:r>
      <w:r w:rsidRPr="000B7BB6">
        <w:rPr>
          <w:rFonts w:cstheme="minorHAnsi"/>
        </w:rPr>
        <w:t xml:space="preserve"> + 1.12*SEER</w:t>
      </w:r>
      <w:r w:rsidRPr="00A05FC2" w:rsidDel="000E51A6">
        <w:rPr>
          <w:rFonts w:cstheme="minorHAnsi"/>
          <w:noProof/>
        </w:rPr>
        <w:t xml:space="preserve"> </w:t>
      </w:r>
      <w:r w:rsidRPr="00A05FC2">
        <w:rPr>
          <w:rStyle w:val="FootnoteReference"/>
          <w:rFonts w:eastAsia="Calibri" w:cstheme="minorHAnsi"/>
          <w:noProof/>
        </w:rPr>
        <w:footnoteReference w:id="14"/>
      </w:r>
    </w:p>
    <w:p w:rsidR="0048526C" w:rsidRPr="00A05FC2" w:rsidRDefault="0048526C" w:rsidP="0048526C">
      <w:pPr>
        <w:ind w:left="720"/>
        <w:rPr>
          <w:rFonts w:cstheme="minorHAnsi"/>
          <w:noProof/>
        </w:rPr>
      </w:pPr>
      <w:r w:rsidRPr="00A05FC2">
        <w:rPr>
          <w:rFonts w:cstheme="minorHAnsi"/>
          <w:noProof/>
        </w:rPr>
        <w:t>MFd</w:t>
      </w:r>
      <w:r w:rsidRPr="00A05FC2">
        <w:rPr>
          <w:rFonts w:cstheme="minorHAnsi"/>
          <w:noProof/>
        </w:rPr>
        <w:tab/>
      </w:r>
      <w:r w:rsidRPr="00A05FC2">
        <w:rPr>
          <w:rFonts w:cstheme="minorHAnsi"/>
          <w:noProof/>
        </w:rPr>
        <w:tab/>
        <w:t>= Maintenance demand savings factor</w:t>
      </w:r>
    </w:p>
    <w:p w:rsidR="0048526C" w:rsidRPr="00A05FC2" w:rsidRDefault="0048526C" w:rsidP="0048526C">
      <w:pPr>
        <w:ind w:left="720"/>
        <w:rPr>
          <w:rFonts w:cstheme="minorHAnsi"/>
          <w:noProof/>
        </w:rPr>
      </w:pPr>
      <w:r w:rsidRPr="00A05FC2">
        <w:rPr>
          <w:rFonts w:cstheme="minorHAnsi"/>
          <w:noProof/>
        </w:rPr>
        <w:tab/>
      </w:r>
      <w:r w:rsidRPr="00A05FC2">
        <w:rPr>
          <w:rFonts w:cstheme="minorHAnsi"/>
          <w:noProof/>
        </w:rPr>
        <w:tab/>
        <w:t xml:space="preserve">= 0.02 </w:t>
      </w:r>
      <w:r w:rsidRPr="00A05FC2">
        <w:rPr>
          <w:rStyle w:val="FootnoteReference"/>
          <w:rFonts w:eastAsia="Calibri" w:cstheme="minorHAnsi"/>
          <w:noProof/>
        </w:rPr>
        <w:footnoteReference w:id="15"/>
      </w:r>
    </w:p>
    <w:p w:rsidR="0048526C" w:rsidRPr="000B7BB6" w:rsidRDefault="0048526C" w:rsidP="0048526C">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Summer System Peak Coincidence Factor for Central A/C (during system peak hour)</w:t>
      </w:r>
    </w:p>
    <w:p w:rsidR="0048526C" w:rsidRPr="00B41203" w:rsidRDefault="0048526C" w:rsidP="0048526C">
      <w:pPr>
        <w:ind w:left="720" w:firstLine="720"/>
        <w:rPr>
          <w:rFonts w:cstheme="minorHAnsi"/>
        </w:rPr>
      </w:pPr>
      <w:r w:rsidRPr="000B7BB6">
        <w:rPr>
          <w:rFonts w:cstheme="minorHAnsi"/>
        </w:rPr>
        <w:tab/>
        <w:t xml:space="preserve">= </w:t>
      </w:r>
      <w:r>
        <w:rPr>
          <w:rFonts w:cstheme="minorHAnsi"/>
        </w:rPr>
        <w:t>68</w:t>
      </w:r>
      <w:r w:rsidRPr="000B7BB6">
        <w:rPr>
          <w:rFonts w:cstheme="minorHAnsi"/>
        </w:rPr>
        <w:t>%</w:t>
      </w:r>
      <w:r w:rsidRPr="000B7BB6">
        <w:rPr>
          <w:rStyle w:val="FootnoteReference"/>
          <w:rFonts w:cstheme="minorHAnsi"/>
        </w:rPr>
        <w:footnoteReference w:id="16"/>
      </w:r>
    </w:p>
    <w:p w:rsidR="0048526C" w:rsidRPr="000B7BB6" w:rsidRDefault="0048526C" w:rsidP="0048526C">
      <w:pPr>
        <w:ind w:left="2160" w:hanging="1440"/>
        <w:rPr>
          <w:rFonts w:cstheme="minorHAnsi"/>
        </w:rPr>
      </w:pPr>
      <w:r w:rsidRPr="00B41203">
        <w:rPr>
          <w:rFonts w:cstheme="minorHAnsi"/>
        </w:rPr>
        <w:t>CF</w:t>
      </w:r>
      <w:r w:rsidRPr="000B7BB6">
        <w:rPr>
          <w:rFonts w:cstheme="minorHAnsi"/>
          <w:vertAlign w:val="subscript"/>
        </w:rPr>
        <w:t>SSP</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(during system peak hour)</w:t>
      </w:r>
    </w:p>
    <w:p w:rsidR="0048526C" w:rsidRPr="00B41203" w:rsidRDefault="0048526C" w:rsidP="0048526C">
      <w:pPr>
        <w:ind w:left="720"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17"/>
      </w:r>
    </w:p>
    <w:p w:rsidR="0048526C" w:rsidRPr="000B7BB6" w:rsidRDefault="0048526C" w:rsidP="0048526C">
      <w:pPr>
        <w:ind w:left="2160" w:hanging="1440"/>
        <w:rPr>
          <w:rFonts w:cstheme="minorHAnsi"/>
        </w:rPr>
      </w:pPr>
      <w:r w:rsidRPr="000B7BB6">
        <w:rPr>
          <w:rFonts w:cstheme="minorHAnsi"/>
        </w:rPr>
        <w:t>CF</w:t>
      </w:r>
      <w:r w:rsidRPr="000B7BB6">
        <w:rPr>
          <w:rFonts w:cstheme="minorHAnsi"/>
          <w:vertAlign w:val="subscript"/>
        </w:rPr>
        <w:t>PJM</w:t>
      </w:r>
      <w:r w:rsidRPr="000B7BB6">
        <w:rPr>
          <w:rFonts w:cstheme="minorHAnsi"/>
        </w:rPr>
        <w:t xml:space="preserve"> </w:t>
      </w:r>
      <w:r w:rsidRPr="000B7BB6">
        <w:rPr>
          <w:rFonts w:cstheme="minorHAnsi"/>
        </w:rPr>
        <w:tab/>
        <w:t>= PJM Summer Peak Coincidence Factor for Central A/C</w:t>
      </w:r>
      <w:ins w:id="8" w:author="Samuel Dent" w:date="2015-12-17T06:06:00Z">
        <w:r w:rsidR="009529D8">
          <w:rPr>
            <w:rFonts w:cstheme="minorHAnsi"/>
          </w:rPr>
          <w:t xml:space="preserve"> and Heat Pumps</w:t>
        </w:r>
      </w:ins>
      <w:bookmarkStart w:id="9" w:name="_GoBack"/>
      <w:bookmarkEnd w:id="9"/>
      <w:r w:rsidRPr="000B7BB6">
        <w:rPr>
          <w:rFonts w:cstheme="minorHAnsi"/>
        </w:rPr>
        <w:t xml:space="preserve"> (average during peak period)</w:t>
      </w:r>
    </w:p>
    <w:p w:rsidR="0048526C" w:rsidRDefault="0048526C" w:rsidP="0048526C">
      <w:pPr>
        <w:ind w:left="1440" w:firstLine="720"/>
        <w:rPr>
          <w:ins w:id="10" w:author="Samuel Dent" w:date="2015-12-17T06:06:00Z"/>
          <w:rFonts w:cstheme="minorHAnsi"/>
        </w:rPr>
      </w:pPr>
      <w:r w:rsidRPr="000B7BB6">
        <w:rPr>
          <w:rFonts w:cstheme="minorHAnsi"/>
        </w:rPr>
        <w:t>= 46.6%</w:t>
      </w:r>
      <w:r w:rsidRPr="000B7BB6">
        <w:rPr>
          <w:rStyle w:val="FootnoteReference"/>
          <w:rFonts w:cstheme="minorHAnsi"/>
        </w:rPr>
        <w:footnoteReference w:id="18"/>
      </w:r>
    </w:p>
    <w:p w:rsidR="009529D8" w:rsidRPr="00B41203" w:rsidRDefault="009529D8" w:rsidP="0048526C">
      <w:pPr>
        <w:ind w:left="1440" w:firstLine="720"/>
        <w:rPr>
          <w:rFonts w:cstheme="minorHAnsi"/>
        </w:rPr>
      </w:pPr>
    </w:p>
    <w:p w:rsidR="0048526C" w:rsidRDefault="0048526C" w:rsidP="0048526C">
      <w:pPr>
        <w:ind w:left="720" w:hanging="720"/>
        <w:rPr>
          <w:rFonts w:cstheme="minorHAnsi"/>
        </w:rPr>
      </w:pPr>
      <w:r w:rsidRPr="00B41203">
        <w:rPr>
          <w:rFonts w:cstheme="minorHAnsi"/>
          <w:noProof/>
        </w:rPr>
        <mc:AlternateContent>
          <mc:Choice Requires="wps">
            <w:drawing>
              <wp:inline distT="0" distB="0" distL="0" distR="0" wp14:anchorId="0B82822F" wp14:editId="28C90E5B">
                <wp:extent cx="5583219" cy="1201479"/>
                <wp:effectExtent l="0" t="0" r="17780" b="17780"/>
                <wp:docPr id="4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3219" cy="1201479"/>
                        </a:xfrm>
                        <a:prstGeom prst="rect">
                          <a:avLst/>
                        </a:prstGeom>
                        <a:solidFill>
                          <a:srgbClr val="FFFFFF"/>
                        </a:solidFill>
                        <a:ln w="9525">
                          <a:solidFill>
                            <a:srgbClr val="000000"/>
                          </a:solidFill>
                          <a:miter lim="800000"/>
                          <a:headEnd/>
                          <a:tailEnd/>
                        </a:ln>
                      </wps:spPr>
                      <wps:txbx>
                        <w:txbxContent>
                          <w:p w:rsidR="0048526C" w:rsidRPr="002F2634" w:rsidRDefault="0048526C" w:rsidP="0048526C">
                            <w:pPr>
                              <w:rPr>
                                <w:rFonts w:cstheme="minorHAnsi"/>
                              </w:rPr>
                            </w:pPr>
                            <w:r w:rsidRPr="002F2634">
                              <w:rPr>
                                <w:rFonts w:cstheme="minorHAnsi"/>
                              </w:rPr>
                              <w:t xml:space="preserve">For example, maintenance of 3-ton, SEER 10 (equals EER 9.2) </w:t>
                            </w:r>
                            <w:r>
                              <w:rPr>
                                <w:rFonts w:cstheme="minorHAnsi"/>
                              </w:rPr>
                              <w:t xml:space="preserve">CAC </w:t>
                            </w:r>
                            <w:r w:rsidRPr="002F2634">
                              <w:rPr>
                                <w:rFonts w:cstheme="minorHAnsi"/>
                              </w:rPr>
                              <w:t>unit:</w:t>
                            </w:r>
                          </w:p>
                          <w:p w:rsidR="0048526C" w:rsidRPr="002F2634" w:rsidRDefault="0048526C" w:rsidP="0048526C">
                            <w:pPr>
                              <w:ind w:left="720" w:firstLine="720"/>
                              <w:rPr>
                                <w:rFonts w:cstheme="minorHAnsi"/>
                              </w:rPr>
                            </w:pPr>
                            <w:r w:rsidRPr="002F2634">
                              <w:rPr>
                                <w:rFonts w:cstheme="minorHAnsi"/>
                                <w:noProof/>
                              </w:rPr>
                              <w:t>Δ</w:t>
                            </w:r>
                            <w:proofErr w:type="spellStart"/>
                            <w:r w:rsidRPr="002F2634">
                              <w:rPr>
                                <w:rFonts w:cstheme="minorHAnsi"/>
                              </w:rPr>
                              <w:t>kW</w:t>
                            </w:r>
                            <w:r w:rsidRPr="002F2634">
                              <w:rPr>
                                <w:rFonts w:cstheme="minorHAnsi"/>
                                <w:vertAlign w:val="subscript"/>
                              </w:rPr>
                              <w:t>SSP</w:t>
                            </w:r>
                            <w:proofErr w:type="spellEnd"/>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w:t>
                            </w:r>
                            <w:r>
                              <w:rPr>
                                <w:rFonts w:cstheme="minorHAnsi"/>
                              </w:rPr>
                              <w:t>68</w:t>
                            </w:r>
                          </w:p>
                          <w:p w:rsidR="0048526C" w:rsidRPr="002F2634" w:rsidRDefault="0048526C" w:rsidP="0048526C">
                            <w:pPr>
                              <w:ind w:left="720" w:firstLine="720"/>
                              <w:rPr>
                                <w:rFonts w:cstheme="minorHAnsi"/>
                              </w:rPr>
                            </w:pPr>
                            <w:r w:rsidRPr="002F2634">
                              <w:rPr>
                                <w:rFonts w:cstheme="minorHAnsi"/>
                              </w:rPr>
                              <w:tab/>
                            </w:r>
                            <w:r w:rsidRPr="002F2634">
                              <w:rPr>
                                <w:rFonts w:cstheme="minorHAnsi"/>
                              </w:rPr>
                              <w:tab/>
                              <w:t>= 0.0</w:t>
                            </w:r>
                            <w:r>
                              <w:rPr>
                                <w:rFonts w:cstheme="minorHAnsi"/>
                              </w:rPr>
                              <w:t>532</w:t>
                            </w:r>
                            <w:r w:rsidRPr="002F2634">
                              <w:rPr>
                                <w:rFonts w:cstheme="minorHAnsi"/>
                              </w:rPr>
                              <w:t xml:space="preserve"> kW</w:t>
                            </w:r>
                          </w:p>
                          <w:p w:rsidR="0048526C" w:rsidRPr="002F2634" w:rsidRDefault="0048526C" w:rsidP="0048526C">
                            <w:pPr>
                              <w:ind w:left="720" w:firstLine="720"/>
                              <w:rPr>
                                <w:rFonts w:cstheme="minorHAnsi"/>
                              </w:rPr>
                            </w:pPr>
                            <w:r w:rsidRPr="002F2634">
                              <w:rPr>
                                <w:rFonts w:cstheme="minorHAnsi"/>
                                <w:noProof/>
                              </w:rPr>
                              <w:t>Δ</w:t>
                            </w:r>
                            <w:proofErr w:type="spellStart"/>
                            <w:r w:rsidRPr="002F2634">
                              <w:rPr>
                                <w:rFonts w:cstheme="minorHAnsi"/>
                              </w:rPr>
                              <w:t>kW</w:t>
                            </w:r>
                            <w:r w:rsidRPr="002F2634">
                              <w:rPr>
                                <w:rFonts w:cstheme="minorHAnsi"/>
                                <w:vertAlign w:val="subscript"/>
                              </w:rPr>
                              <w:t>PJM</w:t>
                            </w:r>
                            <w:proofErr w:type="spellEnd"/>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0.466</w:t>
                            </w:r>
                          </w:p>
                          <w:p w:rsidR="0048526C" w:rsidRPr="002F2634" w:rsidRDefault="0048526C" w:rsidP="0048526C">
                            <w:pPr>
                              <w:ind w:left="720" w:firstLine="720"/>
                              <w:rPr>
                                <w:rFonts w:cstheme="minorHAnsi"/>
                              </w:rPr>
                            </w:pPr>
                            <w:r w:rsidRPr="002F2634">
                              <w:rPr>
                                <w:rFonts w:cstheme="minorHAnsi"/>
                              </w:rPr>
                              <w:tab/>
                            </w:r>
                            <w:r w:rsidRPr="002F2634">
                              <w:rPr>
                                <w:rFonts w:cstheme="minorHAnsi"/>
                              </w:rPr>
                              <w:tab/>
                              <w:t>= 0.0365 kW</w:t>
                            </w:r>
                          </w:p>
                          <w:p w:rsidR="0048526C" w:rsidRDefault="0048526C" w:rsidP="0048526C"/>
                        </w:txbxContent>
                      </wps:txbx>
                      <wps:bodyPr rot="0" vert="horz" wrap="square" lIns="91440" tIns="45720" rIns="91440" bIns="45720" anchor="t" anchorCtr="0">
                        <a:noAutofit/>
                      </wps:bodyPr>
                    </wps:wsp>
                  </a:graphicData>
                </a:graphic>
              </wp:inline>
            </w:drawing>
          </mc:Choice>
          <mc:Fallback>
            <w:pict>
              <v:shape id="_x0000_s1027" type="#_x0000_t202" style="width:439.6pt;height:9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xd7KAIAAE4EAAAOAAAAZHJzL2Uyb0RvYy54bWysVNuO2yAQfa/Uf0C8N47dpJtYcVbbbFNV&#10;2l6k3X4AxjhGBYYCiZ1+/Q44m01vL1X9gBhmOJw5M+PV9aAVOQjnJZiK5pMpJcJwaKTZVfTrw/bV&#10;ghIfmGmYAiMqehSeXq9fvlj1thQFdKAa4QiCGF/2tqJdCLbMMs87oZmfgBUGnS04zQKabpc1jvWI&#10;rlVWTKdvsh5cYx1w4T2e3o5Ouk74bSt4+Ny2XgSiKorcQlpdWuu4ZusVK3eO2U7yEw32Dyw0kwYf&#10;PUPdssDI3snfoLTkDjy0YcJBZ9C2kouUA2aTT3/J5r5jVqRcUBxvzzL5/wfLPx2+OCKbis6u5pQY&#10;prFID2II5C0MpIj69NaXGHZvMTAMeIx1Trl6ewf8mycGNh0zO3HjHPSdYA3yy+PN7OLqiOMjSN1/&#10;hAafYfsACWhonY7ioRwE0bFOx3NtIhWOh/P54nWRLynh6MtRrNnVMr3Byqfr1vnwXoAmcVNRh8VP&#10;8Oxw50Okw8qnkPiaByWbrVQqGW5Xb5QjB4aNsk3fCf2nMGVIX9HlvJiPCvwVYpq+P0FoGbDjldQV&#10;XZyDWBl1e2ea1I+BSTXukbIyJyGjdqOKYaiHVLOkchS5huaIyjoYGxwHEjcduB+U9NjcFfXf98wJ&#10;StQHg9VZ5rNZnIZkzOZXBRru0lNfepjhCFXRQMm43YQ0QVE3AzdYxVYmfZ+ZnChj0ybZTwMWp+LS&#10;TlHPv4H1IwAAAP//AwBQSwMEFAAGAAgAAAAhAL9aAIPcAAAABQEAAA8AAABkcnMvZG93bnJldi54&#10;bWxMj0FPwzAMhe9I/IfISFwQSzfQ1pWmE0ICwY0NBNes8dpqiVOSrCv/HsOFXSxb7+n5e+VqdFYM&#10;GGLnScF0koFAqr3pqFHw/vZ4nYOISZPR1hMq+MYIq+r8rNSF8Uda47BJjeAQioVW0KbUF1LGukWn&#10;48T3SKztfHA68RkaaYI+crizcpZlc+l0R/yh1T0+tFjvNwenIL99Hj7jy83rRz3f2WW6WgxPX0Gp&#10;y4vx/g5EwjH9m+EXn9GhYqatP5CJwirgIulvspYvljMQWzblvMiqlKf01Q8AAAD//wMAUEsBAi0A&#10;FAAGAAgAAAAhALaDOJL+AAAA4QEAABMAAAAAAAAAAAAAAAAAAAAAAFtDb250ZW50X1R5cGVzXS54&#10;bWxQSwECLQAUAAYACAAAACEAOP0h/9YAAACUAQAACwAAAAAAAAAAAAAAAAAvAQAAX3JlbHMvLnJl&#10;bHNQSwECLQAUAAYACAAAACEAIXsXeygCAABOBAAADgAAAAAAAAAAAAAAAAAuAgAAZHJzL2Uyb0Rv&#10;Yy54bWxQSwECLQAUAAYACAAAACEAv1oAg9wAAAAFAQAADwAAAAAAAAAAAAAAAACCBAAAZHJzL2Rv&#10;d25yZXYueG1sUEsFBgAAAAAEAAQA8wAAAIsFAAAAAA==&#10;">
                <v:textbox>
                  <w:txbxContent>
                    <w:p w:rsidR="0048526C" w:rsidRPr="002F2634" w:rsidRDefault="0048526C" w:rsidP="0048526C">
                      <w:pPr>
                        <w:rPr>
                          <w:rFonts w:cstheme="minorHAnsi"/>
                        </w:rPr>
                      </w:pPr>
                      <w:r w:rsidRPr="002F2634">
                        <w:rPr>
                          <w:rFonts w:cstheme="minorHAnsi"/>
                        </w:rPr>
                        <w:t xml:space="preserve">For example, maintenance of 3-ton, SEER 10 (equals EER 9.2) </w:t>
                      </w:r>
                      <w:r>
                        <w:rPr>
                          <w:rFonts w:cstheme="minorHAnsi"/>
                        </w:rPr>
                        <w:t xml:space="preserve">CAC </w:t>
                      </w:r>
                      <w:r w:rsidRPr="002F2634">
                        <w:rPr>
                          <w:rFonts w:cstheme="minorHAnsi"/>
                        </w:rPr>
                        <w:t>unit:</w:t>
                      </w:r>
                    </w:p>
                    <w:p w:rsidR="0048526C" w:rsidRPr="002F2634" w:rsidRDefault="0048526C" w:rsidP="0048526C">
                      <w:pPr>
                        <w:ind w:left="720" w:firstLine="720"/>
                        <w:rPr>
                          <w:rFonts w:cstheme="minorHAnsi"/>
                        </w:rPr>
                      </w:pPr>
                      <w:r w:rsidRPr="002F2634">
                        <w:rPr>
                          <w:rFonts w:cstheme="minorHAnsi"/>
                          <w:noProof/>
                        </w:rPr>
                        <w:t>Δ</w:t>
                      </w:r>
                      <w:proofErr w:type="spellStart"/>
                      <w:r w:rsidRPr="002F2634">
                        <w:rPr>
                          <w:rFonts w:cstheme="minorHAnsi"/>
                        </w:rPr>
                        <w:t>kW</w:t>
                      </w:r>
                      <w:r w:rsidRPr="002F2634">
                        <w:rPr>
                          <w:rFonts w:cstheme="minorHAnsi"/>
                          <w:vertAlign w:val="subscript"/>
                        </w:rPr>
                        <w:t>SSP</w:t>
                      </w:r>
                      <w:proofErr w:type="spellEnd"/>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w:t>
                      </w:r>
                      <w:r>
                        <w:rPr>
                          <w:rFonts w:cstheme="minorHAnsi"/>
                        </w:rPr>
                        <w:t>68</w:t>
                      </w:r>
                    </w:p>
                    <w:p w:rsidR="0048526C" w:rsidRPr="002F2634" w:rsidRDefault="0048526C" w:rsidP="0048526C">
                      <w:pPr>
                        <w:ind w:left="720" w:firstLine="720"/>
                        <w:rPr>
                          <w:rFonts w:cstheme="minorHAnsi"/>
                        </w:rPr>
                      </w:pPr>
                      <w:r w:rsidRPr="002F2634">
                        <w:rPr>
                          <w:rFonts w:cstheme="minorHAnsi"/>
                        </w:rPr>
                        <w:tab/>
                      </w:r>
                      <w:r w:rsidRPr="002F2634">
                        <w:rPr>
                          <w:rFonts w:cstheme="minorHAnsi"/>
                        </w:rPr>
                        <w:tab/>
                        <w:t>= 0.0</w:t>
                      </w:r>
                      <w:r>
                        <w:rPr>
                          <w:rFonts w:cstheme="minorHAnsi"/>
                        </w:rPr>
                        <w:t>532</w:t>
                      </w:r>
                      <w:r w:rsidRPr="002F2634">
                        <w:rPr>
                          <w:rFonts w:cstheme="minorHAnsi"/>
                        </w:rPr>
                        <w:t xml:space="preserve"> kW</w:t>
                      </w:r>
                    </w:p>
                    <w:p w:rsidR="0048526C" w:rsidRPr="002F2634" w:rsidRDefault="0048526C" w:rsidP="0048526C">
                      <w:pPr>
                        <w:ind w:left="720" w:firstLine="720"/>
                        <w:rPr>
                          <w:rFonts w:cstheme="minorHAnsi"/>
                        </w:rPr>
                      </w:pPr>
                      <w:r w:rsidRPr="002F2634">
                        <w:rPr>
                          <w:rFonts w:cstheme="minorHAnsi"/>
                          <w:noProof/>
                        </w:rPr>
                        <w:t>Δ</w:t>
                      </w:r>
                      <w:proofErr w:type="spellStart"/>
                      <w:r w:rsidRPr="002F2634">
                        <w:rPr>
                          <w:rFonts w:cstheme="minorHAnsi"/>
                        </w:rPr>
                        <w:t>kW</w:t>
                      </w:r>
                      <w:r w:rsidRPr="002F2634">
                        <w:rPr>
                          <w:rFonts w:cstheme="minorHAnsi"/>
                          <w:vertAlign w:val="subscript"/>
                        </w:rPr>
                        <w:t>PJM</w:t>
                      </w:r>
                      <w:proofErr w:type="spellEnd"/>
                      <w:r w:rsidRPr="002F2634">
                        <w:rPr>
                          <w:rFonts w:cstheme="minorHAnsi"/>
                        </w:rPr>
                        <w:t xml:space="preserve"> </w:t>
                      </w:r>
                      <w:r w:rsidRPr="002F2634">
                        <w:rPr>
                          <w:rFonts w:cstheme="minorHAnsi"/>
                        </w:rPr>
                        <w:tab/>
                      </w:r>
                      <w:r w:rsidRPr="002F2634">
                        <w:rPr>
                          <w:rFonts w:cstheme="minorHAnsi"/>
                        </w:rPr>
                        <w:tab/>
                        <w:t xml:space="preserve">= </w:t>
                      </w:r>
                      <w:r w:rsidRPr="002F2634">
                        <w:rPr>
                          <w:rFonts w:cstheme="minorHAnsi"/>
                          <w:noProof/>
                        </w:rPr>
                        <w:t>36,000 * 1/(9.2)/1000  *</w:t>
                      </w:r>
                      <w:r w:rsidRPr="002F2634">
                        <w:rPr>
                          <w:rFonts w:cstheme="minorHAnsi"/>
                        </w:rPr>
                        <w:t xml:space="preserve"> 0.02 * 0.466</w:t>
                      </w:r>
                    </w:p>
                    <w:p w:rsidR="0048526C" w:rsidRPr="002F2634" w:rsidRDefault="0048526C" w:rsidP="0048526C">
                      <w:pPr>
                        <w:ind w:left="720" w:firstLine="720"/>
                        <w:rPr>
                          <w:rFonts w:cstheme="minorHAnsi"/>
                        </w:rPr>
                      </w:pPr>
                      <w:r w:rsidRPr="002F2634">
                        <w:rPr>
                          <w:rFonts w:cstheme="minorHAnsi"/>
                        </w:rPr>
                        <w:tab/>
                      </w:r>
                      <w:r w:rsidRPr="002F2634">
                        <w:rPr>
                          <w:rFonts w:cstheme="minorHAnsi"/>
                        </w:rPr>
                        <w:tab/>
                        <w:t>= 0.0365 kW</w:t>
                      </w:r>
                    </w:p>
                    <w:p w:rsidR="0048526C" w:rsidRDefault="0048526C" w:rsidP="0048526C"/>
                  </w:txbxContent>
                </v:textbox>
                <w10:anchorlock/>
              </v:shape>
            </w:pict>
          </mc:Fallback>
        </mc:AlternateContent>
      </w:r>
    </w:p>
    <w:p w:rsidR="0048526C" w:rsidRPr="00A05FC2" w:rsidRDefault="0048526C" w:rsidP="0048526C">
      <w:pPr>
        <w:pStyle w:val="Heading6"/>
      </w:pPr>
      <w:r>
        <w:t>Natural Gas</w:t>
      </w:r>
      <w:r w:rsidRPr="00A05FC2">
        <w:t xml:space="preserve"> Savings </w:t>
      </w:r>
    </w:p>
    <w:p w:rsidR="0048526C" w:rsidRPr="00A05FC2" w:rsidRDefault="0048526C" w:rsidP="0048526C">
      <w:pPr>
        <w:rPr>
          <w:rFonts w:cstheme="minorHAnsi"/>
        </w:rPr>
      </w:pPr>
      <w:r w:rsidRPr="00A05FC2">
        <w:rPr>
          <w:rFonts w:cstheme="minorHAnsi"/>
        </w:rPr>
        <w:t>N/A</w:t>
      </w:r>
    </w:p>
    <w:p w:rsidR="0048526C" w:rsidRPr="00A05FC2" w:rsidRDefault="0048526C" w:rsidP="0048526C">
      <w:pPr>
        <w:pStyle w:val="Heading6"/>
      </w:pPr>
      <w:r w:rsidRPr="00A05FC2">
        <w:t xml:space="preserve">Water Impact Descriptions and Calculation  </w:t>
      </w:r>
    </w:p>
    <w:p w:rsidR="0048526C" w:rsidRPr="00A05FC2" w:rsidRDefault="0048526C" w:rsidP="0048526C">
      <w:pPr>
        <w:rPr>
          <w:rFonts w:cstheme="minorHAnsi"/>
          <w:iCs/>
        </w:rPr>
      </w:pPr>
      <w:r w:rsidRPr="00A05FC2">
        <w:rPr>
          <w:rFonts w:cstheme="minorHAnsi"/>
        </w:rPr>
        <w:t>N/A</w:t>
      </w:r>
    </w:p>
    <w:p w:rsidR="0048526C" w:rsidRPr="00A05FC2" w:rsidRDefault="0048526C" w:rsidP="0048526C">
      <w:pPr>
        <w:pStyle w:val="Heading6"/>
      </w:pPr>
      <w:r w:rsidRPr="00A05FC2">
        <w:t xml:space="preserve">Deemed O&amp;M Cost Adjustment Calculation </w:t>
      </w:r>
    </w:p>
    <w:p w:rsidR="0048526C" w:rsidRPr="00A05FC2" w:rsidRDefault="0048526C" w:rsidP="0048526C">
      <w:pPr>
        <w:rPr>
          <w:rFonts w:cstheme="minorHAnsi"/>
        </w:rPr>
      </w:pPr>
      <w:proofErr w:type="gramStart"/>
      <w:r w:rsidRPr="00A05FC2">
        <w:rPr>
          <w:rFonts w:cstheme="minorHAnsi"/>
        </w:rPr>
        <w:t>Conservatively not included</w:t>
      </w:r>
      <w:r>
        <w:rPr>
          <w:rFonts w:cstheme="minorHAnsi"/>
        </w:rPr>
        <w:t>.</w:t>
      </w:r>
      <w:proofErr w:type="gramEnd"/>
    </w:p>
    <w:p w:rsidR="0048526C" w:rsidRPr="0009467B" w:rsidRDefault="0048526C" w:rsidP="0048526C">
      <w:pPr>
        <w:pStyle w:val="Heading6"/>
        <w:rPr>
          <w:sz w:val="18"/>
        </w:rPr>
        <w:sectPr w:rsidR="0048526C" w:rsidRPr="0009467B" w:rsidSect="00B64B6A">
          <w:headerReference w:type="default" r:id="rId8"/>
          <w:pgSz w:w="12240" w:h="15840" w:code="1"/>
          <w:pgMar w:top="1440" w:right="1440" w:bottom="1440" w:left="1440" w:header="720" w:footer="720" w:gutter="0"/>
          <w:cols w:space="720"/>
          <w:docGrid w:linePitch="360"/>
        </w:sectPr>
      </w:pPr>
      <w:r>
        <w:t xml:space="preserve">Measure Code: </w:t>
      </w:r>
      <w:r w:rsidRPr="0069549D">
        <w:t>RS-</w:t>
      </w:r>
      <w:r>
        <w:t>HVC</w:t>
      </w:r>
      <w:r w:rsidRPr="0069549D">
        <w:t>-</w:t>
      </w:r>
      <w:r>
        <w:t>TUNE</w:t>
      </w:r>
      <w:r w:rsidRPr="0069549D">
        <w:t>-</w:t>
      </w:r>
      <w:del w:id="11" w:author="Samuel Dent" w:date="2015-12-17T06:03:00Z">
        <w:r w:rsidRPr="0069549D" w:rsidDel="0048526C">
          <w:delText>V0</w:delText>
        </w:r>
        <w:r w:rsidDel="0048526C">
          <w:delText>2</w:delText>
        </w:r>
      </w:del>
      <w:ins w:id="12" w:author="Samuel Dent" w:date="2015-12-17T06:03:00Z">
        <w:r w:rsidRPr="0069549D">
          <w:t>V0</w:t>
        </w:r>
        <w:r>
          <w:t>3</w:t>
        </w:r>
      </w:ins>
      <w:r w:rsidRPr="0069549D">
        <w:t>-</w:t>
      </w:r>
      <w:r>
        <w:t>1</w:t>
      </w:r>
      <w:ins w:id="13" w:author="Samuel Dent" w:date="2015-12-17T06:04:00Z">
        <w:r>
          <w:t>6</w:t>
        </w:r>
      </w:ins>
      <w:r>
        <w:t>40601</w:t>
      </w: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26C" w:rsidRDefault="0048526C" w:rsidP="0048526C">
      <w:pPr>
        <w:spacing w:after="0"/>
      </w:pPr>
      <w:r>
        <w:separator/>
      </w:r>
    </w:p>
  </w:endnote>
  <w:endnote w:type="continuationSeparator" w:id="0">
    <w:p w:rsidR="0048526C" w:rsidRDefault="0048526C" w:rsidP="004852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26C" w:rsidRDefault="0048526C" w:rsidP="0048526C">
      <w:pPr>
        <w:spacing w:after="0"/>
      </w:pPr>
      <w:r>
        <w:separator/>
      </w:r>
    </w:p>
  </w:footnote>
  <w:footnote w:type="continuationSeparator" w:id="0">
    <w:p w:rsidR="0048526C" w:rsidRDefault="0048526C" w:rsidP="0048526C">
      <w:pPr>
        <w:spacing w:after="0"/>
      </w:pPr>
      <w:r>
        <w:continuationSeparator/>
      </w:r>
    </w:p>
  </w:footnote>
  <w:footnote w:id="1">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w:t>
      </w:r>
      <w:proofErr w:type="gramStart"/>
      <w:r w:rsidRPr="009C362B">
        <w:rPr>
          <w:szCs w:val="18"/>
        </w:rPr>
        <w:t>Based on VEIC professional judgment.</w:t>
      </w:r>
      <w:proofErr w:type="gramEnd"/>
      <w:r w:rsidRPr="009C362B">
        <w:rPr>
          <w:szCs w:val="18"/>
        </w:rPr>
        <w:t xml:space="preserve"> </w:t>
      </w:r>
    </w:p>
  </w:footnote>
  <w:footnote w:id="2">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Based on personal communication with HVAC efficiency program consultant Buck Taylor or </w:t>
      </w:r>
      <w:proofErr w:type="spellStart"/>
      <w:r w:rsidRPr="009C362B">
        <w:rPr>
          <w:szCs w:val="18"/>
        </w:rPr>
        <w:t>Roltay</w:t>
      </w:r>
      <w:proofErr w:type="spellEnd"/>
      <w:r w:rsidRPr="009C362B">
        <w:rPr>
          <w:szCs w:val="18"/>
        </w:rPr>
        <w:t xml:space="preserve"> Inc., 6/21/10, who estimated the cost of tune up at $125 to $225, depending on the market and the implementation </w:t>
      </w:r>
      <w:proofErr w:type="gramStart"/>
      <w:r w:rsidRPr="009C362B">
        <w:rPr>
          <w:szCs w:val="18"/>
        </w:rPr>
        <w:t>details.</w:t>
      </w:r>
      <w:proofErr w:type="gramEnd"/>
    </w:p>
  </w:footnote>
  <w:footnote w:id="3">
    <w:p w:rsidR="0048526C" w:rsidRPr="009C362B" w:rsidRDefault="0048526C" w:rsidP="0048526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4">
    <w:p w:rsidR="0048526C" w:rsidRPr="009C362B" w:rsidRDefault="0048526C" w:rsidP="0048526C">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5">
    <w:p w:rsidR="0048526C" w:rsidRPr="009C362B" w:rsidRDefault="0048526C" w:rsidP="0048526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 w:id="6">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Based on Full Load Hours from ENERGY Star with adjustments made in a Navigant Evaluation, other cities were scaled using those results and CDD. There is a county mapping table in the Appendix providing the appropriate city to use for each county of Illinois.</w:t>
      </w:r>
    </w:p>
  </w:footnote>
  <w:footnote w:id="7">
    <w:p w:rsidR="0048526C" w:rsidRPr="009C362B" w:rsidRDefault="0048526C" w:rsidP="0048526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8">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Use actual SEER rating where it is possible to measure or reasonably estimate. Unknown default of 10 SEER is a VEIC estimate of existing unit efficiency, based on minimum federal standard between the years of 1992 and 2006.</w:t>
      </w:r>
    </w:p>
  </w:footnote>
  <w:footnote w:id="9">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Energy Center of Wisconsin, May 2008; “Central Air Conditioning in Wisconsin, </w:t>
      </w:r>
      <w:proofErr w:type="gramStart"/>
      <w:r w:rsidRPr="009C362B">
        <w:rPr>
          <w:szCs w:val="18"/>
        </w:rPr>
        <w:t>A</w:t>
      </w:r>
      <w:proofErr w:type="gramEnd"/>
      <w:r w:rsidRPr="009C362B">
        <w:rPr>
          <w:szCs w:val="18"/>
        </w:rPr>
        <w:t xml:space="preserve"> Compilation of Recent Field Research.”</w:t>
      </w:r>
    </w:p>
  </w:footnote>
  <w:footnote w:id="10">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Use actual SEER rating where it is possible to measure or reasonably estimate. Unknown default of </w:t>
      </w:r>
      <w:proofErr w:type="gramStart"/>
      <w:r w:rsidRPr="009C362B">
        <w:rPr>
          <w:szCs w:val="18"/>
        </w:rPr>
        <w:t>10  SEER</w:t>
      </w:r>
      <w:proofErr w:type="gramEnd"/>
      <w:r w:rsidRPr="009C362B">
        <w:rPr>
          <w:szCs w:val="18"/>
        </w:rPr>
        <w:t xml:space="preserve"> is a VEIC estimate of existing unit efficiency, based on minimum federal standard between the years of 1992 and 2006. </w:t>
      </w:r>
    </w:p>
  </w:footnote>
  <w:footnote w:id="11">
    <w:p w:rsidR="0048526C" w:rsidRPr="009C362B" w:rsidRDefault="0048526C" w:rsidP="0048526C">
      <w:pPr>
        <w:pStyle w:val="Footnote"/>
        <w:rPr>
          <w:szCs w:val="18"/>
        </w:rPr>
      </w:pPr>
      <w:r w:rsidRPr="009C362B">
        <w:rPr>
          <w:rStyle w:val="FootnoteReference"/>
          <w:szCs w:val="18"/>
        </w:rPr>
        <w:footnoteRef/>
      </w:r>
      <w:r w:rsidRPr="009C362B">
        <w:rPr>
          <w:szCs w:val="18"/>
        </w:rPr>
        <w:t xml:space="preserve"> Full load heating hours for heat pumps are provided for Rockford, Chicago and Springfield in the Energy Star Calculator. Estimates for the other locations were calculated based on the FLH to Heating Degree Day (from NCDC) ratio. VEIC consider Energy Star estimates to be high due to oversizing not being adequately addressed. Using average Illinois billing data (from </w:t>
      </w:r>
      <w:hyperlink r:id="rId1" w:history="1">
        <w:r w:rsidRPr="009C362B">
          <w:rPr>
            <w:rStyle w:val="Hyperlink"/>
            <w:szCs w:val="18"/>
          </w:rPr>
          <w:t>http://www.icc.illinois.gov/ags/consumereducation.aspx</w:t>
        </w:r>
      </w:hyperlink>
      <w:r w:rsidRPr="009C362B">
        <w:rPr>
          <w:szCs w:val="18"/>
        </w:rPr>
        <w:t>) VEIC estimated the average gas heating load and used this to estimate the average home heating output (using 83% average gas heat efficiency). Dividing this by a typical 36,000 Btu/</w:t>
      </w:r>
      <w:proofErr w:type="spellStart"/>
      <w:r w:rsidRPr="009C362B">
        <w:rPr>
          <w:szCs w:val="18"/>
        </w:rPr>
        <w:t>hr</w:t>
      </w:r>
      <w:proofErr w:type="spellEnd"/>
      <w:r w:rsidRPr="009C362B">
        <w:rPr>
          <w:szCs w:val="18"/>
        </w:rPr>
        <w:t xml:space="preserve"> ASHP gives an estimate of average ASHP </w:t>
      </w:r>
      <w:proofErr w:type="spellStart"/>
      <w:r w:rsidRPr="009C362B">
        <w:rPr>
          <w:szCs w:val="18"/>
        </w:rPr>
        <w:t>FLH_heat</w:t>
      </w:r>
      <w:proofErr w:type="spellEnd"/>
      <w:r w:rsidRPr="009C362B">
        <w:rPr>
          <w:szCs w:val="18"/>
        </w:rPr>
        <w:t xml:space="preserve">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12">
    <w:p w:rsidR="0048526C" w:rsidRPr="009C362B" w:rsidRDefault="0048526C" w:rsidP="0048526C">
      <w:pPr>
        <w:pStyle w:val="Footnote"/>
        <w:rPr>
          <w:szCs w:val="18"/>
        </w:rPr>
      </w:pPr>
      <w:r w:rsidRPr="009C362B">
        <w:rPr>
          <w:rStyle w:val="FootnoteReference"/>
          <w:szCs w:val="18"/>
        </w:rPr>
        <w:footnoteRef/>
      </w:r>
      <w:r w:rsidRPr="009C362B">
        <w:rPr>
          <w:szCs w:val="18"/>
        </w:rPr>
        <w:t xml:space="preserve"> Weighted based on number of occupied residential housing units in each zone.</w:t>
      </w:r>
    </w:p>
  </w:footnote>
  <w:footnote w:id="13">
    <w:p w:rsidR="0048526C" w:rsidRPr="009C362B" w:rsidRDefault="0048526C" w:rsidP="0048526C">
      <w:pPr>
        <w:pStyle w:val="Footnote"/>
        <w:rPr>
          <w:szCs w:val="18"/>
        </w:rPr>
      </w:pPr>
      <w:r w:rsidRPr="009C362B">
        <w:rPr>
          <w:rStyle w:val="FootnoteReference"/>
          <w:rFonts w:eastAsia="Calibri"/>
          <w:szCs w:val="18"/>
        </w:rPr>
        <w:footnoteRef/>
      </w:r>
      <w:r w:rsidRPr="009C362B">
        <w:rPr>
          <w:rStyle w:val="FootnoteReference"/>
          <w:rFonts w:eastAsia="Calibri"/>
          <w:szCs w:val="18"/>
        </w:rPr>
        <w:t xml:space="preserve"> </w:t>
      </w:r>
      <w:r w:rsidRPr="009C362B">
        <w:rPr>
          <w:szCs w:val="18"/>
        </w:rPr>
        <w:t>Use actual HSPF rating where it is possible to measure or reasonably estimate. Unknown default of 6.8 HSPF is a VEIC estimate based on minimum Federal Standard between 1992 and 2006.</w:t>
      </w:r>
    </w:p>
  </w:footnote>
  <w:footnote w:id="14">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w:t>
      </w:r>
      <w:proofErr w:type="gramStart"/>
      <w:r w:rsidRPr="009C362B">
        <w:rPr>
          <w:szCs w:val="18"/>
        </w:rPr>
        <w:t xml:space="preserve">Based on </w:t>
      </w:r>
      <w:proofErr w:type="spellStart"/>
      <w:r w:rsidRPr="009C362B">
        <w:rPr>
          <w:szCs w:val="18"/>
        </w:rPr>
        <w:t>Wassmer</w:t>
      </w:r>
      <w:proofErr w:type="spellEnd"/>
      <w:r w:rsidRPr="009C362B">
        <w:rPr>
          <w:szCs w:val="18"/>
        </w:rPr>
        <w:t>, M. (2003).</w:t>
      </w:r>
      <w:proofErr w:type="gramEnd"/>
      <w:r w:rsidRPr="009C362B">
        <w:rPr>
          <w:szCs w:val="18"/>
        </w:rPr>
        <w:t xml:space="preserve"> </w:t>
      </w:r>
      <w:proofErr w:type="gramStart"/>
      <w:r w:rsidRPr="009C362B">
        <w:rPr>
          <w:szCs w:val="18"/>
        </w:rPr>
        <w:t>A Component-Based Model for Residential Air Conditioner and Heat Pump Energy Calculations.</w:t>
      </w:r>
      <w:proofErr w:type="gramEnd"/>
      <w:r w:rsidRPr="009C362B">
        <w:rPr>
          <w:szCs w:val="18"/>
        </w:rPr>
        <w:t xml:space="preserve"> </w:t>
      </w:r>
      <w:proofErr w:type="spellStart"/>
      <w:proofErr w:type="gramStart"/>
      <w:r w:rsidRPr="009C362B">
        <w:rPr>
          <w:szCs w:val="18"/>
        </w:rPr>
        <w:t>Masters</w:t>
      </w:r>
      <w:proofErr w:type="spellEnd"/>
      <w:r w:rsidRPr="009C362B">
        <w:rPr>
          <w:szCs w:val="18"/>
        </w:rPr>
        <w:t xml:space="preserve"> Thesis, University of Colorado at Boulder.</w:t>
      </w:r>
      <w:proofErr w:type="gramEnd"/>
      <w:r w:rsidRPr="009C362B">
        <w:rPr>
          <w:szCs w:val="18"/>
        </w:rPr>
        <w:t xml:space="preserve"> Note this is appropriate for single speed units only.</w:t>
      </w:r>
    </w:p>
  </w:footnote>
  <w:footnote w:id="15">
    <w:p w:rsidR="0048526C" w:rsidRPr="009C362B" w:rsidRDefault="0048526C" w:rsidP="0048526C">
      <w:pPr>
        <w:pStyle w:val="Footnote"/>
        <w:rPr>
          <w:szCs w:val="18"/>
        </w:rPr>
      </w:pPr>
      <w:r w:rsidRPr="009C362B">
        <w:rPr>
          <w:rStyle w:val="FootnoteReference"/>
          <w:rFonts w:eastAsia="Calibri"/>
          <w:szCs w:val="18"/>
        </w:rPr>
        <w:footnoteRef/>
      </w:r>
      <w:r w:rsidRPr="009C362B">
        <w:rPr>
          <w:szCs w:val="18"/>
        </w:rPr>
        <w:t xml:space="preserve"> Based on June 2010 personal conversation with Scott </w:t>
      </w:r>
      <w:proofErr w:type="spellStart"/>
      <w:r w:rsidRPr="009C362B">
        <w:rPr>
          <w:szCs w:val="18"/>
        </w:rPr>
        <w:t>Pigg</w:t>
      </w:r>
      <w:proofErr w:type="spellEnd"/>
      <w:r w:rsidRPr="009C362B">
        <w:rPr>
          <w:szCs w:val="18"/>
        </w:rPr>
        <w:t>, author of Energy Center of Wisconsin, May 2008; “Central Air Conditioning in Wisconsin, A Compilation of Recent Field Research” suggesting the average WI unit system draw of 2.8kW under peak conditions, and average peak savings of 50W.</w:t>
      </w:r>
    </w:p>
  </w:footnote>
  <w:footnote w:id="16">
    <w:p w:rsidR="0048526C" w:rsidRPr="009C362B" w:rsidRDefault="0048526C" w:rsidP="0048526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metering of 24 homes with central AC during PY4 and PY5 in Ameren Illinois service territory.</w:t>
      </w:r>
      <w:proofErr w:type="gramEnd"/>
    </w:p>
  </w:footnote>
  <w:footnote w:id="17">
    <w:p w:rsidR="0048526C" w:rsidRPr="009C362B" w:rsidRDefault="0048526C" w:rsidP="0048526C">
      <w:pPr>
        <w:pStyle w:val="Footnote"/>
        <w:rPr>
          <w:szCs w:val="18"/>
        </w:rPr>
      </w:pPr>
      <w:r w:rsidRPr="009C362B">
        <w:rPr>
          <w:rStyle w:val="FootnoteReference"/>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8">
    <w:p w:rsidR="0048526C" w:rsidRPr="009C362B" w:rsidRDefault="0048526C" w:rsidP="0048526C">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 xml:space="preserve">Based on analysis of </w:t>
      </w:r>
      <w:proofErr w:type="spellStart"/>
      <w:r w:rsidRPr="009C362B">
        <w:rPr>
          <w:szCs w:val="18"/>
        </w:rPr>
        <w:t>Itron</w:t>
      </w:r>
      <w:proofErr w:type="spellEnd"/>
      <w:r w:rsidRPr="009C362B">
        <w:rPr>
          <w:szCs w:val="18"/>
        </w:rPr>
        <w:t xml:space="preserve"> </w:t>
      </w:r>
      <w:proofErr w:type="spellStart"/>
      <w:r w:rsidRPr="009C362B">
        <w:rPr>
          <w:szCs w:val="18"/>
        </w:rPr>
        <w:t>eShape</w:t>
      </w:r>
      <w:proofErr w:type="spellEnd"/>
      <w:r w:rsidRPr="009C362B">
        <w:rPr>
          <w:szCs w:val="18"/>
        </w:rPr>
        <w:t xml:space="preserve"> data for Missouri, calibrated to Illinois loads, supplied by Ameren.</w:t>
      </w:r>
      <w:proofErr w:type="gramEnd"/>
      <w:r w:rsidRPr="009C362B">
        <w:rPr>
          <w:szCs w:val="18"/>
        </w:rPr>
        <w:t xml:space="preserve"> The average AC load over the PJM peak period (1-5pm, M-F, June through August) is divided by the maximum AC load during the year.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26C" w:rsidRPr="008A26DF" w:rsidRDefault="0048526C" w:rsidP="00645A06">
    <w:pPr>
      <w:pStyle w:val="HeaderIL"/>
    </w:pPr>
    <w:r w:rsidRPr="005D746C">
      <w:t xml:space="preserve">Illinois Statewide Technical Reference Manual - </w:t>
    </w:r>
    <w:r>
      <w:fldChar w:fldCharType="begin"/>
    </w:r>
    <w:r>
      <w:instrText xml:space="preserve"> REF _Ref325436035 \w \h </w:instrText>
    </w:r>
    <w:r>
      <w:fldChar w:fldCharType="separate"/>
    </w:r>
    <w:r>
      <w:t>5.3.10</w:t>
    </w:r>
    <w:r>
      <w:fldChar w:fldCharType="end"/>
    </w:r>
    <w:r>
      <w:t xml:space="preserve"> </w:t>
    </w:r>
    <w:r>
      <w:fldChar w:fldCharType="begin"/>
    </w:r>
    <w:r>
      <w:instrText xml:space="preserve"> REF _Ref325436031 \h </w:instrText>
    </w:r>
    <w:r>
      <w:fldChar w:fldCharType="separate"/>
    </w:r>
    <w:r w:rsidRPr="000B7BB6">
      <w:t>HVAC Tune Up (Central Air Conditioning or Air Source Heat Pump)</w:t>
    </w:r>
    <w:r>
      <w:fldChar w:fldCharType="end"/>
    </w:r>
    <w:r w:rsidRPr="008A26DF">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5E8C58E4"/>
    <w:multiLevelType w:val="multilevel"/>
    <w:tmpl w:val="C868EEF4"/>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26C"/>
    <w:rsid w:val="0048526C"/>
    <w:rsid w:val="009529D8"/>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26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8526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8526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8526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8526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8526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8526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8526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8526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8526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8526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8526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8526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8526C"/>
    <w:rPr>
      <w:rFonts w:ascii="Calibri" w:eastAsiaTheme="minorEastAsia" w:hAnsi="Calibri" w:cs="Arial"/>
      <w:bCs/>
      <w:i/>
      <w:noProof/>
    </w:rPr>
  </w:style>
  <w:style w:type="character" w:customStyle="1" w:styleId="Heading5Char">
    <w:name w:val="Heading 5 Char"/>
    <w:basedOn w:val="DefaultParagraphFont"/>
    <w:link w:val="Heading5"/>
    <w:uiPriority w:val="99"/>
    <w:rsid w:val="0048526C"/>
    <w:rPr>
      <w:rFonts w:ascii="Calibri" w:eastAsia="Times New Roman" w:hAnsi="Calibri" w:cs="Times New Roman"/>
      <w:sz w:val="20"/>
    </w:rPr>
  </w:style>
  <w:style w:type="character" w:customStyle="1" w:styleId="Heading6Char">
    <w:name w:val="Heading 6 Char"/>
    <w:basedOn w:val="DefaultParagraphFont"/>
    <w:link w:val="Heading6"/>
    <w:uiPriority w:val="9"/>
    <w:rsid w:val="0048526C"/>
    <w:rPr>
      <w:rFonts w:eastAsia="Times New Roman" w:cs="Calibri"/>
      <w:b/>
      <w:smallCaps/>
    </w:rPr>
  </w:style>
  <w:style w:type="character" w:customStyle="1" w:styleId="Heading7Char">
    <w:name w:val="Heading 7 Char"/>
    <w:basedOn w:val="DefaultParagraphFont"/>
    <w:link w:val="Heading7"/>
    <w:uiPriority w:val="99"/>
    <w:rsid w:val="0048526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8526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8526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8526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48526C"/>
    <w:rPr>
      <w:rFonts w:ascii="Arial" w:hAnsi="Arial" w:cs="Times New Roman"/>
      <w:sz w:val="20"/>
      <w:vertAlign w:val="superscript"/>
    </w:rPr>
  </w:style>
  <w:style w:type="character" w:styleId="Hyperlink">
    <w:name w:val="Hyperlink"/>
    <w:uiPriority w:val="99"/>
    <w:rsid w:val="0048526C"/>
    <w:rPr>
      <w:rFonts w:cs="Times New Roman"/>
      <w:color w:val="0000FF"/>
      <w:u w:val="single"/>
    </w:rPr>
  </w:style>
  <w:style w:type="paragraph" w:customStyle="1" w:styleId="TableText">
    <w:name w:val="Table Text"/>
    <w:basedOn w:val="Normal"/>
    <w:autoRedefine/>
    <w:qFormat/>
    <w:rsid w:val="0048526C"/>
    <w:pPr>
      <w:jc w:val="left"/>
    </w:pPr>
    <w:rPr>
      <w:rFonts w:ascii="Calibri" w:hAnsi="Calibri" w:cs="Arial"/>
      <w:noProof/>
      <w:szCs w:val="18"/>
      <w:lang w:val="en"/>
    </w:rPr>
  </w:style>
  <w:style w:type="character" w:customStyle="1" w:styleId="FootnoteChar">
    <w:name w:val="Footnote Char"/>
    <w:basedOn w:val="DefaultParagraphFont"/>
    <w:link w:val="Footnote"/>
    <w:rsid w:val="0048526C"/>
    <w:rPr>
      <w:rFonts w:eastAsiaTheme="minorEastAsia" w:cstheme="minorHAnsi"/>
      <w:sz w:val="18"/>
      <w:szCs w:val="20"/>
    </w:rPr>
  </w:style>
  <w:style w:type="paragraph" w:customStyle="1" w:styleId="AlgorithmHeading">
    <w:name w:val="Algorithm Heading"/>
    <w:basedOn w:val="Normal"/>
    <w:link w:val="AlgorithmHeadingChar"/>
    <w:qFormat/>
    <w:rsid w:val="0048526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48526C"/>
    <w:rPr>
      <w:rFonts w:eastAsia="Times New Roman" w:cstheme="minorHAnsi"/>
      <w:b/>
      <w:sz w:val="20"/>
      <w:szCs w:val="20"/>
    </w:rPr>
  </w:style>
  <w:style w:type="paragraph" w:customStyle="1" w:styleId="HeaderIL">
    <w:name w:val="Header IL"/>
    <w:basedOn w:val="Header"/>
    <w:link w:val="HeaderILChar"/>
    <w:qFormat/>
    <w:rsid w:val="0048526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48526C"/>
    <w:rPr>
      <w:rFonts w:eastAsia="Times New Roman" w:cs="Times New Roman"/>
      <w:sz w:val="20"/>
    </w:rPr>
  </w:style>
  <w:style w:type="paragraph" w:customStyle="1" w:styleId="Footnote">
    <w:name w:val="Footnote"/>
    <w:basedOn w:val="FootnoteText"/>
    <w:link w:val="FootnoteChar"/>
    <w:autoRedefine/>
    <w:qFormat/>
    <w:rsid w:val="0048526C"/>
    <w:pPr>
      <w:jc w:val="left"/>
    </w:pPr>
    <w:rPr>
      <w:rFonts w:eastAsiaTheme="minorEastAsia" w:cstheme="minorHAnsi"/>
      <w:sz w:val="18"/>
    </w:rPr>
  </w:style>
  <w:style w:type="paragraph" w:styleId="Header">
    <w:name w:val="header"/>
    <w:basedOn w:val="Normal"/>
    <w:link w:val="HeaderChar"/>
    <w:uiPriority w:val="99"/>
    <w:semiHidden/>
    <w:unhideWhenUsed/>
    <w:rsid w:val="0048526C"/>
    <w:pPr>
      <w:tabs>
        <w:tab w:val="center" w:pos="4680"/>
        <w:tab w:val="right" w:pos="9360"/>
      </w:tabs>
      <w:spacing w:after="0"/>
    </w:pPr>
  </w:style>
  <w:style w:type="character" w:customStyle="1" w:styleId="HeaderChar">
    <w:name w:val="Header Char"/>
    <w:basedOn w:val="DefaultParagraphFont"/>
    <w:link w:val="Header"/>
    <w:uiPriority w:val="99"/>
    <w:semiHidden/>
    <w:rsid w:val="0048526C"/>
    <w:rPr>
      <w:rFonts w:eastAsia="Times New Roman" w:cs="Times New Roman"/>
      <w:sz w:val="20"/>
    </w:rPr>
  </w:style>
  <w:style w:type="paragraph" w:styleId="FootnoteText">
    <w:name w:val="footnote text"/>
    <w:basedOn w:val="Normal"/>
    <w:link w:val="FootnoteTextChar"/>
    <w:uiPriority w:val="99"/>
    <w:semiHidden/>
    <w:unhideWhenUsed/>
    <w:rsid w:val="0048526C"/>
    <w:pPr>
      <w:spacing w:after="0"/>
    </w:pPr>
    <w:rPr>
      <w:szCs w:val="20"/>
    </w:rPr>
  </w:style>
  <w:style w:type="character" w:customStyle="1" w:styleId="FootnoteTextChar">
    <w:name w:val="Footnote Text Char"/>
    <w:basedOn w:val="DefaultParagraphFont"/>
    <w:link w:val="FootnoteText"/>
    <w:uiPriority w:val="99"/>
    <w:semiHidden/>
    <w:rsid w:val="0048526C"/>
    <w:rPr>
      <w:rFonts w:eastAsia="Times New Roman" w:cs="Times New Roman"/>
      <w:sz w:val="20"/>
      <w:szCs w:val="20"/>
    </w:rPr>
  </w:style>
  <w:style w:type="paragraph" w:styleId="BalloonText">
    <w:name w:val="Balloon Text"/>
    <w:basedOn w:val="Normal"/>
    <w:link w:val="BalloonTextChar"/>
    <w:uiPriority w:val="99"/>
    <w:semiHidden/>
    <w:unhideWhenUsed/>
    <w:rsid w:val="004852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26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26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8526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8526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8526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8526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8526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8526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8526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8526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8526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8526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8526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8526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8526C"/>
    <w:rPr>
      <w:rFonts w:ascii="Calibri" w:eastAsiaTheme="minorEastAsia" w:hAnsi="Calibri" w:cs="Arial"/>
      <w:bCs/>
      <w:i/>
      <w:noProof/>
    </w:rPr>
  </w:style>
  <w:style w:type="character" w:customStyle="1" w:styleId="Heading5Char">
    <w:name w:val="Heading 5 Char"/>
    <w:basedOn w:val="DefaultParagraphFont"/>
    <w:link w:val="Heading5"/>
    <w:uiPriority w:val="99"/>
    <w:rsid w:val="0048526C"/>
    <w:rPr>
      <w:rFonts w:ascii="Calibri" w:eastAsia="Times New Roman" w:hAnsi="Calibri" w:cs="Times New Roman"/>
      <w:sz w:val="20"/>
    </w:rPr>
  </w:style>
  <w:style w:type="character" w:customStyle="1" w:styleId="Heading6Char">
    <w:name w:val="Heading 6 Char"/>
    <w:basedOn w:val="DefaultParagraphFont"/>
    <w:link w:val="Heading6"/>
    <w:uiPriority w:val="9"/>
    <w:rsid w:val="0048526C"/>
    <w:rPr>
      <w:rFonts w:eastAsia="Times New Roman" w:cs="Calibri"/>
      <w:b/>
      <w:smallCaps/>
    </w:rPr>
  </w:style>
  <w:style w:type="character" w:customStyle="1" w:styleId="Heading7Char">
    <w:name w:val="Heading 7 Char"/>
    <w:basedOn w:val="DefaultParagraphFont"/>
    <w:link w:val="Heading7"/>
    <w:uiPriority w:val="99"/>
    <w:rsid w:val="0048526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8526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8526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8526C"/>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48526C"/>
    <w:rPr>
      <w:rFonts w:ascii="Arial" w:hAnsi="Arial" w:cs="Times New Roman"/>
      <w:sz w:val="20"/>
      <w:vertAlign w:val="superscript"/>
    </w:rPr>
  </w:style>
  <w:style w:type="character" w:styleId="Hyperlink">
    <w:name w:val="Hyperlink"/>
    <w:uiPriority w:val="99"/>
    <w:rsid w:val="0048526C"/>
    <w:rPr>
      <w:rFonts w:cs="Times New Roman"/>
      <w:color w:val="0000FF"/>
      <w:u w:val="single"/>
    </w:rPr>
  </w:style>
  <w:style w:type="paragraph" w:customStyle="1" w:styleId="TableText">
    <w:name w:val="Table Text"/>
    <w:basedOn w:val="Normal"/>
    <w:autoRedefine/>
    <w:qFormat/>
    <w:rsid w:val="0048526C"/>
    <w:pPr>
      <w:jc w:val="left"/>
    </w:pPr>
    <w:rPr>
      <w:rFonts w:ascii="Calibri" w:hAnsi="Calibri" w:cs="Arial"/>
      <w:noProof/>
      <w:szCs w:val="18"/>
      <w:lang w:val="en"/>
    </w:rPr>
  </w:style>
  <w:style w:type="character" w:customStyle="1" w:styleId="FootnoteChar">
    <w:name w:val="Footnote Char"/>
    <w:basedOn w:val="DefaultParagraphFont"/>
    <w:link w:val="Footnote"/>
    <w:rsid w:val="0048526C"/>
    <w:rPr>
      <w:rFonts w:eastAsiaTheme="minorEastAsia" w:cstheme="minorHAnsi"/>
      <w:sz w:val="18"/>
      <w:szCs w:val="20"/>
    </w:rPr>
  </w:style>
  <w:style w:type="paragraph" w:customStyle="1" w:styleId="AlgorithmHeading">
    <w:name w:val="Algorithm Heading"/>
    <w:basedOn w:val="Normal"/>
    <w:link w:val="AlgorithmHeadingChar"/>
    <w:qFormat/>
    <w:rsid w:val="0048526C"/>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48526C"/>
    <w:rPr>
      <w:rFonts w:eastAsia="Times New Roman" w:cstheme="minorHAnsi"/>
      <w:b/>
      <w:sz w:val="20"/>
      <w:szCs w:val="20"/>
    </w:rPr>
  </w:style>
  <w:style w:type="paragraph" w:customStyle="1" w:styleId="HeaderIL">
    <w:name w:val="Header IL"/>
    <w:basedOn w:val="Header"/>
    <w:link w:val="HeaderILChar"/>
    <w:qFormat/>
    <w:rsid w:val="0048526C"/>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48526C"/>
    <w:rPr>
      <w:rFonts w:eastAsia="Times New Roman" w:cs="Times New Roman"/>
      <w:sz w:val="20"/>
    </w:rPr>
  </w:style>
  <w:style w:type="paragraph" w:customStyle="1" w:styleId="Footnote">
    <w:name w:val="Footnote"/>
    <w:basedOn w:val="FootnoteText"/>
    <w:link w:val="FootnoteChar"/>
    <w:autoRedefine/>
    <w:qFormat/>
    <w:rsid w:val="0048526C"/>
    <w:pPr>
      <w:jc w:val="left"/>
    </w:pPr>
    <w:rPr>
      <w:rFonts w:eastAsiaTheme="minorEastAsia" w:cstheme="minorHAnsi"/>
      <w:sz w:val="18"/>
    </w:rPr>
  </w:style>
  <w:style w:type="paragraph" w:styleId="Header">
    <w:name w:val="header"/>
    <w:basedOn w:val="Normal"/>
    <w:link w:val="HeaderChar"/>
    <w:uiPriority w:val="99"/>
    <w:semiHidden/>
    <w:unhideWhenUsed/>
    <w:rsid w:val="0048526C"/>
    <w:pPr>
      <w:tabs>
        <w:tab w:val="center" w:pos="4680"/>
        <w:tab w:val="right" w:pos="9360"/>
      </w:tabs>
      <w:spacing w:after="0"/>
    </w:pPr>
  </w:style>
  <w:style w:type="character" w:customStyle="1" w:styleId="HeaderChar">
    <w:name w:val="Header Char"/>
    <w:basedOn w:val="DefaultParagraphFont"/>
    <w:link w:val="Header"/>
    <w:uiPriority w:val="99"/>
    <w:semiHidden/>
    <w:rsid w:val="0048526C"/>
    <w:rPr>
      <w:rFonts w:eastAsia="Times New Roman" w:cs="Times New Roman"/>
      <w:sz w:val="20"/>
    </w:rPr>
  </w:style>
  <w:style w:type="paragraph" w:styleId="FootnoteText">
    <w:name w:val="footnote text"/>
    <w:basedOn w:val="Normal"/>
    <w:link w:val="FootnoteTextChar"/>
    <w:uiPriority w:val="99"/>
    <w:semiHidden/>
    <w:unhideWhenUsed/>
    <w:rsid w:val="0048526C"/>
    <w:pPr>
      <w:spacing w:after="0"/>
    </w:pPr>
    <w:rPr>
      <w:szCs w:val="20"/>
    </w:rPr>
  </w:style>
  <w:style w:type="character" w:customStyle="1" w:styleId="FootnoteTextChar">
    <w:name w:val="Footnote Text Char"/>
    <w:basedOn w:val="DefaultParagraphFont"/>
    <w:link w:val="FootnoteText"/>
    <w:uiPriority w:val="99"/>
    <w:semiHidden/>
    <w:rsid w:val="0048526C"/>
    <w:rPr>
      <w:rFonts w:eastAsia="Times New Roman" w:cs="Times New Roman"/>
      <w:sz w:val="20"/>
      <w:szCs w:val="20"/>
    </w:rPr>
  </w:style>
  <w:style w:type="paragraph" w:styleId="BalloonText">
    <w:name w:val="Balloon Text"/>
    <w:basedOn w:val="Normal"/>
    <w:link w:val="BalloonTextChar"/>
    <w:uiPriority w:val="99"/>
    <w:semiHidden/>
    <w:unhideWhenUsed/>
    <w:rsid w:val="004852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2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tsavesenergy.com/files/Final%202008%20Program%20Savings%20Docu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1B61D0A6</Template>
  <TotalTime>2</TotalTime>
  <Pages>5</Pages>
  <Words>651</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2015-12-17T11:02:00Z</dcterms:created>
  <dcterms:modified xsi:type="dcterms:W3CDTF">2015-12-17T11:06:00Z</dcterms:modified>
</cp:coreProperties>
</file>