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E1D0EE" w14:textId="77777777" w:rsidR="003330BC" w:rsidRDefault="003330BC" w:rsidP="003330BC">
      <w:pPr>
        <w:pStyle w:val="Heading3"/>
        <w:numPr>
          <w:ilvl w:val="2"/>
          <w:numId w:val="2"/>
        </w:numPr>
      </w:pPr>
      <w:bookmarkStart w:id="0" w:name="_Ref376422968"/>
      <w:bookmarkStart w:id="1" w:name="_Toc411593550"/>
      <w:r>
        <w:t>Ductless Heat Pumps</w:t>
      </w:r>
      <w:bookmarkEnd w:id="0"/>
      <w:bookmarkEnd w:id="1"/>
    </w:p>
    <w:p w14:paraId="3E191653" w14:textId="77777777" w:rsidR="003330BC" w:rsidRPr="002F5F3E" w:rsidRDefault="003330BC" w:rsidP="003330BC">
      <w:pPr>
        <w:keepNext/>
        <w:keepLines/>
        <w:spacing w:before="200"/>
        <w:outlineLvl w:val="5"/>
        <w:rPr>
          <w:rFonts w:eastAsiaTheme="majorEastAsia" w:cstheme="majorBidi"/>
          <w:b/>
          <w:iCs/>
          <w:smallCaps/>
          <w:sz w:val="22"/>
        </w:rPr>
      </w:pPr>
      <w:bookmarkStart w:id="2" w:name="_Toc343160263"/>
      <w:r w:rsidRPr="002F5F3E">
        <w:rPr>
          <w:rFonts w:eastAsiaTheme="majorEastAsia" w:cstheme="majorBidi"/>
          <w:b/>
          <w:iCs/>
          <w:smallCaps/>
          <w:sz w:val="22"/>
        </w:rPr>
        <w:t>Description</w:t>
      </w:r>
      <w:bookmarkStart w:id="3" w:name="_GoBack"/>
      <w:bookmarkEnd w:id="2"/>
      <w:bookmarkEnd w:id="3"/>
    </w:p>
    <w:p w14:paraId="637A3C27" w14:textId="77777777" w:rsidR="00CA0001" w:rsidRDefault="00CA0001" w:rsidP="003330BC">
      <w:pPr>
        <w:spacing w:after="240"/>
      </w:pPr>
    </w:p>
    <w:p w14:paraId="63628160" w14:textId="77777777" w:rsidR="00CA0001" w:rsidRDefault="003330BC" w:rsidP="00CA0001">
      <w:pPr>
        <w:pStyle w:val="CommentText"/>
      </w:pPr>
      <w:r w:rsidRPr="002F5F3E">
        <w:t xml:space="preserve">This measure is designed to calculate electric savings for supplementing existing electric HVAC systems with ductless </w:t>
      </w:r>
      <w:r w:rsidR="00CA0001">
        <w:t xml:space="preserve">mini-split </w:t>
      </w:r>
      <w:r w:rsidRPr="002F5F3E">
        <w:t>heat pumps</w:t>
      </w:r>
      <w:r w:rsidR="00CA0001">
        <w:t xml:space="preserve"> (DMSHPs)</w:t>
      </w:r>
      <w:r w:rsidRPr="002F5F3E">
        <w:t xml:space="preserve">. </w:t>
      </w:r>
      <w:r w:rsidR="00CA0001">
        <w:t xml:space="preserve">DMSHPs save energy in heating mode because they provide heat more efficiently than electric resistance heat and central ASHP systems. Additionally, DMSHPs use less fan energy to move heat and don’t incur heat loss through a duct distribution system. Often DMSHPs are installed in addition to (do not replace) existing heating equipment because at extreme cold conditions, many DMSHPs cannot provide enough heating capacity, although cold-climate heat pumps can continue to perform at sub-zero temperatures. </w:t>
      </w:r>
    </w:p>
    <w:p w14:paraId="7FF5D7EF" w14:textId="5A91B4D5" w:rsidR="003330BC" w:rsidRPr="002F5F3E" w:rsidRDefault="003330BC" w:rsidP="003330BC">
      <w:pPr>
        <w:spacing w:after="240"/>
        <w:rPr>
          <w:vertAlign w:val="superscript"/>
        </w:rPr>
      </w:pPr>
      <w:r w:rsidRPr="002F5F3E">
        <w:t xml:space="preserve">For cooling, the proposed savings calculations are aligned with those of typical replacement systems. </w:t>
      </w:r>
      <w:r w:rsidR="008E33C9">
        <w:t xml:space="preserve">DHPs save energy in cooling mode because they provide cooling capacity more efficiently than other types of unitary cooling equipment. A DMSHP installed in a home with a central ASHP system will save energy by offsetting some of the cooling energy of the ASHP.  </w:t>
      </w:r>
      <w:r w:rsidRPr="002F5F3E">
        <w:t>In order for this measure to apply, the control strategy for the heat pump is assumed to be chosen to maximize savings per installer recommendation.</w:t>
      </w:r>
      <w:r w:rsidRPr="002F5F3E">
        <w:rPr>
          <w:rFonts w:ascii="Arial" w:eastAsiaTheme="minorEastAsia" w:hAnsi="Arial"/>
          <w:vertAlign w:val="superscript"/>
        </w:rPr>
        <w:footnoteReference w:id="2"/>
      </w:r>
    </w:p>
    <w:p w14:paraId="1569D7A6" w14:textId="77777777" w:rsidR="003330BC" w:rsidRPr="002F5F3E" w:rsidRDefault="003330BC" w:rsidP="003330BC">
      <w:pPr>
        <w:rPr>
          <w:rFonts w:cstheme="minorHAnsi"/>
          <w:szCs w:val="20"/>
        </w:rPr>
      </w:pPr>
      <w:bookmarkStart w:id="4" w:name="_Toc343160264"/>
      <w:r w:rsidRPr="002F5F3E">
        <w:rPr>
          <w:rFonts w:cstheme="minorHAnsi"/>
          <w:szCs w:val="20"/>
        </w:rPr>
        <w:t xml:space="preserve">This measure was developed to be applicable to the following program types:  RF.  </w:t>
      </w:r>
    </w:p>
    <w:p w14:paraId="1882BD78" w14:textId="77777777" w:rsidR="003330BC" w:rsidRPr="002F5F3E" w:rsidRDefault="003330BC" w:rsidP="003330BC">
      <w:pPr>
        <w:rPr>
          <w:rFonts w:cstheme="minorHAnsi"/>
          <w:szCs w:val="20"/>
        </w:rPr>
      </w:pPr>
      <w:r w:rsidRPr="002F5F3E">
        <w:rPr>
          <w:rFonts w:cstheme="minorHAnsi"/>
          <w:szCs w:val="20"/>
        </w:rPr>
        <w:t>If applied to other program types, the measure savings should be verified.</w:t>
      </w:r>
    </w:p>
    <w:p w14:paraId="6AAB66FA" w14:textId="77777777" w:rsidR="003330BC" w:rsidRPr="002F5F3E" w:rsidRDefault="003330BC" w:rsidP="003330BC">
      <w:pPr>
        <w:keepNext/>
        <w:keepLines/>
        <w:spacing w:before="200"/>
        <w:outlineLvl w:val="5"/>
        <w:rPr>
          <w:rFonts w:eastAsiaTheme="majorEastAsia" w:cstheme="majorBidi"/>
          <w:b/>
          <w:iCs/>
          <w:smallCaps/>
          <w:sz w:val="22"/>
        </w:rPr>
      </w:pPr>
      <w:r w:rsidRPr="002F5F3E">
        <w:rPr>
          <w:rFonts w:eastAsiaTheme="majorEastAsia" w:cstheme="majorBidi"/>
          <w:b/>
          <w:iCs/>
          <w:smallCaps/>
          <w:sz w:val="22"/>
        </w:rPr>
        <w:t>Definition of Efficient Equipment</w:t>
      </w:r>
      <w:bookmarkEnd w:id="4"/>
    </w:p>
    <w:p w14:paraId="4C9A827A" w14:textId="01B3AFD1" w:rsidR="003330BC" w:rsidRPr="002F5F3E" w:rsidRDefault="003330BC" w:rsidP="003330BC">
      <w:pPr>
        <w:spacing w:after="240"/>
      </w:pPr>
      <w:r w:rsidRPr="002F5F3E">
        <w:t xml:space="preserve">In order for this characterization to apply, the new equipment must be a high-efficiency, variable-capacity (typically “inverter-driven” DC motor) ductless heat pump system that exceeds the </w:t>
      </w:r>
      <w:r w:rsidR="008E33C9">
        <w:t>program minimum efficiency requirements.</w:t>
      </w:r>
    </w:p>
    <w:p w14:paraId="477C5C4D" w14:textId="77777777" w:rsidR="003330BC" w:rsidRPr="002F5F3E" w:rsidRDefault="003330BC" w:rsidP="003330BC">
      <w:pPr>
        <w:keepNext/>
        <w:keepLines/>
        <w:spacing w:before="200"/>
        <w:outlineLvl w:val="5"/>
        <w:rPr>
          <w:rFonts w:eastAsiaTheme="majorEastAsia" w:cstheme="majorBidi"/>
          <w:b/>
          <w:iCs/>
          <w:smallCaps/>
          <w:sz w:val="22"/>
        </w:rPr>
      </w:pPr>
      <w:bookmarkStart w:id="5" w:name="_Toc343160265"/>
      <w:r w:rsidRPr="002F5F3E">
        <w:rPr>
          <w:rFonts w:eastAsiaTheme="majorEastAsia" w:cstheme="majorBidi"/>
          <w:b/>
          <w:iCs/>
          <w:smallCaps/>
          <w:sz w:val="22"/>
        </w:rPr>
        <w:t>Definition of Baseline Equipment</w:t>
      </w:r>
      <w:bookmarkEnd w:id="5"/>
    </w:p>
    <w:p w14:paraId="08EDDDD4" w14:textId="77777777" w:rsidR="003330BC" w:rsidRPr="002F5F3E" w:rsidRDefault="003330BC" w:rsidP="003330BC">
      <w:pPr>
        <w:spacing w:after="240"/>
      </w:pPr>
      <w:r w:rsidRPr="002F5F3E">
        <w:t>In order for this characterization to apply, baseline equipment must include a permanent electric resistance heating source or a ducted air-source heat pump. For multifamily buildings, each residence must have existing individual heating equipment. Multifamily residences with central heating do not qualify for this characterization. Existing cooling equipment is assumed to be standard efficiency. Note that in order to claim cooling savings, there must be an existing air conditioning system.</w:t>
      </w:r>
    </w:p>
    <w:p w14:paraId="2863B80D" w14:textId="77777777" w:rsidR="003330BC" w:rsidRPr="002F5F3E" w:rsidRDefault="003330BC" w:rsidP="003330BC">
      <w:pPr>
        <w:keepNext/>
        <w:keepLines/>
        <w:spacing w:before="200"/>
        <w:outlineLvl w:val="5"/>
        <w:rPr>
          <w:rFonts w:eastAsiaTheme="majorEastAsia" w:cstheme="majorBidi"/>
          <w:b/>
          <w:iCs/>
          <w:smallCaps/>
          <w:sz w:val="22"/>
        </w:rPr>
      </w:pPr>
      <w:bookmarkStart w:id="6" w:name="_Toc343160266"/>
      <w:r w:rsidRPr="002F5F3E">
        <w:rPr>
          <w:rFonts w:eastAsiaTheme="majorEastAsia" w:cstheme="majorBidi"/>
          <w:b/>
          <w:iCs/>
          <w:smallCaps/>
          <w:sz w:val="22"/>
        </w:rPr>
        <w:t>Deemed Lifetime of Efficient Equipment</w:t>
      </w:r>
      <w:bookmarkEnd w:id="6"/>
    </w:p>
    <w:p w14:paraId="1498A0BE" w14:textId="77777777" w:rsidR="003330BC" w:rsidRPr="002F5F3E" w:rsidRDefault="003330BC" w:rsidP="003330BC">
      <w:pPr>
        <w:spacing w:after="240"/>
        <w:rPr>
          <w:rFonts w:ascii="Arial" w:hAnsi="Arial" w:cs="Arial"/>
          <w:sz w:val="14"/>
          <w:szCs w:val="14"/>
          <w:vertAlign w:val="superscript"/>
        </w:rPr>
      </w:pPr>
      <w:r w:rsidRPr="002F5F3E">
        <w:rPr>
          <w:rFonts w:ascii="Calibri" w:hAnsi="Calibri" w:cs="Calibri"/>
          <w:szCs w:val="20"/>
        </w:rPr>
        <w:t>The expected measure life is assumed to be 18 years</w:t>
      </w:r>
      <w:r w:rsidRPr="002F5F3E">
        <w:rPr>
          <w:rFonts w:ascii="Arial" w:hAnsi="Arial"/>
          <w:vertAlign w:val="superscript"/>
        </w:rPr>
        <w:footnoteReference w:id="3"/>
      </w:r>
      <w:r w:rsidRPr="002F5F3E">
        <w:rPr>
          <w:rFonts w:ascii="Calibri" w:hAnsi="Calibri" w:cs="Calibri"/>
          <w:szCs w:val="20"/>
        </w:rPr>
        <w:t>.</w:t>
      </w:r>
    </w:p>
    <w:p w14:paraId="3E5B6095" w14:textId="77777777" w:rsidR="003330BC" w:rsidRPr="002F5F3E" w:rsidRDefault="003330BC" w:rsidP="003330BC">
      <w:pPr>
        <w:keepNext/>
        <w:keepLines/>
        <w:spacing w:before="200"/>
        <w:outlineLvl w:val="5"/>
        <w:rPr>
          <w:rFonts w:eastAsiaTheme="majorEastAsia" w:cstheme="majorBidi"/>
          <w:b/>
          <w:iCs/>
          <w:smallCaps/>
          <w:sz w:val="22"/>
        </w:rPr>
      </w:pPr>
      <w:bookmarkStart w:id="7" w:name="_Toc343160267"/>
      <w:r w:rsidRPr="002F5F3E">
        <w:rPr>
          <w:rFonts w:eastAsiaTheme="majorEastAsia" w:cstheme="majorBidi"/>
          <w:b/>
          <w:iCs/>
          <w:smallCaps/>
          <w:sz w:val="22"/>
        </w:rPr>
        <w:t>Deemed Measure Cost</w:t>
      </w:r>
      <w:bookmarkEnd w:id="7"/>
      <w:r w:rsidRPr="002F5F3E">
        <w:rPr>
          <w:rFonts w:eastAsiaTheme="majorEastAsia" w:cstheme="majorBidi"/>
          <w:b/>
          <w:iCs/>
          <w:smallCaps/>
          <w:sz w:val="22"/>
        </w:rPr>
        <w:t xml:space="preserve"> </w:t>
      </w:r>
    </w:p>
    <w:p w14:paraId="5294F983" w14:textId="77777777" w:rsidR="003330BC" w:rsidRDefault="003330BC" w:rsidP="003330BC">
      <w:pPr>
        <w:spacing w:after="240"/>
        <w:rPr>
          <w:rStyle w:val="CommentTextChar"/>
        </w:rPr>
      </w:pPr>
      <w:r w:rsidRPr="002F5F3E">
        <w:t>The incremental cost for this measure</w:t>
      </w:r>
      <w:r w:rsidR="008E33C9">
        <w:t xml:space="preserve"> is the full installation cost, as</w:t>
      </w:r>
      <w:r w:rsidRPr="002F5F3E">
        <w:t xml:space="preserve"> is provided below:</w:t>
      </w:r>
      <w:r w:rsidR="008E33C9" w:rsidRPr="008E33C9">
        <w:rPr>
          <w:rStyle w:val="CommentTextChar"/>
        </w:rPr>
        <w:t xml:space="preserve"> </w:t>
      </w:r>
      <w:r w:rsidR="008E33C9">
        <w:rPr>
          <w:rStyle w:val="FootnoteReference"/>
        </w:rPr>
        <w:footnoteReference w:id="4"/>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430"/>
        <w:gridCol w:w="1774"/>
        <w:gridCol w:w="1774"/>
      </w:tblGrid>
      <w:tr w:rsidR="008E33C9" w:rsidRPr="002F5F3E" w14:paraId="6E1DD26E" w14:textId="77777777" w:rsidTr="007D60B2">
        <w:trPr>
          <w:jc w:val="center"/>
        </w:trPr>
        <w:tc>
          <w:tcPr>
            <w:tcW w:w="2430" w:type="dxa"/>
            <w:shd w:val="clear" w:color="auto" w:fill="7F7F7F" w:themeFill="text1" w:themeFillTint="80"/>
            <w:tcMar>
              <w:top w:w="0" w:type="dxa"/>
              <w:left w:w="108" w:type="dxa"/>
              <w:bottom w:w="0" w:type="dxa"/>
              <w:right w:w="108" w:type="dxa"/>
            </w:tcMar>
            <w:vAlign w:val="center"/>
            <w:hideMark/>
          </w:tcPr>
          <w:p w14:paraId="3834F813" w14:textId="77777777" w:rsidR="008E33C9" w:rsidRPr="002F5F3E" w:rsidRDefault="008E33C9" w:rsidP="007D60B2">
            <w:pPr>
              <w:jc w:val="center"/>
              <w:rPr>
                <w:b/>
                <w:color w:val="FFFFFF" w:themeColor="background1"/>
              </w:rPr>
            </w:pPr>
            <w:r>
              <w:rPr>
                <w:b/>
                <w:color w:val="FFFFFF" w:themeColor="background1"/>
              </w:rPr>
              <w:lastRenderedPageBreak/>
              <w:t>Unit Capacity (BTU/h)</w:t>
            </w:r>
          </w:p>
        </w:tc>
        <w:tc>
          <w:tcPr>
            <w:tcW w:w="1774" w:type="dxa"/>
            <w:shd w:val="clear" w:color="auto" w:fill="7F7F7F" w:themeFill="text1" w:themeFillTint="80"/>
            <w:tcMar>
              <w:top w:w="0" w:type="dxa"/>
              <w:left w:w="108" w:type="dxa"/>
              <w:bottom w:w="0" w:type="dxa"/>
              <w:right w:w="108" w:type="dxa"/>
            </w:tcMar>
            <w:vAlign w:val="center"/>
            <w:hideMark/>
          </w:tcPr>
          <w:p w14:paraId="631DB071" w14:textId="77777777" w:rsidR="008E33C9" w:rsidRPr="002F5F3E" w:rsidRDefault="008E33C9" w:rsidP="007D60B2">
            <w:pPr>
              <w:jc w:val="center"/>
              <w:rPr>
                <w:b/>
                <w:color w:val="FFFFFF" w:themeColor="background1"/>
              </w:rPr>
            </w:pPr>
            <w:r>
              <w:rPr>
                <w:b/>
                <w:color w:val="FFFFFF" w:themeColor="background1"/>
              </w:rPr>
              <w:t>Equivalent Capacity (tons)</w:t>
            </w:r>
          </w:p>
        </w:tc>
        <w:tc>
          <w:tcPr>
            <w:tcW w:w="1774" w:type="dxa"/>
            <w:shd w:val="clear" w:color="auto" w:fill="7F7F7F" w:themeFill="text1" w:themeFillTint="80"/>
            <w:vAlign w:val="center"/>
          </w:tcPr>
          <w:p w14:paraId="0506BA18" w14:textId="77777777" w:rsidR="008E33C9" w:rsidRPr="002F5F3E" w:rsidRDefault="008E33C9" w:rsidP="007D60B2">
            <w:pPr>
              <w:jc w:val="center"/>
              <w:rPr>
                <w:b/>
                <w:color w:val="FFFFFF" w:themeColor="background1"/>
              </w:rPr>
            </w:pPr>
            <w:r>
              <w:rPr>
                <w:b/>
                <w:color w:val="FFFFFF" w:themeColor="background1"/>
              </w:rPr>
              <w:t>Total Installation Cost</w:t>
            </w:r>
          </w:p>
        </w:tc>
      </w:tr>
      <w:tr w:rsidR="008E33C9" w:rsidRPr="002F5F3E" w14:paraId="77FF2879" w14:textId="77777777" w:rsidTr="007D60B2">
        <w:trPr>
          <w:jc w:val="center"/>
        </w:trPr>
        <w:tc>
          <w:tcPr>
            <w:tcW w:w="2430" w:type="dxa"/>
            <w:tcMar>
              <w:top w:w="0" w:type="dxa"/>
              <w:left w:w="108" w:type="dxa"/>
              <w:bottom w:w="0" w:type="dxa"/>
              <w:right w:w="108" w:type="dxa"/>
            </w:tcMar>
            <w:vAlign w:val="center"/>
          </w:tcPr>
          <w:p w14:paraId="091EAA25" w14:textId="77777777" w:rsidR="008E33C9" w:rsidRPr="002F5F3E" w:rsidRDefault="008E33C9" w:rsidP="007D60B2">
            <w:pPr>
              <w:jc w:val="center"/>
            </w:pPr>
            <w:r>
              <w:t>12,000</w:t>
            </w:r>
          </w:p>
        </w:tc>
        <w:tc>
          <w:tcPr>
            <w:tcW w:w="1774" w:type="dxa"/>
            <w:tcMar>
              <w:top w:w="0" w:type="dxa"/>
              <w:left w:w="108" w:type="dxa"/>
              <w:bottom w:w="0" w:type="dxa"/>
              <w:right w:w="108" w:type="dxa"/>
            </w:tcMar>
            <w:vAlign w:val="center"/>
          </w:tcPr>
          <w:p w14:paraId="7871FB5F" w14:textId="77777777" w:rsidR="008E33C9" w:rsidRPr="002F5F3E" w:rsidRDefault="008E33C9" w:rsidP="007D60B2">
            <w:pPr>
              <w:jc w:val="center"/>
            </w:pPr>
            <w:r>
              <w:t>1.00</w:t>
            </w:r>
          </w:p>
        </w:tc>
        <w:tc>
          <w:tcPr>
            <w:tcW w:w="1774" w:type="dxa"/>
          </w:tcPr>
          <w:p w14:paraId="47C5529D" w14:textId="77777777" w:rsidR="008E33C9" w:rsidRPr="002F5F3E" w:rsidRDefault="008E33C9" w:rsidP="007D60B2">
            <w:pPr>
              <w:jc w:val="center"/>
            </w:pPr>
            <w:r w:rsidRPr="00F35C1F">
              <w:rPr>
                <w:szCs w:val="20"/>
              </w:rPr>
              <w:t xml:space="preserve"> $3,</w:t>
            </w:r>
            <w:r>
              <w:rPr>
                <w:szCs w:val="20"/>
              </w:rPr>
              <w:t>051</w:t>
            </w:r>
            <w:r w:rsidRPr="00F35C1F">
              <w:rPr>
                <w:szCs w:val="20"/>
              </w:rPr>
              <w:t xml:space="preserve"> </w:t>
            </w:r>
          </w:p>
        </w:tc>
      </w:tr>
      <w:tr w:rsidR="008E33C9" w:rsidRPr="002F5F3E" w14:paraId="39CB83C4" w14:textId="77777777" w:rsidTr="007D60B2">
        <w:trPr>
          <w:jc w:val="center"/>
        </w:trPr>
        <w:tc>
          <w:tcPr>
            <w:tcW w:w="2430" w:type="dxa"/>
            <w:tcMar>
              <w:top w:w="0" w:type="dxa"/>
              <w:left w:w="108" w:type="dxa"/>
              <w:bottom w:w="0" w:type="dxa"/>
              <w:right w:w="108" w:type="dxa"/>
            </w:tcMar>
            <w:vAlign w:val="center"/>
          </w:tcPr>
          <w:p w14:paraId="12C0A930" w14:textId="77777777" w:rsidR="008E33C9" w:rsidRDefault="008E33C9" w:rsidP="007D60B2">
            <w:pPr>
              <w:jc w:val="center"/>
            </w:pPr>
            <w:r w:rsidRPr="00EB59BA">
              <w:t>15,000</w:t>
            </w:r>
          </w:p>
        </w:tc>
        <w:tc>
          <w:tcPr>
            <w:tcW w:w="1774" w:type="dxa"/>
            <w:tcMar>
              <w:top w:w="0" w:type="dxa"/>
              <w:left w:w="108" w:type="dxa"/>
              <w:bottom w:w="0" w:type="dxa"/>
              <w:right w:w="108" w:type="dxa"/>
            </w:tcMar>
            <w:vAlign w:val="center"/>
          </w:tcPr>
          <w:p w14:paraId="04275A40" w14:textId="77777777" w:rsidR="008E33C9" w:rsidRPr="002F5F3E" w:rsidRDefault="008E33C9" w:rsidP="007D60B2">
            <w:pPr>
              <w:jc w:val="center"/>
            </w:pPr>
            <w:r w:rsidRPr="00EB59BA">
              <w:t>1.25</w:t>
            </w:r>
          </w:p>
        </w:tc>
        <w:tc>
          <w:tcPr>
            <w:tcW w:w="1774" w:type="dxa"/>
          </w:tcPr>
          <w:p w14:paraId="74BE0B7C" w14:textId="77777777" w:rsidR="008E33C9" w:rsidRPr="002F5F3E" w:rsidRDefault="008E33C9" w:rsidP="007D60B2">
            <w:pPr>
              <w:jc w:val="center"/>
            </w:pPr>
            <w:r w:rsidRPr="0023185A">
              <w:t xml:space="preserve"> $4,093 </w:t>
            </w:r>
          </w:p>
        </w:tc>
      </w:tr>
      <w:tr w:rsidR="008E33C9" w:rsidRPr="002F5F3E" w14:paraId="314151F9" w14:textId="77777777" w:rsidTr="007D60B2">
        <w:trPr>
          <w:jc w:val="center"/>
        </w:trPr>
        <w:tc>
          <w:tcPr>
            <w:tcW w:w="2430" w:type="dxa"/>
            <w:tcMar>
              <w:top w:w="0" w:type="dxa"/>
              <w:left w:w="108" w:type="dxa"/>
              <w:bottom w:w="0" w:type="dxa"/>
              <w:right w:w="108" w:type="dxa"/>
            </w:tcMar>
            <w:vAlign w:val="center"/>
          </w:tcPr>
          <w:p w14:paraId="4F8AC973" w14:textId="77777777" w:rsidR="008E33C9" w:rsidRPr="002F5F3E" w:rsidRDefault="008E33C9" w:rsidP="007D60B2">
            <w:pPr>
              <w:jc w:val="center"/>
            </w:pPr>
            <w:r w:rsidRPr="00EB59BA">
              <w:t>18,000</w:t>
            </w:r>
          </w:p>
        </w:tc>
        <w:tc>
          <w:tcPr>
            <w:tcW w:w="1774" w:type="dxa"/>
            <w:tcMar>
              <w:top w:w="0" w:type="dxa"/>
              <w:left w:w="108" w:type="dxa"/>
              <w:bottom w:w="0" w:type="dxa"/>
              <w:right w:w="108" w:type="dxa"/>
            </w:tcMar>
            <w:vAlign w:val="center"/>
          </w:tcPr>
          <w:p w14:paraId="1A5F130D" w14:textId="77777777" w:rsidR="008E33C9" w:rsidRPr="002F5F3E" w:rsidRDefault="008E33C9" w:rsidP="007D60B2">
            <w:pPr>
              <w:jc w:val="center"/>
            </w:pPr>
            <w:r w:rsidRPr="00EB59BA">
              <w:t>1.50</w:t>
            </w:r>
          </w:p>
        </w:tc>
        <w:tc>
          <w:tcPr>
            <w:tcW w:w="1774" w:type="dxa"/>
          </w:tcPr>
          <w:p w14:paraId="4C6A9E22" w14:textId="77777777" w:rsidR="008E33C9" w:rsidRPr="002F5F3E" w:rsidRDefault="008E33C9" w:rsidP="007D60B2">
            <w:pPr>
              <w:jc w:val="center"/>
            </w:pPr>
            <w:r w:rsidRPr="0023185A">
              <w:t xml:space="preserve"> $5,182 </w:t>
            </w:r>
          </w:p>
        </w:tc>
      </w:tr>
      <w:tr w:rsidR="008E33C9" w:rsidRPr="002F5F3E" w14:paraId="31A33214" w14:textId="77777777" w:rsidTr="007D60B2">
        <w:trPr>
          <w:jc w:val="center"/>
        </w:trPr>
        <w:tc>
          <w:tcPr>
            <w:tcW w:w="2430" w:type="dxa"/>
            <w:tcMar>
              <w:top w:w="0" w:type="dxa"/>
              <w:left w:w="108" w:type="dxa"/>
              <w:bottom w:w="0" w:type="dxa"/>
              <w:right w:w="108" w:type="dxa"/>
            </w:tcMar>
            <w:vAlign w:val="center"/>
          </w:tcPr>
          <w:p w14:paraId="31F28C35" w14:textId="77777777" w:rsidR="008E33C9" w:rsidRPr="002F5F3E" w:rsidRDefault="008E33C9" w:rsidP="007D60B2">
            <w:pPr>
              <w:jc w:val="center"/>
            </w:pPr>
            <w:r w:rsidRPr="00EB59BA">
              <w:t>20,000</w:t>
            </w:r>
          </w:p>
        </w:tc>
        <w:tc>
          <w:tcPr>
            <w:tcW w:w="1774" w:type="dxa"/>
            <w:tcMar>
              <w:top w:w="0" w:type="dxa"/>
              <w:left w:w="108" w:type="dxa"/>
              <w:bottom w:w="0" w:type="dxa"/>
              <w:right w:w="108" w:type="dxa"/>
            </w:tcMar>
            <w:vAlign w:val="center"/>
          </w:tcPr>
          <w:p w14:paraId="40F9A36C" w14:textId="77777777" w:rsidR="008E33C9" w:rsidRPr="002F5F3E" w:rsidRDefault="008E33C9" w:rsidP="007D60B2">
            <w:pPr>
              <w:jc w:val="center"/>
            </w:pPr>
            <w:r w:rsidRPr="00EB59BA">
              <w:t>1.67</w:t>
            </w:r>
          </w:p>
        </w:tc>
        <w:tc>
          <w:tcPr>
            <w:tcW w:w="1774" w:type="dxa"/>
          </w:tcPr>
          <w:p w14:paraId="43FF3BBA" w14:textId="77777777" w:rsidR="008E33C9" w:rsidRPr="002F5F3E" w:rsidRDefault="008E33C9" w:rsidP="007D60B2">
            <w:pPr>
              <w:jc w:val="center"/>
            </w:pPr>
            <w:r w:rsidRPr="0023185A">
              <w:t xml:space="preserve"> $5,897 </w:t>
            </w:r>
          </w:p>
        </w:tc>
      </w:tr>
      <w:tr w:rsidR="008E33C9" w:rsidRPr="002F5F3E" w14:paraId="3C771205" w14:textId="77777777" w:rsidTr="007D60B2">
        <w:trPr>
          <w:jc w:val="center"/>
        </w:trPr>
        <w:tc>
          <w:tcPr>
            <w:tcW w:w="2430" w:type="dxa"/>
            <w:tcMar>
              <w:top w:w="0" w:type="dxa"/>
              <w:left w:w="108" w:type="dxa"/>
              <w:bottom w:w="0" w:type="dxa"/>
              <w:right w:w="108" w:type="dxa"/>
            </w:tcMar>
            <w:vAlign w:val="center"/>
          </w:tcPr>
          <w:p w14:paraId="5CC4E522" w14:textId="77777777" w:rsidR="008E33C9" w:rsidRPr="002F5F3E" w:rsidRDefault="008E33C9" w:rsidP="007D60B2">
            <w:pPr>
              <w:jc w:val="center"/>
            </w:pPr>
            <w:r w:rsidRPr="00EB59BA">
              <w:t>22,000</w:t>
            </w:r>
          </w:p>
        </w:tc>
        <w:tc>
          <w:tcPr>
            <w:tcW w:w="1774" w:type="dxa"/>
            <w:tcMar>
              <w:top w:w="0" w:type="dxa"/>
              <w:left w:w="108" w:type="dxa"/>
              <w:bottom w:w="0" w:type="dxa"/>
              <w:right w:w="108" w:type="dxa"/>
            </w:tcMar>
            <w:vAlign w:val="center"/>
          </w:tcPr>
          <w:p w14:paraId="08972837" w14:textId="77777777" w:rsidR="008E33C9" w:rsidRPr="002F5F3E" w:rsidRDefault="008E33C9" w:rsidP="007D60B2">
            <w:pPr>
              <w:jc w:val="center"/>
            </w:pPr>
            <w:r w:rsidRPr="00EB59BA">
              <w:t>1.83</w:t>
            </w:r>
          </w:p>
        </w:tc>
        <w:tc>
          <w:tcPr>
            <w:tcW w:w="1774" w:type="dxa"/>
          </w:tcPr>
          <w:p w14:paraId="29EE77CF" w14:textId="77777777" w:rsidR="008E33C9" w:rsidRPr="002F5F3E" w:rsidRDefault="008E33C9" w:rsidP="007D60B2">
            <w:pPr>
              <w:jc w:val="center"/>
            </w:pPr>
            <w:r w:rsidRPr="0023185A">
              <w:t xml:space="preserve"> $6,637 </w:t>
            </w:r>
          </w:p>
        </w:tc>
      </w:tr>
      <w:tr w:rsidR="008E33C9" w:rsidRPr="002F5F3E" w14:paraId="5A109261" w14:textId="77777777" w:rsidTr="007D60B2">
        <w:trPr>
          <w:jc w:val="center"/>
        </w:trPr>
        <w:tc>
          <w:tcPr>
            <w:tcW w:w="2430" w:type="dxa"/>
            <w:tcMar>
              <w:top w:w="0" w:type="dxa"/>
              <w:left w:w="108" w:type="dxa"/>
              <w:bottom w:w="0" w:type="dxa"/>
              <w:right w:w="108" w:type="dxa"/>
            </w:tcMar>
            <w:vAlign w:val="center"/>
          </w:tcPr>
          <w:p w14:paraId="3EFB3125" w14:textId="77777777" w:rsidR="008E33C9" w:rsidRPr="002F5F3E" w:rsidRDefault="008E33C9" w:rsidP="007D60B2">
            <w:pPr>
              <w:jc w:val="center"/>
            </w:pPr>
            <w:r w:rsidRPr="00EB59BA">
              <w:t>24,000</w:t>
            </w:r>
          </w:p>
        </w:tc>
        <w:tc>
          <w:tcPr>
            <w:tcW w:w="1774" w:type="dxa"/>
            <w:tcMar>
              <w:top w:w="0" w:type="dxa"/>
              <w:left w:w="108" w:type="dxa"/>
              <w:bottom w:w="0" w:type="dxa"/>
              <w:right w:w="108" w:type="dxa"/>
            </w:tcMar>
            <w:vAlign w:val="center"/>
          </w:tcPr>
          <w:p w14:paraId="45991E6D" w14:textId="77777777" w:rsidR="008E33C9" w:rsidRPr="002F5F3E" w:rsidRDefault="008E33C9" w:rsidP="007D60B2">
            <w:pPr>
              <w:jc w:val="center"/>
            </w:pPr>
            <w:r w:rsidRPr="00EB59BA">
              <w:t>2.00</w:t>
            </w:r>
          </w:p>
        </w:tc>
        <w:tc>
          <w:tcPr>
            <w:tcW w:w="1774" w:type="dxa"/>
          </w:tcPr>
          <w:p w14:paraId="1E31081A" w14:textId="77777777" w:rsidR="008E33C9" w:rsidRPr="002F5F3E" w:rsidRDefault="008E33C9" w:rsidP="007D60B2">
            <w:pPr>
              <w:jc w:val="center"/>
            </w:pPr>
            <w:r w:rsidRPr="0023185A">
              <w:t xml:space="preserve"> $7,310 </w:t>
            </w:r>
          </w:p>
        </w:tc>
      </w:tr>
      <w:tr w:rsidR="008E33C9" w:rsidRPr="002F5F3E" w14:paraId="07908859" w14:textId="77777777" w:rsidTr="007D60B2">
        <w:trPr>
          <w:jc w:val="center"/>
        </w:trPr>
        <w:tc>
          <w:tcPr>
            <w:tcW w:w="2430" w:type="dxa"/>
            <w:tcMar>
              <w:top w:w="0" w:type="dxa"/>
              <w:left w:w="108" w:type="dxa"/>
              <w:bottom w:w="0" w:type="dxa"/>
              <w:right w:w="108" w:type="dxa"/>
            </w:tcMar>
            <w:vAlign w:val="center"/>
          </w:tcPr>
          <w:p w14:paraId="48CC7146" w14:textId="77777777" w:rsidR="008E33C9" w:rsidRPr="002F5F3E" w:rsidRDefault="008E33C9" w:rsidP="007D60B2">
            <w:pPr>
              <w:jc w:val="center"/>
            </w:pPr>
            <w:r w:rsidRPr="00EB59BA">
              <w:t>28,000</w:t>
            </w:r>
          </w:p>
        </w:tc>
        <w:tc>
          <w:tcPr>
            <w:tcW w:w="1774" w:type="dxa"/>
            <w:tcMar>
              <w:top w:w="0" w:type="dxa"/>
              <w:left w:w="108" w:type="dxa"/>
              <w:bottom w:w="0" w:type="dxa"/>
              <w:right w:w="108" w:type="dxa"/>
            </w:tcMar>
            <w:vAlign w:val="center"/>
          </w:tcPr>
          <w:p w14:paraId="662262B1" w14:textId="77777777" w:rsidR="008E33C9" w:rsidRPr="002F5F3E" w:rsidRDefault="008E33C9" w:rsidP="007D60B2">
            <w:pPr>
              <w:jc w:val="center"/>
            </w:pPr>
            <w:r w:rsidRPr="00EB59BA">
              <w:t>2.33</w:t>
            </w:r>
          </w:p>
        </w:tc>
        <w:tc>
          <w:tcPr>
            <w:tcW w:w="1774" w:type="dxa"/>
          </w:tcPr>
          <w:p w14:paraId="50311F74" w14:textId="77777777" w:rsidR="008E33C9" w:rsidRPr="002F5F3E" w:rsidRDefault="008E33C9" w:rsidP="007D60B2">
            <w:pPr>
              <w:jc w:val="center"/>
            </w:pPr>
            <w:r w:rsidRPr="0023185A">
              <w:t xml:space="preserve"> $8,209 </w:t>
            </w:r>
          </w:p>
        </w:tc>
      </w:tr>
      <w:tr w:rsidR="008E33C9" w:rsidRPr="002F5F3E" w14:paraId="11CC1FD1" w14:textId="77777777" w:rsidTr="007D60B2">
        <w:trPr>
          <w:jc w:val="center"/>
        </w:trPr>
        <w:tc>
          <w:tcPr>
            <w:tcW w:w="2430" w:type="dxa"/>
            <w:tcMar>
              <w:top w:w="0" w:type="dxa"/>
              <w:left w:w="108" w:type="dxa"/>
              <w:bottom w:w="0" w:type="dxa"/>
              <w:right w:w="108" w:type="dxa"/>
            </w:tcMar>
            <w:vAlign w:val="center"/>
          </w:tcPr>
          <w:p w14:paraId="4ECB84B0" w14:textId="77777777" w:rsidR="008E33C9" w:rsidRPr="002F5F3E" w:rsidRDefault="008E33C9" w:rsidP="007D60B2">
            <w:pPr>
              <w:jc w:val="center"/>
            </w:pPr>
            <w:r w:rsidRPr="00EB59BA">
              <w:t>35,000</w:t>
            </w:r>
          </w:p>
        </w:tc>
        <w:tc>
          <w:tcPr>
            <w:tcW w:w="1774" w:type="dxa"/>
            <w:tcMar>
              <w:top w:w="0" w:type="dxa"/>
              <w:left w:w="108" w:type="dxa"/>
              <w:bottom w:w="0" w:type="dxa"/>
              <w:right w:w="108" w:type="dxa"/>
            </w:tcMar>
            <w:vAlign w:val="center"/>
          </w:tcPr>
          <w:p w14:paraId="70AE4347" w14:textId="77777777" w:rsidR="008E33C9" w:rsidRPr="002F5F3E" w:rsidRDefault="008E33C9" w:rsidP="007D60B2">
            <w:pPr>
              <w:jc w:val="center"/>
            </w:pPr>
            <w:r w:rsidRPr="00EB59BA">
              <w:t>2.92</w:t>
            </w:r>
          </w:p>
        </w:tc>
        <w:tc>
          <w:tcPr>
            <w:tcW w:w="1774" w:type="dxa"/>
          </w:tcPr>
          <w:p w14:paraId="6857F7D9" w14:textId="77777777" w:rsidR="008E33C9" w:rsidRPr="002F5F3E" w:rsidRDefault="008E33C9" w:rsidP="007D60B2">
            <w:pPr>
              <w:jc w:val="center"/>
            </w:pPr>
            <w:r w:rsidRPr="0023185A">
              <w:t xml:space="preserve"> $10,814 </w:t>
            </w:r>
          </w:p>
        </w:tc>
      </w:tr>
    </w:tbl>
    <w:p w14:paraId="24BCD309" w14:textId="77777777" w:rsidR="003330BC" w:rsidRPr="002F5F3E" w:rsidRDefault="003330BC" w:rsidP="003330BC">
      <w:pPr>
        <w:keepNext/>
        <w:keepLines/>
        <w:spacing w:before="200"/>
        <w:outlineLvl w:val="5"/>
        <w:rPr>
          <w:rFonts w:eastAsiaTheme="majorEastAsia" w:cstheme="majorBidi"/>
          <w:b/>
          <w:iCs/>
          <w:smallCaps/>
          <w:sz w:val="22"/>
        </w:rPr>
      </w:pPr>
      <w:bookmarkStart w:id="11" w:name="_Toc343160269"/>
      <w:r w:rsidRPr="002F5F3E">
        <w:rPr>
          <w:rFonts w:eastAsiaTheme="majorEastAsia" w:cstheme="majorBidi"/>
          <w:b/>
          <w:iCs/>
          <w:smallCaps/>
          <w:sz w:val="22"/>
        </w:rPr>
        <w:t>Loadshape</w:t>
      </w:r>
      <w:bookmarkEnd w:id="11"/>
    </w:p>
    <w:p w14:paraId="7AF8B5C4" w14:textId="77777777" w:rsidR="003330BC" w:rsidRPr="002F5F3E" w:rsidRDefault="003330BC" w:rsidP="003330BC">
      <w:pPr>
        <w:spacing w:after="240"/>
        <w:rPr>
          <w:szCs w:val="20"/>
        </w:rPr>
      </w:pPr>
      <w:r w:rsidRPr="002F5F3E">
        <w:rPr>
          <w:rFonts w:ascii="Calibri" w:hAnsi="Calibri" w:cs="Calibri"/>
          <w:szCs w:val="20"/>
        </w:rPr>
        <w:t>Loadshape R10 - Residential Electric Heating and Cooling</w:t>
      </w:r>
    </w:p>
    <w:p w14:paraId="32621491" w14:textId="77777777" w:rsidR="003330BC" w:rsidRPr="002F5F3E" w:rsidRDefault="003330BC" w:rsidP="003330BC">
      <w:pPr>
        <w:keepNext/>
        <w:keepLines/>
        <w:spacing w:before="200"/>
        <w:outlineLvl w:val="5"/>
        <w:rPr>
          <w:rFonts w:eastAsiaTheme="majorEastAsia" w:cstheme="majorBidi"/>
          <w:b/>
          <w:iCs/>
          <w:smallCaps/>
          <w:sz w:val="22"/>
        </w:rPr>
      </w:pPr>
      <w:bookmarkStart w:id="12" w:name="_Toc343160270"/>
      <w:r w:rsidRPr="002F5F3E">
        <w:rPr>
          <w:rFonts w:eastAsiaTheme="majorEastAsia" w:cstheme="majorBidi"/>
          <w:b/>
          <w:iCs/>
          <w:smallCaps/>
          <w:sz w:val="22"/>
        </w:rPr>
        <w:t>Coincidence Factor</w:t>
      </w:r>
      <w:bookmarkEnd w:id="12"/>
    </w:p>
    <w:p w14:paraId="77BBDBF5" w14:textId="5336FE3E" w:rsidR="003330BC" w:rsidRPr="002F5F3E" w:rsidRDefault="003330BC" w:rsidP="003330BC">
      <w:pPr>
        <w:autoSpaceDE w:val="0"/>
        <w:autoSpaceDN w:val="0"/>
        <w:adjustRightInd w:val="0"/>
        <w:rPr>
          <w:rFonts w:ascii="Calibri" w:hAnsi="Calibri" w:cs="Calibri"/>
          <w:szCs w:val="20"/>
        </w:rPr>
      </w:pPr>
      <w:r w:rsidRPr="002F5F3E">
        <w:rPr>
          <w:rFonts w:ascii="Calibri" w:hAnsi="Calibri" w:cs="Calibri"/>
          <w:szCs w:val="20"/>
        </w:rPr>
        <w:t xml:space="preserve">The summer peak coincidence factor for cooling is provided in two different ways below. The first is used to estimate peak savings during the utility peak hour and is most indicative of actual peak benefits, and the second represents the </w:t>
      </w:r>
      <w:r w:rsidRPr="002F5F3E">
        <w:rPr>
          <w:rFonts w:cs="Calibri,Italic"/>
          <w:i/>
          <w:iCs/>
          <w:szCs w:val="20"/>
        </w:rPr>
        <w:t>average</w:t>
      </w:r>
      <w:r w:rsidRPr="002F5F3E">
        <w:rPr>
          <w:rFonts w:ascii="Calibri,Italic" w:hAnsi="Calibri,Italic" w:cs="Calibri,Italic"/>
          <w:i/>
          <w:iCs/>
          <w:szCs w:val="20"/>
        </w:rPr>
        <w:t xml:space="preserve"> </w:t>
      </w:r>
      <w:r w:rsidRPr="002F5F3E">
        <w:rPr>
          <w:rFonts w:ascii="Calibri" w:hAnsi="Calibri" w:cs="Calibri"/>
          <w:szCs w:val="20"/>
        </w:rPr>
        <w:t xml:space="preserve">savings over the defined summer peak period, and is presented so that savings can be bid into PJM’s Forward Capacity Market. Both values provided are based on </w:t>
      </w:r>
      <w:r w:rsidR="008E33C9">
        <w:rPr>
          <w:rFonts w:ascii="Calibri" w:hAnsi="Calibri" w:cs="Calibri"/>
          <w:szCs w:val="20"/>
        </w:rPr>
        <w:t>metering data for 40 DHPs in Ameren Illinois service territory</w:t>
      </w:r>
      <w:bookmarkStart w:id="13" w:name="_Ref433221434"/>
      <w:r w:rsidR="008E33C9" w:rsidRPr="002F5F3E">
        <w:rPr>
          <w:rFonts w:ascii="Arial" w:eastAsiaTheme="minorEastAsia" w:hAnsi="Arial"/>
          <w:vertAlign w:val="superscript"/>
        </w:rPr>
        <w:footnoteReference w:id="5"/>
      </w:r>
      <w:bookmarkEnd w:id="13"/>
      <w:r w:rsidR="008E33C9">
        <w:rPr>
          <w:rFonts w:ascii="Calibri" w:hAnsi="Calibri" w:cs="Calibri"/>
          <w:szCs w:val="20"/>
        </w:rPr>
        <w:t>.</w:t>
      </w:r>
    </w:p>
    <w:p w14:paraId="7CF24BAC" w14:textId="77777777" w:rsidR="003330BC" w:rsidRPr="002F5F3E" w:rsidRDefault="003330BC" w:rsidP="003330BC">
      <w:pPr>
        <w:autoSpaceDE w:val="0"/>
        <w:autoSpaceDN w:val="0"/>
        <w:adjustRightInd w:val="0"/>
        <w:rPr>
          <w:rFonts w:ascii="Calibri" w:hAnsi="Calibri" w:cs="Calibri"/>
          <w:szCs w:val="20"/>
        </w:rPr>
      </w:pPr>
    </w:p>
    <w:p w14:paraId="764E077B" w14:textId="7FC4645E" w:rsidR="003330BC" w:rsidRPr="002F5F3E" w:rsidRDefault="003330BC" w:rsidP="003330BC">
      <w:pPr>
        <w:autoSpaceDE w:val="0"/>
        <w:autoSpaceDN w:val="0"/>
        <w:adjustRightInd w:val="0"/>
        <w:rPr>
          <w:rFonts w:ascii="Calibri" w:hAnsi="Calibri" w:cs="Calibri"/>
          <w:szCs w:val="20"/>
        </w:rPr>
      </w:pPr>
      <w:r w:rsidRPr="002F5F3E">
        <w:rPr>
          <w:rFonts w:ascii="Calibri" w:hAnsi="Calibri" w:cs="Calibri"/>
          <w:szCs w:val="20"/>
        </w:rPr>
        <w:t>CF</w:t>
      </w:r>
      <w:r w:rsidRPr="002F5F3E">
        <w:rPr>
          <w:rFonts w:ascii="Calibri" w:hAnsi="Calibri" w:cs="Calibri"/>
          <w:sz w:val="13"/>
          <w:szCs w:val="13"/>
        </w:rPr>
        <w:t xml:space="preserve">SSP </w:t>
      </w:r>
      <w:r w:rsidRPr="002F5F3E">
        <w:rPr>
          <w:rFonts w:ascii="Calibri" w:hAnsi="Calibri" w:cs="Calibri"/>
          <w:sz w:val="13"/>
          <w:szCs w:val="13"/>
        </w:rPr>
        <w:tab/>
      </w:r>
      <w:r w:rsidRPr="002F5F3E">
        <w:rPr>
          <w:rFonts w:ascii="Calibri" w:hAnsi="Calibri" w:cs="Calibri"/>
          <w:sz w:val="13"/>
          <w:szCs w:val="13"/>
        </w:rPr>
        <w:tab/>
      </w:r>
      <w:r w:rsidRPr="002F5F3E">
        <w:rPr>
          <w:rFonts w:ascii="Calibri" w:hAnsi="Calibri" w:cs="Calibri"/>
          <w:szCs w:val="20"/>
        </w:rPr>
        <w:t xml:space="preserve">= Summer System Peak Coincidence Factor for </w:t>
      </w:r>
      <w:r w:rsidR="008E33C9">
        <w:rPr>
          <w:rFonts w:ascii="Calibri" w:hAnsi="Calibri" w:cs="Calibri"/>
          <w:szCs w:val="20"/>
        </w:rPr>
        <w:t>DMSHP</w:t>
      </w:r>
      <w:r w:rsidR="008E33C9" w:rsidRPr="002F5F3E">
        <w:rPr>
          <w:rFonts w:ascii="Calibri" w:hAnsi="Calibri" w:cs="Calibri"/>
          <w:szCs w:val="20"/>
        </w:rPr>
        <w:t xml:space="preserve"> </w:t>
      </w:r>
      <w:r w:rsidRPr="002F5F3E">
        <w:rPr>
          <w:rFonts w:ascii="Calibri" w:hAnsi="Calibri" w:cs="Calibri"/>
          <w:szCs w:val="20"/>
        </w:rPr>
        <w:t>(during utility peak hour)</w:t>
      </w:r>
    </w:p>
    <w:p w14:paraId="2A81FF95" w14:textId="2C4B5945" w:rsidR="003330BC" w:rsidRPr="002F5F3E" w:rsidRDefault="003330BC" w:rsidP="003330BC">
      <w:pPr>
        <w:autoSpaceDE w:val="0"/>
        <w:autoSpaceDN w:val="0"/>
        <w:adjustRightInd w:val="0"/>
        <w:ind w:left="720" w:firstLine="720"/>
        <w:rPr>
          <w:rFonts w:ascii="Arial" w:hAnsi="Arial" w:cs="Arial"/>
          <w:sz w:val="13"/>
          <w:szCs w:val="13"/>
          <w:vertAlign w:val="superscript"/>
        </w:rPr>
      </w:pPr>
      <w:r w:rsidRPr="002F5F3E">
        <w:rPr>
          <w:rFonts w:ascii="Calibri" w:hAnsi="Calibri" w:cs="Calibri"/>
          <w:szCs w:val="20"/>
        </w:rPr>
        <w:t xml:space="preserve">= </w:t>
      </w:r>
      <w:r w:rsidR="008E33C9">
        <w:rPr>
          <w:rFonts w:cstheme="minorHAnsi"/>
        </w:rPr>
        <w:t>43.1</w:t>
      </w:r>
      <w:r w:rsidRPr="002F5F3E">
        <w:rPr>
          <w:rFonts w:cstheme="minorHAnsi"/>
        </w:rPr>
        <w:t>%%</w:t>
      </w:r>
      <w:r w:rsidRPr="002F5F3E">
        <w:rPr>
          <w:rFonts w:ascii="Arial" w:eastAsiaTheme="minorEastAsia" w:hAnsi="Arial"/>
          <w:vertAlign w:val="superscript"/>
        </w:rPr>
        <w:footnoteReference w:id="6"/>
      </w:r>
    </w:p>
    <w:p w14:paraId="5836C162" w14:textId="61AC6DED" w:rsidR="003330BC" w:rsidRPr="002F5F3E" w:rsidRDefault="003330BC" w:rsidP="003330BC">
      <w:pPr>
        <w:autoSpaceDE w:val="0"/>
        <w:autoSpaceDN w:val="0"/>
        <w:adjustRightInd w:val="0"/>
        <w:rPr>
          <w:rFonts w:ascii="Calibri" w:hAnsi="Calibri" w:cs="Calibri"/>
          <w:szCs w:val="20"/>
        </w:rPr>
      </w:pPr>
      <w:r w:rsidRPr="002F5F3E">
        <w:rPr>
          <w:rFonts w:ascii="Calibri" w:hAnsi="Calibri" w:cs="Calibri"/>
          <w:szCs w:val="20"/>
        </w:rPr>
        <w:t>CF</w:t>
      </w:r>
      <w:r w:rsidRPr="002F5F3E">
        <w:rPr>
          <w:rFonts w:ascii="Calibri" w:hAnsi="Calibri" w:cs="Calibri"/>
          <w:sz w:val="13"/>
          <w:szCs w:val="13"/>
        </w:rPr>
        <w:t xml:space="preserve">PJM </w:t>
      </w:r>
      <w:r w:rsidRPr="002F5F3E">
        <w:rPr>
          <w:rFonts w:ascii="Calibri" w:hAnsi="Calibri" w:cs="Calibri"/>
          <w:sz w:val="13"/>
          <w:szCs w:val="13"/>
        </w:rPr>
        <w:tab/>
      </w:r>
      <w:r w:rsidRPr="002F5F3E">
        <w:rPr>
          <w:rFonts w:ascii="Calibri" w:hAnsi="Calibri" w:cs="Calibri"/>
          <w:sz w:val="13"/>
          <w:szCs w:val="13"/>
        </w:rPr>
        <w:tab/>
      </w:r>
      <w:r w:rsidRPr="002F5F3E">
        <w:rPr>
          <w:rFonts w:ascii="Calibri" w:hAnsi="Calibri" w:cs="Calibri"/>
          <w:szCs w:val="20"/>
        </w:rPr>
        <w:t xml:space="preserve">= PJM Summer Peak Coincidence Factor for </w:t>
      </w:r>
      <w:r w:rsidR="008E33C9">
        <w:rPr>
          <w:rFonts w:ascii="Calibri" w:hAnsi="Calibri" w:cs="Calibri"/>
          <w:szCs w:val="20"/>
        </w:rPr>
        <w:t>DMSHP</w:t>
      </w:r>
      <w:r w:rsidR="008E33C9" w:rsidRPr="002F5F3E">
        <w:rPr>
          <w:rFonts w:ascii="Calibri" w:hAnsi="Calibri" w:cs="Calibri"/>
          <w:szCs w:val="20"/>
        </w:rPr>
        <w:t xml:space="preserve"> </w:t>
      </w:r>
      <w:r w:rsidRPr="002F5F3E">
        <w:rPr>
          <w:rFonts w:ascii="Calibri" w:hAnsi="Calibri" w:cs="Calibri"/>
          <w:szCs w:val="20"/>
        </w:rPr>
        <w:t>(average during PJM peak period)</w:t>
      </w:r>
    </w:p>
    <w:p w14:paraId="47A5A6AA" w14:textId="2F021057" w:rsidR="003330BC" w:rsidRPr="002F5F3E" w:rsidRDefault="003330BC" w:rsidP="003330BC">
      <w:pPr>
        <w:spacing w:after="240"/>
        <w:ind w:left="720" w:firstLine="720"/>
        <w:rPr>
          <w:vertAlign w:val="superscript"/>
        </w:rPr>
      </w:pPr>
      <w:r w:rsidRPr="002F5F3E">
        <w:rPr>
          <w:rFonts w:ascii="Calibri" w:hAnsi="Calibri" w:cs="Calibri"/>
          <w:szCs w:val="20"/>
        </w:rPr>
        <w:t xml:space="preserve">= </w:t>
      </w:r>
      <w:r w:rsidR="008E33C9">
        <w:rPr>
          <w:rFonts w:cstheme="minorHAnsi"/>
        </w:rPr>
        <w:t>28.0</w:t>
      </w:r>
      <w:r w:rsidRPr="002F5F3E">
        <w:rPr>
          <w:rFonts w:cstheme="minorHAnsi"/>
        </w:rPr>
        <w:t>%</w:t>
      </w:r>
      <w:r w:rsidRPr="002F5F3E">
        <w:rPr>
          <w:rFonts w:ascii="Arial" w:eastAsiaTheme="minorEastAsia" w:hAnsi="Arial"/>
          <w:vertAlign w:val="superscript"/>
        </w:rPr>
        <w:footnoteReference w:id="7"/>
      </w:r>
    </w:p>
    <w:p w14:paraId="38F7AE56" w14:textId="77777777" w:rsidR="003330BC" w:rsidRPr="002F5F3E" w:rsidRDefault="003330BC" w:rsidP="003330BC">
      <w:pPr>
        <w:spacing w:after="240"/>
        <w:rPr>
          <w:rFonts w:ascii="Calibri" w:hAnsi="Calibri" w:cs="Arial"/>
          <w:bCs/>
          <w:kern w:val="32"/>
          <w:sz w:val="32"/>
          <w:szCs w:val="32"/>
        </w:rPr>
      </w:pPr>
      <w:r w:rsidRPr="002F5F3E">
        <w:br w:type="page"/>
      </w:r>
    </w:p>
    <w:p w14:paraId="10E7E646" w14:textId="77777777" w:rsidR="003330BC" w:rsidRPr="002F5F3E" w:rsidRDefault="003330BC" w:rsidP="003330BC">
      <w:pPr>
        <w:pBdr>
          <w:top w:val="double" w:sz="4" w:space="1" w:color="auto"/>
          <w:bottom w:val="double" w:sz="4" w:space="1" w:color="auto"/>
        </w:pBdr>
        <w:spacing w:after="240"/>
        <w:jc w:val="center"/>
        <w:rPr>
          <w:rFonts w:cstheme="minorHAnsi"/>
          <w:b/>
          <w:sz w:val="22"/>
        </w:rPr>
      </w:pPr>
      <w:bookmarkStart w:id="14" w:name="_Toc343160272"/>
      <w:r w:rsidRPr="002F5F3E">
        <w:rPr>
          <w:rFonts w:cstheme="minorHAnsi"/>
          <w:b/>
          <w:sz w:val="22"/>
        </w:rPr>
        <w:lastRenderedPageBreak/>
        <w:t>Algorithms</w:t>
      </w:r>
    </w:p>
    <w:p w14:paraId="2B79B46B" w14:textId="77777777" w:rsidR="003330BC" w:rsidRPr="002F5F3E" w:rsidRDefault="003330BC" w:rsidP="003330BC">
      <w:pPr>
        <w:keepNext/>
        <w:keepLines/>
        <w:spacing w:before="200"/>
        <w:outlineLvl w:val="5"/>
        <w:rPr>
          <w:rFonts w:eastAsiaTheme="majorEastAsia" w:cstheme="majorBidi"/>
          <w:b/>
          <w:iCs/>
          <w:smallCaps/>
          <w:sz w:val="22"/>
        </w:rPr>
      </w:pPr>
      <w:bookmarkStart w:id="15" w:name="_Toc343160273"/>
      <w:bookmarkEnd w:id="14"/>
      <w:r w:rsidRPr="002F5F3E">
        <w:rPr>
          <w:rFonts w:eastAsiaTheme="majorEastAsia" w:cstheme="majorBidi"/>
          <w:b/>
          <w:iCs/>
          <w:smallCaps/>
          <w:sz w:val="22"/>
        </w:rPr>
        <w:t>Calculation of Savings</w:t>
      </w:r>
      <w:bookmarkEnd w:id="15"/>
      <w:r w:rsidRPr="002F5F3E">
        <w:rPr>
          <w:rFonts w:eastAsiaTheme="majorEastAsia" w:cstheme="majorBidi"/>
          <w:b/>
          <w:iCs/>
          <w:smallCaps/>
          <w:sz w:val="22"/>
        </w:rPr>
        <w:t xml:space="preserve"> </w:t>
      </w:r>
    </w:p>
    <w:p w14:paraId="770B2E0E" w14:textId="77777777" w:rsidR="003330BC" w:rsidRPr="002F5F3E" w:rsidRDefault="003330BC" w:rsidP="003330BC">
      <w:pPr>
        <w:keepNext/>
        <w:keepLines/>
        <w:spacing w:before="200"/>
        <w:outlineLvl w:val="5"/>
        <w:rPr>
          <w:rFonts w:eastAsiaTheme="majorEastAsia" w:cstheme="majorBidi"/>
          <w:b/>
          <w:iCs/>
          <w:smallCaps/>
          <w:sz w:val="22"/>
        </w:rPr>
      </w:pPr>
      <w:bookmarkStart w:id="16" w:name="_Toc343160274"/>
      <w:r w:rsidRPr="002F5F3E">
        <w:rPr>
          <w:rFonts w:eastAsiaTheme="majorEastAsia" w:cstheme="majorBidi"/>
          <w:b/>
          <w:iCs/>
          <w:smallCaps/>
          <w:sz w:val="22"/>
        </w:rPr>
        <w:t>Electric Energy Savings</w:t>
      </w:r>
      <w:bookmarkEnd w:id="16"/>
    </w:p>
    <w:p w14:paraId="02F2D057" w14:textId="77777777" w:rsidR="003330BC" w:rsidRPr="002F5F3E" w:rsidRDefault="003330BC" w:rsidP="003330BC">
      <w:pPr>
        <w:spacing w:after="240"/>
      </w:pPr>
      <w:r w:rsidRPr="002F5F3E">
        <w:t>Electric savings</w:t>
      </w:r>
    </w:p>
    <w:p w14:paraId="382F59D2" w14:textId="77777777" w:rsidR="003330BC" w:rsidRPr="002F5F3E" w:rsidRDefault="003330BC" w:rsidP="003330BC">
      <w:pPr>
        <w:spacing w:after="240"/>
        <w:ind w:left="720" w:firstLine="720"/>
        <w:rPr>
          <w:vertAlign w:val="subscript"/>
        </w:rPr>
      </w:pPr>
      <w:r w:rsidRPr="002F5F3E">
        <w:t>ΔkWh</w:t>
      </w:r>
      <w:r w:rsidRPr="002F5F3E">
        <w:tab/>
        <w:t>= ΔkWh</w:t>
      </w:r>
      <w:r w:rsidRPr="002F5F3E">
        <w:rPr>
          <w:vertAlign w:val="subscript"/>
        </w:rPr>
        <w:t>heat</w:t>
      </w:r>
      <w:r w:rsidRPr="002F5F3E">
        <w:t xml:space="preserve"> + ΔkWh</w:t>
      </w:r>
      <w:r w:rsidRPr="002F5F3E">
        <w:rPr>
          <w:vertAlign w:val="subscript"/>
        </w:rPr>
        <w:t>cool</w:t>
      </w:r>
    </w:p>
    <w:p w14:paraId="0B959A52" w14:textId="25FCD840" w:rsidR="003330BC" w:rsidRPr="002F5F3E" w:rsidRDefault="003330BC" w:rsidP="003330BC">
      <w:pPr>
        <w:spacing w:after="240"/>
        <w:ind w:firstLine="720"/>
        <w:rPr>
          <w:vertAlign w:val="subscript"/>
        </w:rPr>
      </w:pPr>
      <w:r w:rsidRPr="002F5F3E">
        <w:t>ΔkWh</w:t>
      </w:r>
      <w:r w:rsidRPr="002F5F3E">
        <w:rPr>
          <w:vertAlign w:val="subscript"/>
        </w:rPr>
        <w:t>heat</w:t>
      </w:r>
      <w:r w:rsidRPr="002F5F3E">
        <w:t xml:space="preserve"> </w:t>
      </w:r>
      <w:r w:rsidRPr="002F5F3E">
        <w:tab/>
        <w:t xml:space="preserve">= </w:t>
      </w:r>
      <w:r w:rsidR="008E33C9">
        <w:t>(Capacity</w:t>
      </w:r>
      <w:r w:rsidR="008E33C9">
        <w:rPr>
          <w:vertAlign w:val="subscript"/>
        </w:rPr>
        <w:t>heat *</w:t>
      </w:r>
      <w:r w:rsidR="008E33C9">
        <w:t xml:space="preserve"> EFLH</w:t>
      </w:r>
      <w:r w:rsidR="008E33C9">
        <w:rPr>
          <w:vertAlign w:val="subscript"/>
        </w:rPr>
        <w:t>heat</w:t>
      </w:r>
      <w:r w:rsidR="008E33C9">
        <w:t xml:space="preserve"> </w:t>
      </w:r>
      <w:r w:rsidRPr="002F5F3E">
        <w:t>*</w:t>
      </w:r>
      <w:r w:rsidR="008E33C9">
        <w:t xml:space="preserve"> </w:t>
      </w:r>
      <w:r w:rsidRPr="002F5F3E">
        <w:t>(1/HSPF</w:t>
      </w:r>
      <w:r w:rsidRPr="002F5F3E">
        <w:rPr>
          <w:vertAlign w:val="subscript"/>
        </w:rPr>
        <w:t>exist</w:t>
      </w:r>
      <w:r w:rsidR="008E33C9">
        <w:rPr>
          <w:vertAlign w:val="subscript"/>
        </w:rPr>
        <w:t xml:space="preserve"> </w:t>
      </w:r>
      <w:r w:rsidRPr="002F5F3E">
        <w:t>-</w:t>
      </w:r>
      <w:r w:rsidR="008E33C9">
        <w:t xml:space="preserve"> </w:t>
      </w:r>
      <w:r w:rsidRPr="002F5F3E">
        <w:t>1/HSPF</w:t>
      </w:r>
      <w:r w:rsidRPr="002F5F3E">
        <w:rPr>
          <w:vertAlign w:val="subscript"/>
        </w:rPr>
        <w:t>ee</w:t>
      </w:r>
      <w:r w:rsidRPr="002F5F3E">
        <w:t>)</w:t>
      </w:r>
      <w:r w:rsidR="008E33C9">
        <w:t>) / 1000</w:t>
      </w:r>
    </w:p>
    <w:p w14:paraId="054DFBC8" w14:textId="62D19A0B" w:rsidR="003330BC" w:rsidRPr="002F5F3E" w:rsidRDefault="003330BC" w:rsidP="003330BC">
      <w:pPr>
        <w:spacing w:after="240"/>
        <w:ind w:firstLine="720"/>
        <w:rPr>
          <w:color w:val="1F497D" w:themeColor="text2"/>
        </w:rPr>
      </w:pPr>
      <w:r w:rsidRPr="002F5F3E">
        <w:t>ΔkWh</w:t>
      </w:r>
      <w:r w:rsidRPr="002F5F3E">
        <w:rPr>
          <w:vertAlign w:val="subscript"/>
        </w:rPr>
        <w:t xml:space="preserve">cool </w:t>
      </w:r>
      <w:r w:rsidRPr="002F5F3E">
        <w:rPr>
          <w:vertAlign w:val="subscript"/>
        </w:rPr>
        <w:tab/>
      </w:r>
      <w:r w:rsidRPr="002F5F3E">
        <w:t xml:space="preserve">= </w:t>
      </w:r>
      <w:r w:rsidR="008E33C9">
        <w:t>(</w:t>
      </w:r>
      <w:r w:rsidRPr="002F5F3E">
        <w:t>Capacity</w:t>
      </w:r>
      <w:r w:rsidRPr="002F5F3E">
        <w:rPr>
          <w:vertAlign w:val="subscript"/>
        </w:rPr>
        <w:t>cool</w:t>
      </w:r>
      <w:r w:rsidR="008E33C9">
        <w:t>* EFLH</w:t>
      </w:r>
      <w:r w:rsidR="008E33C9" w:rsidRPr="00F4235F">
        <w:rPr>
          <w:vertAlign w:val="subscript"/>
        </w:rPr>
        <w:t>cool</w:t>
      </w:r>
      <w:r w:rsidR="008E33C9">
        <w:t xml:space="preserve"> </w:t>
      </w:r>
      <w:r w:rsidRPr="002F5F3E">
        <w:t>*(1/SEER</w:t>
      </w:r>
      <w:r w:rsidRPr="002F5F3E">
        <w:rPr>
          <w:vertAlign w:val="subscript"/>
        </w:rPr>
        <w:t>exist</w:t>
      </w:r>
      <w:r w:rsidR="008E33C9">
        <w:rPr>
          <w:vertAlign w:val="subscript"/>
        </w:rPr>
        <w:t xml:space="preserve"> </w:t>
      </w:r>
      <w:r w:rsidRPr="002F5F3E">
        <w:t>-</w:t>
      </w:r>
      <w:r w:rsidR="008E33C9">
        <w:t xml:space="preserve"> </w:t>
      </w:r>
      <w:r w:rsidRPr="002F5F3E">
        <w:t>1/SEER</w:t>
      </w:r>
      <w:r w:rsidRPr="002F5F3E">
        <w:rPr>
          <w:vertAlign w:val="subscript"/>
        </w:rPr>
        <w:t>ee</w:t>
      </w:r>
      <w:r w:rsidRPr="002F5F3E">
        <w:t>)</w:t>
      </w:r>
      <w:r w:rsidR="008E33C9">
        <w:t>) / 1000</w:t>
      </w:r>
    </w:p>
    <w:p w14:paraId="1BC0DFC8" w14:textId="77777777" w:rsidR="003330BC" w:rsidRPr="002F5F3E" w:rsidRDefault="003330BC" w:rsidP="003330BC">
      <w:pPr>
        <w:spacing w:after="240"/>
      </w:pPr>
      <w:r w:rsidRPr="002F5F3E">
        <w:t>Where:</w:t>
      </w:r>
    </w:p>
    <w:p w14:paraId="5155B101" w14:textId="77777777" w:rsidR="008E33C9" w:rsidRDefault="008E33C9" w:rsidP="008E33C9">
      <w:pPr>
        <w:ind w:left="2160" w:hanging="1440"/>
      </w:pPr>
      <w:r>
        <w:t>Capacity</w:t>
      </w:r>
      <w:r>
        <w:rPr>
          <w:vertAlign w:val="subscript"/>
        </w:rPr>
        <w:t xml:space="preserve">heat </w:t>
      </w:r>
      <w:r>
        <w:t xml:space="preserve"> </w:t>
      </w:r>
      <w:r>
        <w:tab/>
      </w:r>
      <w:r w:rsidRPr="002F5F3E">
        <w:t xml:space="preserve">= </w:t>
      </w:r>
      <w:r w:rsidR="00351405">
        <w:t>H</w:t>
      </w:r>
      <w:r>
        <w:t>eating</w:t>
      </w:r>
      <w:r w:rsidRPr="002F5F3E">
        <w:t xml:space="preserve"> capacity of the ductless heat pump unit in Btu/hr</w:t>
      </w:r>
    </w:p>
    <w:p w14:paraId="5F7459CA" w14:textId="77777777" w:rsidR="00E85B5E" w:rsidRDefault="00E85B5E" w:rsidP="008E33C9">
      <w:pPr>
        <w:ind w:left="2160" w:hanging="1440"/>
      </w:pPr>
      <w:r>
        <w:tab/>
        <w:t>= Actual</w:t>
      </w:r>
    </w:p>
    <w:p w14:paraId="21F360C3" w14:textId="77777777" w:rsidR="00351405" w:rsidRDefault="00351405" w:rsidP="00F4235F">
      <w:pPr>
        <w:spacing w:after="0"/>
        <w:ind w:left="2160" w:hanging="1440"/>
      </w:pPr>
    </w:p>
    <w:p w14:paraId="10D3E4E5" w14:textId="77777777" w:rsidR="008E33C9" w:rsidRPr="002F5F3E" w:rsidRDefault="008E33C9" w:rsidP="008E33C9">
      <w:pPr>
        <w:ind w:left="2160" w:hanging="1440"/>
      </w:pPr>
      <w:r>
        <w:t>EFLH</w:t>
      </w:r>
      <w:r>
        <w:rPr>
          <w:vertAlign w:val="subscript"/>
        </w:rPr>
        <w:t>heat</w:t>
      </w:r>
      <w:r>
        <w:rPr>
          <w:vertAlign w:val="subscript"/>
        </w:rPr>
        <w:tab/>
      </w:r>
      <w:r w:rsidR="00351405" w:rsidRPr="002F5F3E">
        <w:t xml:space="preserve">= Equivalent Full Load Hours for </w:t>
      </w:r>
      <w:r w:rsidR="00351405">
        <w:t>heating</w:t>
      </w:r>
      <w:r w:rsidR="00351405" w:rsidRPr="002F5F3E">
        <w:t>. Depends on location. See table below</w:t>
      </w:r>
    </w:p>
    <w:tbl>
      <w:tblPr>
        <w:tblW w:w="0" w:type="auto"/>
        <w:tblInd w:w="3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430"/>
        <w:gridCol w:w="1774"/>
      </w:tblGrid>
      <w:tr w:rsidR="008E33C9" w:rsidRPr="002F5F3E" w14:paraId="0E7943B1" w14:textId="77777777" w:rsidTr="007D60B2">
        <w:tc>
          <w:tcPr>
            <w:tcW w:w="2430" w:type="dxa"/>
            <w:shd w:val="clear" w:color="auto" w:fill="7F7F7F" w:themeFill="text1" w:themeFillTint="80"/>
            <w:tcMar>
              <w:top w:w="0" w:type="dxa"/>
              <w:left w:w="108" w:type="dxa"/>
              <w:bottom w:w="0" w:type="dxa"/>
              <w:right w:w="108" w:type="dxa"/>
            </w:tcMar>
            <w:vAlign w:val="center"/>
            <w:hideMark/>
          </w:tcPr>
          <w:p w14:paraId="2C00E6AE" w14:textId="77777777" w:rsidR="008E33C9" w:rsidRPr="002F5F3E" w:rsidRDefault="008E33C9" w:rsidP="008E33C9">
            <w:pPr>
              <w:jc w:val="center"/>
              <w:rPr>
                <w:b/>
                <w:color w:val="FFFFFF" w:themeColor="background1"/>
              </w:rPr>
            </w:pPr>
            <w:r w:rsidRPr="002F5F3E">
              <w:rPr>
                <w:b/>
                <w:color w:val="FFFFFF" w:themeColor="background1"/>
              </w:rPr>
              <w:t>Climate Zone</w:t>
            </w:r>
            <w:r>
              <w:rPr>
                <w:b/>
                <w:color w:val="FFFFFF" w:themeColor="background1"/>
              </w:rPr>
              <w:t xml:space="preserve">                  </w:t>
            </w:r>
            <w:r w:rsidRPr="002F5F3E">
              <w:rPr>
                <w:b/>
                <w:color w:val="FFFFFF" w:themeColor="background1"/>
              </w:rPr>
              <w:t>(City based upon)</w:t>
            </w:r>
          </w:p>
        </w:tc>
        <w:tc>
          <w:tcPr>
            <w:tcW w:w="1774" w:type="dxa"/>
            <w:shd w:val="clear" w:color="auto" w:fill="7F7F7F" w:themeFill="text1" w:themeFillTint="80"/>
            <w:tcMar>
              <w:top w:w="0" w:type="dxa"/>
              <w:left w:w="108" w:type="dxa"/>
              <w:bottom w:w="0" w:type="dxa"/>
              <w:right w:w="108" w:type="dxa"/>
            </w:tcMar>
            <w:vAlign w:val="center"/>
            <w:hideMark/>
          </w:tcPr>
          <w:p w14:paraId="399E719C" w14:textId="77777777" w:rsidR="008E33C9" w:rsidRPr="002F5F3E" w:rsidRDefault="008E33C9" w:rsidP="007D60B2">
            <w:pPr>
              <w:jc w:val="center"/>
              <w:rPr>
                <w:b/>
                <w:color w:val="FFFFFF" w:themeColor="background1"/>
              </w:rPr>
            </w:pPr>
            <w:r>
              <w:rPr>
                <w:b/>
                <w:color w:val="FFFFFF" w:themeColor="background1"/>
              </w:rPr>
              <w:t>EFLH</w:t>
            </w:r>
            <w:r w:rsidRPr="00F4235F">
              <w:rPr>
                <w:b/>
                <w:color w:val="FFFFFF" w:themeColor="background1"/>
                <w:vertAlign w:val="subscript"/>
              </w:rPr>
              <w:t>heat</w:t>
            </w:r>
            <w:r>
              <w:rPr>
                <w:rStyle w:val="FootnoteReference"/>
                <w:b/>
                <w:color w:val="FFFFFF" w:themeColor="background1"/>
              </w:rPr>
              <w:footnoteReference w:id="8"/>
            </w:r>
          </w:p>
        </w:tc>
      </w:tr>
      <w:tr w:rsidR="008E33C9" w:rsidRPr="002F5F3E" w14:paraId="4B2EFED1" w14:textId="77777777" w:rsidTr="007D60B2">
        <w:tc>
          <w:tcPr>
            <w:tcW w:w="2430" w:type="dxa"/>
            <w:tcMar>
              <w:top w:w="0" w:type="dxa"/>
              <w:left w:w="108" w:type="dxa"/>
              <w:bottom w:w="0" w:type="dxa"/>
              <w:right w:w="108" w:type="dxa"/>
            </w:tcMar>
          </w:tcPr>
          <w:p w14:paraId="5D26A4DB" w14:textId="77777777" w:rsidR="008E33C9" w:rsidRPr="002F5F3E" w:rsidRDefault="008E33C9" w:rsidP="007D60B2">
            <w:r>
              <w:t>1 (Rockford)</w:t>
            </w:r>
          </w:p>
        </w:tc>
        <w:tc>
          <w:tcPr>
            <w:tcW w:w="1774" w:type="dxa"/>
            <w:tcMar>
              <w:top w:w="0" w:type="dxa"/>
              <w:left w:w="108" w:type="dxa"/>
              <w:bottom w:w="0" w:type="dxa"/>
              <w:right w:w="108" w:type="dxa"/>
            </w:tcMar>
          </w:tcPr>
          <w:p w14:paraId="2E8F514F" w14:textId="77777777" w:rsidR="008E33C9" w:rsidRPr="002F5F3E" w:rsidRDefault="008E33C9" w:rsidP="00F4235F">
            <w:pPr>
              <w:jc w:val="center"/>
            </w:pPr>
            <w:r w:rsidRPr="004532AA">
              <w:t>1,520</w:t>
            </w:r>
          </w:p>
        </w:tc>
      </w:tr>
      <w:tr w:rsidR="008E33C9" w:rsidRPr="002F5F3E" w14:paraId="25B22C2A" w14:textId="77777777" w:rsidTr="007D60B2">
        <w:trPr>
          <w:trHeight w:val="251"/>
        </w:trPr>
        <w:tc>
          <w:tcPr>
            <w:tcW w:w="2430" w:type="dxa"/>
            <w:tcMar>
              <w:top w:w="0" w:type="dxa"/>
              <w:left w:w="108" w:type="dxa"/>
              <w:bottom w:w="0" w:type="dxa"/>
              <w:right w:w="108" w:type="dxa"/>
            </w:tcMar>
          </w:tcPr>
          <w:p w14:paraId="64F27DD4" w14:textId="77777777" w:rsidR="008E33C9" w:rsidRPr="002F5F3E" w:rsidRDefault="008E33C9" w:rsidP="007D60B2">
            <w:r>
              <w:t>2 (Chicago)</w:t>
            </w:r>
          </w:p>
        </w:tc>
        <w:tc>
          <w:tcPr>
            <w:tcW w:w="1774" w:type="dxa"/>
            <w:tcMar>
              <w:top w:w="0" w:type="dxa"/>
              <w:left w:w="108" w:type="dxa"/>
              <w:bottom w:w="0" w:type="dxa"/>
              <w:right w:w="108" w:type="dxa"/>
            </w:tcMar>
          </w:tcPr>
          <w:p w14:paraId="45D2090E" w14:textId="77777777" w:rsidR="008E33C9" w:rsidRPr="002F5F3E" w:rsidRDefault="008E33C9" w:rsidP="00F4235F">
            <w:pPr>
              <w:jc w:val="center"/>
            </w:pPr>
            <w:r w:rsidRPr="004532AA">
              <w:t>1,421</w:t>
            </w:r>
          </w:p>
        </w:tc>
      </w:tr>
      <w:tr w:rsidR="008E33C9" w:rsidRPr="002F5F3E" w14:paraId="7CE34B64" w14:textId="77777777" w:rsidTr="007D60B2">
        <w:trPr>
          <w:trHeight w:val="215"/>
        </w:trPr>
        <w:tc>
          <w:tcPr>
            <w:tcW w:w="2430" w:type="dxa"/>
            <w:tcMar>
              <w:top w:w="0" w:type="dxa"/>
              <w:left w:w="108" w:type="dxa"/>
              <w:bottom w:w="0" w:type="dxa"/>
              <w:right w:w="108" w:type="dxa"/>
            </w:tcMar>
          </w:tcPr>
          <w:p w14:paraId="3F550513" w14:textId="77777777" w:rsidR="008E33C9" w:rsidRPr="002F5F3E" w:rsidRDefault="008E33C9" w:rsidP="007D60B2">
            <w:r>
              <w:t>3 (Springfield)</w:t>
            </w:r>
          </w:p>
        </w:tc>
        <w:tc>
          <w:tcPr>
            <w:tcW w:w="1774" w:type="dxa"/>
            <w:tcMar>
              <w:top w:w="0" w:type="dxa"/>
              <w:left w:w="108" w:type="dxa"/>
              <w:bottom w:w="0" w:type="dxa"/>
              <w:right w:w="108" w:type="dxa"/>
            </w:tcMar>
          </w:tcPr>
          <w:p w14:paraId="3BB07E1F" w14:textId="77777777" w:rsidR="008E33C9" w:rsidRPr="002F5F3E" w:rsidRDefault="008E33C9" w:rsidP="00F4235F">
            <w:pPr>
              <w:jc w:val="center"/>
            </w:pPr>
            <w:r w:rsidRPr="004532AA">
              <w:t>1,347</w:t>
            </w:r>
          </w:p>
        </w:tc>
      </w:tr>
      <w:tr w:rsidR="008E33C9" w:rsidRPr="002F5F3E" w14:paraId="16123625" w14:textId="77777777" w:rsidTr="007D60B2">
        <w:trPr>
          <w:trHeight w:val="215"/>
        </w:trPr>
        <w:tc>
          <w:tcPr>
            <w:tcW w:w="2430" w:type="dxa"/>
            <w:tcMar>
              <w:top w:w="0" w:type="dxa"/>
              <w:left w:w="108" w:type="dxa"/>
              <w:bottom w:w="0" w:type="dxa"/>
              <w:right w:w="108" w:type="dxa"/>
            </w:tcMar>
          </w:tcPr>
          <w:p w14:paraId="36D03D41" w14:textId="77777777" w:rsidR="008E33C9" w:rsidRPr="002F5F3E" w:rsidRDefault="008E33C9" w:rsidP="007D60B2">
            <w:r>
              <w:t>4 (Belleville)</w:t>
            </w:r>
          </w:p>
        </w:tc>
        <w:tc>
          <w:tcPr>
            <w:tcW w:w="1774" w:type="dxa"/>
            <w:tcMar>
              <w:top w:w="0" w:type="dxa"/>
              <w:left w:w="108" w:type="dxa"/>
              <w:bottom w:w="0" w:type="dxa"/>
              <w:right w:w="108" w:type="dxa"/>
            </w:tcMar>
          </w:tcPr>
          <w:p w14:paraId="6DCABF1A" w14:textId="77777777" w:rsidR="008E33C9" w:rsidRDefault="008E33C9" w:rsidP="00F4235F">
            <w:pPr>
              <w:jc w:val="center"/>
            </w:pPr>
            <w:r w:rsidRPr="004532AA">
              <w:t>977</w:t>
            </w:r>
          </w:p>
        </w:tc>
      </w:tr>
      <w:tr w:rsidR="008E33C9" w:rsidRPr="002F5F3E" w14:paraId="077AF4C3" w14:textId="77777777" w:rsidTr="007D60B2">
        <w:trPr>
          <w:trHeight w:val="215"/>
        </w:trPr>
        <w:tc>
          <w:tcPr>
            <w:tcW w:w="2430" w:type="dxa"/>
            <w:tcMar>
              <w:top w:w="0" w:type="dxa"/>
              <w:left w:w="108" w:type="dxa"/>
              <w:bottom w:w="0" w:type="dxa"/>
              <w:right w:w="108" w:type="dxa"/>
            </w:tcMar>
          </w:tcPr>
          <w:p w14:paraId="53B3D9EB" w14:textId="77777777" w:rsidR="008E33C9" w:rsidRPr="002F5F3E" w:rsidRDefault="008E33C9" w:rsidP="007D60B2">
            <w:r>
              <w:t>5 (Marion)</w:t>
            </w:r>
          </w:p>
        </w:tc>
        <w:tc>
          <w:tcPr>
            <w:tcW w:w="1774" w:type="dxa"/>
            <w:tcMar>
              <w:top w:w="0" w:type="dxa"/>
              <w:left w:w="108" w:type="dxa"/>
              <w:bottom w:w="0" w:type="dxa"/>
              <w:right w:w="108" w:type="dxa"/>
            </w:tcMar>
          </w:tcPr>
          <w:p w14:paraId="35BBFA38" w14:textId="77777777" w:rsidR="008E33C9" w:rsidRDefault="008E33C9" w:rsidP="00F4235F">
            <w:pPr>
              <w:jc w:val="center"/>
            </w:pPr>
            <w:r w:rsidRPr="004532AA">
              <w:t>994</w:t>
            </w:r>
          </w:p>
        </w:tc>
      </w:tr>
      <w:tr w:rsidR="008E33C9" w:rsidRPr="002F5F3E" w14:paraId="73DB9A4E" w14:textId="77777777" w:rsidTr="007D60B2">
        <w:trPr>
          <w:trHeight w:val="215"/>
        </w:trPr>
        <w:tc>
          <w:tcPr>
            <w:tcW w:w="2430" w:type="dxa"/>
            <w:tcMar>
              <w:top w:w="0" w:type="dxa"/>
              <w:left w:w="108" w:type="dxa"/>
              <w:bottom w:w="0" w:type="dxa"/>
              <w:right w:w="108" w:type="dxa"/>
            </w:tcMar>
          </w:tcPr>
          <w:p w14:paraId="130C9C15" w14:textId="77777777" w:rsidR="008E33C9" w:rsidRDefault="008E33C9" w:rsidP="007D60B2">
            <w:r>
              <w:t>Weighted Average</w:t>
            </w:r>
          </w:p>
        </w:tc>
        <w:tc>
          <w:tcPr>
            <w:tcW w:w="1774" w:type="dxa"/>
            <w:tcMar>
              <w:top w:w="0" w:type="dxa"/>
              <w:left w:w="108" w:type="dxa"/>
              <w:bottom w:w="0" w:type="dxa"/>
              <w:right w:w="108" w:type="dxa"/>
            </w:tcMar>
          </w:tcPr>
          <w:p w14:paraId="65CC90CB" w14:textId="77777777" w:rsidR="008E33C9" w:rsidRDefault="008E33C9" w:rsidP="00F4235F">
            <w:pPr>
              <w:jc w:val="center"/>
            </w:pPr>
            <w:r w:rsidRPr="004532AA">
              <w:t>1,406</w:t>
            </w:r>
          </w:p>
        </w:tc>
      </w:tr>
    </w:tbl>
    <w:p w14:paraId="7578A4FE" w14:textId="77777777" w:rsidR="003330BC" w:rsidRPr="002F5F3E" w:rsidRDefault="003330BC" w:rsidP="003330BC">
      <w:pPr>
        <w:spacing w:after="240"/>
        <w:ind w:firstLine="720"/>
      </w:pPr>
      <w:r w:rsidRPr="002F5F3E">
        <w:t>HSPF</w:t>
      </w:r>
      <w:r w:rsidRPr="002F5F3E">
        <w:rPr>
          <w:vertAlign w:val="subscript"/>
        </w:rPr>
        <w:t>exist</w:t>
      </w:r>
      <w:r w:rsidRPr="002F5F3E">
        <w:tab/>
        <w:t xml:space="preserve"> </w:t>
      </w:r>
      <w:r w:rsidRPr="002F5F3E">
        <w:tab/>
        <w:t>= HSPF rating of existing equipment</w:t>
      </w:r>
      <w:r w:rsidR="00351405">
        <w:t xml:space="preserve"> (kbtu/kwh)</w:t>
      </w:r>
    </w:p>
    <w:tbl>
      <w:tblPr>
        <w:tblStyle w:val="TableGrid7"/>
        <w:tblW w:w="0" w:type="auto"/>
        <w:jc w:val="center"/>
        <w:tblLook w:val="04A0" w:firstRow="1" w:lastRow="0" w:firstColumn="1" w:lastColumn="0" w:noHBand="0" w:noVBand="1"/>
      </w:tblPr>
      <w:tblGrid>
        <w:gridCol w:w="4176"/>
        <w:gridCol w:w="2034"/>
      </w:tblGrid>
      <w:tr w:rsidR="003330BC" w:rsidRPr="002F5F3E" w14:paraId="3189B78E" w14:textId="77777777" w:rsidTr="007D60B2">
        <w:trPr>
          <w:tblHeader/>
          <w:jc w:val="center"/>
        </w:trPr>
        <w:tc>
          <w:tcPr>
            <w:tcW w:w="4176" w:type="dxa"/>
            <w:shd w:val="clear" w:color="auto" w:fill="808080" w:themeFill="background1" w:themeFillShade="80"/>
            <w:vAlign w:val="center"/>
          </w:tcPr>
          <w:p w14:paraId="305E8DD9" w14:textId="77777777" w:rsidR="003330BC" w:rsidRPr="002F5F3E" w:rsidRDefault="003330BC" w:rsidP="007D60B2">
            <w:pPr>
              <w:jc w:val="center"/>
              <w:rPr>
                <w:rFonts w:asciiTheme="minorHAnsi" w:hAnsiTheme="minorHAnsi"/>
                <w:b/>
                <w:color w:val="FFFFFF" w:themeColor="background1"/>
              </w:rPr>
            </w:pPr>
            <w:r w:rsidRPr="002F5F3E">
              <w:rPr>
                <w:rFonts w:asciiTheme="minorHAnsi" w:hAnsiTheme="minorHAnsi"/>
                <w:b/>
                <w:color w:val="FFFFFF" w:themeColor="background1"/>
              </w:rPr>
              <w:t>Existing Equipment Type</w:t>
            </w:r>
          </w:p>
        </w:tc>
        <w:tc>
          <w:tcPr>
            <w:tcW w:w="2034" w:type="dxa"/>
            <w:shd w:val="clear" w:color="auto" w:fill="808080" w:themeFill="background1" w:themeFillShade="80"/>
            <w:vAlign w:val="center"/>
          </w:tcPr>
          <w:p w14:paraId="36749520" w14:textId="7EB69AD2" w:rsidR="003330BC" w:rsidRPr="002F5F3E" w:rsidRDefault="00351405" w:rsidP="00351405">
            <w:pPr>
              <w:jc w:val="center"/>
              <w:rPr>
                <w:rFonts w:asciiTheme="minorHAnsi" w:hAnsiTheme="minorHAnsi"/>
                <w:b/>
                <w:color w:val="FFFFFF" w:themeColor="background1"/>
              </w:rPr>
            </w:pPr>
            <w:r w:rsidRPr="002F5F3E">
              <w:rPr>
                <w:rFonts w:asciiTheme="minorHAnsi" w:hAnsiTheme="minorHAnsi"/>
                <w:b/>
                <w:color w:val="FFFFFF" w:themeColor="background1"/>
              </w:rPr>
              <w:t>HSPF</w:t>
            </w:r>
            <w:r w:rsidRPr="00F4235F">
              <w:rPr>
                <w:b/>
                <w:color w:val="FFFFFF" w:themeColor="background1"/>
                <w:vertAlign w:val="subscript"/>
              </w:rPr>
              <w:t>exist</w:t>
            </w:r>
          </w:p>
        </w:tc>
      </w:tr>
      <w:tr w:rsidR="003330BC" w:rsidRPr="002F5F3E" w14:paraId="08ADBB94" w14:textId="77777777" w:rsidTr="007D60B2">
        <w:trPr>
          <w:jc w:val="center"/>
        </w:trPr>
        <w:tc>
          <w:tcPr>
            <w:tcW w:w="4176" w:type="dxa"/>
          </w:tcPr>
          <w:p w14:paraId="0B538EA4" w14:textId="77777777" w:rsidR="003330BC" w:rsidRPr="002F5F3E" w:rsidRDefault="003330BC" w:rsidP="007D60B2">
            <w:pPr>
              <w:rPr>
                <w:rFonts w:asciiTheme="minorHAnsi" w:hAnsiTheme="minorHAnsi"/>
              </w:rPr>
            </w:pPr>
            <w:r w:rsidRPr="002F5F3E">
              <w:rPr>
                <w:rFonts w:asciiTheme="minorHAnsi" w:hAnsiTheme="minorHAnsi"/>
              </w:rPr>
              <w:t>Electric resistance heating</w:t>
            </w:r>
          </w:p>
        </w:tc>
        <w:tc>
          <w:tcPr>
            <w:tcW w:w="2034" w:type="dxa"/>
          </w:tcPr>
          <w:p w14:paraId="1F93EB11" w14:textId="77777777" w:rsidR="003330BC" w:rsidRPr="002F5F3E" w:rsidRDefault="003330BC" w:rsidP="007D60B2">
            <w:pPr>
              <w:jc w:val="center"/>
              <w:rPr>
                <w:rFonts w:asciiTheme="minorHAnsi" w:hAnsiTheme="minorHAnsi"/>
                <w:szCs w:val="22"/>
              </w:rPr>
            </w:pPr>
            <w:r w:rsidRPr="002F5F3E">
              <w:rPr>
                <w:rFonts w:asciiTheme="minorHAnsi" w:hAnsiTheme="minorHAnsi"/>
              </w:rPr>
              <w:t>3.41</w:t>
            </w:r>
            <w:r w:rsidR="001966D4">
              <w:rPr>
                <w:rFonts w:asciiTheme="minorHAnsi" w:hAnsiTheme="minorHAnsi"/>
              </w:rPr>
              <w:t>2</w:t>
            </w:r>
            <w:r w:rsidRPr="009C362B">
              <w:rPr>
                <w:rFonts w:eastAsiaTheme="minorEastAsia"/>
                <w:vertAlign w:val="superscript"/>
              </w:rPr>
              <w:footnoteReference w:id="9"/>
            </w:r>
          </w:p>
        </w:tc>
      </w:tr>
      <w:tr w:rsidR="003330BC" w:rsidRPr="002F5F3E" w14:paraId="3639BB21" w14:textId="77777777" w:rsidTr="007D60B2">
        <w:trPr>
          <w:jc w:val="center"/>
        </w:trPr>
        <w:tc>
          <w:tcPr>
            <w:tcW w:w="4176" w:type="dxa"/>
          </w:tcPr>
          <w:p w14:paraId="0C01CC6C" w14:textId="77777777" w:rsidR="003330BC" w:rsidRPr="002F5F3E" w:rsidRDefault="003330BC" w:rsidP="007D60B2">
            <w:pPr>
              <w:rPr>
                <w:rFonts w:asciiTheme="minorHAnsi" w:hAnsiTheme="minorHAnsi"/>
              </w:rPr>
            </w:pPr>
            <w:r w:rsidRPr="002F5F3E">
              <w:rPr>
                <w:rFonts w:asciiTheme="minorHAnsi" w:hAnsiTheme="minorHAnsi"/>
              </w:rPr>
              <w:t>Air Source Heat Pump</w:t>
            </w:r>
          </w:p>
        </w:tc>
        <w:tc>
          <w:tcPr>
            <w:tcW w:w="2034" w:type="dxa"/>
          </w:tcPr>
          <w:p w14:paraId="3C0C12CB" w14:textId="77777777" w:rsidR="003330BC" w:rsidRPr="002F5F3E" w:rsidRDefault="003330BC" w:rsidP="00F4235F">
            <w:pPr>
              <w:jc w:val="center"/>
              <w:rPr>
                <w:rFonts w:asciiTheme="minorHAnsi" w:hAnsiTheme="minorHAnsi"/>
                <w:szCs w:val="22"/>
              </w:rPr>
            </w:pPr>
            <w:r w:rsidRPr="002F5F3E">
              <w:rPr>
                <w:rFonts w:asciiTheme="minorHAnsi" w:hAnsiTheme="minorHAnsi"/>
              </w:rPr>
              <w:t>5.44</w:t>
            </w:r>
            <w:r w:rsidRPr="009C362B">
              <w:rPr>
                <w:rFonts w:eastAsiaTheme="minorEastAsia"/>
                <w:vertAlign w:val="superscript"/>
              </w:rPr>
              <w:footnoteReference w:id="10"/>
            </w:r>
          </w:p>
        </w:tc>
      </w:tr>
    </w:tbl>
    <w:p w14:paraId="5FCCC278" w14:textId="77777777" w:rsidR="003330BC" w:rsidRPr="002F5F3E" w:rsidRDefault="003330BC" w:rsidP="003330BC">
      <w:pPr>
        <w:spacing w:after="240"/>
      </w:pPr>
    </w:p>
    <w:p w14:paraId="4D4D5B7F" w14:textId="77777777" w:rsidR="00351405" w:rsidRPr="002F5F3E" w:rsidRDefault="00351405" w:rsidP="00351405">
      <w:pPr>
        <w:spacing w:after="240"/>
        <w:ind w:left="1440" w:hanging="720"/>
      </w:pPr>
      <w:r w:rsidRPr="002F5F3E">
        <w:t>HSPF</w:t>
      </w:r>
      <w:r w:rsidRPr="002F5F3E">
        <w:rPr>
          <w:vertAlign w:val="subscript"/>
        </w:rPr>
        <w:t>ee</w:t>
      </w:r>
      <w:r w:rsidRPr="002F5F3E">
        <w:t xml:space="preserve"> </w:t>
      </w:r>
      <w:r w:rsidRPr="002F5F3E">
        <w:tab/>
      </w:r>
      <w:r w:rsidRPr="002F5F3E">
        <w:tab/>
        <w:t>= HSPF rating of new equipment</w:t>
      </w:r>
      <w:r>
        <w:t xml:space="preserve"> (kbtu/kwh)</w:t>
      </w:r>
    </w:p>
    <w:p w14:paraId="2BBBF22D" w14:textId="77777777" w:rsidR="00351405" w:rsidRPr="002F5F3E" w:rsidRDefault="00351405" w:rsidP="00351405">
      <w:pPr>
        <w:spacing w:after="240"/>
      </w:pPr>
      <w:r w:rsidRPr="002F5F3E">
        <w:tab/>
      </w:r>
      <w:r w:rsidRPr="002F5F3E">
        <w:tab/>
      </w:r>
      <w:r w:rsidRPr="002F5F3E">
        <w:tab/>
        <w:t>= Actual installed</w:t>
      </w:r>
    </w:p>
    <w:p w14:paraId="6446766C" w14:textId="06BDC1B8" w:rsidR="00351405" w:rsidRPr="002F5F3E" w:rsidRDefault="00351405" w:rsidP="00351405">
      <w:pPr>
        <w:spacing w:after="240"/>
        <w:ind w:firstLine="720"/>
      </w:pPr>
      <w:r w:rsidRPr="002F5F3E">
        <w:t>Capacity</w:t>
      </w:r>
      <w:r w:rsidRPr="002F5F3E">
        <w:rPr>
          <w:vertAlign w:val="subscript"/>
        </w:rPr>
        <w:t>cool</w:t>
      </w:r>
      <w:r w:rsidRPr="002F5F3E">
        <w:t xml:space="preserve"> </w:t>
      </w:r>
      <w:r w:rsidRPr="002F5F3E">
        <w:tab/>
        <w:t xml:space="preserve">= the cooling capacity of the ductless heat pump unit in </w:t>
      </w:r>
      <w:del w:id="17" w:author="Samuel Dent" w:date="2015-12-14T09:27:00Z">
        <w:r w:rsidRPr="002F5F3E">
          <w:delText>kBtu</w:delText>
        </w:r>
      </w:del>
      <w:ins w:id="18" w:author="Samuel Dent" w:date="2015-12-14T09:27:00Z">
        <w:r w:rsidRPr="002F5F3E">
          <w:t>Btu</w:t>
        </w:r>
      </w:ins>
      <w:r w:rsidRPr="002F5F3E">
        <w:t>/hr</w:t>
      </w:r>
      <w:r w:rsidRPr="002F5F3E">
        <w:rPr>
          <w:rFonts w:ascii="Arial" w:eastAsiaTheme="minorEastAsia" w:hAnsi="Arial"/>
          <w:vertAlign w:val="superscript"/>
        </w:rPr>
        <w:footnoteReference w:id="11"/>
      </w:r>
      <w:r w:rsidRPr="002F5F3E">
        <w:t xml:space="preserve">. </w:t>
      </w:r>
    </w:p>
    <w:p w14:paraId="7E39F169" w14:textId="77777777" w:rsidR="00351405" w:rsidRPr="002F5F3E" w:rsidRDefault="00351405" w:rsidP="00351405">
      <w:pPr>
        <w:spacing w:after="240"/>
      </w:pPr>
      <w:r w:rsidRPr="002F5F3E">
        <w:tab/>
      </w:r>
      <w:r w:rsidRPr="002F5F3E">
        <w:tab/>
      </w:r>
      <w:r w:rsidRPr="002F5F3E">
        <w:tab/>
        <w:t>= Actual installed</w:t>
      </w:r>
    </w:p>
    <w:p w14:paraId="0FEF43BB" w14:textId="77777777" w:rsidR="003330BC" w:rsidRPr="002F5F3E" w:rsidRDefault="003330BC" w:rsidP="003330BC">
      <w:pPr>
        <w:spacing w:after="240"/>
        <w:ind w:firstLine="720"/>
      </w:pPr>
      <w:r w:rsidRPr="002F5F3E">
        <w:t>SEER</w:t>
      </w:r>
      <w:r w:rsidRPr="002F5F3E">
        <w:rPr>
          <w:vertAlign w:val="subscript"/>
        </w:rPr>
        <w:t>ee</w:t>
      </w:r>
      <w:r w:rsidRPr="002F5F3E">
        <w:tab/>
      </w:r>
      <w:r w:rsidRPr="002F5F3E">
        <w:tab/>
        <w:t>= SEER rating of new equipment</w:t>
      </w:r>
      <w:r w:rsidR="00351405">
        <w:t xml:space="preserve"> (kbtu/kwh)</w:t>
      </w:r>
    </w:p>
    <w:p w14:paraId="690616B3" w14:textId="77777777" w:rsidR="003330BC" w:rsidRPr="002F5F3E" w:rsidRDefault="003330BC" w:rsidP="003330BC">
      <w:pPr>
        <w:spacing w:after="240"/>
        <w:ind w:left="1440" w:firstLine="720"/>
      </w:pPr>
      <w:r w:rsidRPr="002F5F3E">
        <w:t>= Actual installed</w:t>
      </w:r>
      <w:r w:rsidRPr="002F5F3E">
        <w:rPr>
          <w:rFonts w:ascii="Arial" w:eastAsiaTheme="minorEastAsia" w:hAnsi="Arial"/>
          <w:vertAlign w:val="superscript"/>
        </w:rPr>
        <w:footnoteReference w:id="12"/>
      </w:r>
      <w:r w:rsidRPr="002F5F3E">
        <w:t xml:space="preserve"> </w:t>
      </w:r>
    </w:p>
    <w:p w14:paraId="29A1D2F4" w14:textId="77777777" w:rsidR="003330BC" w:rsidRPr="002F5F3E" w:rsidRDefault="003330BC" w:rsidP="003330BC">
      <w:pPr>
        <w:spacing w:after="240"/>
        <w:ind w:firstLine="720"/>
      </w:pPr>
      <w:r w:rsidRPr="002F5F3E">
        <w:t>SEER</w:t>
      </w:r>
      <w:r w:rsidRPr="002F5F3E">
        <w:rPr>
          <w:vertAlign w:val="subscript"/>
        </w:rPr>
        <w:t>exist</w:t>
      </w:r>
      <w:r w:rsidRPr="002F5F3E">
        <w:tab/>
      </w:r>
      <w:r w:rsidRPr="002F5F3E">
        <w:tab/>
        <w:t>= SEER rating of existing equipment</w:t>
      </w:r>
      <w:r w:rsidR="00351405">
        <w:t xml:space="preserve"> (kbtu/kwh)</w:t>
      </w:r>
    </w:p>
    <w:p w14:paraId="4026B322" w14:textId="77777777" w:rsidR="00213A86" w:rsidRPr="002F5F3E" w:rsidRDefault="003330BC" w:rsidP="003330BC">
      <w:pPr>
        <w:spacing w:after="240"/>
      </w:pPr>
      <w:r w:rsidRPr="002F5F3E">
        <w:tab/>
      </w:r>
      <w:r w:rsidRPr="002F5F3E">
        <w:tab/>
      </w:r>
      <w:r w:rsidRPr="002F5F3E">
        <w:tab/>
        <w:t>= Use actual value. If unknown, see table below</w:t>
      </w:r>
      <w:r w:rsidR="00213A86">
        <w:tab/>
      </w:r>
      <w:r w:rsidR="00213A86">
        <w:tab/>
      </w:r>
      <w:r w:rsidR="00213A86">
        <w:tab/>
      </w:r>
    </w:p>
    <w:tbl>
      <w:tblPr>
        <w:tblStyle w:val="TableGrid7"/>
        <w:tblW w:w="0" w:type="auto"/>
        <w:jc w:val="center"/>
        <w:tblLook w:val="04A0" w:firstRow="1" w:lastRow="0" w:firstColumn="1" w:lastColumn="0" w:noHBand="0" w:noVBand="1"/>
      </w:tblPr>
      <w:tblGrid>
        <w:gridCol w:w="2403"/>
        <w:gridCol w:w="2454"/>
      </w:tblGrid>
      <w:tr w:rsidR="00213A86" w:rsidRPr="00F40C53" w14:paraId="1DF2365B" w14:textId="77777777" w:rsidTr="00F4235F">
        <w:trPr>
          <w:jc w:val="center"/>
        </w:trPr>
        <w:tc>
          <w:tcPr>
            <w:tcW w:w="2403" w:type="dxa"/>
            <w:shd w:val="clear" w:color="auto" w:fill="808080" w:themeFill="background1" w:themeFillShade="80"/>
          </w:tcPr>
          <w:p w14:paraId="27B2E6AF" w14:textId="77777777" w:rsidR="00213A86" w:rsidRPr="009C362B" w:rsidRDefault="00213A86" w:rsidP="007D60B2">
            <w:pPr>
              <w:pStyle w:val="TableText"/>
              <w:rPr>
                <w:b/>
                <w:color w:val="FFFFFF" w:themeColor="background1"/>
              </w:rPr>
            </w:pPr>
            <w:r w:rsidRPr="009C362B">
              <w:rPr>
                <w:b/>
                <w:color w:val="FFFFFF" w:themeColor="background1"/>
              </w:rPr>
              <w:t>Existing Cooling System</w:t>
            </w:r>
          </w:p>
        </w:tc>
        <w:tc>
          <w:tcPr>
            <w:tcW w:w="2454" w:type="dxa"/>
            <w:shd w:val="clear" w:color="auto" w:fill="808080" w:themeFill="background1" w:themeFillShade="80"/>
          </w:tcPr>
          <w:p w14:paraId="15489E6B" w14:textId="77777777" w:rsidR="00213A86" w:rsidRPr="009C362B" w:rsidRDefault="00213A86" w:rsidP="00F4235F">
            <w:pPr>
              <w:pStyle w:val="TableText"/>
              <w:jc w:val="center"/>
              <w:rPr>
                <w:b/>
                <w:color w:val="FFFFFF" w:themeColor="background1"/>
              </w:rPr>
            </w:pPr>
            <w:r w:rsidRPr="009C362B">
              <w:rPr>
                <w:b/>
                <w:color w:val="FFFFFF" w:themeColor="background1"/>
              </w:rPr>
              <w:t>SEER_exist</w:t>
            </w:r>
            <w:r w:rsidRPr="009C362B">
              <w:rPr>
                <w:rFonts w:eastAsiaTheme="minorEastAsia"/>
                <w:b/>
                <w:color w:val="FFFFFF" w:themeColor="background1"/>
                <w:vertAlign w:val="superscript"/>
              </w:rPr>
              <w:footnoteReference w:id="13"/>
            </w:r>
          </w:p>
        </w:tc>
      </w:tr>
      <w:tr w:rsidR="00213A86" w:rsidRPr="000563D8" w14:paraId="02B0157B" w14:textId="77777777" w:rsidTr="00F4235F">
        <w:trPr>
          <w:jc w:val="center"/>
        </w:trPr>
        <w:tc>
          <w:tcPr>
            <w:tcW w:w="2403" w:type="dxa"/>
          </w:tcPr>
          <w:p w14:paraId="701BFF79" w14:textId="77777777" w:rsidR="00213A86" w:rsidRPr="000563D8" w:rsidRDefault="00213A86" w:rsidP="007D60B2">
            <w:pPr>
              <w:pStyle w:val="TableText"/>
              <w:rPr>
                <w:rFonts w:asciiTheme="minorHAnsi" w:hAnsiTheme="minorHAnsi"/>
                <w:szCs w:val="22"/>
              </w:rPr>
            </w:pPr>
            <w:r w:rsidRPr="000563D8">
              <w:t>Air Source Heat Pump</w:t>
            </w:r>
          </w:p>
        </w:tc>
        <w:tc>
          <w:tcPr>
            <w:tcW w:w="2454" w:type="dxa"/>
          </w:tcPr>
          <w:p w14:paraId="7D24AA8E" w14:textId="77777777" w:rsidR="00213A86" w:rsidRPr="000563D8" w:rsidRDefault="00213A86" w:rsidP="00F4235F">
            <w:pPr>
              <w:pStyle w:val="TableText"/>
              <w:jc w:val="center"/>
              <w:rPr>
                <w:rFonts w:asciiTheme="minorHAnsi" w:hAnsiTheme="minorHAnsi"/>
                <w:szCs w:val="22"/>
              </w:rPr>
            </w:pPr>
            <w:r w:rsidRPr="000563D8">
              <w:t>9.12</w:t>
            </w:r>
          </w:p>
        </w:tc>
      </w:tr>
      <w:tr w:rsidR="00213A86" w:rsidRPr="000563D8" w14:paraId="65889D12" w14:textId="77777777" w:rsidTr="00F4235F">
        <w:trPr>
          <w:jc w:val="center"/>
        </w:trPr>
        <w:tc>
          <w:tcPr>
            <w:tcW w:w="2403" w:type="dxa"/>
          </w:tcPr>
          <w:p w14:paraId="3834C7F5" w14:textId="77777777" w:rsidR="00213A86" w:rsidRPr="000563D8" w:rsidRDefault="00213A86" w:rsidP="007D60B2">
            <w:pPr>
              <w:pStyle w:val="TableText"/>
              <w:rPr>
                <w:rFonts w:asciiTheme="minorHAnsi" w:hAnsiTheme="minorHAnsi"/>
                <w:szCs w:val="22"/>
              </w:rPr>
            </w:pPr>
            <w:r w:rsidRPr="000563D8">
              <w:t>Central AC</w:t>
            </w:r>
          </w:p>
        </w:tc>
        <w:tc>
          <w:tcPr>
            <w:tcW w:w="2454" w:type="dxa"/>
          </w:tcPr>
          <w:p w14:paraId="5BE7C54A" w14:textId="77777777" w:rsidR="00213A86" w:rsidRPr="000563D8" w:rsidRDefault="00213A86" w:rsidP="00F4235F">
            <w:pPr>
              <w:pStyle w:val="TableText"/>
              <w:jc w:val="center"/>
              <w:rPr>
                <w:rFonts w:asciiTheme="minorHAnsi" w:hAnsiTheme="minorHAnsi"/>
                <w:szCs w:val="22"/>
              </w:rPr>
            </w:pPr>
            <w:r w:rsidRPr="000563D8">
              <w:t>8.60</w:t>
            </w:r>
          </w:p>
        </w:tc>
      </w:tr>
      <w:tr w:rsidR="00213A86" w:rsidRPr="000563D8" w14:paraId="4279A639" w14:textId="77777777" w:rsidTr="00213A86">
        <w:trPr>
          <w:jc w:val="center"/>
        </w:trPr>
        <w:tc>
          <w:tcPr>
            <w:tcW w:w="2403" w:type="dxa"/>
          </w:tcPr>
          <w:p w14:paraId="44FE98AD" w14:textId="77777777" w:rsidR="00213A86" w:rsidRPr="000563D8" w:rsidRDefault="00213A86" w:rsidP="00213A86">
            <w:pPr>
              <w:pStyle w:val="TableText"/>
            </w:pPr>
            <w:r w:rsidRPr="002F5F3E">
              <w:rPr>
                <w:rFonts w:asciiTheme="minorHAnsi" w:hAnsiTheme="minorHAnsi"/>
              </w:rPr>
              <w:t>Room AC</w:t>
            </w:r>
          </w:p>
        </w:tc>
        <w:tc>
          <w:tcPr>
            <w:tcW w:w="2454" w:type="dxa"/>
          </w:tcPr>
          <w:p w14:paraId="7633F638" w14:textId="77777777" w:rsidR="00213A86" w:rsidRPr="000563D8" w:rsidRDefault="001C7B5C" w:rsidP="00213A86">
            <w:pPr>
              <w:pStyle w:val="TableText"/>
              <w:jc w:val="center"/>
            </w:pPr>
            <w:r>
              <w:t>8.0</w:t>
            </w:r>
            <w:r>
              <w:rPr>
                <w:rStyle w:val="FootnoteReference"/>
              </w:rPr>
              <w:footnoteReference w:id="14"/>
            </w:r>
          </w:p>
        </w:tc>
      </w:tr>
      <w:tr w:rsidR="00213A86" w:rsidRPr="000563D8" w14:paraId="3B876594" w14:textId="77777777" w:rsidTr="00F4235F">
        <w:trPr>
          <w:jc w:val="center"/>
        </w:trPr>
        <w:tc>
          <w:tcPr>
            <w:tcW w:w="2403" w:type="dxa"/>
          </w:tcPr>
          <w:p w14:paraId="4FEAB77E" w14:textId="77777777" w:rsidR="00213A86" w:rsidRPr="000563D8" w:rsidRDefault="00213A86" w:rsidP="00213A86">
            <w:pPr>
              <w:pStyle w:val="TableText"/>
              <w:rPr>
                <w:rFonts w:asciiTheme="minorHAnsi" w:hAnsiTheme="minorHAnsi"/>
                <w:szCs w:val="22"/>
              </w:rPr>
            </w:pPr>
            <w:r w:rsidRPr="000563D8">
              <w:t xml:space="preserve">No </w:t>
            </w:r>
            <w:r>
              <w:t>existing</w:t>
            </w:r>
            <w:r w:rsidRPr="000563D8">
              <w:t xml:space="preserve"> cooling</w:t>
            </w:r>
            <w:r w:rsidRPr="009C362B">
              <w:rPr>
                <w:rFonts w:eastAsiaTheme="minorEastAsia"/>
                <w:vertAlign w:val="superscript"/>
              </w:rPr>
              <w:footnoteReference w:id="15"/>
            </w:r>
          </w:p>
        </w:tc>
        <w:tc>
          <w:tcPr>
            <w:tcW w:w="2454" w:type="dxa"/>
          </w:tcPr>
          <w:p w14:paraId="7A8E2DFE" w14:textId="77777777" w:rsidR="00213A86" w:rsidRPr="000563D8" w:rsidRDefault="00213A86" w:rsidP="00F4235F">
            <w:pPr>
              <w:pStyle w:val="TableText"/>
              <w:jc w:val="center"/>
              <w:rPr>
                <w:rFonts w:asciiTheme="minorHAnsi" w:hAnsiTheme="minorHAnsi"/>
                <w:szCs w:val="22"/>
              </w:rPr>
            </w:pPr>
            <w:r w:rsidRPr="000563D8">
              <w:t>Make ‘1/SEER_exist’ = 0</w:t>
            </w:r>
          </w:p>
        </w:tc>
      </w:tr>
    </w:tbl>
    <w:p w14:paraId="2AD4B068" w14:textId="77777777" w:rsidR="003330BC" w:rsidRPr="002F5F3E" w:rsidRDefault="003330BC" w:rsidP="003330BC">
      <w:pPr>
        <w:ind w:left="720"/>
      </w:pPr>
    </w:p>
    <w:p w14:paraId="3C805787" w14:textId="77777777" w:rsidR="003330BC" w:rsidRPr="002F5F3E" w:rsidRDefault="003330BC" w:rsidP="003330BC">
      <w:pPr>
        <w:spacing w:after="240"/>
        <w:ind w:left="720"/>
      </w:pPr>
      <w:r w:rsidRPr="002F5F3E">
        <w:t>EFLH</w:t>
      </w:r>
      <w:r w:rsidRPr="002F5F3E">
        <w:rPr>
          <w:vertAlign w:val="subscript"/>
        </w:rPr>
        <w:t>cool</w:t>
      </w:r>
      <w:r w:rsidRPr="002F5F3E">
        <w:tab/>
      </w:r>
      <w:r w:rsidRPr="002F5F3E">
        <w:tab/>
        <w:t>= Equivalent Full Load Hours for cooling. Depends on location. See table below</w:t>
      </w:r>
      <w:r w:rsidRPr="002F5F3E">
        <w:rPr>
          <w:rFonts w:ascii="Arial" w:eastAsiaTheme="minorEastAsia" w:hAnsi="Arial"/>
          <w:vertAlign w:val="superscript"/>
        </w:rPr>
        <w:footnoteReference w:id="16"/>
      </w:r>
      <w:r w:rsidRPr="002F5F3E">
        <w:t>.</w:t>
      </w:r>
    </w:p>
    <w:tbl>
      <w:tblPr>
        <w:tblStyle w:val="TableGrid7"/>
        <w:tblW w:w="3456" w:type="dxa"/>
        <w:jc w:val="center"/>
        <w:tblLook w:val="04A0" w:firstRow="1" w:lastRow="0" w:firstColumn="1" w:lastColumn="0" w:noHBand="0" w:noVBand="1"/>
      </w:tblPr>
      <w:tblGrid>
        <w:gridCol w:w="1728"/>
        <w:gridCol w:w="1728"/>
      </w:tblGrid>
      <w:tr w:rsidR="003330BC" w:rsidRPr="002F5F3E" w14:paraId="0B207CA9" w14:textId="77777777" w:rsidTr="007D60B2">
        <w:trPr>
          <w:trHeight w:val="270"/>
          <w:tblHeader/>
          <w:jc w:val="center"/>
        </w:trPr>
        <w:tc>
          <w:tcPr>
            <w:tcW w:w="1728" w:type="dxa"/>
            <w:shd w:val="clear" w:color="auto" w:fill="808080" w:themeFill="background1" w:themeFillShade="80"/>
            <w:noWrap/>
            <w:vAlign w:val="center"/>
            <w:hideMark/>
          </w:tcPr>
          <w:p w14:paraId="22AAB667" w14:textId="77777777" w:rsidR="003330BC" w:rsidRPr="002F5F3E" w:rsidRDefault="003330BC" w:rsidP="007D60B2">
            <w:pPr>
              <w:jc w:val="center"/>
              <w:rPr>
                <w:rFonts w:asciiTheme="minorHAnsi" w:hAnsiTheme="minorHAnsi"/>
                <w:b/>
                <w:color w:val="FFFFFF" w:themeColor="background1"/>
              </w:rPr>
            </w:pPr>
            <w:r w:rsidRPr="002F5F3E">
              <w:rPr>
                <w:rFonts w:asciiTheme="minorHAnsi" w:hAnsiTheme="minorHAnsi"/>
                <w:b/>
                <w:color w:val="FFFFFF" w:themeColor="background1"/>
              </w:rPr>
              <w:t>Climate Zone</w:t>
            </w:r>
          </w:p>
          <w:p w14:paraId="0A245787" w14:textId="77777777" w:rsidR="003330BC" w:rsidRPr="002F5F3E" w:rsidRDefault="003330BC" w:rsidP="007D60B2">
            <w:pPr>
              <w:jc w:val="center"/>
              <w:rPr>
                <w:rFonts w:asciiTheme="minorHAnsi" w:hAnsiTheme="minorHAnsi"/>
                <w:b/>
                <w:color w:val="FFFFFF" w:themeColor="background1"/>
              </w:rPr>
            </w:pPr>
            <w:r w:rsidRPr="002F5F3E">
              <w:rPr>
                <w:rFonts w:asciiTheme="minorHAnsi" w:hAnsiTheme="minorHAnsi"/>
                <w:b/>
                <w:color w:val="FFFFFF" w:themeColor="background1"/>
              </w:rPr>
              <w:t>(City based upon)</w:t>
            </w:r>
          </w:p>
        </w:tc>
        <w:tc>
          <w:tcPr>
            <w:tcW w:w="1728" w:type="dxa"/>
            <w:shd w:val="clear" w:color="auto" w:fill="808080" w:themeFill="background1" w:themeFillShade="80"/>
            <w:vAlign w:val="center"/>
          </w:tcPr>
          <w:p w14:paraId="2F3E7BCF" w14:textId="468CFC81" w:rsidR="003330BC" w:rsidRPr="002F5F3E" w:rsidRDefault="001C7B5C" w:rsidP="001C7B5C">
            <w:pPr>
              <w:jc w:val="center"/>
              <w:rPr>
                <w:rFonts w:asciiTheme="minorHAnsi" w:hAnsiTheme="minorHAnsi"/>
                <w:b/>
                <w:color w:val="FFFFFF" w:themeColor="background1"/>
              </w:rPr>
            </w:pPr>
            <w:r>
              <w:rPr>
                <w:rFonts w:asciiTheme="minorHAnsi" w:hAnsiTheme="minorHAnsi"/>
                <w:b/>
                <w:color w:val="FFFFFF" w:themeColor="background1"/>
              </w:rPr>
              <w:t>E</w:t>
            </w:r>
            <w:r w:rsidRPr="002F5F3E">
              <w:rPr>
                <w:rFonts w:asciiTheme="minorHAnsi" w:hAnsiTheme="minorHAnsi"/>
                <w:b/>
                <w:color w:val="FFFFFF" w:themeColor="background1"/>
              </w:rPr>
              <w:t>FLH</w:t>
            </w:r>
            <w:r>
              <w:rPr>
                <w:rFonts w:asciiTheme="minorHAnsi" w:hAnsiTheme="minorHAnsi"/>
                <w:b/>
                <w:color w:val="FFFFFF" w:themeColor="background1"/>
                <w:vertAlign w:val="subscript"/>
              </w:rPr>
              <w:t>cool</w:t>
            </w:r>
            <w:r>
              <w:rPr>
                <w:rFonts w:asciiTheme="minorHAnsi" w:hAnsiTheme="minorHAnsi"/>
                <w:b/>
                <w:color w:val="FFFFFF" w:themeColor="background1"/>
              </w:rPr>
              <w:t xml:space="preserve"> </w:t>
            </w:r>
          </w:p>
        </w:tc>
      </w:tr>
      <w:tr w:rsidR="001C7B5C" w:rsidRPr="002F5F3E" w14:paraId="09DD22D5" w14:textId="77777777" w:rsidTr="007D60B2">
        <w:trPr>
          <w:trHeight w:val="187"/>
          <w:jc w:val="center"/>
        </w:trPr>
        <w:tc>
          <w:tcPr>
            <w:tcW w:w="1728" w:type="dxa"/>
            <w:noWrap/>
            <w:hideMark/>
          </w:tcPr>
          <w:p w14:paraId="785B054E" w14:textId="77777777" w:rsidR="001C7B5C" w:rsidRPr="002F5F3E" w:rsidRDefault="001C7B5C" w:rsidP="007D60B2">
            <w:pPr>
              <w:rPr>
                <w:rFonts w:asciiTheme="minorHAnsi" w:hAnsiTheme="minorHAnsi"/>
              </w:rPr>
            </w:pPr>
            <w:r w:rsidRPr="002F5F3E">
              <w:rPr>
                <w:rFonts w:asciiTheme="minorHAnsi" w:hAnsiTheme="minorHAnsi"/>
              </w:rPr>
              <w:t>1 (Rockford)</w:t>
            </w:r>
          </w:p>
        </w:tc>
        <w:tc>
          <w:tcPr>
            <w:tcW w:w="1728" w:type="dxa"/>
          </w:tcPr>
          <w:p w14:paraId="56E77E17" w14:textId="29BFB994" w:rsidR="001C7B5C" w:rsidRPr="002F5F3E" w:rsidRDefault="001C7B5C" w:rsidP="007D60B2">
            <w:pPr>
              <w:jc w:val="center"/>
              <w:rPr>
                <w:rFonts w:asciiTheme="minorHAnsi" w:hAnsiTheme="minorHAnsi"/>
                <w:szCs w:val="22"/>
              </w:rPr>
            </w:pPr>
            <w:r>
              <w:rPr>
                <w:rFonts w:asciiTheme="minorHAnsi" w:hAnsiTheme="minorHAnsi"/>
              </w:rPr>
              <w:t>323</w:t>
            </w:r>
          </w:p>
        </w:tc>
      </w:tr>
      <w:tr w:rsidR="001C7B5C" w:rsidRPr="002F5F3E" w14:paraId="71193397" w14:textId="77777777" w:rsidTr="007D60B2">
        <w:trPr>
          <w:trHeight w:val="187"/>
          <w:jc w:val="center"/>
        </w:trPr>
        <w:tc>
          <w:tcPr>
            <w:tcW w:w="1728" w:type="dxa"/>
            <w:noWrap/>
            <w:hideMark/>
          </w:tcPr>
          <w:p w14:paraId="038DFD21" w14:textId="77777777" w:rsidR="001C7B5C" w:rsidRPr="002F5F3E" w:rsidRDefault="001C7B5C" w:rsidP="007D60B2">
            <w:pPr>
              <w:rPr>
                <w:rFonts w:asciiTheme="minorHAnsi" w:hAnsiTheme="minorHAnsi"/>
              </w:rPr>
            </w:pPr>
            <w:r w:rsidRPr="002F5F3E">
              <w:rPr>
                <w:rFonts w:asciiTheme="minorHAnsi" w:hAnsiTheme="minorHAnsi"/>
              </w:rPr>
              <w:t>2 (Chicago)</w:t>
            </w:r>
          </w:p>
        </w:tc>
        <w:tc>
          <w:tcPr>
            <w:tcW w:w="1728" w:type="dxa"/>
          </w:tcPr>
          <w:p w14:paraId="793493DB" w14:textId="3B3F3F01" w:rsidR="001C7B5C" w:rsidRPr="002F5F3E" w:rsidRDefault="001C7B5C" w:rsidP="007D60B2">
            <w:pPr>
              <w:jc w:val="center"/>
              <w:rPr>
                <w:rFonts w:asciiTheme="minorHAnsi" w:hAnsiTheme="minorHAnsi"/>
                <w:szCs w:val="22"/>
              </w:rPr>
            </w:pPr>
            <w:r>
              <w:rPr>
                <w:rFonts w:asciiTheme="minorHAnsi" w:hAnsiTheme="minorHAnsi"/>
              </w:rPr>
              <w:t>308</w:t>
            </w:r>
          </w:p>
        </w:tc>
      </w:tr>
      <w:tr w:rsidR="001C7B5C" w:rsidRPr="002F5F3E" w14:paraId="492DF15D" w14:textId="77777777" w:rsidTr="007D60B2">
        <w:trPr>
          <w:trHeight w:val="187"/>
          <w:jc w:val="center"/>
        </w:trPr>
        <w:tc>
          <w:tcPr>
            <w:tcW w:w="1728" w:type="dxa"/>
            <w:noWrap/>
            <w:hideMark/>
          </w:tcPr>
          <w:p w14:paraId="6EDD0B6F" w14:textId="77777777" w:rsidR="001C7B5C" w:rsidRPr="002F5F3E" w:rsidRDefault="001C7B5C" w:rsidP="007D60B2">
            <w:pPr>
              <w:rPr>
                <w:rFonts w:asciiTheme="minorHAnsi" w:hAnsiTheme="minorHAnsi"/>
              </w:rPr>
            </w:pPr>
            <w:r w:rsidRPr="002F5F3E">
              <w:rPr>
                <w:rFonts w:asciiTheme="minorHAnsi" w:hAnsiTheme="minorHAnsi"/>
              </w:rPr>
              <w:t>3 (Springfield)</w:t>
            </w:r>
          </w:p>
        </w:tc>
        <w:tc>
          <w:tcPr>
            <w:tcW w:w="1728" w:type="dxa"/>
          </w:tcPr>
          <w:p w14:paraId="310C8A9A" w14:textId="0460D3D9" w:rsidR="001C7B5C" w:rsidRPr="002F5F3E" w:rsidRDefault="001C7B5C" w:rsidP="007D60B2">
            <w:pPr>
              <w:jc w:val="center"/>
              <w:rPr>
                <w:rFonts w:asciiTheme="minorHAnsi" w:hAnsiTheme="minorHAnsi"/>
                <w:szCs w:val="22"/>
              </w:rPr>
            </w:pPr>
            <w:r>
              <w:rPr>
                <w:rFonts w:asciiTheme="minorHAnsi" w:hAnsiTheme="minorHAnsi"/>
              </w:rPr>
              <w:t>468</w:t>
            </w:r>
          </w:p>
        </w:tc>
      </w:tr>
      <w:tr w:rsidR="001C7B5C" w:rsidRPr="002F5F3E" w14:paraId="740C6034" w14:textId="77777777" w:rsidTr="007D60B2">
        <w:trPr>
          <w:trHeight w:val="115"/>
          <w:jc w:val="center"/>
        </w:trPr>
        <w:tc>
          <w:tcPr>
            <w:tcW w:w="1728" w:type="dxa"/>
            <w:noWrap/>
            <w:hideMark/>
          </w:tcPr>
          <w:p w14:paraId="02915834" w14:textId="77777777" w:rsidR="001C7B5C" w:rsidRPr="002F5F3E" w:rsidRDefault="001C7B5C" w:rsidP="007D60B2">
            <w:pPr>
              <w:rPr>
                <w:rFonts w:asciiTheme="minorHAnsi" w:hAnsiTheme="minorHAnsi"/>
              </w:rPr>
            </w:pPr>
            <w:r w:rsidRPr="002F5F3E">
              <w:rPr>
                <w:rFonts w:asciiTheme="minorHAnsi" w:hAnsiTheme="minorHAnsi"/>
              </w:rPr>
              <w:t>4 (Belleville)</w:t>
            </w:r>
          </w:p>
        </w:tc>
        <w:tc>
          <w:tcPr>
            <w:tcW w:w="1728" w:type="dxa"/>
          </w:tcPr>
          <w:p w14:paraId="1CF16715" w14:textId="11ABCE14" w:rsidR="001C7B5C" w:rsidRPr="002F5F3E" w:rsidRDefault="001C7B5C" w:rsidP="007D60B2">
            <w:pPr>
              <w:jc w:val="center"/>
              <w:rPr>
                <w:rFonts w:asciiTheme="minorHAnsi" w:hAnsiTheme="minorHAnsi"/>
                <w:szCs w:val="22"/>
              </w:rPr>
            </w:pPr>
            <w:r>
              <w:rPr>
                <w:rFonts w:asciiTheme="minorHAnsi" w:hAnsiTheme="minorHAnsi"/>
              </w:rPr>
              <w:t>629</w:t>
            </w:r>
          </w:p>
        </w:tc>
      </w:tr>
      <w:tr w:rsidR="001C7B5C" w:rsidRPr="002F5F3E" w14:paraId="291B209A" w14:textId="77777777" w:rsidTr="007D60B2">
        <w:trPr>
          <w:trHeight w:val="115"/>
          <w:jc w:val="center"/>
        </w:trPr>
        <w:tc>
          <w:tcPr>
            <w:tcW w:w="1728" w:type="dxa"/>
            <w:noWrap/>
            <w:hideMark/>
          </w:tcPr>
          <w:p w14:paraId="19D397FD" w14:textId="77777777" w:rsidR="001C7B5C" w:rsidRPr="002F5F3E" w:rsidRDefault="001C7B5C" w:rsidP="007D60B2">
            <w:pPr>
              <w:rPr>
                <w:rFonts w:asciiTheme="minorHAnsi" w:hAnsiTheme="minorHAnsi"/>
              </w:rPr>
            </w:pPr>
            <w:r w:rsidRPr="002F5F3E">
              <w:rPr>
                <w:rFonts w:asciiTheme="minorHAnsi" w:hAnsiTheme="minorHAnsi"/>
              </w:rPr>
              <w:lastRenderedPageBreak/>
              <w:t>5 (Marion)</w:t>
            </w:r>
          </w:p>
        </w:tc>
        <w:tc>
          <w:tcPr>
            <w:tcW w:w="1728" w:type="dxa"/>
          </w:tcPr>
          <w:p w14:paraId="657A8A5E" w14:textId="070D891F" w:rsidR="001C7B5C" w:rsidRPr="002F5F3E" w:rsidRDefault="001C7B5C" w:rsidP="007D60B2">
            <w:pPr>
              <w:jc w:val="center"/>
              <w:rPr>
                <w:rFonts w:asciiTheme="minorHAnsi" w:hAnsiTheme="minorHAnsi"/>
                <w:szCs w:val="22"/>
              </w:rPr>
            </w:pPr>
            <w:r>
              <w:rPr>
                <w:rFonts w:asciiTheme="minorHAnsi" w:hAnsiTheme="minorHAnsi"/>
              </w:rPr>
              <w:t>549</w:t>
            </w:r>
          </w:p>
        </w:tc>
      </w:tr>
      <w:tr w:rsidR="001C7B5C" w:rsidRPr="002F5F3E" w14:paraId="7C6A5514" w14:textId="77777777" w:rsidTr="007D60B2">
        <w:trPr>
          <w:trHeight w:val="133"/>
          <w:jc w:val="center"/>
        </w:trPr>
        <w:tc>
          <w:tcPr>
            <w:tcW w:w="1728" w:type="dxa"/>
            <w:noWrap/>
            <w:hideMark/>
          </w:tcPr>
          <w:p w14:paraId="10BE6F5E" w14:textId="77777777" w:rsidR="001C7B5C" w:rsidRPr="002F5F3E" w:rsidRDefault="001C7B5C" w:rsidP="007D60B2">
            <w:pPr>
              <w:rPr>
                <w:rFonts w:asciiTheme="minorHAnsi" w:hAnsiTheme="minorHAnsi"/>
              </w:rPr>
            </w:pPr>
            <w:r w:rsidRPr="002F5F3E">
              <w:rPr>
                <w:rFonts w:asciiTheme="minorHAnsi" w:hAnsiTheme="minorHAnsi"/>
              </w:rPr>
              <w:t>Weighted Average</w:t>
            </w:r>
            <w:r w:rsidRPr="009C362B">
              <w:rPr>
                <w:rFonts w:eastAsiaTheme="minorEastAsia"/>
                <w:vertAlign w:val="superscript"/>
              </w:rPr>
              <w:footnoteReference w:id="17"/>
            </w:r>
          </w:p>
        </w:tc>
        <w:tc>
          <w:tcPr>
            <w:tcW w:w="1728" w:type="dxa"/>
            <w:vAlign w:val="center"/>
          </w:tcPr>
          <w:p w14:paraId="74C31E32" w14:textId="2D52120D" w:rsidR="001C7B5C" w:rsidRPr="002F5F3E" w:rsidRDefault="001C7B5C" w:rsidP="007D60B2">
            <w:pPr>
              <w:jc w:val="center"/>
              <w:rPr>
                <w:rFonts w:asciiTheme="minorHAnsi" w:hAnsiTheme="minorHAnsi"/>
                <w:szCs w:val="22"/>
              </w:rPr>
            </w:pPr>
            <w:r>
              <w:rPr>
                <w:rFonts w:asciiTheme="minorHAnsi" w:hAnsiTheme="minorHAnsi"/>
              </w:rPr>
              <w:t>364</w:t>
            </w:r>
          </w:p>
        </w:tc>
      </w:tr>
    </w:tbl>
    <w:p w14:paraId="164ED648" w14:textId="77777777" w:rsidR="003330BC" w:rsidRDefault="003330BC" w:rsidP="003330BC">
      <w:pPr>
        <w:keepNext/>
        <w:keepLines/>
        <w:spacing w:before="200"/>
        <w:outlineLvl w:val="5"/>
        <w:rPr>
          <w:rFonts w:eastAsiaTheme="majorEastAsia" w:cstheme="majorBidi"/>
          <w:b/>
          <w:iCs/>
          <w:smallCaps/>
          <w:sz w:val="22"/>
        </w:rPr>
      </w:pPr>
      <w:bookmarkStart w:id="19" w:name="_Toc343160275"/>
      <w:r w:rsidRPr="002F5F3E">
        <w:rPr>
          <w:rFonts w:eastAsiaTheme="majorEastAsia" w:cstheme="minorHAnsi"/>
          <w:b/>
          <w:iCs/>
          <w:smallCaps/>
          <w:noProof/>
          <w:sz w:val="22"/>
        </w:rPr>
        <mc:AlternateContent>
          <mc:Choice Requires="wps">
            <w:drawing>
              <wp:inline distT="0" distB="0" distL="0" distR="0" wp14:anchorId="2245B0F6" wp14:editId="66A2827D">
                <wp:extent cx="5636895" cy="1275907"/>
                <wp:effectExtent l="0" t="0" r="20955" b="19685"/>
                <wp:docPr id="34"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6895" cy="1275907"/>
                        </a:xfrm>
                        <a:prstGeom prst="rect">
                          <a:avLst/>
                        </a:prstGeom>
                        <a:solidFill>
                          <a:srgbClr val="FFFFFF"/>
                        </a:solidFill>
                        <a:ln w="9525">
                          <a:solidFill>
                            <a:srgbClr val="000000"/>
                          </a:solidFill>
                          <a:miter lim="800000"/>
                          <a:headEnd/>
                          <a:tailEnd/>
                        </a:ln>
                      </wps:spPr>
                      <wps:txbx>
                        <w:txbxContent>
                          <w:p w14:paraId="043C16DC" w14:textId="77777777" w:rsidR="003330BC" w:rsidRDefault="003330BC" w:rsidP="003330BC">
                            <w:pPr>
                              <w:autoSpaceDE w:val="0"/>
                              <w:autoSpaceDN w:val="0"/>
                              <w:adjustRightInd w:val="0"/>
                              <w:rPr>
                                <w:rFonts w:cstheme="minorHAnsi"/>
                              </w:rPr>
                            </w:pPr>
                            <w:r w:rsidRPr="008D17E4">
                              <w:rPr>
                                <w:rFonts w:cstheme="minorHAnsi"/>
                              </w:rPr>
                              <w:t xml:space="preserve"> </w:t>
                            </w:r>
                            <w:r>
                              <w:rPr>
                                <w:rFonts w:cstheme="minorHAnsi"/>
                              </w:rPr>
                              <w:t>For example, installing a 1.5-ton (heating and cooling capacity) ductless heat pump unit rated at 8 HSPF and 14 SEER in a single-family home in Chicago to displace electric baseboard heat and replace a window air conditioner</w:t>
                            </w:r>
                            <w:r w:rsidR="001966D4" w:rsidRPr="001966D4">
                              <w:rPr>
                                <w:rFonts w:cstheme="minorHAnsi"/>
                              </w:rPr>
                              <w:t xml:space="preserve"> </w:t>
                            </w:r>
                            <w:r w:rsidR="001966D4">
                              <w:rPr>
                                <w:rFonts w:cstheme="minorHAnsi"/>
                              </w:rPr>
                              <w:t>of unknown efficiency</w:t>
                            </w:r>
                            <w:r>
                              <w:rPr>
                                <w:rFonts w:cstheme="minorHAnsi"/>
                              </w:rPr>
                              <w:t>, savings are:</w:t>
                            </w:r>
                          </w:p>
                          <w:p w14:paraId="10459B64" w14:textId="157D838B" w:rsidR="003330BC" w:rsidRDefault="003330BC" w:rsidP="003330BC">
                            <w:pPr>
                              <w:ind w:left="720"/>
                            </w:pPr>
                            <w:r>
                              <w:t>ΔkWh</w:t>
                            </w:r>
                            <w:r>
                              <w:rPr>
                                <w:vertAlign w:val="subscript"/>
                              </w:rPr>
                              <w:t>heat</w:t>
                            </w:r>
                            <w:r>
                              <w:t xml:space="preserve"> </w:t>
                            </w:r>
                            <w:r>
                              <w:tab/>
                              <w:t xml:space="preserve">= </w:t>
                            </w:r>
                            <w:r w:rsidR="001966D4">
                              <w:t>(18000 * 1421</w:t>
                            </w:r>
                            <w:r>
                              <w:t xml:space="preserve"> </w:t>
                            </w:r>
                            <w:r w:rsidR="001966D4">
                              <w:t>*</w:t>
                            </w:r>
                            <w:r>
                              <w:t xml:space="preserve"> (1/3.41</w:t>
                            </w:r>
                            <w:r w:rsidR="001966D4">
                              <w:t>2</w:t>
                            </w:r>
                            <w:r>
                              <w:t xml:space="preserve"> – 1/8)</w:t>
                            </w:r>
                            <w:r w:rsidR="001966D4">
                              <w:t>)/1000</w:t>
                            </w:r>
                            <w:r>
                              <w:t xml:space="preserve"> </w:t>
                            </w:r>
                            <w:r>
                              <w:tab/>
                              <w:t>= 4,</w:t>
                            </w:r>
                            <w:r w:rsidR="001966D4">
                              <w:t>299 kWh</w:t>
                            </w:r>
                          </w:p>
                          <w:p w14:paraId="5966F7E9" w14:textId="714B5263" w:rsidR="003330BC" w:rsidRDefault="003330BC" w:rsidP="003330BC">
                            <w:pPr>
                              <w:ind w:left="720"/>
                            </w:pPr>
                            <w:r>
                              <w:t>ΔkWh</w:t>
                            </w:r>
                            <w:r>
                              <w:rPr>
                                <w:vertAlign w:val="subscript"/>
                              </w:rPr>
                              <w:t>cool</w:t>
                            </w:r>
                            <w:r>
                              <w:t xml:space="preserve"> </w:t>
                            </w:r>
                            <w:r>
                              <w:tab/>
                              <w:t xml:space="preserve">= </w:t>
                            </w:r>
                            <w:r w:rsidR="001966D4">
                              <w:t>(</w:t>
                            </w:r>
                            <w:r>
                              <w:t>18</w:t>
                            </w:r>
                            <w:r w:rsidR="001966D4">
                              <w:t>000</w:t>
                            </w:r>
                            <w:r>
                              <w:t xml:space="preserve"> </w:t>
                            </w:r>
                            <w:r w:rsidR="001966D4">
                              <w:t>* 308 *</w:t>
                            </w:r>
                            <w:r>
                              <w:t>(1/</w:t>
                            </w:r>
                            <w:r w:rsidR="001966D4">
                              <w:t xml:space="preserve">8.0 </w:t>
                            </w:r>
                            <w:r>
                              <w:t>– 1/14)</w:t>
                            </w:r>
                            <w:r w:rsidR="001966D4">
                              <w:t>)</w:t>
                            </w:r>
                            <w:r>
                              <w:t xml:space="preserve"> </w:t>
                            </w:r>
                            <w:r w:rsidR="001966D4">
                              <w:t>/1000</w:t>
                            </w:r>
                            <w:r>
                              <w:t xml:space="preserve"> </w:t>
                            </w:r>
                            <w:r>
                              <w:tab/>
                              <w:t>= 2</w:t>
                            </w:r>
                            <w:r w:rsidR="001966D4">
                              <w:t xml:space="preserve">97 </w:t>
                            </w:r>
                            <w:r>
                              <w:t>kWh</w:t>
                            </w:r>
                          </w:p>
                          <w:p w14:paraId="5E418267" w14:textId="6E38D71D" w:rsidR="003330BC" w:rsidRPr="00DA4449" w:rsidRDefault="003330BC" w:rsidP="003330BC">
                            <w:pPr>
                              <w:ind w:left="720"/>
                            </w:pPr>
                            <w:r>
                              <w:t xml:space="preserve">ΔkWh </w:t>
                            </w:r>
                            <w:r>
                              <w:tab/>
                            </w:r>
                            <w:r>
                              <w:tab/>
                              <w:t>= 4,</w:t>
                            </w:r>
                            <w:r w:rsidR="001966D4">
                              <w:t xml:space="preserve">299 </w:t>
                            </w:r>
                            <w:r>
                              <w:t>+ 2</w:t>
                            </w:r>
                            <w:r w:rsidR="001966D4">
                              <w:t>97</w:t>
                            </w:r>
                            <w:r>
                              <w:t xml:space="preserve"> </w:t>
                            </w:r>
                            <w:r>
                              <w:tab/>
                              <w:t xml:space="preserve">= </w:t>
                            </w:r>
                            <w:r w:rsidR="001966D4">
                              <w:t xml:space="preserve">4,596 </w:t>
                            </w:r>
                            <w:r>
                              <w:t>kWh</w:t>
                            </w:r>
                          </w:p>
                          <w:p w14:paraId="1234A4AE" w14:textId="77777777" w:rsidR="003330BC" w:rsidRPr="00DA4449" w:rsidRDefault="003330BC" w:rsidP="003330BC"/>
                        </w:txbxContent>
                      </wps:txbx>
                      <wps:bodyPr rot="0" vert="horz" wrap="square" lIns="91440" tIns="45720" rIns="91440" bIns="45720" anchor="t" anchorCtr="0">
                        <a:noAutofit/>
                      </wps:bodyPr>
                    </wps:wsp>
                  </a:graphicData>
                </a:graphic>
              </wp:inline>
            </w:drawing>
          </mc:Choice>
          <mc:Fallback>
            <w:pict>
              <v:shapetype id="_x0000_t202" coordsize="21600,21600" o:spt="202" path="m,l,21600r21600,l21600,xe">
                <v:stroke joinstyle="miter"/>
                <v:path gradientshapeok="t" o:connecttype="rect"/>
              </v:shapetype>
              <v:shape id="Text Box 34" o:spid="_x0000_s1026" type="#_x0000_t202" style="width:443.85pt;height:100.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">
                <v:textbox>
                  <w:txbxContent>
                    <w:p w14:paraId="043C16DC" w14:textId="77777777" w:rsidR="003330BC" w:rsidRDefault="003330BC" w:rsidP="003330BC">
                      <w:pPr>
                        <w:autoSpaceDE w:val="0"/>
                        <w:autoSpaceDN w:val="0"/>
                        <w:adjustRightInd w:val="0"/>
                        <w:rPr>
                          <w:rFonts w:cstheme="minorHAnsi"/>
                        </w:rPr>
                      </w:pPr>
                      <w:r w:rsidRPr="008D17E4">
                        <w:rPr>
                          <w:rFonts w:cstheme="minorHAnsi"/>
                        </w:rPr>
                        <w:t xml:space="preserve"> </w:t>
                      </w:r>
                      <w:r>
                        <w:rPr>
                          <w:rFonts w:cstheme="minorHAnsi"/>
                        </w:rPr>
                        <w:t>For example, installing a 1.5-ton (heating and cooling capacity) ductless heat pump unit rated at 8 HSPF and 14 SEER in a single-family home in Chicago to displace electric baseboard heat and replace a window air conditioner</w:t>
                      </w:r>
                      <w:r w:rsidR="001966D4" w:rsidRPr="001966D4">
                        <w:rPr>
                          <w:rFonts w:cstheme="minorHAnsi"/>
                        </w:rPr>
                        <w:t xml:space="preserve"> </w:t>
                      </w:r>
                      <w:r w:rsidR="001966D4">
                        <w:rPr>
                          <w:rFonts w:cstheme="minorHAnsi"/>
                        </w:rPr>
                        <w:t>of unknown efficiency</w:t>
                      </w:r>
                      <w:r>
                        <w:rPr>
                          <w:rFonts w:cstheme="minorHAnsi"/>
                        </w:rPr>
                        <w:t>, savings are:</w:t>
                      </w:r>
                    </w:p>
                    <w:p w14:paraId="10459B64" w14:textId="157D838B" w:rsidR="003330BC" w:rsidRDefault="003330BC" w:rsidP="003330BC">
                      <w:pPr>
                        <w:ind w:left="720"/>
                      </w:pPr>
                      <w:r>
                        <w:t>ΔkWh</w:t>
                      </w:r>
                      <w:r>
                        <w:rPr>
                          <w:vertAlign w:val="subscript"/>
                        </w:rPr>
                        <w:t>heat</w:t>
                      </w:r>
                      <w:r>
                        <w:t xml:space="preserve"> </w:t>
                      </w:r>
                      <w:r>
                        <w:tab/>
                        <w:t xml:space="preserve">= </w:t>
                      </w:r>
                      <w:r w:rsidR="001966D4">
                        <w:t>(18000 * 1421</w:t>
                      </w:r>
                      <w:r>
                        <w:t xml:space="preserve"> </w:t>
                      </w:r>
                      <w:r w:rsidR="001966D4">
                        <w:t>*</w:t>
                      </w:r>
                      <w:r>
                        <w:t xml:space="preserve"> (1/3.41</w:t>
                      </w:r>
                      <w:r w:rsidR="001966D4">
                        <w:t>2</w:t>
                      </w:r>
                      <w:r>
                        <w:t xml:space="preserve"> – 1/8)</w:t>
                      </w:r>
                      <w:r w:rsidR="001966D4">
                        <w:t>)/1000</w:t>
                      </w:r>
                      <w:r>
                        <w:t xml:space="preserve"> </w:t>
                      </w:r>
                      <w:r>
                        <w:tab/>
                        <w:t>= 4,</w:t>
                      </w:r>
                      <w:r w:rsidR="001966D4">
                        <w:t>299 kWh</w:t>
                      </w:r>
                    </w:p>
                    <w:p w14:paraId="5966F7E9" w14:textId="714B5263" w:rsidR="003330BC" w:rsidRDefault="003330BC" w:rsidP="003330BC">
                      <w:pPr>
                        <w:ind w:left="720"/>
                      </w:pPr>
                      <w:r>
                        <w:t>ΔkWh</w:t>
                      </w:r>
                      <w:r>
                        <w:rPr>
                          <w:vertAlign w:val="subscript"/>
                        </w:rPr>
                        <w:t>cool</w:t>
                      </w:r>
                      <w:r>
                        <w:t xml:space="preserve"> </w:t>
                      </w:r>
                      <w:r>
                        <w:tab/>
                        <w:t xml:space="preserve">= </w:t>
                      </w:r>
                      <w:r w:rsidR="001966D4">
                        <w:t>(</w:t>
                      </w:r>
                      <w:r>
                        <w:t>18</w:t>
                      </w:r>
                      <w:r w:rsidR="001966D4">
                        <w:t>000</w:t>
                      </w:r>
                      <w:r>
                        <w:t xml:space="preserve"> </w:t>
                      </w:r>
                      <w:r w:rsidR="001966D4">
                        <w:t>* 308 *</w:t>
                      </w:r>
                      <w:r>
                        <w:t>(1/</w:t>
                      </w:r>
                      <w:r w:rsidR="001966D4">
                        <w:t xml:space="preserve">8.0 </w:t>
                      </w:r>
                      <w:r>
                        <w:t>– 1/14)</w:t>
                      </w:r>
                      <w:r w:rsidR="001966D4">
                        <w:t>)</w:t>
                      </w:r>
                      <w:r>
                        <w:t xml:space="preserve"> </w:t>
                      </w:r>
                      <w:r w:rsidR="001966D4">
                        <w:t>/1000</w:t>
                      </w:r>
                      <w:r>
                        <w:t xml:space="preserve"> </w:t>
                      </w:r>
                      <w:r>
                        <w:tab/>
                        <w:t>= 2</w:t>
                      </w:r>
                      <w:r w:rsidR="001966D4">
                        <w:t xml:space="preserve">97 </w:t>
                      </w:r>
                      <w:r>
                        <w:t>kWh</w:t>
                      </w:r>
                    </w:p>
                    <w:p w14:paraId="5E418267" w14:textId="6E38D71D" w:rsidR="003330BC" w:rsidRPr="00DA4449" w:rsidRDefault="003330BC" w:rsidP="003330BC">
                      <w:pPr>
                        <w:ind w:left="720"/>
                      </w:pPr>
                      <w:r>
                        <w:t xml:space="preserve">ΔkWh </w:t>
                      </w:r>
                      <w:r>
                        <w:tab/>
                      </w:r>
                      <w:r>
                        <w:tab/>
                        <w:t>= 4,</w:t>
                      </w:r>
                      <w:r w:rsidR="001966D4">
                        <w:t xml:space="preserve">299 </w:t>
                      </w:r>
                      <w:r>
                        <w:t>+ 2</w:t>
                      </w:r>
                      <w:r w:rsidR="001966D4">
                        <w:t>97</w:t>
                      </w:r>
                      <w:r>
                        <w:t xml:space="preserve"> </w:t>
                      </w:r>
                      <w:r>
                        <w:tab/>
                        <w:t xml:space="preserve">= </w:t>
                      </w:r>
                      <w:r w:rsidR="001966D4">
                        <w:t xml:space="preserve">4,596 </w:t>
                      </w:r>
                      <w:r>
                        <w:t>kWh</w:t>
                      </w:r>
                    </w:p>
                    <w:p w14:paraId="1234A4AE" w14:textId="77777777" w:rsidR="003330BC" w:rsidRPr="00DA4449" w:rsidRDefault="003330BC" w:rsidP="003330BC"/>
                  </w:txbxContent>
                </v:textbox>
                <w10:anchorlock/>
              </v:shape>
            </w:pict>
          </mc:Fallback>
        </mc:AlternateContent>
      </w:r>
    </w:p>
    <w:p w14:paraId="697F3EED" w14:textId="77777777" w:rsidR="003330BC" w:rsidRDefault="003330BC" w:rsidP="003330BC">
      <w:pPr>
        <w:keepNext/>
        <w:keepLines/>
        <w:spacing w:before="200"/>
        <w:outlineLvl w:val="5"/>
        <w:rPr>
          <w:rFonts w:eastAsiaTheme="majorEastAsia" w:cstheme="majorBidi"/>
          <w:b/>
          <w:iCs/>
          <w:smallCaps/>
          <w:sz w:val="22"/>
        </w:rPr>
      </w:pPr>
    </w:p>
    <w:p w14:paraId="519E01D5" w14:textId="77777777" w:rsidR="003330BC" w:rsidRPr="002F5F3E" w:rsidRDefault="003330BC" w:rsidP="003330BC">
      <w:pPr>
        <w:keepNext/>
        <w:keepLines/>
        <w:spacing w:before="200"/>
        <w:outlineLvl w:val="5"/>
        <w:rPr>
          <w:rFonts w:eastAsiaTheme="majorEastAsia" w:cstheme="majorBidi"/>
          <w:b/>
          <w:iCs/>
          <w:smallCaps/>
          <w:sz w:val="22"/>
        </w:rPr>
      </w:pPr>
      <w:r w:rsidRPr="002F5F3E">
        <w:rPr>
          <w:rFonts w:eastAsiaTheme="majorEastAsia" w:cstheme="majorBidi"/>
          <w:b/>
          <w:iCs/>
          <w:smallCaps/>
          <w:sz w:val="22"/>
        </w:rPr>
        <w:t>Summer Coincident Peak Demand Savings</w:t>
      </w:r>
      <w:bookmarkEnd w:id="19"/>
    </w:p>
    <w:p w14:paraId="35B92C42" w14:textId="355D8393" w:rsidR="003330BC" w:rsidRPr="002F5F3E" w:rsidRDefault="003330BC" w:rsidP="003330BC">
      <w:pPr>
        <w:spacing w:after="240"/>
        <w:ind w:left="1440" w:hanging="720"/>
        <w:rPr>
          <w:rFonts w:cstheme="minorHAnsi"/>
          <w:noProof/>
          <w:szCs w:val="20"/>
          <w:lang w:val="nl-NL"/>
        </w:rPr>
      </w:pPr>
      <w:r w:rsidRPr="002F5F3E">
        <w:rPr>
          <w:rFonts w:cstheme="minorHAnsi"/>
          <w:noProof/>
        </w:rPr>
        <w:t>Δ</w:t>
      </w:r>
      <w:r w:rsidRPr="002F5F3E">
        <w:rPr>
          <w:rFonts w:cstheme="minorHAnsi"/>
          <w:noProof/>
          <w:lang w:val="nl-NL"/>
        </w:rPr>
        <w:t xml:space="preserve">kW </w:t>
      </w:r>
      <w:r w:rsidRPr="002F5F3E">
        <w:rPr>
          <w:rFonts w:cstheme="minorHAnsi"/>
          <w:noProof/>
          <w:lang w:val="nl-NL"/>
        </w:rPr>
        <w:tab/>
        <w:t>= (</w:t>
      </w:r>
      <w:r w:rsidRPr="002F5F3E">
        <w:rPr>
          <w:rFonts w:cstheme="minorHAnsi"/>
          <w:noProof/>
        </w:rPr>
        <w:t>Capacity</w:t>
      </w:r>
      <w:r w:rsidRPr="00F4235F">
        <w:rPr>
          <w:rFonts w:cstheme="minorHAnsi"/>
          <w:noProof/>
          <w:vertAlign w:val="subscript"/>
        </w:rPr>
        <w:t>cool</w:t>
      </w:r>
      <w:r w:rsidRPr="002F5F3E" w:rsidDel="00F528F5">
        <w:rPr>
          <w:rFonts w:cstheme="minorHAnsi"/>
          <w:noProof/>
          <w:lang w:val="nl-NL"/>
        </w:rPr>
        <w:t xml:space="preserve"> </w:t>
      </w:r>
      <w:r w:rsidRPr="002F5F3E">
        <w:rPr>
          <w:rFonts w:cstheme="minorHAnsi"/>
          <w:noProof/>
          <w:lang w:val="nl-NL"/>
        </w:rPr>
        <w:t>* (1/EER</w:t>
      </w:r>
      <w:r w:rsidRPr="00F4235F">
        <w:rPr>
          <w:rFonts w:cstheme="minorHAnsi"/>
          <w:noProof/>
          <w:vertAlign w:val="subscript"/>
          <w:lang w:val="nl-NL"/>
        </w:rPr>
        <w:t>exist</w:t>
      </w:r>
      <w:r w:rsidRPr="002F5F3E">
        <w:rPr>
          <w:rFonts w:cstheme="minorHAnsi"/>
          <w:noProof/>
          <w:lang w:val="nl-NL"/>
        </w:rPr>
        <w:t xml:space="preserve"> - 1/EER</w:t>
      </w:r>
      <w:r w:rsidRPr="00F4235F">
        <w:rPr>
          <w:rFonts w:cstheme="minorHAnsi"/>
          <w:noProof/>
          <w:vertAlign w:val="subscript"/>
          <w:lang w:val="nl-NL"/>
        </w:rPr>
        <w:t>ee</w:t>
      </w:r>
      <w:r w:rsidRPr="002F5F3E">
        <w:rPr>
          <w:rFonts w:cstheme="minorHAnsi"/>
          <w:noProof/>
          <w:lang w:val="nl-NL"/>
        </w:rPr>
        <w:t>)) / 1000) * CF</w:t>
      </w:r>
    </w:p>
    <w:p w14:paraId="1BE3BEB0" w14:textId="77777777" w:rsidR="003330BC" w:rsidRPr="002F5F3E" w:rsidRDefault="003330BC" w:rsidP="003330BC">
      <w:pPr>
        <w:autoSpaceDE w:val="0"/>
        <w:autoSpaceDN w:val="0"/>
        <w:adjustRightInd w:val="0"/>
        <w:rPr>
          <w:szCs w:val="20"/>
          <w:vertAlign w:val="superscript"/>
        </w:rPr>
      </w:pPr>
      <w:r w:rsidRPr="002F5F3E">
        <w:rPr>
          <w:rFonts w:cs="Calibri"/>
          <w:szCs w:val="20"/>
        </w:rPr>
        <w:t>Where:</w:t>
      </w:r>
      <w:r w:rsidRPr="002F5F3E">
        <w:rPr>
          <w:rFonts w:cs="Calibri"/>
          <w:szCs w:val="20"/>
        </w:rPr>
        <w:tab/>
      </w:r>
      <w:r w:rsidRPr="002F5F3E">
        <w:rPr>
          <w:rFonts w:cs="Calibri"/>
          <w:szCs w:val="20"/>
        </w:rPr>
        <w:tab/>
      </w:r>
    </w:p>
    <w:p w14:paraId="0B173032" w14:textId="5F8D679B" w:rsidR="003330BC" w:rsidRPr="002F5F3E" w:rsidRDefault="001966D4" w:rsidP="003330BC">
      <w:pPr>
        <w:spacing w:after="240"/>
        <w:ind w:firstLine="720"/>
        <w:rPr>
          <w:rFonts w:cstheme="minorHAnsi"/>
          <w:noProof/>
          <w:lang w:val="nl-NL"/>
        </w:rPr>
      </w:pPr>
      <w:r w:rsidRPr="002F5F3E">
        <w:rPr>
          <w:rFonts w:cstheme="minorHAnsi"/>
          <w:noProof/>
          <w:lang w:val="nl-NL"/>
        </w:rPr>
        <w:t>EER</w:t>
      </w:r>
      <w:r w:rsidRPr="007D60B2">
        <w:rPr>
          <w:rFonts w:cstheme="minorHAnsi"/>
          <w:noProof/>
          <w:vertAlign w:val="subscript"/>
          <w:lang w:val="nl-NL"/>
        </w:rPr>
        <w:t>exist</w:t>
      </w:r>
      <w:r w:rsidR="003330BC" w:rsidRPr="002F5F3E">
        <w:rPr>
          <w:rFonts w:cstheme="minorHAnsi"/>
          <w:noProof/>
          <w:lang w:val="nl-NL"/>
        </w:rPr>
        <w:tab/>
      </w:r>
      <w:r>
        <w:rPr>
          <w:rFonts w:cstheme="minorHAnsi"/>
          <w:noProof/>
          <w:lang w:val="nl-NL"/>
        </w:rPr>
        <w:tab/>
      </w:r>
      <w:r w:rsidR="003330BC" w:rsidRPr="002F5F3E">
        <w:rPr>
          <w:rFonts w:cstheme="minorHAnsi"/>
          <w:noProof/>
          <w:lang w:val="nl-NL"/>
        </w:rPr>
        <w:t>= Energy Efficiency Ratio of existing cooling system (kBtu/hr / kW)</w:t>
      </w:r>
    </w:p>
    <w:p w14:paraId="13A0A1DE" w14:textId="77777777" w:rsidR="003330BC" w:rsidRDefault="003330BC" w:rsidP="003330BC">
      <w:pPr>
        <w:spacing w:after="240"/>
        <w:ind w:left="1440" w:firstLine="720"/>
        <w:rPr>
          <w:rFonts w:cstheme="minorHAnsi"/>
          <w:noProof/>
        </w:rPr>
      </w:pPr>
      <w:r w:rsidRPr="002F5F3E">
        <w:rPr>
          <w:rFonts w:cstheme="minorHAnsi"/>
          <w:noProof/>
        </w:rPr>
        <w:t>= Use actual EER rating otherwise:</w:t>
      </w:r>
    </w:p>
    <w:tbl>
      <w:tblPr>
        <w:tblStyle w:val="TableGrid"/>
        <w:tblW w:w="0" w:type="auto"/>
        <w:jc w:val="center"/>
        <w:tblInd w:w="2880" w:type="dxa"/>
        <w:tblLook w:val="04A0" w:firstRow="1" w:lastRow="0" w:firstColumn="1" w:lastColumn="0" w:noHBand="0" w:noVBand="1"/>
      </w:tblPr>
      <w:tblGrid>
        <w:gridCol w:w="3262"/>
        <w:gridCol w:w="2327"/>
      </w:tblGrid>
      <w:tr w:rsidR="00EC747D" w:rsidRPr="000563D8" w14:paraId="2AA9746A" w14:textId="77777777" w:rsidTr="007D60B2">
        <w:trPr>
          <w:jc w:val="center"/>
        </w:trPr>
        <w:tc>
          <w:tcPr>
            <w:tcW w:w="3262" w:type="dxa"/>
            <w:shd w:val="clear" w:color="auto" w:fill="7F7F7F" w:themeFill="text1" w:themeFillTint="80"/>
            <w:vAlign w:val="center"/>
          </w:tcPr>
          <w:p w14:paraId="146E81DD" w14:textId="77777777" w:rsidR="00EC747D" w:rsidRPr="000563D8" w:rsidRDefault="00EC747D" w:rsidP="007D60B2">
            <w:pPr>
              <w:jc w:val="center"/>
              <w:rPr>
                <w:b/>
                <w:color w:val="FFFFFF" w:themeColor="background1"/>
              </w:rPr>
            </w:pPr>
            <w:r w:rsidRPr="000563D8">
              <w:rPr>
                <w:b/>
                <w:color w:val="FFFFFF" w:themeColor="background1"/>
              </w:rPr>
              <w:t>Existing Cooling System</w:t>
            </w:r>
          </w:p>
        </w:tc>
        <w:tc>
          <w:tcPr>
            <w:tcW w:w="2327" w:type="dxa"/>
            <w:shd w:val="clear" w:color="auto" w:fill="7F7F7F" w:themeFill="text1" w:themeFillTint="80"/>
            <w:vAlign w:val="center"/>
          </w:tcPr>
          <w:p w14:paraId="6E78C84F" w14:textId="77777777" w:rsidR="00EC747D" w:rsidRPr="000563D8" w:rsidRDefault="00EC747D" w:rsidP="001C7B5C">
            <w:pPr>
              <w:jc w:val="center"/>
              <w:rPr>
                <w:b/>
                <w:color w:val="FFFFFF" w:themeColor="background1"/>
              </w:rPr>
            </w:pPr>
            <w:r w:rsidRPr="000563D8">
              <w:rPr>
                <w:b/>
                <w:color w:val="FFFFFF" w:themeColor="background1"/>
              </w:rPr>
              <w:t>EER_exist</w:t>
            </w:r>
          </w:p>
        </w:tc>
      </w:tr>
      <w:tr w:rsidR="00EC747D" w:rsidRPr="000563D8" w14:paraId="2390BB9E" w14:textId="77777777" w:rsidTr="007D60B2">
        <w:trPr>
          <w:jc w:val="center"/>
        </w:trPr>
        <w:tc>
          <w:tcPr>
            <w:tcW w:w="3262" w:type="dxa"/>
          </w:tcPr>
          <w:p w14:paraId="41E3C7C5" w14:textId="77777777" w:rsidR="00EC747D" w:rsidRPr="000563D8" w:rsidRDefault="00EC747D" w:rsidP="007D60B2">
            <w:r w:rsidRPr="000563D8">
              <w:t>Air Source Heat Pump</w:t>
            </w:r>
          </w:p>
        </w:tc>
        <w:tc>
          <w:tcPr>
            <w:tcW w:w="2327" w:type="dxa"/>
          </w:tcPr>
          <w:p w14:paraId="5A73B26C" w14:textId="77777777" w:rsidR="00EC747D" w:rsidRPr="000563D8" w:rsidRDefault="00EC747D" w:rsidP="007D60B2">
            <w:pPr>
              <w:jc w:val="center"/>
            </w:pPr>
            <w:r w:rsidRPr="000563D8">
              <w:t>8.55</w:t>
            </w:r>
            <w:r w:rsidR="001C7B5C" w:rsidRPr="00F4235F">
              <w:rPr>
                <w:rFonts w:eastAsiaTheme="minorEastAsia"/>
                <w:b/>
                <w:vertAlign w:val="superscript"/>
              </w:rPr>
              <w:footnoteReference w:id="18"/>
            </w:r>
          </w:p>
        </w:tc>
      </w:tr>
      <w:tr w:rsidR="00EC747D" w:rsidRPr="000563D8" w14:paraId="088C4A18" w14:textId="77777777" w:rsidTr="007D60B2">
        <w:trPr>
          <w:jc w:val="center"/>
        </w:trPr>
        <w:tc>
          <w:tcPr>
            <w:tcW w:w="3262" w:type="dxa"/>
          </w:tcPr>
          <w:p w14:paraId="027A62D6" w14:textId="77777777" w:rsidR="00EC747D" w:rsidRPr="000563D8" w:rsidRDefault="00EC747D" w:rsidP="007D60B2">
            <w:r w:rsidRPr="000563D8">
              <w:t>Central AC</w:t>
            </w:r>
          </w:p>
        </w:tc>
        <w:tc>
          <w:tcPr>
            <w:tcW w:w="2327" w:type="dxa"/>
          </w:tcPr>
          <w:p w14:paraId="2C2E5554" w14:textId="77777777" w:rsidR="00EC747D" w:rsidRPr="000563D8" w:rsidRDefault="00EC747D" w:rsidP="007D60B2">
            <w:pPr>
              <w:jc w:val="center"/>
            </w:pPr>
            <w:r w:rsidRPr="000563D8">
              <w:t>8.15</w:t>
            </w:r>
            <w:r w:rsidR="001C7B5C">
              <w:rPr>
                <w:rStyle w:val="FootnoteReference"/>
              </w:rPr>
              <w:footnoteReference w:id="19"/>
            </w:r>
          </w:p>
        </w:tc>
      </w:tr>
      <w:tr w:rsidR="004F367A" w:rsidRPr="000563D8" w14:paraId="71018324" w14:textId="77777777" w:rsidTr="007D60B2">
        <w:trPr>
          <w:jc w:val="center"/>
        </w:trPr>
        <w:tc>
          <w:tcPr>
            <w:tcW w:w="3262" w:type="dxa"/>
          </w:tcPr>
          <w:p w14:paraId="09032548" w14:textId="77777777" w:rsidR="004F367A" w:rsidRPr="000563D8" w:rsidRDefault="004F367A" w:rsidP="007D60B2">
            <w:r w:rsidRPr="002F5F3E">
              <w:t>Room AC</w:t>
            </w:r>
          </w:p>
        </w:tc>
        <w:tc>
          <w:tcPr>
            <w:tcW w:w="2327" w:type="dxa"/>
          </w:tcPr>
          <w:p w14:paraId="58B9F539" w14:textId="77777777" w:rsidR="004F367A" w:rsidRPr="000563D8" w:rsidRDefault="004F367A" w:rsidP="007D60B2">
            <w:pPr>
              <w:jc w:val="center"/>
            </w:pPr>
            <w:r w:rsidRPr="002F5F3E">
              <w:t>7.7 EER</w:t>
            </w:r>
            <w:r w:rsidRPr="009C362B">
              <w:rPr>
                <w:rFonts w:eastAsia="Calibri"/>
                <w:vertAlign w:val="superscript"/>
              </w:rPr>
              <w:footnoteReference w:id="20"/>
            </w:r>
          </w:p>
        </w:tc>
      </w:tr>
      <w:tr w:rsidR="004F367A" w:rsidRPr="000563D8" w14:paraId="7BB0374B" w14:textId="77777777" w:rsidTr="007D60B2">
        <w:trPr>
          <w:jc w:val="center"/>
        </w:trPr>
        <w:tc>
          <w:tcPr>
            <w:tcW w:w="3262" w:type="dxa"/>
          </w:tcPr>
          <w:p w14:paraId="6210EA72" w14:textId="77777777" w:rsidR="004F367A" w:rsidRPr="000563D8" w:rsidRDefault="004F367A" w:rsidP="004F367A">
            <w:r w:rsidRPr="000563D8">
              <w:t xml:space="preserve">No </w:t>
            </w:r>
            <w:r>
              <w:t>existing</w:t>
            </w:r>
            <w:r w:rsidRPr="000563D8">
              <w:t xml:space="preserve"> cooling</w:t>
            </w:r>
            <w:r w:rsidRPr="009C362B">
              <w:rPr>
                <w:rFonts w:eastAsiaTheme="minorEastAsia"/>
                <w:vertAlign w:val="superscript"/>
              </w:rPr>
              <w:footnoteReference w:id="21"/>
            </w:r>
          </w:p>
        </w:tc>
        <w:tc>
          <w:tcPr>
            <w:tcW w:w="2327" w:type="dxa"/>
          </w:tcPr>
          <w:p w14:paraId="3DFF06AF" w14:textId="77777777" w:rsidR="004F367A" w:rsidRPr="000563D8" w:rsidRDefault="004F367A" w:rsidP="007D60B2">
            <w:pPr>
              <w:jc w:val="center"/>
            </w:pPr>
            <w:r w:rsidRPr="000563D8">
              <w:t>Make ‘1/EER_exist’ = 0</w:t>
            </w:r>
          </w:p>
        </w:tc>
      </w:tr>
    </w:tbl>
    <w:p w14:paraId="4C7753EF" w14:textId="77777777" w:rsidR="003330BC" w:rsidRPr="002F5F3E" w:rsidRDefault="003330BC" w:rsidP="003330BC">
      <w:pPr>
        <w:spacing w:after="240"/>
        <w:ind w:left="1440"/>
        <w:rPr>
          <w:rFonts w:cstheme="minorHAnsi"/>
          <w:noProof/>
          <w:lang w:val="nl-NL"/>
        </w:rPr>
      </w:pPr>
    </w:p>
    <w:p w14:paraId="18DBE72C" w14:textId="77777777" w:rsidR="003330BC" w:rsidRPr="002F5F3E" w:rsidRDefault="003330BC" w:rsidP="003330BC">
      <w:pPr>
        <w:spacing w:after="240"/>
        <w:ind w:left="720"/>
        <w:rPr>
          <w:rFonts w:cstheme="minorHAnsi"/>
          <w:noProof/>
          <w:lang w:val="nl-NL"/>
        </w:rPr>
      </w:pPr>
      <w:r w:rsidRPr="002F5F3E">
        <w:rPr>
          <w:rFonts w:cstheme="minorHAnsi"/>
          <w:noProof/>
          <w:lang w:val="nl-NL"/>
        </w:rPr>
        <w:t>EER_ee</w:t>
      </w:r>
      <w:r w:rsidRPr="002F5F3E">
        <w:rPr>
          <w:rFonts w:cstheme="minorHAnsi"/>
          <w:noProof/>
          <w:lang w:val="nl-NL"/>
        </w:rPr>
        <w:tab/>
      </w:r>
      <w:r w:rsidRPr="002F5F3E">
        <w:rPr>
          <w:rFonts w:cstheme="minorHAnsi"/>
          <w:noProof/>
          <w:lang w:val="nl-NL"/>
        </w:rPr>
        <w:tab/>
        <w:t>= Energy Efficiency Ratio of new ductless Air Source Heat Pump (kBtu/hr / kW)</w:t>
      </w:r>
    </w:p>
    <w:p w14:paraId="47403350" w14:textId="77777777" w:rsidR="001966D4" w:rsidRPr="000B7BB6" w:rsidRDefault="003330BC" w:rsidP="001966D4">
      <w:pPr>
        <w:ind w:left="1440" w:firstLine="720"/>
        <w:rPr>
          <w:rFonts w:cstheme="minorHAnsi"/>
          <w:noProof/>
          <w:lang w:val="nl-NL"/>
        </w:rPr>
      </w:pPr>
      <w:r w:rsidRPr="002F5F3E">
        <w:rPr>
          <w:rFonts w:cstheme="minorHAnsi"/>
          <w:noProof/>
          <w:lang w:val="nl-NL"/>
        </w:rPr>
        <w:t xml:space="preserve">= Actual, If not provided convert SEER to EER using this formula: </w:t>
      </w:r>
      <w:r w:rsidR="001966D4" w:rsidRPr="000B7BB6">
        <w:rPr>
          <w:rStyle w:val="FootnoteReference"/>
          <w:rFonts w:eastAsiaTheme="minorEastAsia"/>
          <w:szCs w:val="18"/>
        </w:rPr>
        <w:footnoteReference w:id="22"/>
      </w:r>
      <w:r w:rsidR="001966D4" w:rsidRPr="00B41203">
        <w:rPr>
          <w:rFonts w:cstheme="minorHAnsi"/>
          <w:noProof/>
          <w:lang w:val="nl-NL"/>
        </w:rPr>
        <w:t xml:space="preserve"> </w:t>
      </w:r>
    </w:p>
    <w:p w14:paraId="04FD63FA" w14:textId="77777777" w:rsidR="001966D4" w:rsidRPr="000B7BB6" w:rsidRDefault="001966D4" w:rsidP="001966D4">
      <w:pPr>
        <w:ind w:left="1440" w:firstLine="720"/>
        <w:rPr>
          <w:rFonts w:cstheme="minorHAnsi"/>
          <w:noProof/>
        </w:rPr>
      </w:pPr>
      <w:r w:rsidRPr="000B7BB6">
        <w:rPr>
          <w:rFonts w:cstheme="minorHAnsi"/>
          <w:noProof/>
          <w:lang w:val="nl-NL"/>
        </w:rPr>
        <w:t xml:space="preserve">= </w:t>
      </w:r>
      <w:r w:rsidRPr="000B7BB6">
        <w:rPr>
          <w:rFonts w:cstheme="minorHAnsi"/>
        </w:rPr>
        <w:t>(-0.02 * SEER</w:t>
      </w:r>
      <w:r w:rsidRPr="000B7BB6">
        <w:rPr>
          <w:rFonts w:cstheme="minorHAnsi"/>
          <w:vertAlign w:val="superscript"/>
        </w:rPr>
        <w:t>2</w:t>
      </w:r>
      <w:r w:rsidRPr="000B7BB6">
        <w:rPr>
          <w:rFonts w:cstheme="minorHAnsi"/>
        </w:rPr>
        <w:t>) + (1.12 * SEER)</w:t>
      </w:r>
    </w:p>
    <w:p w14:paraId="07F10E1E" w14:textId="77777777" w:rsidR="003330BC" w:rsidRPr="002F5F3E" w:rsidRDefault="003330BC" w:rsidP="003330BC">
      <w:pPr>
        <w:spacing w:after="240"/>
        <w:ind w:left="1440" w:firstLine="720"/>
        <w:rPr>
          <w:rFonts w:cstheme="minorHAnsi"/>
          <w:noProof/>
          <w:lang w:val="nl-NL"/>
        </w:rPr>
      </w:pPr>
    </w:p>
    <w:p w14:paraId="45B75363" w14:textId="4ECC90E8" w:rsidR="003330BC" w:rsidRPr="002F5F3E" w:rsidRDefault="003330BC" w:rsidP="003330BC">
      <w:pPr>
        <w:spacing w:after="240"/>
        <w:ind w:left="2160" w:hanging="1440"/>
        <w:rPr>
          <w:rFonts w:cstheme="minorHAnsi"/>
        </w:rPr>
      </w:pPr>
      <w:r w:rsidRPr="002F5F3E">
        <w:rPr>
          <w:rFonts w:cstheme="minorHAnsi"/>
        </w:rPr>
        <w:t>CF</w:t>
      </w:r>
      <w:r w:rsidRPr="002F5F3E">
        <w:rPr>
          <w:rFonts w:cstheme="minorHAnsi"/>
          <w:vertAlign w:val="subscript"/>
        </w:rPr>
        <w:t>SSP</w:t>
      </w:r>
      <w:r w:rsidRPr="002F5F3E">
        <w:rPr>
          <w:rFonts w:cstheme="minorHAnsi"/>
        </w:rPr>
        <w:tab/>
        <w:t xml:space="preserve">= Summer System Peak Coincidence Factor for </w:t>
      </w:r>
      <w:r w:rsidR="001966D4">
        <w:rPr>
          <w:rFonts w:cstheme="minorHAnsi"/>
        </w:rPr>
        <w:t>DMSHP</w:t>
      </w:r>
      <w:r w:rsidRPr="002F5F3E">
        <w:rPr>
          <w:rFonts w:cstheme="minorHAnsi"/>
        </w:rPr>
        <w:t xml:space="preserve"> (during system peak hour)</w:t>
      </w:r>
    </w:p>
    <w:p w14:paraId="2506E98A" w14:textId="18DFE7D4" w:rsidR="003330BC" w:rsidRPr="002F5F3E" w:rsidRDefault="003330BC" w:rsidP="003330BC">
      <w:pPr>
        <w:spacing w:after="240"/>
        <w:ind w:left="720" w:firstLine="720"/>
        <w:rPr>
          <w:rFonts w:cstheme="minorHAnsi"/>
        </w:rPr>
      </w:pPr>
      <w:r w:rsidRPr="002F5F3E">
        <w:rPr>
          <w:rFonts w:cstheme="minorHAnsi"/>
        </w:rPr>
        <w:tab/>
        <w:t xml:space="preserve">= </w:t>
      </w:r>
      <w:r w:rsidR="001966D4">
        <w:rPr>
          <w:rFonts w:cstheme="minorHAnsi"/>
        </w:rPr>
        <w:t>43.1</w:t>
      </w:r>
      <w:r w:rsidRPr="002F5F3E">
        <w:rPr>
          <w:rFonts w:cstheme="minorHAnsi"/>
        </w:rPr>
        <w:t>%%</w:t>
      </w:r>
      <w:r w:rsidRPr="002F5F3E">
        <w:rPr>
          <w:rFonts w:ascii="Arial" w:eastAsiaTheme="minorEastAsia" w:hAnsi="Arial"/>
          <w:vertAlign w:val="superscript"/>
        </w:rPr>
        <w:footnoteReference w:id="23"/>
      </w:r>
    </w:p>
    <w:p w14:paraId="153A0E2E" w14:textId="60CD77CC" w:rsidR="003330BC" w:rsidRPr="002F5F3E" w:rsidRDefault="003330BC" w:rsidP="003330BC">
      <w:pPr>
        <w:spacing w:after="240"/>
        <w:ind w:left="2160" w:hanging="1440"/>
        <w:rPr>
          <w:rFonts w:cstheme="minorHAnsi"/>
        </w:rPr>
      </w:pPr>
      <w:r w:rsidRPr="002F5F3E">
        <w:rPr>
          <w:rFonts w:cstheme="minorHAnsi"/>
        </w:rPr>
        <w:t>CF</w:t>
      </w:r>
      <w:r w:rsidRPr="002F5F3E">
        <w:rPr>
          <w:rFonts w:cstheme="minorHAnsi"/>
          <w:vertAlign w:val="subscript"/>
        </w:rPr>
        <w:t>PJM</w:t>
      </w:r>
      <w:r w:rsidRPr="002F5F3E">
        <w:rPr>
          <w:rFonts w:cstheme="minorHAnsi"/>
        </w:rPr>
        <w:tab/>
        <w:t xml:space="preserve">= PJM Summer Peak Coincidence Factor for </w:t>
      </w:r>
      <w:r w:rsidR="001966D4">
        <w:rPr>
          <w:rFonts w:cstheme="minorHAnsi"/>
        </w:rPr>
        <w:t>DMSHP</w:t>
      </w:r>
      <w:r w:rsidR="001966D4" w:rsidRPr="002F5F3E">
        <w:rPr>
          <w:rFonts w:cstheme="minorHAnsi"/>
        </w:rPr>
        <w:t xml:space="preserve"> </w:t>
      </w:r>
      <w:r w:rsidRPr="002F5F3E">
        <w:rPr>
          <w:rFonts w:cstheme="minorHAnsi"/>
        </w:rPr>
        <w:t>(average during peak period)</w:t>
      </w:r>
    </w:p>
    <w:p w14:paraId="6F3EB347" w14:textId="4579A766" w:rsidR="003330BC" w:rsidRPr="002F5F3E" w:rsidRDefault="003330BC" w:rsidP="003330BC">
      <w:pPr>
        <w:spacing w:after="240"/>
        <w:ind w:left="1440" w:firstLine="720"/>
        <w:rPr>
          <w:rFonts w:cstheme="minorHAnsi"/>
        </w:rPr>
      </w:pPr>
      <w:r w:rsidRPr="002F5F3E">
        <w:rPr>
          <w:rFonts w:cstheme="minorHAnsi"/>
        </w:rPr>
        <w:t xml:space="preserve">= </w:t>
      </w:r>
      <w:r w:rsidR="001966D4">
        <w:rPr>
          <w:rFonts w:cstheme="minorHAnsi"/>
        </w:rPr>
        <w:t>28.0</w:t>
      </w:r>
      <w:r w:rsidRPr="002F5F3E">
        <w:rPr>
          <w:rFonts w:cstheme="minorHAnsi"/>
        </w:rPr>
        <w:t>%</w:t>
      </w:r>
      <w:r w:rsidRPr="002F5F3E">
        <w:rPr>
          <w:rFonts w:ascii="Arial" w:eastAsiaTheme="minorEastAsia" w:hAnsi="Arial"/>
          <w:vertAlign w:val="superscript"/>
        </w:rPr>
        <w:footnoteReference w:id="24"/>
      </w:r>
    </w:p>
    <w:p w14:paraId="5370B050" w14:textId="77777777" w:rsidR="003330BC" w:rsidRPr="002F5F3E" w:rsidRDefault="003330BC" w:rsidP="003330BC">
      <w:pPr>
        <w:keepNext/>
        <w:keepLines/>
        <w:spacing w:before="200"/>
        <w:outlineLvl w:val="5"/>
        <w:rPr>
          <w:rFonts w:eastAsiaTheme="majorEastAsia" w:cstheme="majorBidi"/>
          <w:b/>
          <w:iCs/>
          <w:smallCaps/>
          <w:sz w:val="22"/>
        </w:rPr>
      </w:pPr>
      <w:bookmarkStart w:id="20" w:name="_Toc343160276"/>
      <w:r w:rsidRPr="002F5F3E">
        <w:rPr>
          <w:rFonts w:eastAsiaTheme="majorEastAsia" w:cstheme="majorBidi"/>
          <w:b/>
          <w:iCs/>
          <w:smallCaps/>
          <w:sz w:val="22"/>
        </w:rPr>
        <w:t>Natural Gas Savings</w:t>
      </w:r>
      <w:bookmarkEnd w:id="20"/>
    </w:p>
    <w:p w14:paraId="2528E121" w14:textId="77777777" w:rsidR="003330BC" w:rsidRPr="002F5F3E" w:rsidRDefault="003330BC" w:rsidP="003330BC">
      <w:pPr>
        <w:spacing w:after="240"/>
      </w:pPr>
      <w:r w:rsidRPr="002F5F3E">
        <w:t>N/A</w:t>
      </w:r>
    </w:p>
    <w:p w14:paraId="2C517054" w14:textId="77777777" w:rsidR="003330BC" w:rsidRPr="002F5F3E" w:rsidRDefault="003330BC" w:rsidP="003330BC">
      <w:pPr>
        <w:keepNext/>
        <w:keepLines/>
        <w:spacing w:before="200"/>
        <w:outlineLvl w:val="5"/>
        <w:rPr>
          <w:rFonts w:eastAsiaTheme="majorEastAsia" w:cstheme="majorBidi"/>
          <w:b/>
          <w:iCs/>
          <w:smallCaps/>
          <w:sz w:val="22"/>
        </w:rPr>
      </w:pPr>
      <w:bookmarkStart w:id="21" w:name="_Toc343160277"/>
      <w:r w:rsidRPr="002F5F3E">
        <w:rPr>
          <w:rFonts w:eastAsiaTheme="majorEastAsia" w:cstheme="majorBidi"/>
          <w:b/>
          <w:iCs/>
          <w:smallCaps/>
          <w:sz w:val="22"/>
        </w:rPr>
        <w:t>Water Impact Descriptions and Calculation</w:t>
      </w:r>
      <w:bookmarkEnd w:id="21"/>
      <w:r w:rsidRPr="002F5F3E">
        <w:rPr>
          <w:rFonts w:eastAsiaTheme="majorEastAsia" w:cstheme="majorBidi"/>
          <w:b/>
          <w:iCs/>
          <w:smallCaps/>
          <w:sz w:val="22"/>
        </w:rPr>
        <w:t xml:space="preserve">  </w:t>
      </w:r>
    </w:p>
    <w:p w14:paraId="4B4F08FA" w14:textId="77777777" w:rsidR="003330BC" w:rsidRPr="002F5F3E" w:rsidRDefault="003330BC" w:rsidP="003330BC">
      <w:pPr>
        <w:spacing w:after="240"/>
      </w:pPr>
      <w:r w:rsidRPr="002F5F3E">
        <w:t>N/A</w:t>
      </w:r>
      <w:bookmarkStart w:id="22" w:name="_Toc343160278"/>
    </w:p>
    <w:p w14:paraId="32183D15" w14:textId="77777777" w:rsidR="003330BC" w:rsidRDefault="003330BC" w:rsidP="003330BC">
      <w:pPr>
        <w:keepNext/>
        <w:keepLines/>
        <w:spacing w:before="200"/>
        <w:outlineLvl w:val="5"/>
        <w:rPr>
          <w:rFonts w:eastAsiaTheme="majorEastAsia" w:cstheme="majorBidi"/>
          <w:b/>
          <w:iCs/>
          <w:smallCaps/>
          <w:sz w:val="22"/>
        </w:rPr>
      </w:pPr>
      <w:r w:rsidRPr="002F5F3E">
        <w:rPr>
          <w:rFonts w:eastAsiaTheme="majorEastAsia" w:cstheme="majorBidi"/>
          <w:b/>
          <w:iCs/>
          <w:smallCaps/>
          <w:sz w:val="22"/>
        </w:rPr>
        <w:t>Deemed O&amp;M Cost Adjustment Calculation</w:t>
      </w:r>
      <w:bookmarkEnd w:id="22"/>
    </w:p>
    <w:p w14:paraId="66EC156F" w14:textId="77777777" w:rsidR="003330BC" w:rsidRPr="009C362B" w:rsidRDefault="003330BC" w:rsidP="003330BC">
      <w:pPr>
        <w:spacing w:after="240"/>
      </w:pPr>
      <w:r w:rsidRPr="009C362B">
        <w:t>N/A</w:t>
      </w:r>
    </w:p>
    <w:p w14:paraId="09FF361E" w14:textId="168D8403" w:rsidR="003330BC" w:rsidRDefault="003330BC" w:rsidP="003330BC">
      <w:pPr>
        <w:keepNext/>
        <w:keepLines/>
        <w:spacing w:before="200"/>
        <w:jc w:val="left"/>
        <w:outlineLvl w:val="5"/>
        <w:rPr>
          <w:rFonts w:eastAsiaTheme="majorEastAsia" w:cstheme="majorBidi"/>
          <w:b/>
          <w:iCs/>
          <w:smallCaps/>
          <w:sz w:val="22"/>
        </w:rPr>
        <w:sectPr w:rsidR="003330BC" w:rsidSect="00B64B6A">
          <w:headerReference w:type="default" r:id="rId9"/>
          <w:footerReference w:type="default" r:id="rId10"/>
          <w:pgSz w:w="12240" w:h="15840" w:code="1"/>
          <w:pgMar w:top="1440" w:right="1440" w:bottom="1440" w:left="1440" w:header="720" w:footer="720" w:gutter="0"/>
          <w:cols w:space="720"/>
          <w:docGrid w:linePitch="360"/>
        </w:sectPr>
      </w:pPr>
      <w:r w:rsidRPr="002F5F3E">
        <w:rPr>
          <w:rFonts w:eastAsiaTheme="majorEastAsia" w:cstheme="majorBidi"/>
          <w:b/>
          <w:iCs/>
          <w:smallCaps/>
          <w:sz w:val="22"/>
        </w:rPr>
        <w:t>Measure Code: RS-HVC-DHP-</w:t>
      </w:r>
      <w:r w:rsidR="001966D4" w:rsidRPr="002F5F3E">
        <w:rPr>
          <w:rFonts w:eastAsiaTheme="majorEastAsia" w:cstheme="majorBidi"/>
          <w:b/>
          <w:iCs/>
          <w:smallCaps/>
          <w:sz w:val="22"/>
        </w:rPr>
        <w:t>V0</w:t>
      </w:r>
      <w:r w:rsidR="001966D4">
        <w:rPr>
          <w:rFonts w:eastAsiaTheme="majorEastAsia" w:cstheme="majorBidi"/>
          <w:b/>
          <w:iCs/>
          <w:smallCaps/>
          <w:sz w:val="22"/>
        </w:rPr>
        <w:t>3</w:t>
      </w:r>
      <w:r w:rsidRPr="002F5F3E">
        <w:rPr>
          <w:rFonts w:eastAsiaTheme="majorEastAsia" w:cstheme="majorBidi"/>
          <w:b/>
          <w:iCs/>
          <w:smallCaps/>
          <w:sz w:val="22"/>
        </w:rPr>
        <w:t>-</w:t>
      </w:r>
      <w:r w:rsidR="001966D4" w:rsidRPr="002F5F3E">
        <w:rPr>
          <w:rFonts w:eastAsiaTheme="majorEastAsia" w:cstheme="majorBidi"/>
          <w:b/>
          <w:iCs/>
          <w:smallCaps/>
          <w:sz w:val="22"/>
        </w:rPr>
        <w:t>1</w:t>
      </w:r>
      <w:r w:rsidR="001966D4">
        <w:rPr>
          <w:rFonts w:eastAsiaTheme="majorEastAsia" w:cstheme="majorBidi"/>
          <w:b/>
          <w:iCs/>
          <w:smallCaps/>
          <w:sz w:val="22"/>
        </w:rPr>
        <w:t>6</w:t>
      </w:r>
      <w:r w:rsidR="001966D4" w:rsidRPr="002F5F3E">
        <w:rPr>
          <w:rFonts w:eastAsiaTheme="majorEastAsia" w:cstheme="majorBidi"/>
          <w:b/>
          <w:iCs/>
          <w:smallCaps/>
          <w:sz w:val="22"/>
        </w:rPr>
        <w:t>0601</w:t>
      </w:r>
    </w:p>
    <w:p w14:paraId="1ECBDADE" w14:textId="77777777" w:rsidR="00D5281E" w:rsidRDefault="00D5281E"/>
    <w:sectPr w:rsidR="00D5281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D4138F" w14:textId="77777777" w:rsidR="00F4235F" w:rsidRDefault="00F4235F" w:rsidP="003330BC">
      <w:pPr>
        <w:spacing w:after="0"/>
      </w:pPr>
      <w:r>
        <w:separator/>
      </w:r>
    </w:p>
  </w:endnote>
  <w:endnote w:type="continuationSeparator" w:id="0">
    <w:p w14:paraId="473277EF" w14:textId="77777777" w:rsidR="00F4235F" w:rsidRDefault="00F4235F" w:rsidP="003330BC">
      <w:pPr>
        <w:spacing w:after="0"/>
      </w:pPr>
      <w:r>
        <w:continuationSeparator/>
      </w:r>
    </w:p>
  </w:endnote>
  <w:endnote w:type="continuationNotice" w:id="1">
    <w:p w14:paraId="73E294E0" w14:textId="77777777" w:rsidR="00F4235F" w:rsidRDefault="00F4235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Italic">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8A031D" w14:textId="77777777" w:rsidR="00F4235F" w:rsidRDefault="00F4235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8ABCA2" w14:textId="77777777" w:rsidR="00F4235F" w:rsidRDefault="00F4235F" w:rsidP="003330BC">
      <w:pPr>
        <w:spacing w:after="0"/>
      </w:pPr>
      <w:r>
        <w:separator/>
      </w:r>
    </w:p>
  </w:footnote>
  <w:footnote w:type="continuationSeparator" w:id="0">
    <w:p w14:paraId="1FD3B0E3" w14:textId="77777777" w:rsidR="00F4235F" w:rsidRDefault="00F4235F" w:rsidP="003330BC">
      <w:pPr>
        <w:spacing w:after="0"/>
      </w:pPr>
      <w:r>
        <w:continuationSeparator/>
      </w:r>
    </w:p>
  </w:footnote>
  <w:footnote w:type="continuationNotice" w:id="1">
    <w:p w14:paraId="52142F6E" w14:textId="77777777" w:rsidR="00F4235F" w:rsidRDefault="00F4235F">
      <w:pPr>
        <w:spacing w:after="0"/>
      </w:pPr>
    </w:p>
  </w:footnote>
  <w:footnote w:id="2">
    <w:p w14:paraId="0D983272" w14:textId="77777777" w:rsidR="003330BC" w:rsidRPr="009C362B" w:rsidRDefault="003330BC" w:rsidP="003330BC">
      <w:pPr>
        <w:pStyle w:val="Footnote"/>
        <w:rPr>
          <w:szCs w:val="18"/>
        </w:rPr>
      </w:pPr>
      <w:r w:rsidRPr="009C362B">
        <w:rPr>
          <w:rStyle w:val="FootnoteReference"/>
          <w:rFonts w:cstheme="minorHAnsi"/>
          <w:sz w:val="18"/>
          <w:szCs w:val="18"/>
        </w:rPr>
        <w:footnoteRef/>
      </w:r>
      <w:r w:rsidRPr="009C362B">
        <w:rPr>
          <w:szCs w:val="18"/>
        </w:rPr>
        <w:t xml:space="preserve"> The whole purpose of installing ductless heat pumps is to conserve energy, so the installer can be assumed to be capable of recommending an appropriate controls strategy. For most applications, the heating setpoint for the ductless heat pump should be at least 2F higher than any remaining existing system and the cooling setpoint for the ductless heat pump should be at least 2F cooler than the existing system (this should apply to all periods of a programmable schedule, if applicable). This helps ensure that the ductless heat pump will be used to meet as much of the load as possible before the existing system operates to meet the remaining load. Ideally, the new ductless heat pump controls should be set to the current comfort settings, while the existing system setpoints should be adjusted down (heating) and up (cooling) to capture savings.</w:t>
      </w:r>
    </w:p>
  </w:footnote>
  <w:footnote w:id="3">
    <w:p w14:paraId="5841773E" w14:textId="77777777" w:rsidR="003330BC" w:rsidRPr="009C362B" w:rsidRDefault="003330BC" w:rsidP="003330BC">
      <w:pPr>
        <w:pStyle w:val="Footnote"/>
        <w:rPr>
          <w:szCs w:val="18"/>
        </w:rPr>
      </w:pPr>
      <w:r w:rsidRPr="009C362B">
        <w:rPr>
          <w:rStyle w:val="FootnoteReference"/>
          <w:rFonts w:cstheme="minorHAnsi"/>
          <w:sz w:val="18"/>
          <w:szCs w:val="18"/>
        </w:rPr>
        <w:footnoteRef/>
      </w:r>
      <w:r w:rsidRPr="009C362B">
        <w:rPr>
          <w:szCs w:val="18"/>
        </w:rPr>
        <w:t xml:space="preserve"> </w:t>
      </w:r>
      <w:r w:rsidRPr="009C362B">
        <w:rPr>
          <w:rFonts w:eastAsiaTheme="minorHAnsi"/>
          <w:szCs w:val="18"/>
        </w:rPr>
        <w:t>Measure Life Report: Residential and Commercial/Industrial Lighting and HVAC Measures, GDS Associates, Inc., June 2007</w:t>
      </w:r>
    </w:p>
  </w:footnote>
  <w:footnote w:id="4">
    <w:p w14:paraId="62887683" w14:textId="68830E05" w:rsidR="008E33C9" w:rsidRDefault="008E33C9" w:rsidP="008E33C9">
      <w:pPr>
        <w:pStyle w:val="FootnoteText"/>
      </w:pPr>
      <w:r>
        <w:rPr>
          <w:rStyle w:val="FootnoteReference"/>
        </w:rPr>
        <w:footnoteRef/>
      </w:r>
      <w:r>
        <w:t xml:space="preserve"> </w:t>
      </w:r>
      <w:ins w:id="8" w:author="Samuel Dent" w:date="2015-12-14T09:27:00Z">
        <w:r w:rsidR="006935DE">
          <w:t>Cadmus, Opinion Dynamics; ‘</w:t>
        </w:r>
      </w:ins>
      <w:r>
        <w:rPr>
          <w:szCs w:val="18"/>
        </w:rPr>
        <w:t xml:space="preserve">PY7 HVAC and Ductless Mini-Split Heat Pump Incremental Cost </w:t>
      </w:r>
      <w:del w:id="9" w:author="Samuel Dent" w:date="2015-12-14T09:27:00Z">
        <w:r>
          <w:rPr>
            <w:szCs w:val="18"/>
          </w:rPr>
          <w:delText>Analysis</w:delText>
        </w:r>
      </w:del>
      <w:ins w:id="10" w:author="Samuel Dent" w:date="2015-12-14T09:27:00Z">
        <w:r>
          <w:rPr>
            <w:szCs w:val="18"/>
          </w:rPr>
          <w:t>Analysis</w:t>
        </w:r>
        <w:r w:rsidR="006935DE">
          <w:rPr>
            <w:szCs w:val="18"/>
          </w:rPr>
          <w:t>’</w:t>
        </w:r>
      </w:ins>
      <w:r>
        <w:rPr>
          <w:szCs w:val="18"/>
        </w:rPr>
        <w:t xml:space="preserve"> memo to Ameren Illinois and ICC Staff dated September 4, 2015</w:t>
      </w:r>
    </w:p>
  </w:footnote>
  <w:footnote w:id="5">
    <w:p w14:paraId="73AFE61B" w14:textId="77777777" w:rsidR="008E33C9" w:rsidRPr="009C362B" w:rsidRDefault="008E33C9" w:rsidP="008E33C9">
      <w:pPr>
        <w:pStyle w:val="Footnote"/>
        <w:rPr>
          <w:szCs w:val="18"/>
        </w:rPr>
      </w:pPr>
      <w:r w:rsidRPr="009C362B">
        <w:rPr>
          <w:rStyle w:val="FootnoteReference"/>
          <w:rFonts w:cstheme="minorHAnsi"/>
          <w:sz w:val="18"/>
          <w:szCs w:val="18"/>
        </w:rPr>
        <w:footnoteRef/>
      </w:r>
      <w:r w:rsidRPr="009C362B">
        <w:rPr>
          <w:szCs w:val="18"/>
        </w:rPr>
        <w:t xml:space="preserve"> </w:t>
      </w:r>
      <w:r>
        <w:rPr>
          <w:i/>
        </w:rPr>
        <w:t>All-Electric Homes PY6 Metering Results: Multifamily HVAC Systems</w:t>
      </w:r>
      <w:r>
        <w:t>, Cadmus, October 2015</w:t>
      </w:r>
    </w:p>
  </w:footnote>
  <w:footnote w:id="6">
    <w:p w14:paraId="3E1B8F12" w14:textId="77777777" w:rsidR="003330BC" w:rsidRPr="009C362B" w:rsidRDefault="003330BC" w:rsidP="003330BC">
      <w:pPr>
        <w:pStyle w:val="Footnote"/>
        <w:rPr>
          <w:szCs w:val="18"/>
        </w:rPr>
      </w:pPr>
      <w:r w:rsidRPr="009C362B">
        <w:rPr>
          <w:rStyle w:val="FootnoteReference"/>
          <w:rFonts w:cstheme="minorHAnsi"/>
          <w:sz w:val="18"/>
          <w:szCs w:val="18"/>
        </w:rPr>
        <w:footnoteRef/>
      </w:r>
      <w:r w:rsidRPr="009C362B">
        <w:rPr>
          <w:szCs w:val="18"/>
        </w:rPr>
        <w:t xml:space="preserve"> Based on analysis of metering results from 24 heat pumps in Ameren Illinois service territory in PY5 coincident with AIC’s 2010 system peak; ‘Impact and Process Evaluation of Ameren Illinois Company’s Residential HVAC Program (PY5)’.</w:t>
      </w:r>
    </w:p>
  </w:footnote>
  <w:footnote w:id="7">
    <w:p w14:paraId="424C89B8" w14:textId="77777777" w:rsidR="003330BC" w:rsidRPr="009C362B" w:rsidRDefault="003330BC" w:rsidP="003330BC">
      <w:pPr>
        <w:pStyle w:val="Footnote"/>
        <w:rPr>
          <w:szCs w:val="18"/>
        </w:rPr>
      </w:pPr>
      <w:r w:rsidRPr="009C362B">
        <w:rPr>
          <w:rStyle w:val="FootnoteReference"/>
          <w:rFonts w:cstheme="minorHAnsi"/>
          <w:sz w:val="18"/>
          <w:szCs w:val="18"/>
        </w:rPr>
        <w:footnoteRef/>
      </w:r>
      <w:r w:rsidRPr="009C362B">
        <w:rPr>
          <w:szCs w:val="18"/>
        </w:rPr>
        <w:t xml:space="preserve"> Based on analysis of Itron eShape data for Missouri, calibrated to Illinois loads, supplied by Ameren. The average AC load over the PJM peak period (1-5pm, M-F, June through August) is divided by the maximum AC load during the year.</w:t>
      </w:r>
    </w:p>
  </w:footnote>
  <w:footnote w:id="8">
    <w:p w14:paraId="556D9887" w14:textId="77777777" w:rsidR="008E33C9" w:rsidRDefault="008E33C9" w:rsidP="008E33C9">
      <w:pPr>
        <w:pStyle w:val="FootnoteText"/>
      </w:pPr>
      <w:r>
        <w:rPr>
          <w:rStyle w:val="FootnoteReference"/>
        </w:rPr>
        <w:footnoteRef/>
      </w:r>
      <w:r>
        <w:t xml:space="preserve"> </w:t>
      </w:r>
      <w:r>
        <w:rPr>
          <w:i/>
        </w:rPr>
        <w:t>All-Electric Homes PY6 Metering Results: Multifamily HVAC Systems</w:t>
      </w:r>
      <w:r>
        <w:t>, Cadmus, October 2015</w:t>
      </w:r>
      <w:r w:rsidR="006861AE">
        <w:t xml:space="preserve">. </w:t>
      </w:r>
      <w:r w:rsidR="006861AE">
        <w:rPr>
          <w:szCs w:val="18"/>
        </w:rPr>
        <w:t>FLH values are based on metering of multi-family units that were used as the primary heating source to the whole home, and in buildings that had received weatherization improvements. A DHP installed in a single-family home may be used more sporadically, especially if the DHP serves only a room, and buildings that have not been weatherized may require longer hours. Additional evaluation is recommended to refine the EFLH assumptions for the general population.</w:t>
      </w:r>
    </w:p>
  </w:footnote>
  <w:footnote w:id="9">
    <w:p w14:paraId="45329778" w14:textId="77777777" w:rsidR="003330BC" w:rsidRPr="009C362B" w:rsidRDefault="003330BC" w:rsidP="003330BC">
      <w:pPr>
        <w:pStyle w:val="Footnote"/>
        <w:rPr>
          <w:szCs w:val="18"/>
        </w:rPr>
      </w:pPr>
      <w:r w:rsidRPr="009C362B">
        <w:rPr>
          <w:rStyle w:val="FootnoteReference"/>
          <w:rFonts w:cstheme="minorHAnsi"/>
          <w:sz w:val="18"/>
          <w:szCs w:val="18"/>
        </w:rPr>
        <w:footnoteRef/>
      </w:r>
      <w:r w:rsidRPr="009C362B">
        <w:rPr>
          <w:szCs w:val="18"/>
        </w:rPr>
        <w:t xml:space="preserve"> Electric resistance has a COP of 1.0 which equals 1/0.293 = 3.41 HSPF.</w:t>
      </w:r>
    </w:p>
  </w:footnote>
  <w:footnote w:id="10">
    <w:p w14:paraId="40E9B527" w14:textId="77777777" w:rsidR="003330BC" w:rsidRPr="009C362B" w:rsidRDefault="003330BC" w:rsidP="003330BC">
      <w:pPr>
        <w:pStyle w:val="Footnote"/>
        <w:rPr>
          <w:szCs w:val="18"/>
        </w:rPr>
      </w:pPr>
      <w:r w:rsidRPr="009C362B">
        <w:rPr>
          <w:rStyle w:val="FootnoteReference"/>
          <w:rFonts w:cstheme="minorHAnsi"/>
          <w:sz w:val="18"/>
          <w:szCs w:val="18"/>
        </w:rPr>
        <w:footnoteRef/>
      </w:r>
      <w:r w:rsidRPr="009C362B">
        <w:rPr>
          <w:szCs w:val="18"/>
        </w:rPr>
        <w:t xml:space="preserve"> This is from the ASHP measure which estimated HSPF based on finding the average HSPF/SEER ratio from the AHRI directory data (using the least efficient models – SEER 12 and SEER 13) – 0.596, and applying to the average nameplate SEER rating of all Early Replacement qualifying equipment in Ameren PY3-PY4. This estimation methodology appears to provide a result within 10% of actual HSPF.</w:t>
      </w:r>
    </w:p>
  </w:footnote>
  <w:footnote w:id="11">
    <w:p w14:paraId="60D77BD9" w14:textId="77777777" w:rsidR="00351405" w:rsidRPr="009C362B" w:rsidRDefault="00351405" w:rsidP="00351405">
      <w:pPr>
        <w:pStyle w:val="Footnote"/>
        <w:rPr>
          <w:szCs w:val="18"/>
        </w:rPr>
      </w:pPr>
      <w:r w:rsidRPr="009C362B">
        <w:rPr>
          <w:rStyle w:val="FootnoteReference"/>
          <w:rFonts w:cstheme="minorHAnsi"/>
          <w:sz w:val="18"/>
          <w:szCs w:val="18"/>
        </w:rPr>
        <w:footnoteRef/>
      </w:r>
      <w:r w:rsidRPr="009C362B">
        <w:rPr>
          <w:szCs w:val="18"/>
        </w:rPr>
        <w:t xml:space="preserve"> 1 Ton = 12 kBtu/hr</w:t>
      </w:r>
    </w:p>
  </w:footnote>
  <w:footnote w:id="12">
    <w:p w14:paraId="45B71623" w14:textId="64258968" w:rsidR="003330BC" w:rsidRPr="009C362B" w:rsidRDefault="003330BC" w:rsidP="003330BC">
      <w:pPr>
        <w:pStyle w:val="Footnote"/>
        <w:rPr>
          <w:szCs w:val="18"/>
        </w:rPr>
      </w:pPr>
      <w:r w:rsidRPr="009C362B">
        <w:rPr>
          <w:rStyle w:val="FootnoteReference"/>
          <w:rFonts w:cstheme="minorHAnsi"/>
          <w:sz w:val="18"/>
          <w:szCs w:val="18"/>
        </w:rPr>
        <w:footnoteRef/>
      </w:r>
      <w:r w:rsidRPr="009C362B">
        <w:rPr>
          <w:szCs w:val="18"/>
        </w:rPr>
        <w:t xml:space="preserve"> Note that if only an EER rating is available, </w:t>
      </w:r>
      <w:r w:rsidR="001C7B5C">
        <w:rPr>
          <w:szCs w:val="18"/>
        </w:rPr>
        <w:t>use the following</w:t>
      </w:r>
      <w:r w:rsidRPr="009C362B">
        <w:rPr>
          <w:szCs w:val="18"/>
        </w:rPr>
        <w:t xml:space="preserve"> conversion </w:t>
      </w:r>
      <w:r w:rsidR="001C7B5C">
        <w:rPr>
          <w:szCs w:val="18"/>
        </w:rPr>
        <w:t>equation;</w:t>
      </w:r>
      <w:r w:rsidRPr="009C362B">
        <w:rPr>
          <w:szCs w:val="18"/>
        </w:rPr>
        <w:t xml:space="preserve"> </w:t>
      </w:r>
      <w:r w:rsidR="001C7B5C">
        <w:t xml:space="preserve">EER_base = </w:t>
      </w:r>
      <w:r w:rsidR="001C7B5C" w:rsidRPr="00287BA4">
        <w:t>(-0.02 * SEER</w:t>
      </w:r>
      <w:r w:rsidR="001C7B5C">
        <w:t>_base</w:t>
      </w:r>
      <w:r w:rsidR="001C7B5C" w:rsidRPr="00AE7545">
        <w:rPr>
          <w:vertAlign w:val="superscript"/>
        </w:rPr>
        <w:t>2</w:t>
      </w:r>
      <w:r w:rsidR="001C7B5C" w:rsidRPr="00287BA4">
        <w:t>) + (1.12 * SEER)</w:t>
      </w:r>
      <w:r w:rsidR="001C7B5C">
        <w:t xml:space="preserve">. </w:t>
      </w:r>
      <w:r w:rsidR="001C7B5C" w:rsidRPr="009C362B">
        <w:rPr>
          <w:szCs w:val="18"/>
        </w:rPr>
        <w:t>From Wassmer, M. (2003). A Component-Based Model for Residential Air Conditioner and Heat Pump Energy Calculations. Masters Thesis, University of Colorado at Boulder.</w:t>
      </w:r>
      <w:r w:rsidR="001C7B5C">
        <w:t xml:space="preserve">  </w:t>
      </w:r>
    </w:p>
  </w:footnote>
  <w:footnote w:id="13">
    <w:p w14:paraId="1BD9228C" w14:textId="77777777" w:rsidR="00213A86" w:rsidRPr="009C362B" w:rsidRDefault="00213A86" w:rsidP="00213A86">
      <w:pPr>
        <w:pStyle w:val="Footnote"/>
        <w:rPr>
          <w:szCs w:val="18"/>
        </w:rPr>
      </w:pPr>
      <w:r w:rsidRPr="009C362B">
        <w:rPr>
          <w:rStyle w:val="FootnoteReference"/>
          <w:rFonts w:cstheme="minorHAnsi"/>
          <w:sz w:val="18"/>
          <w:szCs w:val="18"/>
        </w:rPr>
        <w:footnoteRef/>
      </w:r>
      <w:r w:rsidRPr="009C362B">
        <w:rPr>
          <w:szCs w:val="18"/>
        </w:rPr>
        <w:t xml:space="preserve"> Average nameplate efficiencies of all Early Replacement qualifying equipment in Ameren PY3-PY4.</w:t>
      </w:r>
    </w:p>
  </w:footnote>
  <w:footnote w:id="14">
    <w:p w14:paraId="740F0290" w14:textId="77777777" w:rsidR="001C7B5C" w:rsidRPr="001C7B5C" w:rsidRDefault="001C7B5C" w:rsidP="00F4235F">
      <w:pPr>
        <w:pStyle w:val="Footnote"/>
        <w:rPr>
          <w:szCs w:val="18"/>
        </w:rPr>
      </w:pPr>
      <w:r>
        <w:rPr>
          <w:rStyle w:val="FootnoteReference"/>
        </w:rPr>
        <w:footnoteRef/>
      </w:r>
      <w:r>
        <w:t xml:space="preserve"> </w:t>
      </w:r>
      <w:r>
        <w:rPr>
          <w:szCs w:val="18"/>
        </w:rPr>
        <w:t xml:space="preserve">Estimated by converting the EER assumption using the conversion equation; </w:t>
      </w:r>
      <w:r>
        <w:t xml:space="preserve">EER_base = </w:t>
      </w:r>
      <w:r w:rsidRPr="00287BA4">
        <w:t>(-0.02 * SEER</w:t>
      </w:r>
      <w:r>
        <w:t>_base</w:t>
      </w:r>
      <w:r w:rsidRPr="00AE7545">
        <w:rPr>
          <w:vertAlign w:val="superscript"/>
        </w:rPr>
        <w:t>2</w:t>
      </w:r>
      <w:r w:rsidRPr="00287BA4">
        <w:t>) + (1.12 * SEER)</w:t>
      </w:r>
      <w:r>
        <w:t xml:space="preserve">. </w:t>
      </w:r>
      <w:r w:rsidRPr="009C362B">
        <w:rPr>
          <w:szCs w:val="18"/>
        </w:rPr>
        <w:t>From Wassmer, M. (2003). A Component-Based Model for Residential Air Conditioner and Heat Pump Energy Calculations. Masters Thesis, University of Colorado at Boulder.</w:t>
      </w:r>
      <w:r>
        <w:t xml:space="preserve">  </w:t>
      </w:r>
    </w:p>
  </w:footnote>
  <w:footnote w:id="15">
    <w:p w14:paraId="7EE246DE" w14:textId="77777777" w:rsidR="00213A86" w:rsidRPr="009C362B" w:rsidRDefault="00213A86" w:rsidP="00213A86">
      <w:pPr>
        <w:pStyle w:val="Footnote"/>
        <w:rPr>
          <w:szCs w:val="18"/>
        </w:rPr>
      </w:pPr>
      <w:r w:rsidRPr="009C362B">
        <w:rPr>
          <w:rStyle w:val="FootnoteReference"/>
          <w:rFonts w:cstheme="minorHAnsi"/>
          <w:sz w:val="18"/>
          <w:szCs w:val="18"/>
        </w:rPr>
        <w:footnoteRef/>
      </w:r>
      <w:r w:rsidRPr="009C362B">
        <w:rPr>
          <w:szCs w:val="18"/>
        </w:rPr>
        <w:t xml:space="preserve"> If there is no </w:t>
      </w:r>
      <w:r>
        <w:rPr>
          <w:szCs w:val="18"/>
        </w:rPr>
        <w:t>existing</w:t>
      </w:r>
      <w:r w:rsidRPr="009C362B">
        <w:rPr>
          <w:szCs w:val="18"/>
        </w:rPr>
        <w:t xml:space="preserve"> cooling in place but the incentive en</w:t>
      </w:r>
      <w:r>
        <w:rPr>
          <w:szCs w:val="18"/>
        </w:rPr>
        <w:t>courages installation of a new DM</w:t>
      </w:r>
      <w:r w:rsidRPr="009C362B">
        <w:rPr>
          <w:szCs w:val="18"/>
        </w:rPr>
        <w:t xml:space="preserve">SHP with cooling, the added cooling load should be subtracted from any heating benefit. </w:t>
      </w:r>
    </w:p>
  </w:footnote>
  <w:footnote w:id="16">
    <w:p w14:paraId="41EC559D" w14:textId="0F1546E8" w:rsidR="003330BC" w:rsidRPr="009C362B" w:rsidRDefault="003330BC" w:rsidP="003330BC">
      <w:pPr>
        <w:pStyle w:val="Footnote"/>
        <w:rPr>
          <w:szCs w:val="18"/>
        </w:rPr>
      </w:pPr>
      <w:r w:rsidRPr="009C362B">
        <w:rPr>
          <w:rStyle w:val="FootnoteReference"/>
          <w:rFonts w:cstheme="minorHAnsi"/>
          <w:sz w:val="18"/>
          <w:szCs w:val="18"/>
        </w:rPr>
        <w:footnoteRef/>
      </w:r>
      <w:r w:rsidRPr="009C362B">
        <w:rPr>
          <w:szCs w:val="18"/>
        </w:rPr>
        <w:t xml:space="preserve"> </w:t>
      </w:r>
      <w:r w:rsidR="006861AE">
        <w:rPr>
          <w:i/>
        </w:rPr>
        <w:t>All-Electric Homes PY6 Metering Results: Multifamily HVAC Systems</w:t>
      </w:r>
      <w:r w:rsidR="006861AE">
        <w:t xml:space="preserve">, Cadmus, October 2015. </w:t>
      </w:r>
      <w:r w:rsidR="006861AE">
        <w:rPr>
          <w:szCs w:val="18"/>
        </w:rPr>
        <w:t>FLH values are based on metering of multi-family units, and in buildings that had received weatherization improvements.Additional evaluation is recommended to refine the EFLH assumptions for the general population.</w:t>
      </w:r>
    </w:p>
  </w:footnote>
  <w:footnote w:id="17">
    <w:p w14:paraId="229D3942" w14:textId="77777777" w:rsidR="001C7B5C" w:rsidRPr="009C362B" w:rsidRDefault="001C7B5C" w:rsidP="003330BC">
      <w:pPr>
        <w:pStyle w:val="Footnote"/>
        <w:rPr>
          <w:szCs w:val="18"/>
        </w:rPr>
      </w:pPr>
      <w:r w:rsidRPr="009C362B">
        <w:rPr>
          <w:rStyle w:val="FootnoteReference"/>
          <w:rFonts w:cstheme="minorHAnsi"/>
          <w:sz w:val="18"/>
          <w:szCs w:val="18"/>
        </w:rPr>
        <w:footnoteRef/>
      </w:r>
      <w:r w:rsidRPr="009C362B">
        <w:rPr>
          <w:szCs w:val="18"/>
        </w:rPr>
        <w:t xml:space="preserve"> Weighted based on number of residential occupied housing units in each zone.</w:t>
      </w:r>
    </w:p>
  </w:footnote>
  <w:footnote w:id="18">
    <w:p w14:paraId="04AA6EEC" w14:textId="77777777" w:rsidR="001C7B5C" w:rsidRPr="009C362B" w:rsidRDefault="001C7B5C" w:rsidP="001C7B5C">
      <w:pPr>
        <w:pStyle w:val="Footnote"/>
        <w:rPr>
          <w:szCs w:val="18"/>
        </w:rPr>
      </w:pPr>
      <w:r w:rsidRPr="009C362B">
        <w:rPr>
          <w:rStyle w:val="FootnoteReference"/>
          <w:rFonts w:cstheme="minorHAnsi"/>
          <w:sz w:val="18"/>
          <w:szCs w:val="18"/>
        </w:rPr>
        <w:footnoteRef/>
      </w:r>
      <w:r w:rsidRPr="009C362B">
        <w:rPr>
          <w:szCs w:val="18"/>
        </w:rPr>
        <w:t xml:space="preserve"> Average nameplate efficiencies of all Early Replacement qualifying equipment in Ameren PY3-PY4.</w:t>
      </w:r>
    </w:p>
  </w:footnote>
  <w:footnote w:id="19">
    <w:p w14:paraId="196E1453" w14:textId="77777777" w:rsidR="001C7B5C" w:rsidRDefault="001C7B5C">
      <w:pPr>
        <w:pStyle w:val="FootnoteText"/>
      </w:pPr>
      <w:r>
        <w:rPr>
          <w:rStyle w:val="FootnoteReference"/>
        </w:rPr>
        <w:footnoteRef/>
      </w:r>
      <w:r>
        <w:t xml:space="preserve"> </w:t>
      </w:r>
      <w:r w:rsidRPr="009C362B">
        <w:rPr>
          <w:szCs w:val="18"/>
        </w:rPr>
        <w:t>Average nameplate efficiencies of all Early Replacement qualifying equipment in Ameren PY3-PY4.</w:t>
      </w:r>
    </w:p>
  </w:footnote>
  <w:footnote w:id="20">
    <w:p w14:paraId="2F0E7DA9" w14:textId="77777777" w:rsidR="004F367A" w:rsidRPr="009C362B" w:rsidRDefault="004F367A" w:rsidP="003330BC">
      <w:pPr>
        <w:pStyle w:val="Footnote"/>
        <w:rPr>
          <w:szCs w:val="18"/>
        </w:rPr>
      </w:pPr>
      <w:r w:rsidRPr="009C362B">
        <w:rPr>
          <w:rStyle w:val="FootnoteReference"/>
          <w:rFonts w:eastAsia="Calibri" w:cstheme="minorHAnsi"/>
          <w:sz w:val="18"/>
          <w:szCs w:val="18"/>
        </w:rPr>
        <w:footnoteRef/>
      </w:r>
      <w:r w:rsidRPr="009C362B">
        <w:rPr>
          <w:szCs w:val="18"/>
        </w:rPr>
        <w:t xml:space="preserve"> Same EER as Window AC recycling. Based on Nexus Market Research Inc, RLW Analytics, December 2005; “Impact, Process, and Market Study of the Connecticut Appliance Retirement Program: Overall Report.”</w:t>
      </w:r>
    </w:p>
  </w:footnote>
  <w:footnote w:id="21">
    <w:p w14:paraId="59F77723" w14:textId="77777777" w:rsidR="004F367A" w:rsidRPr="009C362B" w:rsidRDefault="004F367A" w:rsidP="00EC747D">
      <w:pPr>
        <w:pStyle w:val="Footnote"/>
        <w:rPr>
          <w:szCs w:val="18"/>
        </w:rPr>
      </w:pPr>
      <w:r w:rsidRPr="009C362B">
        <w:rPr>
          <w:rStyle w:val="FootnoteReference"/>
          <w:rFonts w:cstheme="minorHAnsi"/>
          <w:sz w:val="18"/>
          <w:szCs w:val="18"/>
        </w:rPr>
        <w:footnoteRef/>
      </w:r>
      <w:r w:rsidRPr="009C362B">
        <w:rPr>
          <w:szCs w:val="18"/>
        </w:rPr>
        <w:t xml:space="preserve"> If there is no central cooling in place but the incentive encourages installation of a new </w:t>
      </w:r>
      <w:r>
        <w:rPr>
          <w:szCs w:val="18"/>
        </w:rPr>
        <w:t>DM</w:t>
      </w:r>
      <w:r w:rsidRPr="009C362B">
        <w:rPr>
          <w:szCs w:val="18"/>
        </w:rPr>
        <w:t xml:space="preserve">SHP with cooling, the added cooling load should be subtracted from any heating benefit. </w:t>
      </w:r>
    </w:p>
  </w:footnote>
  <w:footnote w:id="22">
    <w:p w14:paraId="05A26325" w14:textId="77777777" w:rsidR="001966D4" w:rsidRPr="009C362B" w:rsidRDefault="001966D4" w:rsidP="001966D4">
      <w:pPr>
        <w:pStyle w:val="Footnote"/>
        <w:rPr>
          <w:szCs w:val="18"/>
        </w:rPr>
      </w:pPr>
      <w:r w:rsidRPr="009C362B">
        <w:rPr>
          <w:rStyle w:val="FootnoteReference"/>
          <w:rFonts w:cstheme="minorHAnsi"/>
          <w:sz w:val="18"/>
          <w:szCs w:val="18"/>
        </w:rPr>
        <w:footnoteRef/>
      </w:r>
      <w:r w:rsidRPr="009C362B">
        <w:rPr>
          <w:szCs w:val="18"/>
        </w:rPr>
        <w:t xml:space="preserve"> Based on Wassmer, M. (2003). A Component-Based Model for Residential Air Conditioner and Heat Pump Energy Calculations. Masters Thesis, University of Colorado at Boulder. Note this is appropriate for single speed units only.</w:t>
      </w:r>
    </w:p>
  </w:footnote>
  <w:footnote w:id="23">
    <w:p w14:paraId="41C2255C" w14:textId="77777777" w:rsidR="003330BC" w:rsidRPr="009C362B" w:rsidRDefault="003330BC" w:rsidP="003330BC">
      <w:pPr>
        <w:pStyle w:val="Footnote"/>
        <w:rPr>
          <w:szCs w:val="18"/>
        </w:rPr>
      </w:pPr>
      <w:r w:rsidRPr="009C362B">
        <w:rPr>
          <w:rStyle w:val="FootnoteReference"/>
          <w:rFonts w:cstheme="minorHAnsi"/>
          <w:sz w:val="18"/>
          <w:szCs w:val="18"/>
        </w:rPr>
        <w:footnoteRef/>
      </w:r>
      <w:r w:rsidRPr="009C362B">
        <w:rPr>
          <w:szCs w:val="18"/>
        </w:rPr>
        <w:t xml:space="preserve"> Based on analysis of metering results from 24 heat pumps in Ameren Illinois service territory in PY5 coincident with AIC’s 2010 system peak; ‘Impact and Process Evaluation of Ameren Illinois Company’s Residential HVAC Program (PY5)’.</w:t>
      </w:r>
    </w:p>
  </w:footnote>
  <w:footnote w:id="24">
    <w:p w14:paraId="502006A0" w14:textId="77777777" w:rsidR="003330BC" w:rsidRPr="009C362B" w:rsidRDefault="003330BC" w:rsidP="003330BC">
      <w:pPr>
        <w:pStyle w:val="Footnote"/>
        <w:rPr>
          <w:szCs w:val="18"/>
        </w:rPr>
      </w:pPr>
      <w:r w:rsidRPr="009C362B">
        <w:rPr>
          <w:rStyle w:val="FootnoteReference"/>
          <w:rFonts w:cstheme="minorHAnsi"/>
          <w:sz w:val="18"/>
          <w:szCs w:val="18"/>
        </w:rPr>
        <w:footnoteRef/>
      </w:r>
      <w:r w:rsidRPr="009C362B">
        <w:rPr>
          <w:szCs w:val="18"/>
        </w:rPr>
        <w:t xml:space="preserve"> Based on analysis of Itron eShape data for Missouri, calibrated to Illinois loads, supplied by Ameren. The average AC load over the PJM peak period (1-5pm, M-F, June through August) is divided by the maximum AC load during the year.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AAF78C" w14:textId="77777777" w:rsidR="003330BC" w:rsidRPr="004A7427" w:rsidRDefault="003330BC" w:rsidP="00645A06">
    <w:pPr>
      <w:pStyle w:val="HeaderIL"/>
    </w:pPr>
    <w:r w:rsidRPr="005D746C">
      <w:t xml:space="preserve">Illinois Statewide Technical Reference Manual - </w:t>
    </w:r>
    <w:r>
      <w:fldChar w:fldCharType="begin"/>
    </w:r>
    <w:r>
      <w:instrText xml:space="preserve"> REF _Ref376422968 \n \h </w:instrText>
    </w:r>
    <w:r>
      <w:fldChar w:fldCharType="separate"/>
    </w:r>
    <w:r>
      <w:t>5.3.12</w:t>
    </w:r>
    <w:r>
      <w:fldChar w:fldCharType="end"/>
    </w:r>
    <w:r>
      <w:t xml:space="preserve"> </w:t>
    </w:r>
    <w:r>
      <w:fldChar w:fldCharType="begin"/>
    </w:r>
    <w:r>
      <w:instrText xml:space="preserve"> REF _Ref376422968 \h </w:instrText>
    </w:r>
    <w:r>
      <w:fldChar w:fldCharType="separate"/>
    </w:r>
    <w:r>
      <w:t>Ductless Heat Pumps</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C7D85"/>
    <w:multiLevelType w:val="multilevel"/>
    <w:tmpl w:val="0C6E2102"/>
    <w:lvl w:ilvl="0">
      <w:start w:val="1"/>
      <w:numFmt w:val="decimal"/>
      <w:pStyle w:val="Heading1"/>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
    <w:nsid w:val="221961A0"/>
    <w:multiLevelType w:val="multilevel"/>
    <w:tmpl w:val="03F2CC28"/>
    <w:lvl w:ilvl="0">
      <w:start w:val="5"/>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1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30BC"/>
    <w:rsid w:val="001966D4"/>
    <w:rsid w:val="001C7B5C"/>
    <w:rsid w:val="00213A86"/>
    <w:rsid w:val="00245FAE"/>
    <w:rsid w:val="003330BC"/>
    <w:rsid w:val="00351405"/>
    <w:rsid w:val="004F367A"/>
    <w:rsid w:val="00600BE2"/>
    <w:rsid w:val="006104DB"/>
    <w:rsid w:val="006861AE"/>
    <w:rsid w:val="006935DE"/>
    <w:rsid w:val="007730DD"/>
    <w:rsid w:val="008E33C9"/>
    <w:rsid w:val="00CA0001"/>
    <w:rsid w:val="00D5281E"/>
    <w:rsid w:val="00D755C1"/>
    <w:rsid w:val="00E85B5E"/>
    <w:rsid w:val="00EC747D"/>
    <w:rsid w:val="00F423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30BC"/>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3330BC"/>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3330BC"/>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3330BC"/>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3330BC"/>
    <w:pPr>
      <w:keepNext/>
      <w:numPr>
        <w:ilvl w:val="3"/>
        <w:numId w:val="1"/>
      </w:numPr>
      <w:spacing w:line="276" w:lineRule="auto"/>
      <w:ind w:right="-2880"/>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3330BC"/>
    <w:pPr>
      <w:keepNext/>
      <w:keepLines/>
      <w:numPr>
        <w:ilvl w:val="4"/>
        <w:numId w:val="1"/>
      </w:numPr>
      <w:spacing w:before="200" w:line="276" w:lineRule="auto"/>
      <w:outlineLvl w:val="4"/>
    </w:pPr>
    <w:rPr>
      <w:rFonts w:ascii="Calibri" w:hAnsi="Calibri"/>
    </w:rPr>
  </w:style>
  <w:style w:type="paragraph" w:styleId="Heading7">
    <w:name w:val="heading 7"/>
    <w:basedOn w:val="Normal"/>
    <w:next w:val="Normal"/>
    <w:link w:val="Heading7Char"/>
    <w:uiPriority w:val="99"/>
    <w:qFormat/>
    <w:rsid w:val="003330BC"/>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3330BC"/>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3330BC"/>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3330BC"/>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3330BC"/>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3330BC"/>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3330BC"/>
    <w:rPr>
      <w:rFonts w:ascii="Calibri" w:eastAsiaTheme="minorEastAsia" w:hAnsi="Calibri" w:cs="Arial"/>
      <w:bCs/>
      <w:i/>
      <w:noProof/>
    </w:rPr>
  </w:style>
  <w:style w:type="character" w:customStyle="1" w:styleId="Heading5Char">
    <w:name w:val="Heading 5 Char"/>
    <w:basedOn w:val="DefaultParagraphFont"/>
    <w:link w:val="Heading5"/>
    <w:uiPriority w:val="99"/>
    <w:rsid w:val="003330BC"/>
    <w:rPr>
      <w:rFonts w:ascii="Calibri" w:eastAsia="Times New Roman" w:hAnsi="Calibri" w:cs="Times New Roman"/>
      <w:sz w:val="20"/>
    </w:rPr>
  </w:style>
  <w:style w:type="character" w:customStyle="1" w:styleId="Heading7Char">
    <w:name w:val="Heading 7 Char"/>
    <w:basedOn w:val="DefaultParagraphFont"/>
    <w:link w:val="Heading7"/>
    <w:uiPriority w:val="99"/>
    <w:rsid w:val="003330BC"/>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3330BC"/>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3330BC"/>
    <w:rPr>
      <w:rFonts w:ascii="Cambria" w:eastAsia="Times New Roman" w:hAnsi="Cambria" w:cs="Times New Roman"/>
      <w:i/>
      <w:iCs/>
      <w:color w:val="404040"/>
      <w:sz w:val="20"/>
    </w:rPr>
  </w:style>
  <w:style w:type="character" w:customStyle="1" w:styleId="Heading3Char1">
    <w:name w:val="Heading 3 Char1"/>
    <w:aliases w:val="Heading 3 Char2 Char Char,Heading 3 Char Char1 Char Char,Heading 3 Char2 Char Char Char1 Char,Heading 3 Char Char1 Char Char Char Char,Heading 3 Char2 Char Char Char1 Char Char Char,Heading 3 Char Char1 Char Char Char Char Char Char"/>
    <w:link w:val="Heading3"/>
    <w:uiPriority w:val="99"/>
    <w:locked/>
    <w:rsid w:val="003330BC"/>
    <w:rPr>
      <w:rFonts w:ascii="Calibri" w:eastAsiaTheme="minorEastAsia" w:hAnsi="Calibri" w:cs="Times New Roman"/>
      <w:bCs/>
      <w:sz w:val="24"/>
      <w:szCs w:val="24"/>
    </w:rPr>
  </w:style>
  <w:style w:type="character" w:styleId="FootnoteReference">
    <w:name w:val="footnote reference"/>
    <w:aliases w:val="Footnote_Reference,o,fr"/>
    <w:uiPriority w:val="99"/>
    <w:qFormat/>
    <w:rsid w:val="003330BC"/>
    <w:rPr>
      <w:rFonts w:ascii="Arial" w:hAnsi="Arial" w:cs="Times New Roman"/>
      <w:sz w:val="20"/>
      <w:vertAlign w:val="superscript"/>
    </w:rPr>
  </w:style>
  <w:style w:type="character" w:customStyle="1" w:styleId="FootnoteChar">
    <w:name w:val="Footnote Char"/>
    <w:basedOn w:val="DefaultParagraphFont"/>
    <w:link w:val="Footnote"/>
    <w:rsid w:val="003330BC"/>
    <w:rPr>
      <w:rFonts w:eastAsiaTheme="minorEastAsia" w:cstheme="minorHAnsi"/>
      <w:sz w:val="18"/>
      <w:szCs w:val="20"/>
    </w:rPr>
  </w:style>
  <w:style w:type="paragraph" w:customStyle="1" w:styleId="HeaderIL">
    <w:name w:val="Header IL"/>
    <w:basedOn w:val="Header"/>
    <w:link w:val="HeaderILChar"/>
    <w:qFormat/>
    <w:rsid w:val="003330BC"/>
    <w:pPr>
      <w:pBdr>
        <w:bottom w:val="single" w:sz="4" w:space="0" w:color="auto"/>
      </w:pBdr>
      <w:tabs>
        <w:tab w:val="clear" w:pos="4680"/>
        <w:tab w:val="clear" w:pos="9360"/>
        <w:tab w:val="center" w:pos="4320"/>
        <w:tab w:val="right" w:pos="8640"/>
      </w:tabs>
      <w:spacing w:after="120"/>
      <w:jc w:val="left"/>
    </w:pPr>
  </w:style>
  <w:style w:type="character" w:customStyle="1" w:styleId="HeaderILChar">
    <w:name w:val="Header IL Char"/>
    <w:basedOn w:val="HeaderChar"/>
    <w:link w:val="HeaderIL"/>
    <w:rsid w:val="003330BC"/>
    <w:rPr>
      <w:rFonts w:eastAsia="Times New Roman" w:cs="Times New Roman"/>
      <w:sz w:val="20"/>
    </w:rPr>
  </w:style>
  <w:style w:type="paragraph" w:customStyle="1" w:styleId="Footnote">
    <w:name w:val="Footnote"/>
    <w:basedOn w:val="FootnoteText"/>
    <w:link w:val="FootnoteChar"/>
    <w:autoRedefine/>
    <w:qFormat/>
    <w:rsid w:val="003330BC"/>
    <w:pPr>
      <w:jc w:val="left"/>
    </w:pPr>
    <w:rPr>
      <w:rFonts w:eastAsiaTheme="minorEastAsia" w:cstheme="minorHAnsi"/>
      <w:sz w:val="18"/>
    </w:rPr>
  </w:style>
  <w:style w:type="table" w:customStyle="1" w:styleId="TableGrid7">
    <w:name w:val="Table Grid7"/>
    <w:basedOn w:val="TableNormal"/>
    <w:next w:val="TableGrid"/>
    <w:uiPriority w:val="59"/>
    <w:rsid w:val="003330BC"/>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3330BC"/>
    <w:pPr>
      <w:tabs>
        <w:tab w:val="center" w:pos="4680"/>
        <w:tab w:val="right" w:pos="9360"/>
      </w:tabs>
      <w:spacing w:after="0"/>
    </w:pPr>
  </w:style>
  <w:style w:type="character" w:customStyle="1" w:styleId="HeaderChar">
    <w:name w:val="Header Char"/>
    <w:basedOn w:val="DefaultParagraphFont"/>
    <w:link w:val="Header"/>
    <w:uiPriority w:val="99"/>
    <w:semiHidden/>
    <w:rsid w:val="003330BC"/>
    <w:rPr>
      <w:rFonts w:eastAsia="Times New Roman" w:cs="Times New Roman"/>
      <w:sz w:val="20"/>
    </w:rPr>
  </w:style>
  <w:style w:type="paragraph" w:styleId="FootnoteText">
    <w:name w:val="footnote text"/>
    <w:aliases w:val="Footnote Text1 Char,Footnote Text Char Ch,Footnote Text Char Ch Char Char Char,Footnote Text Char Ch Char Char,Footnote Text1 Char Char Char,Footnote Text Char Ch Char,ft Char,ft"/>
    <w:basedOn w:val="Normal"/>
    <w:link w:val="FootnoteTextChar"/>
    <w:uiPriority w:val="99"/>
    <w:unhideWhenUsed/>
    <w:qFormat/>
    <w:rsid w:val="003330BC"/>
    <w:pPr>
      <w:spacing w:after="0"/>
    </w:pPr>
    <w:rPr>
      <w:szCs w:val="20"/>
    </w:rPr>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
    <w:basedOn w:val="DefaultParagraphFont"/>
    <w:link w:val="FootnoteText"/>
    <w:uiPriority w:val="99"/>
    <w:rsid w:val="003330BC"/>
    <w:rPr>
      <w:rFonts w:eastAsia="Times New Roman" w:cs="Times New Roman"/>
      <w:sz w:val="20"/>
      <w:szCs w:val="20"/>
    </w:rPr>
  </w:style>
  <w:style w:type="table" w:styleId="TableGrid">
    <w:name w:val="Table Grid"/>
    <w:basedOn w:val="TableNormal"/>
    <w:uiPriority w:val="59"/>
    <w:rsid w:val="003330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Text">
    <w:name w:val="annotation text"/>
    <w:basedOn w:val="Normal"/>
    <w:link w:val="CommentTextChar"/>
    <w:uiPriority w:val="99"/>
    <w:rsid w:val="00CA0001"/>
    <w:pPr>
      <w:spacing w:after="240"/>
    </w:pPr>
  </w:style>
  <w:style w:type="character" w:customStyle="1" w:styleId="CommentTextChar">
    <w:name w:val="Comment Text Char"/>
    <w:basedOn w:val="DefaultParagraphFont"/>
    <w:link w:val="CommentText"/>
    <w:uiPriority w:val="99"/>
    <w:rsid w:val="00CA0001"/>
    <w:rPr>
      <w:rFonts w:eastAsia="Times New Roman" w:cs="Times New Roman"/>
      <w:sz w:val="20"/>
    </w:rPr>
  </w:style>
  <w:style w:type="paragraph" w:styleId="BalloonText">
    <w:name w:val="Balloon Text"/>
    <w:basedOn w:val="Normal"/>
    <w:link w:val="BalloonTextChar"/>
    <w:uiPriority w:val="99"/>
    <w:semiHidden/>
    <w:unhideWhenUsed/>
    <w:rsid w:val="00CA0001"/>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A0001"/>
    <w:rPr>
      <w:rFonts w:ascii="Tahoma" w:eastAsia="Times New Roman" w:hAnsi="Tahoma" w:cs="Tahoma"/>
      <w:sz w:val="16"/>
      <w:szCs w:val="16"/>
    </w:rPr>
  </w:style>
  <w:style w:type="paragraph" w:styleId="Revision">
    <w:name w:val="Revision"/>
    <w:hidden/>
    <w:uiPriority w:val="99"/>
    <w:semiHidden/>
    <w:rsid w:val="008E33C9"/>
    <w:pPr>
      <w:spacing w:after="0" w:line="240" w:lineRule="auto"/>
    </w:pPr>
    <w:rPr>
      <w:rFonts w:eastAsia="Times New Roman" w:cs="Times New Roman"/>
      <w:sz w:val="20"/>
    </w:rPr>
  </w:style>
  <w:style w:type="paragraph" w:customStyle="1" w:styleId="TableText">
    <w:name w:val="Table Text"/>
    <w:basedOn w:val="Normal"/>
    <w:autoRedefine/>
    <w:qFormat/>
    <w:rsid w:val="00213A86"/>
    <w:pPr>
      <w:jc w:val="left"/>
    </w:pPr>
    <w:rPr>
      <w:rFonts w:ascii="Calibri" w:hAnsi="Calibri" w:cs="Arial"/>
      <w:noProof/>
      <w:szCs w:val="18"/>
      <w:lang w:val="en"/>
    </w:rPr>
  </w:style>
  <w:style w:type="paragraph" w:styleId="Footer">
    <w:name w:val="footer"/>
    <w:basedOn w:val="Normal"/>
    <w:link w:val="FooterChar"/>
    <w:uiPriority w:val="99"/>
    <w:unhideWhenUsed/>
    <w:rsid w:val="00F4235F"/>
    <w:pPr>
      <w:tabs>
        <w:tab w:val="center" w:pos="4680"/>
        <w:tab w:val="right" w:pos="9360"/>
      </w:tabs>
      <w:spacing w:after="0"/>
    </w:pPr>
  </w:style>
  <w:style w:type="character" w:customStyle="1" w:styleId="FooterChar">
    <w:name w:val="Footer Char"/>
    <w:basedOn w:val="DefaultParagraphFont"/>
    <w:link w:val="Footer"/>
    <w:uiPriority w:val="99"/>
    <w:rsid w:val="00F4235F"/>
    <w:rPr>
      <w:rFonts w:eastAsia="Times New Roman" w:cs="Times New Roman"/>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30BC"/>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3330BC"/>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3330BC"/>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3330BC"/>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3330BC"/>
    <w:pPr>
      <w:keepNext/>
      <w:numPr>
        <w:ilvl w:val="3"/>
        <w:numId w:val="1"/>
      </w:numPr>
      <w:spacing w:line="276" w:lineRule="auto"/>
      <w:ind w:right="-2880"/>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3330BC"/>
    <w:pPr>
      <w:keepNext/>
      <w:keepLines/>
      <w:numPr>
        <w:ilvl w:val="4"/>
        <w:numId w:val="1"/>
      </w:numPr>
      <w:spacing w:before="200" w:line="276" w:lineRule="auto"/>
      <w:outlineLvl w:val="4"/>
    </w:pPr>
    <w:rPr>
      <w:rFonts w:ascii="Calibri" w:hAnsi="Calibri"/>
    </w:rPr>
  </w:style>
  <w:style w:type="paragraph" w:styleId="Heading7">
    <w:name w:val="heading 7"/>
    <w:basedOn w:val="Normal"/>
    <w:next w:val="Normal"/>
    <w:link w:val="Heading7Char"/>
    <w:uiPriority w:val="99"/>
    <w:qFormat/>
    <w:rsid w:val="003330BC"/>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3330BC"/>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3330BC"/>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3330BC"/>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3330BC"/>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3330BC"/>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3330BC"/>
    <w:rPr>
      <w:rFonts w:ascii="Calibri" w:eastAsiaTheme="minorEastAsia" w:hAnsi="Calibri" w:cs="Arial"/>
      <w:bCs/>
      <w:i/>
      <w:noProof/>
    </w:rPr>
  </w:style>
  <w:style w:type="character" w:customStyle="1" w:styleId="Heading5Char">
    <w:name w:val="Heading 5 Char"/>
    <w:basedOn w:val="DefaultParagraphFont"/>
    <w:link w:val="Heading5"/>
    <w:uiPriority w:val="99"/>
    <w:rsid w:val="003330BC"/>
    <w:rPr>
      <w:rFonts w:ascii="Calibri" w:eastAsia="Times New Roman" w:hAnsi="Calibri" w:cs="Times New Roman"/>
      <w:sz w:val="20"/>
    </w:rPr>
  </w:style>
  <w:style w:type="character" w:customStyle="1" w:styleId="Heading7Char">
    <w:name w:val="Heading 7 Char"/>
    <w:basedOn w:val="DefaultParagraphFont"/>
    <w:link w:val="Heading7"/>
    <w:uiPriority w:val="99"/>
    <w:rsid w:val="003330BC"/>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3330BC"/>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3330BC"/>
    <w:rPr>
      <w:rFonts w:ascii="Cambria" w:eastAsia="Times New Roman" w:hAnsi="Cambria" w:cs="Times New Roman"/>
      <w:i/>
      <w:iCs/>
      <w:color w:val="404040"/>
      <w:sz w:val="20"/>
    </w:rPr>
  </w:style>
  <w:style w:type="character" w:customStyle="1" w:styleId="Heading3Char1">
    <w:name w:val="Heading 3 Char1"/>
    <w:aliases w:val="Heading 3 Char2 Char Char,Heading 3 Char Char1 Char Char,Heading 3 Char2 Char Char Char1 Char,Heading 3 Char Char1 Char Char Char Char,Heading 3 Char2 Char Char Char1 Char Char Char,Heading 3 Char Char1 Char Char Char Char Char Char"/>
    <w:link w:val="Heading3"/>
    <w:uiPriority w:val="99"/>
    <w:locked/>
    <w:rsid w:val="003330BC"/>
    <w:rPr>
      <w:rFonts w:ascii="Calibri" w:eastAsiaTheme="minorEastAsia" w:hAnsi="Calibri" w:cs="Times New Roman"/>
      <w:bCs/>
      <w:sz w:val="24"/>
      <w:szCs w:val="24"/>
    </w:rPr>
  </w:style>
  <w:style w:type="character" w:styleId="FootnoteReference">
    <w:name w:val="footnote reference"/>
    <w:aliases w:val="Footnote_Reference,o,fr"/>
    <w:uiPriority w:val="99"/>
    <w:qFormat/>
    <w:rsid w:val="003330BC"/>
    <w:rPr>
      <w:rFonts w:ascii="Arial" w:hAnsi="Arial" w:cs="Times New Roman"/>
      <w:sz w:val="20"/>
      <w:vertAlign w:val="superscript"/>
    </w:rPr>
  </w:style>
  <w:style w:type="character" w:customStyle="1" w:styleId="FootnoteChar">
    <w:name w:val="Footnote Char"/>
    <w:basedOn w:val="DefaultParagraphFont"/>
    <w:link w:val="Footnote"/>
    <w:rsid w:val="003330BC"/>
    <w:rPr>
      <w:rFonts w:eastAsiaTheme="minorEastAsia" w:cstheme="minorHAnsi"/>
      <w:sz w:val="18"/>
      <w:szCs w:val="20"/>
    </w:rPr>
  </w:style>
  <w:style w:type="paragraph" w:customStyle="1" w:styleId="HeaderIL">
    <w:name w:val="Header IL"/>
    <w:basedOn w:val="Header"/>
    <w:link w:val="HeaderILChar"/>
    <w:qFormat/>
    <w:rsid w:val="003330BC"/>
    <w:pPr>
      <w:pBdr>
        <w:bottom w:val="single" w:sz="4" w:space="0" w:color="auto"/>
      </w:pBdr>
      <w:tabs>
        <w:tab w:val="clear" w:pos="4680"/>
        <w:tab w:val="clear" w:pos="9360"/>
        <w:tab w:val="center" w:pos="4320"/>
        <w:tab w:val="right" w:pos="8640"/>
      </w:tabs>
      <w:spacing w:after="120"/>
      <w:jc w:val="left"/>
    </w:pPr>
  </w:style>
  <w:style w:type="character" w:customStyle="1" w:styleId="HeaderILChar">
    <w:name w:val="Header IL Char"/>
    <w:basedOn w:val="HeaderChar"/>
    <w:link w:val="HeaderIL"/>
    <w:rsid w:val="003330BC"/>
    <w:rPr>
      <w:rFonts w:eastAsia="Times New Roman" w:cs="Times New Roman"/>
      <w:sz w:val="20"/>
    </w:rPr>
  </w:style>
  <w:style w:type="paragraph" w:customStyle="1" w:styleId="Footnote">
    <w:name w:val="Footnote"/>
    <w:basedOn w:val="FootnoteText"/>
    <w:link w:val="FootnoteChar"/>
    <w:autoRedefine/>
    <w:qFormat/>
    <w:rsid w:val="003330BC"/>
    <w:pPr>
      <w:jc w:val="left"/>
    </w:pPr>
    <w:rPr>
      <w:rFonts w:eastAsiaTheme="minorEastAsia" w:cstheme="minorHAnsi"/>
      <w:sz w:val="18"/>
    </w:rPr>
  </w:style>
  <w:style w:type="table" w:customStyle="1" w:styleId="TableGrid7">
    <w:name w:val="Table Grid7"/>
    <w:basedOn w:val="TableNormal"/>
    <w:next w:val="TableGrid"/>
    <w:uiPriority w:val="59"/>
    <w:rsid w:val="003330BC"/>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3330BC"/>
    <w:pPr>
      <w:tabs>
        <w:tab w:val="center" w:pos="4680"/>
        <w:tab w:val="right" w:pos="9360"/>
      </w:tabs>
      <w:spacing w:after="0"/>
    </w:pPr>
  </w:style>
  <w:style w:type="character" w:customStyle="1" w:styleId="HeaderChar">
    <w:name w:val="Header Char"/>
    <w:basedOn w:val="DefaultParagraphFont"/>
    <w:link w:val="Header"/>
    <w:uiPriority w:val="99"/>
    <w:semiHidden/>
    <w:rsid w:val="003330BC"/>
    <w:rPr>
      <w:rFonts w:eastAsia="Times New Roman" w:cs="Times New Roman"/>
      <w:sz w:val="20"/>
    </w:rPr>
  </w:style>
  <w:style w:type="paragraph" w:styleId="FootnoteText">
    <w:name w:val="footnote text"/>
    <w:aliases w:val="Footnote Text1 Char,Footnote Text Char Ch,Footnote Text Char Ch Char Char Char,Footnote Text Char Ch Char Char,Footnote Text1 Char Char Char,Footnote Text Char Ch Char,ft Char,ft"/>
    <w:basedOn w:val="Normal"/>
    <w:link w:val="FootnoteTextChar"/>
    <w:uiPriority w:val="99"/>
    <w:unhideWhenUsed/>
    <w:qFormat/>
    <w:rsid w:val="003330BC"/>
    <w:pPr>
      <w:spacing w:after="0"/>
    </w:pPr>
    <w:rPr>
      <w:szCs w:val="20"/>
    </w:rPr>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
    <w:basedOn w:val="DefaultParagraphFont"/>
    <w:link w:val="FootnoteText"/>
    <w:uiPriority w:val="99"/>
    <w:rsid w:val="003330BC"/>
    <w:rPr>
      <w:rFonts w:eastAsia="Times New Roman" w:cs="Times New Roman"/>
      <w:sz w:val="20"/>
      <w:szCs w:val="20"/>
    </w:rPr>
  </w:style>
  <w:style w:type="table" w:styleId="TableGrid">
    <w:name w:val="Table Grid"/>
    <w:basedOn w:val="TableNormal"/>
    <w:uiPriority w:val="59"/>
    <w:rsid w:val="003330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Text">
    <w:name w:val="annotation text"/>
    <w:basedOn w:val="Normal"/>
    <w:link w:val="CommentTextChar"/>
    <w:uiPriority w:val="99"/>
    <w:rsid w:val="00CA0001"/>
    <w:pPr>
      <w:spacing w:after="240"/>
    </w:pPr>
  </w:style>
  <w:style w:type="character" w:customStyle="1" w:styleId="CommentTextChar">
    <w:name w:val="Comment Text Char"/>
    <w:basedOn w:val="DefaultParagraphFont"/>
    <w:link w:val="CommentText"/>
    <w:uiPriority w:val="99"/>
    <w:rsid w:val="00CA0001"/>
    <w:rPr>
      <w:rFonts w:eastAsia="Times New Roman" w:cs="Times New Roman"/>
      <w:sz w:val="20"/>
    </w:rPr>
  </w:style>
  <w:style w:type="paragraph" w:styleId="BalloonText">
    <w:name w:val="Balloon Text"/>
    <w:basedOn w:val="Normal"/>
    <w:link w:val="BalloonTextChar"/>
    <w:uiPriority w:val="99"/>
    <w:semiHidden/>
    <w:unhideWhenUsed/>
    <w:rsid w:val="00CA0001"/>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A0001"/>
    <w:rPr>
      <w:rFonts w:ascii="Tahoma" w:eastAsia="Times New Roman" w:hAnsi="Tahoma" w:cs="Tahoma"/>
      <w:sz w:val="16"/>
      <w:szCs w:val="16"/>
    </w:rPr>
  </w:style>
  <w:style w:type="paragraph" w:styleId="Revision">
    <w:name w:val="Revision"/>
    <w:hidden/>
    <w:uiPriority w:val="99"/>
    <w:semiHidden/>
    <w:rsid w:val="008E33C9"/>
    <w:pPr>
      <w:spacing w:after="0" w:line="240" w:lineRule="auto"/>
    </w:pPr>
    <w:rPr>
      <w:rFonts w:eastAsia="Times New Roman" w:cs="Times New Roman"/>
      <w:sz w:val="20"/>
    </w:rPr>
  </w:style>
  <w:style w:type="paragraph" w:customStyle="1" w:styleId="TableText">
    <w:name w:val="Table Text"/>
    <w:basedOn w:val="Normal"/>
    <w:autoRedefine/>
    <w:qFormat/>
    <w:rsid w:val="00213A86"/>
    <w:pPr>
      <w:jc w:val="left"/>
    </w:pPr>
    <w:rPr>
      <w:rFonts w:ascii="Calibri" w:hAnsi="Calibri" w:cs="Arial"/>
      <w:noProof/>
      <w:szCs w:val="18"/>
      <w:lang w:val="en"/>
    </w:rPr>
  </w:style>
  <w:style w:type="paragraph" w:styleId="Footer">
    <w:name w:val="footer"/>
    <w:basedOn w:val="Normal"/>
    <w:link w:val="FooterChar"/>
    <w:uiPriority w:val="99"/>
    <w:unhideWhenUsed/>
    <w:rsid w:val="00F4235F"/>
    <w:pPr>
      <w:tabs>
        <w:tab w:val="center" w:pos="4680"/>
        <w:tab w:val="right" w:pos="9360"/>
      </w:tabs>
      <w:spacing w:after="0"/>
    </w:pPr>
  </w:style>
  <w:style w:type="character" w:customStyle="1" w:styleId="FooterChar">
    <w:name w:val="Footer Char"/>
    <w:basedOn w:val="DefaultParagraphFont"/>
    <w:link w:val="Footer"/>
    <w:uiPriority w:val="99"/>
    <w:rsid w:val="00F4235F"/>
    <w:rPr>
      <w:rFonts w:eastAsia="Times New Roman"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D2160F-901E-4DFD-829F-3A5AF094E4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7838F167</Template>
  <TotalTime>1</TotalTime>
  <Pages>7</Pages>
  <Words>862</Words>
  <Characters>4917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VEIC</Company>
  <LinksUpToDate>false</LinksUpToDate>
  <CharactersWithSpaces>5768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Samuel Dent</dc:creator>
  <cp:lastModifiedBy>Samuel Dent</cp:lastModifiedBy>
  <cp:revision>1</cp:revision>
  <dcterms:created xsi:type="dcterms:W3CDTF">2015-12-14T14:26:00Z</dcterms:created>
  <dcterms:modified xsi:type="dcterms:W3CDTF">2015-12-14T14:28:00Z</dcterms:modified>
</cp:coreProperties>
</file>