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A7754" w14:textId="77777777" w:rsidR="00D838DA" w:rsidRPr="00D838DA" w:rsidRDefault="00D838DA" w:rsidP="00D838DA">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Toc411593484"/>
      <w:r>
        <w:rPr>
          <w:rFonts w:ascii="Calibri" w:eastAsiaTheme="minorEastAsia" w:hAnsi="Calibri" w:cs="Times New Roman"/>
          <w:bCs/>
          <w:sz w:val="24"/>
          <w:szCs w:val="24"/>
        </w:rPr>
        <w:t>4.4.26</w:t>
      </w:r>
      <w:r>
        <w:rPr>
          <w:rFonts w:ascii="Calibri" w:eastAsiaTheme="minorEastAsia" w:hAnsi="Calibri" w:cs="Times New Roman"/>
          <w:bCs/>
          <w:sz w:val="24"/>
          <w:szCs w:val="24"/>
        </w:rPr>
        <w:tab/>
      </w:r>
      <w:r w:rsidRPr="00D838DA">
        <w:rPr>
          <w:rFonts w:ascii="Calibri" w:eastAsiaTheme="minorEastAsia" w:hAnsi="Calibri" w:cs="Times New Roman"/>
          <w:bCs/>
          <w:sz w:val="24"/>
          <w:szCs w:val="24"/>
        </w:rPr>
        <w:t>Variable Speed Drives for HVAC Supply and Return Fans</w:t>
      </w:r>
      <w:bookmarkEnd w:id="0"/>
    </w:p>
    <w:p w14:paraId="33C09F4B"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Description </w:t>
      </w:r>
    </w:p>
    <w:p w14:paraId="7FABC88C"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 xml:space="preserve">This measure is applied to variable speed drives (VSD) which are installed on HVAC supply fans and return fans. There is a separate measure for HVAC pumps and cooling tower fans. All other VSD applications require custom analysis by the program administrator. The VSD will modulate the speed of the motor when it does not need to run at full load. Since the power of the motor is proportional to the cube of the speed for these types of applications, significant energy savings will result.  </w:t>
      </w:r>
    </w:p>
    <w:p w14:paraId="7C39ADEC"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This measure was developed to be applicable to the following program types: TOS, RF.  If applied to other program types, the measure savings should be verified.</w:t>
      </w:r>
    </w:p>
    <w:p w14:paraId="4BD23BBB"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Definition of Efficient Equipment </w:t>
      </w:r>
    </w:p>
    <w:p w14:paraId="5B4A5EA8" w14:textId="77777777"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 xml:space="preserve">The VSD is applied to a motor which does not have a VSD. The application must have a variable load and installation is to include the necessary controls.  Savings are based on application of VSDs to a range of baseline load conditions including no control, inlet guide vanes, </w:t>
      </w:r>
      <w:proofErr w:type="gramStart"/>
      <w:r w:rsidRPr="00D838DA">
        <w:rPr>
          <w:rFonts w:ascii="Calibri" w:eastAsia="Times New Roman" w:hAnsi="Calibri" w:cs="Times New Roman"/>
          <w:sz w:val="20"/>
          <w:szCs w:val="20"/>
        </w:rPr>
        <w:t>outlet</w:t>
      </w:r>
      <w:proofErr w:type="gramEnd"/>
      <w:r w:rsidRPr="00D838DA">
        <w:rPr>
          <w:rFonts w:ascii="Calibri" w:eastAsia="Times New Roman" w:hAnsi="Calibri" w:cs="Times New Roman"/>
          <w:sz w:val="20"/>
          <w:szCs w:val="20"/>
        </w:rPr>
        <w:t xml:space="preserve"> guide vanes and throttling valves.</w:t>
      </w:r>
    </w:p>
    <w:p w14:paraId="4F1E382F"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Definition of Baseline Equipment </w:t>
      </w:r>
    </w:p>
    <w:p w14:paraId="555E4528"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time of sale baseline is a new motor installed without a VSD or other methods of control.  Retrofit baseline is an existing motor operating as is.  Retrofit baselines may or may not include guide vanes, throttling valves or other methods of control.  This information shall be collected from the customer.</w:t>
      </w:r>
    </w:p>
    <w:p w14:paraId="1C8FE075"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Installations of new equipment with VSDs which are required by IECC 2012</w:t>
      </w:r>
      <w:r w:rsidR="00BB22CF">
        <w:rPr>
          <w:rFonts w:ascii="Calibri" w:eastAsia="Times New Roman" w:hAnsi="Calibri" w:cs="Times New Roman"/>
          <w:sz w:val="20"/>
          <w:szCs w:val="20"/>
        </w:rPr>
        <w:t xml:space="preserve"> or 2015</w:t>
      </w:r>
      <w:r w:rsidRPr="00D838DA">
        <w:rPr>
          <w:rFonts w:ascii="Calibri" w:eastAsia="Times New Roman" w:hAnsi="Calibri" w:cs="Times New Roman"/>
          <w:sz w:val="20"/>
          <w:szCs w:val="20"/>
        </w:rPr>
        <w:t xml:space="preserve"> as adopted by the State of Illinois are not eligible for incentives.</w:t>
      </w:r>
    </w:p>
    <w:p w14:paraId="56A2A293"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Deemed Lifetime of Efficient Equipment </w:t>
      </w:r>
    </w:p>
    <w:p w14:paraId="3843B27A"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expected measure life for HVAC application is 15 years;</w:t>
      </w:r>
      <w:r w:rsidRPr="00D838DA">
        <w:rPr>
          <w:rFonts w:ascii="Calibri" w:eastAsia="Times New Roman" w:hAnsi="Calibri" w:cs="Times New Roman"/>
          <w:sz w:val="20"/>
          <w:szCs w:val="20"/>
          <w:vertAlign w:val="superscript"/>
        </w:rPr>
        <w:footnoteReference w:id="2"/>
      </w:r>
      <w:r w:rsidRPr="00D838DA">
        <w:rPr>
          <w:rFonts w:ascii="Calibri" w:eastAsia="Times New Roman" w:hAnsi="Calibri" w:cs="Times New Roman"/>
          <w:sz w:val="20"/>
          <w:szCs w:val="20"/>
        </w:rPr>
        <w:t xml:space="preserve">  measure life for process is 10 years.</w:t>
      </w:r>
      <w:r w:rsidRPr="00D838DA">
        <w:rPr>
          <w:rFonts w:ascii="Calibri" w:eastAsia="Times New Roman" w:hAnsi="Calibri" w:cs="Times New Roman"/>
          <w:sz w:val="20"/>
          <w:szCs w:val="20"/>
          <w:vertAlign w:val="superscript"/>
        </w:rPr>
        <w:footnoteReference w:id="3"/>
      </w:r>
    </w:p>
    <w:p w14:paraId="1822BA54" w14:textId="77777777" w:rsidR="00D838DA" w:rsidRPr="00D838DA" w:rsidRDefault="00D838DA" w:rsidP="00D838DA">
      <w:pPr>
        <w:spacing w:after="120" w:line="240" w:lineRule="auto"/>
        <w:rPr>
          <w:rFonts w:ascii="Calibri" w:eastAsia="Times New Roman" w:hAnsi="Calibri" w:cs="Times New Roman"/>
          <w:szCs w:val="20"/>
        </w:rPr>
      </w:pPr>
      <w:r w:rsidRPr="00D838DA">
        <w:rPr>
          <w:rFonts w:ascii="Calibri" w:eastAsia="Times New Roman" w:hAnsi="Calibri" w:cs="Times New Roman"/>
          <w:b/>
          <w:smallCaps/>
          <w:szCs w:val="20"/>
        </w:rPr>
        <w:t xml:space="preserve">Deemed Measure Cost </w:t>
      </w:r>
    </w:p>
    <w:p w14:paraId="0752F15A"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Customer provided costs will be used when available.  Default measure costs</w:t>
      </w:r>
      <w:r w:rsidRPr="00D838DA">
        <w:rPr>
          <w:rFonts w:ascii="Calibri" w:eastAsia="Times New Roman" w:hAnsi="Calibri" w:cs="Times New Roman"/>
          <w:b/>
          <w:sz w:val="20"/>
          <w:szCs w:val="20"/>
          <w:vertAlign w:val="superscript"/>
        </w:rPr>
        <w:footnoteReference w:id="4"/>
      </w:r>
      <w:r w:rsidRPr="00D838DA">
        <w:rPr>
          <w:rFonts w:ascii="Calibri" w:eastAsia="Times New Roman" w:hAnsi="Calibri" w:cs="Times New Roman"/>
          <w:sz w:val="20"/>
          <w:szCs w:val="20"/>
        </w:rPr>
        <w:t xml:space="preserve"> are noted below for up to 20 </w:t>
      </w:r>
      <w:proofErr w:type="spellStart"/>
      <w:r w:rsidRPr="00D838DA">
        <w:rPr>
          <w:rFonts w:ascii="Calibri" w:eastAsia="Times New Roman" w:hAnsi="Calibri" w:cs="Times New Roman"/>
          <w:sz w:val="20"/>
          <w:szCs w:val="20"/>
        </w:rPr>
        <w:t>hp</w:t>
      </w:r>
      <w:proofErr w:type="spellEnd"/>
      <w:r w:rsidRPr="00D838DA">
        <w:rPr>
          <w:rFonts w:ascii="Calibri" w:eastAsia="Times New Roman" w:hAnsi="Calibri" w:cs="Times New Roman"/>
          <w:sz w:val="20"/>
          <w:szCs w:val="20"/>
        </w:rPr>
        <w:t xml:space="preserve"> motors.  Custom costs must be gathered from the customer for motor sizes not listed below.</w:t>
      </w:r>
    </w:p>
    <w:tbl>
      <w:tblPr>
        <w:tblW w:w="2532" w:type="dxa"/>
        <w:tblInd w:w="3150" w:type="dxa"/>
        <w:tblLook w:val="04A0" w:firstRow="1" w:lastRow="0" w:firstColumn="1" w:lastColumn="0" w:noHBand="0" w:noVBand="1"/>
      </w:tblPr>
      <w:tblGrid>
        <w:gridCol w:w="1251"/>
        <w:gridCol w:w="1281"/>
      </w:tblGrid>
      <w:tr w:rsidR="00D838DA" w:rsidRPr="00D838DA" w14:paraId="1CF9415A" w14:textId="77777777" w:rsidTr="0031660E">
        <w:trPr>
          <w:tblHead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tcPr>
          <w:p w14:paraId="1401AC17" w14:textId="77777777" w:rsidR="00D838DA" w:rsidRPr="00D838DA" w:rsidRDefault="00D838DA" w:rsidP="00D838DA">
            <w:pPr>
              <w:spacing w:after="100" w:afterAutospacing="1" w:line="240" w:lineRule="auto"/>
              <w:rPr>
                <w:rFonts w:ascii="Calibri" w:eastAsia="Times New Roman" w:hAnsi="Calibri" w:cs="Times New Roman"/>
                <w:b/>
                <w:noProof/>
                <w:color w:val="FFFFFF"/>
                <w:sz w:val="20"/>
                <w:szCs w:val="20"/>
              </w:rPr>
            </w:pPr>
            <w:r w:rsidRPr="00D838DA">
              <w:rPr>
                <w:rFonts w:ascii="Calibri" w:eastAsia="Times New Roman" w:hAnsi="Calibri" w:cs="Times New Roman"/>
                <w:b/>
                <w:noProof/>
                <w:color w:val="FFFFFF"/>
                <w:sz w:val="20"/>
                <w:szCs w:val="20"/>
              </w:rPr>
              <w:t>HP</w:t>
            </w:r>
          </w:p>
        </w:tc>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tcPr>
          <w:p w14:paraId="1F33B025" w14:textId="77777777" w:rsidR="00D838DA" w:rsidRPr="00D838DA" w:rsidRDefault="00D838DA" w:rsidP="00D838DA">
            <w:pPr>
              <w:spacing w:after="100" w:afterAutospacing="1" w:line="240" w:lineRule="auto"/>
              <w:rPr>
                <w:rFonts w:ascii="Calibri" w:eastAsia="Times New Roman" w:hAnsi="Calibri" w:cs="Times New Roman"/>
                <w:b/>
                <w:noProof/>
                <w:color w:val="FFFFFF"/>
                <w:sz w:val="20"/>
                <w:szCs w:val="20"/>
              </w:rPr>
            </w:pPr>
            <w:r w:rsidRPr="00D838DA">
              <w:rPr>
                <w:rFonts w:ascii="Calibri" w:eastAsia="Times New Roman" w:hAnsi="Calibri" w:cs="Times New Roman"/>
                <w:b/>
                <w:noProof/>
                <w:color w:val="FFFFFF"/>
                <w:sz w:val="20"/>
                <w:szCs w:val="20"/>
              </w:rPr>
              <w:t>Cost</w:t>
            </w:r>
          </w:p>
        </w:tc>
      </w:tr>
      <w:tr w:rsidR="00D838DA" w:rsidRPr="00D838DA" w14:paraId="6EB8D011" w14:textId="77777777" w:rsidTr="0031660E">
        <w:tc>
          <w:tcPr>
            <w:tcW w:w="0" w:type="auto"/>
            <w:tcBorders>
              <w:top w:val="single" w:sz="4" w:space="0" w:color="auto"/>
              <w:left w:val="single" w:sz="4" w:space="0" w:color="auto"/>
              <w:bottom w:val="single" w:sz="4" w:space="0" w:color="auto"/>
              <w:right w:val="single" w:sz="4" w:space="0" w:color="auto"/>
            </w:tcBorders>
          </w:tcPr>
          <w:p w14:paraId="214CDF3B" w14:textId="77777777" w:rsidR="00D838DA" w:rsidRPr="00D838DA" w:rsidRDefault="00D838DA" w:rsidP="00D838DA">
            <w:pPr>
              <w:tabs>
                <w:tab w:val="left" w:pos="975"/>
              </w:tabs>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1 -5 HP</w:t>
            </w:r>
          </w:p>
        </w:tc>
        <w:tc>
          <w:tcPr>
            <w:tcW w:w="0" w:type="auto"/>
            <w:tcBorders>
              <w:top w:val="single" w:sz="4" w:space="0" w:color="auto"/>
              <w:left w:val="single" w:sz="4" w:space="0" w:color="auto"/>
              <w:bottom w:val="single" w:sz="4" w:space="0" w:color="auto"/>
              <w:right w:val="single" w:sz="4" w:space="0" w:color="auto"/>
            </w:tcBorders>
          </w:tcPr>
          <w:p w14:paraId="1D1CA37E" w14:textId="77777777"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$ 1,330</w:t>
            </w:r>
          </w:p>
        </w:tc>
      </w:tr>
      <w:tr w:rsidR="00D838DA" w:rsidRPr="00D838DA" w14:paraId="6052130F" w14:textId="77777777" w:rsidTr="0031660E">
        <w:tc>
          <w:tcPr>
            <w:tcW w:w="0" w:type="auto"/>
            <w:tcBorders>
              <w:top w:val="single" w:sz="4" w:space="0" w:color="auto"/>
              <w:left w:val="single" w:sz="4" w:space="0" w:color="auto"/>
              <w:bottom w:val="single" w:sz="4" w:space="0" w:color="auto"/>
              <w:right w:val="single" w:sz="4" w:space="0" w:color="auto"/>
            </w:tcBorders>
          </w:tcPr>
          <w:p w14:paraId="43131E54" w14:textId="77777777"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7.5 HP</w:t>
            </w:r>
          </w:p>
        </w:tc>
        <w:tc>
          <w:tcPr>
            <w:tcW w:w="0" w:type="auto"/>
            <w:tcBorders>
              <w:top w:val="single" w:sz="4" w:space="0" w:color="auto"/>
              <w:left w:val="single" w:sz="4" w:space="0" w:color="auto"/>
              <w:bottom w:val="single" w:sz="4" w:space="0" w:color="auto"/>
              <w:right w:val="single" w:sz="4" w:space="0" w:color="auto"/>
            </w:tcBorders>
          </w:tcPr>
          <w:p w14:paraId="4F7F439F" w14:textId="77777777"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$ 1,622</w:t>
            </w:r>
          </w:p>
        </w:tc>
      </w:tr>
      <w:tr w:rsidR="00D838DA" w:rsidRPr="00D838DA" w14:paraId="4AD619BE" w14:textId="77777777" w:rsidTr="0031660E">
        <w:tc>
          <w:tcPr>
            <w:tcW w:w="0" w:type="auto"/>
            <w:tcBorders>
              <w:top w:val="single" w:sz="4" w:space="0" w:color="auto"/>
              <w:left w:val="single" w:sz="4" w:space="0" w:color="auto"/>
              <w:bottom w:val="single" w:sz="4" w:space="0" w:color="auto"/>
              <w:right w:val="single" w:sz="4" w:space="0" w:color="auto"/>
            </w:tcBorders>
          </w:tcPr>
          <w:p w14:paraId="47B220A8" w14:textId="77777777" w:rsidR="00D838DA" w:rsidRPr="00D838DA" w:rsidRDefault="00D838DA" w:rsidP="00D838DA">
            <w:pPr>
              <w:spacing w:after="100" w:afterAutospacing="1" w:line="240" w:lineRule="auto"/>
              <w:ind w:right="43"/>
              <w:rPr>
                <w:rFonts w:ascii="Calibri" w:eastAsia="Times New Roman" w:hAnsi="Calibri" w:cs="Times New Roman"/>
                <w:sz w:val="20"/>
                <w:szCs w:val="20"/>
              </w:rPr>
            </w:pPr>
            <w:r w:rsidRPr="00D838DA">
              <w:rPr>
                <w:rFonts w:ascii="Calibri" w:eastAsia="Times New Roman" w:hAnsi="Calibri" w:cs="Times New Roman"/>
                <w:sz w:val="20"/>
                <w:szCs w:val="20"/>
              </w:rPr>
              <w:t>10 HP</w:t>
            </w:r>
          </w:p>
        </w:tc>
        <w:tc>
          <w:tcPr>
            <w:tcW w:w="0" w:type="auto"/>
            <w:tcBorders>
              <w:top w:val="single" w:sz="4" w:space="0" w:color="auto"/>
              <w:left w:val="single" w:sz="4" w:space="0" w:color="auto"/>
              <w:bottom w:val="single" w:sz="4" w:space="0" w:color="auto"/>
              <w:right w:val="single" w:sz="4" w:space="0" w:color="auto"/>
            </w:tcBorders>
          </w:tcPr>
          <w:p w14:paraId="179BB0B0" w14:textId="77777777"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$ 1,898</w:t>
            </w:r>
          </w:p>
        </w:tc>
      </w:tr>
      <w:tr w:rsidR="00D838DA" w:rsidRPr="00D838DA" w14:paraId="1E397919" w14:textId="77777777" w:rsidTr="0031660E">
        <w:tc>
          <w:tcPr>
            <w:tcW w:w="0" w:type="auto"/>
            <w:tcBorders>
              <w:top w:val="single" w:sz="4" w:space="0" w:color="auto"/>
              <w:left w:val="single" w:sz="4" w:space="0" w:color="auto"/>
              <w:bottom w:val="single" w:sz="4" w:space="0" w:color="auto"/>
              <w:right w:val="single" w:sz="4" w:space="0" w:color="auto"/>
            </w:tcBorders>
          </w:tcPr>
          <w:p w14:paraId="12A664A5" w14:textId="77777777"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15 HP</w:t>
            </w:r>
          </w:p>
        </w:tc>
        <w:tc>
          <w:tcPr>
            <w:tcW w:w="0" w:type="auto"/>
            <w:tcBorders>
              <w:top w:val="single" w:sz="4" w:space="0" w:color="auto"/>
              <w:left w:val="single" w:sz="4" w:space="0" w:color="auto"/>
              <w:bottom w:val="single" w:sz="4" w:space="0" w:color="auto"/>
              <w:right w:val="single" w:sz="4" w:space="0" w:color="auto"/>
            </w:tcBorders>
          </w:tcPr>
          <w:p w14:paraId="146FC085" w14:textId="77777777"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$ 2,518</w:t>
            </w:r>
          </w:p>
        </w:tc>
      </w:tr>
      <w:tr w:rsidR="00D838DA" w:rsidRPr="00D838DA" w14:paraId="61B92BA0" w14:textId="77777777" w:rsidTr="0031660E">
        <w:tc>
          <w:tcPr>
            <w:tcW w:w="0" w:type="auto"/>
            <w:tcBorders>
              <w:top w:val="single" w:sz="4" w:space="0" w:color="auto"/>
              <w:left w:val="single" w:sz="4" w:space="0" w:color="auto"/>
              <w:bottom w:val="single" w:sz="4" w:space="0" w:color="auto"/>
              <w:right w:val="single" w:sz="4" w:space="0" w:color="auto"/>
            </w:tcBorders>
          </w:tcPr>
          <w:p w14:paraId="1DE77233" w14:textId="77777777" w:rsidR="00D838DA" w:rsidRPr="00D838DA" w:rsidRDefault="00D838DA" w:rsidP="00D838DA">
            <w:pPr>
              <w:spacing w:after="100" w:afterAutospacing="1" w:line="240" w:lineRule="auto"/>
              <w:rPr>
                <w:rFonts w:ascii="Calibri" w:eastAsia="Times New Roman" w:hAnsi="Calibri" w:cs="Times New Roman"/>
                <w:sz w:val="20"/>
                <w:szCs w:val="20"/>
              </w:rPr>
            </w:pPr>
            <w:r w:rsidRPr="00D838DA">
              <w:rPr>
                <w:rFonts w:ascii="Calibri" w:eastAsia="Times New Roman" w:hAnsi="Calibri" w:cs="Times New Roman"/>
                <w:sz w:val="20"/>
                <w:szCs w:val="20"/>
              </w:rPr>
              <w:t>20 HP</w:t>
            </w:r>
          </w:p>
        </w:tc>
        <w:tc>
          <w:tcPr>
            <w:tcW w:w="0" w:type="auto"/>
            <w:tcBorders>
              <w:top w:val="single" w:sz="4" w:space="0" w:color="auto"/>
              <w:left w:val="single" w:sz="4" w:space="0" w:color="auto"/>
              <w:bottom w:val="single" w:sz="4" w:space="0" w:color="auto"/>
              <w:right w:val="single" w:sz="4" w:space="0" w:color="auto"/>
            </w:tcBorders>
          </w:tcPr>
          <w:p w14:paraId="5314D842" w14:textId="77777777" w:rsidR="00D838DA" w:rsidRPr="00D838DA" w:rsidRDefault="00D838DA" w:rsidP="00D838DA">
            <w:pPr>
              <w:spacing w:after="100" w:afterAutospacing="1" w:line="240" w:lineRule="auto"/>
              <w:rPr>
                <w:rFonts w:ascii="Calibri" w:eastAsia="Times New Roman" w:hAnsi="Calibri" w:cs="Arial"/>
                <w:sz w:val="20"/>
                <w:szCs w:val="20"/>
              </w:rPr>
            </w:pPr>
            <w:r w:rsidRPr="00D838DA">
              <w:rPr>
                <w:rFonts w:ascii="Calibri" w:eastAsia="Times New Roman" w:hAnsi="Calibri" w:cs="Times New Roman"/>
                <w:sz w:val="20"/>
                <w:szCs w:val="20"/>
              </w:rPr>
              <w:t>$ 3,059</w:t>
            </w:r>
          </w:p>
        </w:tc>
      </w:tr>
    </w:tbl>
    <w:p w14:paraId="17CB7630"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proofErr w:type="spellStart"/>
      <w:r w:rsidRPr="00D838DA">
        <w:rPr>
          <w:rFonts w:ascii="Calibri" w:eastAsia="Times New Roman" w:hAnsi="Calibri" w:cs="Times New Roman"/>
          <w:b/>
          <w:smallCaps/>
          <w:szCs w:val="20"/>
        </w:rPr>
        <w:t>Loadshape</w:t>
      </w:r>
      <w:proofErr w:type="spellEnd"/>
    </w:p>
    <w:tbl>
      <w:tblPr>
        <w:tblW w:w="8120" w:type="dxa"/>
        <w:tblInd w:w="93" w:type="dxa"/>
        <w:tblLook w:val="04A0" w:firstRow="1" w:lastRow="0" w:firstColumn="1" w:lastColumn="0" w:noHBand="0" w:noVBand="1"/>
      </w:tblPr>
      <w:tblGrid>
        <w:gridCol w:w="8120"/>
      </w:tblGrid>
      <w:tr w:rsidR="00D838DA" w:rsidRPr="00D838DA" w14:paraId="578EF51B" w14:textId="77777777" w:rsidTr="0031660E">
        <w:trPr>
          <w:trHeight w:val="300"/>
        </w:trPr>
        <w:tc>
          <w:tcPr>
            <w:tcW w:w="8120" w:type="dxa"/>
            <w:tcBorders>
              <w:top w:val="nil"/>
              <w:left w:val="nil"/>
              <w:bottom w:val="nil"/>
              <w:right w:val="nil"/>
            </w:tcBorders>
            <w:shd w:val="clear" w:color="auto" w:fill="auto"/>
            <w:noWrap/>
            <w:vAlign w:val="center"/>
            <w:hideMark/>
          </w:tcPr>
          <w:p w14:paraId="7381D9D7" w14:textId="77777777"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C39 - VFD - Supply fans &lt;10 HP</w:t>
            </w:r>
          </w:p>
        </w:tc>
      </w:tr>
      <w:tr w:rsidR="00D838DA" w:rsidRPr="00D838DA" w14:paraId="0812B839" w14:textId="77777777" w:rsidTr="0031660E">
        <w:trPr>
          <w:trHeight w:val="300"/>
        </w:trPr>
        <w:tc>
          <w:tcPr>
            <w:tcW w:w="8120" w:type="dxa"/>
            <w:tcBorders>
              <w:top w:val="nil"/>
              <w:left w:val="nil"/>
              <w:bottom w:val="nil"/>
              <w:right w:val="nil"/>
            </w:tcBorders>
            <w:shd w:val="clear" w:color="auto" w:fill="auto"/>
            <w:noWrap/>
            <w:vAlign w:val="center"/>
            <w:hideMark/>
          </w:tcPr>
          <w:p w14:paraId="225DEB25" w14:textId="77777777"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C40 - VFD - Return fans &lt;10 HP</w:t>
            </w:r>
          </w:p>
        </w:tc>
      </w:tr>
      <w:tr w:rsidR="00D838DA" w:rsidRPr="00D838DA" w14:paraId="06E93903" w14:textId="77777777" w:rsidTr="0031660E">
        <w:trPr>
          <w:trHeight w:val="300"/>
        </w:trPr>
        <w:tc>
          <w:tcPr>
            <w:tcW w:w="8120" w:type="dxa"/>
            <w:tcBorders>
              <w:top w:val="nil"/>
              <w:left w:val="nil"/>
              <w:bottom w:val="nil"/>
              <w:right w:val="nil"/>
            </w:tcBorders>
            <w:shd w:val="clear" w:color="auto" w:fill="auto"/>
            <w:noWrap/>
            <w:vAlign w:val="center"/>
            <w:hideMark/>
          </w:tcPr>
          <w:p w14:paraId="513204A6" w14:textId="77777777" w:rsidR="00D838DA" w:rsidRPr="00D838DA" w:rsidRDefault="00D838DA" w:rsidP="00D838DA">
            <w:pPr>
              <w:spacing w:after="120" w:line="240" w:lineRule="auto"/>
              <w:rPr>
                <w:rFonts w:ascii="Calibri" w:eastAsia="Times New Roman" w:hAnsi="Calibri" w:cs="Calibri"/>
                <w:color w:val="000000"/>
                <w:sz w:val="20"/>
                <w:szCs w:val="20"/>
              </w:rPr>
            </w:pPr>
            <w:proofErr w:type="spellStart"/>
            <w:r w:rsidRPr="00D838DA">
              <w:rPr>
                <w:rFonts w:ascii="Calibri" w:eastAsia="Times New Roman" w:hAnsi="Calibri" w:cs="Calibri"/>
                <w:color w:val="000000"/>
                <w:sz w:val="20"/>
                <w:szCs w:val="20"/>
              </w:rPr>
              <w:t>Loadshape</w:t>
            </w:r>
            <w:proofErr w:type="spellEnd"/>
            <w:r w:rsidRPr="00D838DA">
              <w:rPr>
                <w:rFonts w:ascii="Calibri" w:eastAsia="Times New Roman" w:hAnsi="Calibri" w:cs="Calibri"/>
                <w:color w:val="000000"/>
                <w:sz w:val="20"/>
                <w:szCs w:val="20"/>
              </w:rPr>
              <w:t xml:space="preserve"> C41 - VFD - Exhaust fans &lt;10 HP</w:t>
            </w:r>
          </w:p>
        </w:tc>
      </w:tr>
    </w:tbl>
    <w:p w14:paraId="3C3CE05D"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lastRenderedPageBreak/>
        <w:t xml:space="preserve">Coincidence Factor </w:t>
      </w:r>
    </w:p>
    <w:p w14:paraId="06781313"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The demand savings factor (DSF) is already based upon coincident savings, and thus there is no additional coincidence factor for this characterization.</w:t>
      </w:r>
    </w:p>
    <w:p w14:paraId="478077B9" w14:textId="77777777" w:rsidR="00D838DA" w:rsidRPr="00D838DA" w:rsidRDefault="00D838DA" w:rsidP="00D838DA">
      <w:pPr>
        <w:spacing w:after="120" w:line="240" w:lineRule="auto"/>
        <w:rPr>
          <w:rFonts w:ascii="Calibri" w:eastAsia="Times New Roman" w:hAnsi="Calibri" w:cs="Times New Roman"/>
          <w:sz w:val="20"/>
          <w:szCs w:val="20"/>
        </w:rPr>
      </w:pPr>
    </w:p>
    <w:p w14:paraId="267DDA69" w14:textId="77777777" w:rsidR="00D838DA" w:rsidRPr="00D838DA" w:rsidRDefault="00D838DA" w:rsidP="00D838DA">
      <w:pPr>
        <w:keepNext/>
        <w:pBdr>
          <w:top w:val="double" w:sz="4" w:space="1" w:color="auto"/>
          <w:bottom w:val="double" w:sz="4" w:space="1" w:color="auto"/>
        </w:pBdr>
        <w:spacing w:after="120" w:line="240" w:lineRule="auto"/>
        <w:jc w:val="center"/>
        <w:rPr>
          <w:rFonts w:ascii="Calibri" w:eastAsia="Times New Roman" w:hAnsi="Calibri" w:cs="Calibri"/>
          <w:b/>
          <w:sz w:val="20"/>
          <w:szCs w:val="20"/>
        </w:rPr>
      </w:pPr>
      <w:r w:rsidRPr="00D838DA">
        <w:rPr>
          <w:rFonts w:ascii="Calibri" w:eastAsia="Times New Roman" w:hAnsi="Calibri" w:cs="Calibri"/>
          <w:b/>
          <w:sz w:val="20"/>
          <w:szCs w:val="20"/>
        </w:rPr>
        <w:t>Algorithm</w:t>
      </w:r>
    </w:p>
    <w:p w14:paraId="4530BEB1"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Calculation of Savings </w:t>
      </w:r>
    </w:p>
    <w:p w14:paraId="7A107040"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 w:val="20"/>
          <w:szCs w:val="20"/>
        </w:rPr>
      </w:pPr>
      <w:r w:rsidRPr="00D838DA">
        <w:rPr>
          <w:rFonts w:ascii="Calibri" w:eastAsia="Times New Roman" w:hAnsi="Calibri" w:cs="Times New Roman"/>
          <w:b/>
          <w:smallCaps/>
          <w:szCs w:val="20"/>
        </w:rPr>
        <w:t>Electric Energy Savings</w:t>
      </w:r>
      <w:r w:rsidRPr="00D838DA">
        <w:rPr>
          <w:rFonts w:ascii="Calibri" w:eastAsia="Times New Roman" w:hAnsi="Calibri" w:cs="Times New Roman"/>
          <w:b/>
          <w:smallCaps/>
          <w:sz w:val="20"/>
          <w:szCs w:val="20"/>
          <w:vertAlign w:val="superscript"/>
        </w:rPr>
        <w:footnoteReference w:id="5"/>
      </w:r>
      <w:r w:rsidRPr="00D838DA">
        <w:rPr>
          <w:rFonts w:ascii="Calibri" w:eastAsia="Times New Roman" w:hAnsi="Calibri" w:cs="Times New Roman"/>
          <w:b/>
          <w:smallCaps/>
          <w:sz w:val="20"/>
          <w:szCs w:val="20"/>
        </w:rPr>
        <w:t xml:space="preserve"> </w:t>
      </w:r>
    </w:p>
    <w:tbl>
      <w:tblPr>
        <w:tblStyle w:val="TableGrid19"/>
        <w:tblW w:w="48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7200"/>
      </w:tblGrid>
      <w:tr w:rsidR="00D838DA" w:rsidRPr="00D838DA" w14:paraId="2538858D" w14:textId="77777777" w:rsidTr="0031660E">
        <w:tc>
          <w:tcPr>
            <w:tcW w:w="1154" w:type="pct"/>
          </w:tcPr>
          <w:p w14:paraId="63AF534A" w14:textId="77777777"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kWh</w:t>
            </w:r>
            <w:r w:rsidRPr="00D838DA">
              <w:rPr>
                <w:rFonts w:ascii="Calibri" w:hAnsi="Calibri"/>
                <w:vertAlign w:val="subscript"/>
              </w:rPr>
              <w:t>Base</w:t>
            </w:r>
            <w:proofErr w:type="spellEnd"/>
            <w:r w:rsidRPr="00D838DA">
              <w:rPr>
                <w:rFonts w:ascii="Calibri" w:hAnsi="Calibri"/>
              </w:rPr>
              <w:t xml:space="preserve"> =</w:t>
            </w:r>
          </w:p>
        </w:tc>
        <w:tc>
          <w:tcPr>
            <w:tcW w:w="3846" w:type="pct"/>
          </w:tcPr>
          <w:p w14:paraId="581B2A74" w14:textId="77777777" w:rsidR="00D838DA" w:rsidRPr="00D838DA" w:rsidRDefault="000F2A62"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RHRS</m:t>
                    </m:r>
                  </m:e>
                  <m:sub>
                    <m:r>
                      <w:rPr>
                        <w:rFonts w:ascii="Cambria Math" w:hAnsi="Cambria Math"/>
                      </w:rPr>
                      <m:t>Base</m:t>
                    </m:r>
                  </m:sub>
                </m:sSub>
                <m:r>
                  <w:rPr>
                    <w:rFonts w:ascii="Cambria Math" w:hAnsi="Cambria Math"/>
                  </w:rPr>
                  <m:t>×</m:t>
                </m:r>
                <m:nary>
                  <m:naryPr>
                    <m:chr m:val="∑"/>
                    <m:limLoc m:val="undOvr"/>
                    <m:ctrlPr>
                      <w:rPr>
                        <w:rFonts w:ascii="Cambria Math" w:hAnsi="Cambria Math"/>
                        <w:i/>
                      </w:rPr>
                    </m:ctrlPr>
                  </m:naryPr>
                  <m:sub>
                    <m:r>
                      <w:rPr>
                        <w:rFonts w:ascii="Cambria Math" w:hAnsi="Cambria Math"/>
                      </w:rPr>
                      <m:t>0%</m:t>
                    </m:r>
                  </m:sub>
                  <m:sup>
                    <m:r>
                      <w:rPr>
                        <w:rFonts w:ascii="Cambria Math" w:hAnsi="Cambria Math"/>
                      </w:rPr>
                      <m:t>100%</m:t>
                    </m:r>
                  </m:sup>
                  <m:e>
                    <m:d>
                      <m:dPr>
                        <m:ctrlPr>
                          <w:rPr>
                            <w:rFonts w:ascii="Cambria Math" w:hAnsi="Cambria Math"/>
                            <w:i/>
                          </w:rPr>
                        </m:ctrlPr>
                      </m:dPr>
                      <m:e>
                        <m:r>
                          <w:rPr>
                            <w:rFonts w:ascii="Cambria Math" w:hAnsi="Cambria Math"/>
                          </w:rPr>
                          <m:t>%FF×</m:t>
                        </m:r>
                        <m:sSub>
                          <m:sSubPr>
                            <m:ctrlPr>
                              <w:rPr>
                                <w:rFonts w:ascii="Cambria Math" w:hAnsi="Cambria Math"/>
                                <w:i/>
                              </w:rPr>
                            </m:ctrlPr>
                          </m:sSubPr>
                          <m:e>
                            <m:r>
                              <w:rPr>
                                <w:rFonts w:ascii="Cambria Math" w:hAnsi="Cambria Math"/>
                              </w:rPr>
                              <m:t>PLR</m:t>
                            </m:r>
                          </m:e>
                          <m:sub>
                            <m:r>
                              <w:rPr>
                                <w:rFonts w:ascii="Cambria Math" w:hAnsi="Cambria Math"/>
                              </w:rPr>
                              <m:t>Base</m:t>
                            </m:r>
                          </m:sub>
                        </m:sSub>
                      </m:e>
                    </m:d>
                  </m:e>
                </m:nary>
              </m:oMath>
            </m:oMathPara>
          </w:p>
        </w:tc>
      </w:tr>
      <w:tr w:rsidR="00D838DA" w:rsidRPr="00D838DA" w14:paraId="19B06DFC" w14:textId="77777777" w:rsidTr="0031660E">
        <w:tc>
          <w:tcPr>
            <w:tcW w:w="1154" w:type="pct"/>
          </w:tcPr>
          <w:p w14:paraId="04682ACC" w14:textId="77777777"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kWh</w:t>
            </w:r>
            <w:r w:rsidRPr="00D838DA">
              <w:rPr>
                <w:rFonts w:ascii="Calibri" w:hAnsi="Calibri"/>
                <w:vertAlign w:val="subscript"/>
              </w:rPr>
              <w:t>Retrofit</w:t>
            </w:r>
            <w:proofErr w:type="spellEnd"/>
            <w:r w:rsidRPr="00D838DA">
              <w:rPr>
                <w:rFonts w:ascii="Calibri" w:hAnsi="Calibri"/>
              </w:rPr>
              <w:t xml:space="preserve"> =</w:t>
            </w:r>
          </w:p>
        </w:tc>
        <w:tc>
          <w:tcPr>
            <w:tcW w:w="3846" w:type="pct"/>
          </w:tcPr>
          <w:p w14:paraId="2B3E8CE8" w14:textId="77777777" w:rsidR="00D838DA" w:rsidRPr="00D838DA" w:rsidRDefault="000F2A62"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RHRS</m:t>
                    </m:r>
                  </m:e>
                  <m:sub>
                    <m:r>
                      <w:rPr>
                        <w:rFonts w:ascii="Cambria Math" w:hAnsi="Cambria Math"/>
                      </w:rPr>
                      <m:t>base</m:t>
                    </m:r>
                  </m:sub>
                </m:sSub>
                <m:r>
                  <w:rPr>
                    <w:rFonts w:ascii="Cambria Math" w:hAnsi="Cambria Math"/>
                  </w:rPr>
                  <m:t>×</m:t>
                </m:r>
                <m:nary>
                  <m:naryPr>
                    <m:chr m:val="∑"/>
                    <m:limLoc m:val="undOvr"/>
                    <m:ctrlPr>
                      <w:rPr>
                        <w:rFonts w:ascii="Cambria Math" w:hAnsi="Cambria Math"/>
                        <w:i/>
                      </w:rPr>
                    </m:ctrlPr>
                  </m:naryPr>
                  <m:sub>
                    <m:r>
                      <w:rPr>
                        <w:rFonts w:ascii="Cambria Math" w:hAnsi="Cambria Math"/>
                      </w:rPr>
                      <m:t>0%</m:t>
                    </m:r>
                  </m:sub>
                  <m:sup>
                    <m:r>
                      <w:rPr>
                        <w:rFonts w:ascii="Cambria Math" w:hAnsi="Cambria Math"/>
                      </w:rPr>
                      <m:t>100%</m:t>
                    </m:r>
                  </m:sup>
                  <m:e>
                    <m:r>
                      <w:rPr>
                        <w:rFonts w:ascii="Cambria Math" w:hAnsi="Cambria Math"/>
                      </w:rPr>
                      <m:t>(%FF×</m:t>
                    </m:r>
                    <m:sSub>
                      <m:sSubPr>
                        <m:ctrlPr>
                          <w:rPr>
                            <w:rFonts w:ascii="Cambria Math" w:hAnsi="Cambria Math"/>
                            <w:i/>
                          </w:rPr>
                        </m:ctrlPr>
                      </m:sSubPr>
                      <m:e>
                        <m:r>
                          <w:rPr>
                            <w:rFonts w:ascii="Cambria Math" w:hAnsi="Cambria Math"/>
                          </w:rPr>
                          <m:t>PLR</m:t>
                        </m:r>
                      </m:e>
                      <m:sub>
                        <m:r>
                          <w:rPr>
                            <w:rFonts w:ascii="Cambria Math" w:hAnsi="Cambria Math"/>
                          </w:rPr>
                          <m:t>Retrofit</m:t>
                        </m:r>
                      </m:sub>
                    </m:sSub>
                    <m:r>
                      <w:rPr>
                        <w:rFonts w:ascii="Cambria Math" w:hAnsi="Cambria Math"/>
                      </w:rPr>
                      <m:t>)</m:t>
                    </m:r>
                  </m:e>
                </m:nary>
              </m:oMath>
            </m:oMathPara>
          </w:p>
        </w:tc>
      </w:tr>
      <w:tr w:rsidR="00D838DA" w:rsidRPr="00D838DA" w14:paraId="3B4A155C" w14:textId="77777777" w:rsidTr="0031660E">
        <w:tc>
          <w:tcPr>
            <w:tcW w:w="1154" w:type="pct"/>
          </w:tcPr>
          <w:p w14:paraId="20781DE3" w14:textId="77777777"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kWh</w:t>
            </w:r>
            <w:r w:rsidRPr="00D838DA">
              <w:rPr>
                <w:rFonts w:ascii="Calibri" w:hAnsi="Calibri"/>
                <w:vertAlign w:val="subscript"/>
              </w:rPr>
              <w:t>fan</w:t>
            </w:r>
            <w:proofErr w:type="spellEnd"/>
            <w:r w:rsidRPr="00D838DA">
              <w:rPr>
                <w:rFonts w:ascii="Calibri" w:hAnsi="Calibri"/>
              </w:rPr>
              <w:t xml:space="preserve"> =</w:t>
            </w:r>
          </w:p>
        </w:tc>
        <w:tc>
          <w:tcPr>
            <w:tcW w:w="3846" w:type="pct"/>
          </w:tcPr>
          <w:p w14:paraId="3B1F4FED" w14:textId="77777777" w:rsidR="00D838DA" w:rsidRPr="00D838DA" w:rsidRDefault="000F2A62"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kWh</m:t>
                    </m:r>
                  </m:e>
                  <m:sub>
                    <m:r>
                      <m:rPr>
                        <m:sty m:val="p"/>
                      </m:rPr>
                      <w:rPr>
                        <w:rFonts w:ascii="Cambria Math" w:hAnsi="Cambria Math"/>
                      </w:rPr>
                      <m:t>Base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kWh</m:t>
                    </m:r>
                  </m:e>
                  <m:sub>
                    <m:r>
                      <m:rPr>
                        <m:sty m:val="p"/>
                      </m:rPr>
                      <w:rPr>
                        <w:rFonts w:ascii="Cambria Math" w:hAnsi="Cambria Math"/>
                      </w:rPr>
                      <m:t>Retrofit</m:t>
                    </m:r>
                  </m:sub>
                </m:sSub>
              </m:oMath>
            </m:oMathPara>
          </w:p>
        </w:tc>
      </w:tr>
      <w:tr w:rsidR="00D838DA" w:rsidRPr="00D838DA" w14:paraId="54418C40" w14:textId="77777777" w:rsidTr="0031660E">
        <w:tc>
          <w:tcPr>
            <w:tcW w:w="1154" w:type="pct"/>
          </w:tcPr>
          <w:p w14:paraId="2422313B" w14:textId="77777777"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kWh</w:t>
            </w:r>
            <w:r w:rsidRPr="00D838DA">
              <w:rPr>
                <w:rFonts w:ascii="Calibri" w:hAnsi="Calibri"/>
                <w:vertAlign w:val="subscript"/>
              </w:rPr>
              <w:t>total</w:t>
            </w:r>
            <w:proofErr w:type="spellEnd"/>
            <w:r w:rsidRPr="00D838DA">
              <w:rPr>
                <w:rFonts w:ascii="Calibri" w:hAnsi="Calibri"/>
              </w:rPr>
              <w:t xml:space="preserve"> =</w:t>
            </w:r>
          </w:p>
        </w:tc>
        <w:tc>
          <w:tcPr>
            <w:tcW w:w="3846" w:type="pct"/>
          </w:tcPr>
          <w:p w14:paraId="4EC770DC" w14:textId="77777777" w:rsidR="00D838DA" w:rsidRPr="00D838DA" w:rsidRDefault="000F2A62"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∆kWh</m:t>
                    </m:r>
                  </m:e>
                  <m:sub>
                    <m:r>
                      <m:rPr>
                        <m:sty m:val="p"/>
                      </m:rPr>
                      <w:rPr>
                        <w:rFonts w:ascii="Cambria Math" w:hAnsi="Cambria Math"/>
                      </w:rPr>
                      <m:t>fan</m:t>
                    </m:r>
                  </m:sub>
                </m:sSub>
                <m:r>
                  <m:rPr>
                    <m:sty m:val="p"/>
                  </m:rPr>
                  <w:rPr>
                    <w:rFonts w:ascii="Cambria Math" w:hAnsi="Cambria Math"/>
                  </w:rPr>
                  <m:t>×(1+</m:t>
                </m:r>
                <m:sSub>
                  <m:sSubPr>
                    <m:ctrlPr>
                      <w:rPr>
                        <w:rFonts w:ascii="Cambria Math" w:hAnsi="Cambria Math"/>
                      </w:rPr>
                    </m:ctrlPr>
                  </m:sSubPr>
                  <m:e>
                    <m:r>
                      <m:rPr>
                        <m:sty m:val="p"/>
                      </m:rPr>
                      <w:rPr>
                        <w:rFonts w:ascii="Cambria Math" w:hAnsi="Cambria Math"/>
                      </w:rPr>
                      <m:t>IE</m:t>
                    </m:r>
                  </m:e>
                  <m:sub>
                    <m:r>
                      <m:rPr>
                        <m:sty m:val="p"/>
                      </m:rPr>
                      <w:rPr>
                        <w:rFonts w:ascii="Cambria Math" w:hAnsi="Cambria Math"/>
                      </w:rPr>
                      <m:t>energy</m:t>
                    </m:r>
                  </m:sub>
                </m:sSub>
                <m:r>
                  <m:rPr>
                    <m:sty m:val="p"/>
                  </m:rPr>
                  <w:rPr>
                    <w:rFonts w:ascii="Cambria Math" w:hAnsi="Cambria Math"/>
                  </w:rPr>
                  <m:t>)</m:t>
                </m:r>
              </m:oMath>
            </m:oMathPara>
          </w:p>
        </w:tc>
      </w:tr>
    </w:tbl>
    <w:p w14:paraId="71AE5567" w14:textId="77777777" w:rsidR="00D838DA" w:rsidRPr="00D838DA" w:rsidRDefault="00D838DA" w:rsidP="00D838DA">
      <w:pPr>
        <w:spacing w:after="240" w:line="240" w:lineRule="auto"/>
        <w:rPr>
          <w:rFonts w:ascii="Calibri" w:eastAsia="Times New Roman" w:hAnsi="Calibri" w:cs="Times New Roman"/>
          <w:noProof/>
          <w:sz w:val="20"/>
          <w:szCs w:val="20"/>
        </w:rPr>
      </w:pPr>
    </w:p>
    <w:p w14:paraId="480F4EAC" w14:textId="77777777" w:rsidR="00D838DA" w:rsidRPr="00D838DA" w:rsidRDefault="00D838DA" w:rsidP="00D838DA">
      <w:pPr>
        <w:spacing w:after="240" w:line="240" w:lineRule="auto"/>
        <w:rPr>
          <w:rFonts w:ascii="Calibri" w:eastAsia="Times New Roman" w:hAnsi="Calibri" w:cs="Times New Roman"/>
          <w:noProof/>
          <w:sz w:val="20"/>
          <w:szCs w:val="20"/>
        </w:rPr>
      </w:pPr>
      <w:r w:rsidRPr="00D838DA">
        <w:rPr>
          <w:rFonts w:ascii="Calibri" w:eastAsia="Times New Roman" w:hAnsi="Calibri" w:cs="Times New Roman"/>
          <w:noProof/>
          <w:sz w:val="20"/>
          <w:szCs w:val="20"/>
        </w:rPr>
        <w:t>Where:</w:t>
      </w:r>
    </w:p>
    <w:p w14:paraId="0E49F8E0" w14:textId="77777777" w:rsidR="00D838DA" w:rsidRPr="00D838DA" w:rsidRDefault="000F2A62" w:rsidP="00D838DA">
      <w:pPr>
        <w:spacing w:after="240" w:line="240" w:lineRule="auto"/>
        <w:ind w:left="806"/>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Baseline annual energy consumption (kWh/yr)</w:t>
      </w:r>
    </w:p>
    <w:p w14:paraId="46DD5B6D"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Retrofit annual energy consumption (kWh/yr)</w:t>
      </w:r>
    </w:p>
    <w:p w14:paraId="35094B53" w14:textId="77777777" w:rsidR="00D838DA" w:rsidRPr="00D838DA" w:rsidRDefault="000F2A62" w:rsidP="00D838DA">
      <w:pPr>
        <w:keepNext/>
        <w:keepLines/>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fan</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Fan-only annual energy savings</w:t>
      </w:r>
    </w:p>
    <w:p w14:paraId="409B8A1E"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∆kWh</m:t>
            </m:r>
          </m:e>
          <m:sub>
            <m:r>
              <w:rPr>
                <w:rFonts w:ascii="Cambria Math" w:eastAsia="Times New Roman" w:hAnsi="Cambria Math" w:cs="Times New Roman"/>
                <w:sz w:val="20"/>
                <w:szCs w:val="20"/>
              </w:rPr>
              <m:t>total</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t>= Total project annual energy savings</w:t>
      </w:r>
    </w:p>
    <w:p w14:paraId="2A0E6802" w14:textId="77777777"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0.746</m:t>
        </m:r>
      </m:oMath>
      <w:r w:rsidRPr="00D838DA">
        <w:rPr>
          <w:rFonts w:ascii="Calibri" w:eastAsia="Times New Roman" w:hAnsi="Calibri" w:cs="Times New Roman"/>
          <w:sz w:val="20"/>
          <w:szCs w:val="20"/>
        </w:rPr>
        <w:t xml:space="preserve"> </w:t>
      </w:r>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Conversion factor for HP to kWh</w:t>
      </w:r>
    </w:p>
    <w:p w14:paraId="05B8D6AB" w14:textId="77777777"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HP</m:t>
        </m:r>
      </m:oMath>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Nominal horsepower of controlled motor</w:t>
      </w:r>
    </w:p>
    <w:p w14:paraId="1F100B9B" w14:textId="77777777" w:rsidR="00D838DA" w:rsidRPr="00D838DA" w:rsidRDefault="00D838DA" w:rsidP="00D838DA">
      <w:pPr>
        <w:spacing w:after="240" w:line="240" w:lineRule="auto"/>
        <w:ind w:left="810"/>
        <w:rPr>
          <w:rFonts w:ascii="Calibri" w:eastAsia="Times New Roman" w:hAnsi="Calibri" w:cs="Times New Roman"/>
          <w:sz w:val="20"/>
          <w:szCs w:val="20"/>
        </w:rPr>
      </w:pPr>
      <m:oMath>
        <m:r>
          <w:rPr>
            <w:rFonts w:ascii="Cambria Math" w:eastAsia="Times New Roman" w:hAnsi="Cambria Math" w:cs="Times New Roman"/>
            <w:sz w:val="20"/>
            <w:szCs w:val="20"/>
          </w:rPr>
          <m:t>LF</m:t>
        </m:r>
      </m:oMath>
      <w:r w:rsidRPr="00D838DA">
        <w:rPr>
          <w:rFonts w:ascii="Calibri" w:eastAsia="Times New Roman" w:hAnsi="Calibri" w:cs="Times New Roman"/>
          <w:sz w:val="20"/>
          <w:szCs w:val="20"/>
        </w:rPr>
        <w:t xml:space="preserve"> </w:t>
      </w:r>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Load Factor; Motor Load at Fan Design CFM (Default = 65%)</w:t>
      </w:r>
      <w:r w:rsidRPr="00D838DA">
        <w:rPr>
          <w:rFonts w:ascii="Calibri" w:eastAsia="Times New Roman" w:hAnsi="Calibri" w:cs="Times New Roman"/>
          <w:sz w:val="20"/>
          <w:szCs w:val="20"/>
          <w:vertAlign w:val="superscript"/>
        </w:rPr>
        <w:footnoteReference w:id="6"/>
      </w:r>
      <w:r w:rsidRPr="00D838DA">
        <w:rPr>
          <w:rFonts w:ascii="Calibri" w:eastAsia="Times New Roman" w:hAnsi="Calibri" w:cs="Times New Roman"/>
          <w:sz w:val="20"/>
          <w:szCs w:val="20"/>
        </w:rPr>
        <w:t xml:space="preserve"> </w:t>
      </w:r>
    </w:p>
    <w:p w14:paraId="4599F69A"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η</m:t>
            </m:r>
          </m:e>
          <m:sub>
            <m:r>
              <w:rPr>
                <w:rFonts w:ascii="Cambria Math" w:eastAsia="Times New Roman" w:hAnsi="Cambria Math" w:cs="Times New Roman"/>
                <w:sz w:val="20"/>
                <w:szCs w:val="20"/>
              </w:rPr>
              <m:t>motor</m:t>
            </m:r>
          </m:sub>
        </m:sSub>
      </m:oMath>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Installed nominal/nameplate motor efficiency</w:t>
      </w:r>
    </w:p>
    <w:p w14:paraId="3E963BC0" w14:textId="77777777" w:rsidR="00D838DA" w:rsidRPr="00D838DA" w:rsidRDefault="00D838DA" w:rsidP="00D838DA">
      <w:pPr>
        <w:spacing w:after="120" w:line="240" w:lineRule="auto"/>
        <w:ind w:left="2160"/>
        <w:rPr>
          <w:rFonts w:ascii="Calibri" w:eastAsia="Calibri" w:hAnsi="Calibri" w:cs="Calibri"/>
          <w:b/>
          <w:bCs/>
          <w:sz w:val="20"/>
          <w:szCs w:val="20"/>
        </w:rPr>
      </w:pPr>
      <w:r w:rsidRPr="00D838DA">
        <w:rPr>
          <w:rFonts w:ascii="Calibri" w:eastAsia="Times New Roman" w:hAnsi="Calibri" w:cs="Times New Roman"/>
          <w:sz w:val="20"/>
          <w:szCs w:val="20"/>
        </w:rPr>
        <w:t xml:space="preserve">Default motor is a NEMA Premium Efficiency, ODP, </w:t>
      </w:r>
      <w:proofErr w:type="gramStart"/>
      <w:r w:rsidRPr="00D838DA">
        <w:rPr>
          <w:rFonts w:ascii="Calibri" w:eastAsia="Times New Roman" w:hAnsi="Calibri" w:cs="Times New Roman"/>
          <w:sz w:val="20"/>
          <w:szCs w:val="20"/>
        </w:rPr>
        <w:t>4</w:t>
      </w:r>
      <w:proofErr w:type="gramEnd"/>
      <w:r w:rsidRPr="00D838DA">
        <w:rPr>
          <w:rFonts w:ascii="Calibri" w:eastAsia="Times New Roman" w:hAnsi="Calibri" w:cs="Times New Roman"/>
          <w:sz w:val="20"/>
          <w:szCs w:val="20"/>
        </w:rPr>
        <w:t>-pole/1800 RPM fan motor</w:t>
      </w:r>
    </w:p>
    <w:p w14:paraId="247F0B5E" w14:textId="77777777" w:rsidR="00D838DA" w:rsidRPr="00D838DA" w:rsidRDefault="00D838DA" w:rsidP="00D838DA">
      <w:pPr>
        <w:spacing w:after="120" w:line="240" w:lineRule="auto"/>
        <w:ind w:left="810"/>
        <w:jc w:val="center"/>
        <w:rPr>
          <w:rFonts w:ascii="Calibri" w:eastAsia="Times New Roman" w:hAnsi="Calibri" w:cs="Times New Roman"/>
          <w:sz w:val="20"/>
          <w:szCs w:val="20"/>
        </w:rPr>
      </w:pPr>
      <w:r w:rsidRPr="00D838DA">
        <w:rPr>
          <w:rFonts w:ascii="Calibri" w:eastAsia="Calibri" w:hAnsi="Calibri" w:cs="Calibri"/>
          <w:b/>
          <w:bCs/>
          <w:sz w:val="20"/>
          <w:szCs w:val="20"/>
        </w:rPr>
        <w:t>NEMA Premium Efficiency Motors Default Efficiencies</w:t>
      </w:r>
      <w:r w:rsidRPr="00D838DA">
        <w:rPr>
          <w:rFonts w:ascii="Calibri" w:eastAsia="Calibri" w:hAnsi="Calibri" w:cs="Times New Roman"/>
          <w:b/>
          <w:bCs/>
          <w:sz w:val="20"/>
          <w:szCs w:val="20"/>
          <w:vertAlign w:val="superscript"/>
        </w:rPr>
        <w:footnoteReference w:id="7"/>
      </w:r>
    </w:p>
    <w:tbl>
      <w:tblPr>
        <w:tblW w:w="0" w:type="auto"/>
        <w:jc w:val="center"/>
        <w:tblLook w:val="04A0" w:firstRow="1" w:lastRow="0" w:firstColumn="1" w:lastColumn="0" w:noHBand="0" w:noVBand="1"/>
      </w:tblPr>
      <w:tblGrid>
        <w:gridCol w:w="806"/>
        <w:gridCol w:w="672"/>
        <w:gridCol w:w="1265"/>
        <w:gridCol w:w="672"/>
        <w:gridCol w:w="1020"/>
        <w:gridCol w:w="1020"/>
        <w:gridCol w:w="1020"/>
      </w:tblGrid>
      <w:tr w:rsidR="00D838DA" w:rsidRPr="00D838DA" w14:paraId="3449CC1C" w14:textId="77777777" w:rsidTr="0031660E">
        <w:trPr>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8E3EE17"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Size HP</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B31B323"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Open Drip Proof (ODP)</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CB203D4"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Totally Enclosed Fan-Cooled (TEFC)</w:t>
            </w:r>
          </w:p>
        </w:tc>
      </w:tr>
      <w:tr w:rsidR="00D838DA" w:rsidRPr="00D838DA" w14:paraId="5A26C015" w14:textId="77777777" w:rsidTr="0031660E">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281DD3"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0CDE5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 of Poles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CBAED1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 of Poles</w:t>
            </w:r>
          </w:p>
        </w:tc>
      </w:tr>
      <w:tr w:rsidR="00D838DA" w:rsidRPr="00D838DA" w14:paraId="3C0E9935" w14:textId="77777777" w:rsidTr="0031660E">
        <w:trPr>
          <w:trHeight w:val="70"/>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BA3C3F7"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A1A88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8CA4B8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C0853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BC241C1"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6614F3F"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E29FE53"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r w:rsidRPr="00D838DA">
              <w:rPr>
                <w:rFonts w:ascii="Calibri" w:eastAsia="Times New Roman" w:hAnsi="Calibri" w:cs="Arial"/>
                <w:bCs/>
                <w:color w:val="FFFFFF" w:themeColor="background1"/>
                <w:sz w:val="20"/>
                <w:szCs w:val="20"/>
              </w:rPr>
              <w:t>2</w:t>
            </w:r>
          </w:p>
        </w:tc>
      </w:tr>
      <w:tr w:rsidR="00D838DA" w:rsidRPr="00D838DA" w14:paraId="022E8975" w14:textId="77777777" w:rsidTr="0031660E">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8650B"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DE901D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Speed (RPM)</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F9048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Speed (RPM)</w:t>
            </w:r>
          </w:p>
        </w:tc>
      </w:tr>
      <w:tr w:rsidR="00D838DA" w:rsidRPr="00D838DA" w14:paraId="7B1EBDDF" w14:textId="77777777" w:rsidTr="0031660E">
        <w:trPr>
          <w:trHeight w:val="475"/>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E5BF0A5" w14:textId="77777777" w:rsidR="00D838DA" w:rsidRPr="00D838DA" w:rsidRDefault="00D838DA" w:rsidP="00D838DA">
            <w:pPr>
              <w:spacing w:after="120" w:line="240" w:lineRule="auto"/>
              <w:jc w:val="center"/>
              <w:rPr>
                <w:rFonts w:ascii="Calibri" w:eastAsia="Times New Roman" w:hAnsi="Calibri" w:cs="Arial"/>
                <w:bCs/>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82BCB0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1200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198BC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1800 Default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614849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3600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C2FAE9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1200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4A7D0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1800</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0AAFFA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FFFFFF" w:themeColor="background1"/>
                <w:sz w:val="20"/>
                <w:szCs w:val="20"/>
              </w:rPr>
            </w:pPr>
            <w:r w:rsidRPr="00D838DA">
              <w:rPr>
                <w:rFonts w:ascii="Calibri" w:eastAsia="Times New Roman" w:hAnsi="Calibri" w:cs="Arial"/>
                <w:color w:val="FFFFFF" w:themeColor="background1"/>
                <w:sz w:val="20"/>
                <w:szCs w:val="20"/>
              </w:rPr>
              <w:t>3600</w:t>
            </w:r>
          </w:p>
        </w:tc>
      </w:tr>
      <w:tr w:rsidR="00D838DA" w:rsidRPr="00D838DA" w14:paraId="2F2A0DCB" w14:textId="77777777" w:rsidTr="0031660E">
        <w:trPr>
          <w:jc w:val="cent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14:paraId="65671F2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402300D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0.825</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19E44AF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0.855</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661CC02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0.770</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780514A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0.825</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75F70FA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single" w:sz="4" w:space="0" w:color="auto"/>
              <w:left w:val="nil"/>
              <w:bottom w:val="single" w:sz="8" w:space="0" w:color="auto"/>
              <w:right w:val="single" w:sz="8" w:space="0" w:color="auto"/>
            </w:tcBorders>
            <w:shd w:val="clear" w:color="auto" w:fill="auto"/>
            <w:vAlign w:val="center"/>
            <w:hideMark/>
          </w:tcPr>
          <w:p w14:paraId="221F8B2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0.770</w:t>
            </w:r>
          </w:p>
        </w:tc>
      </w:tr>
      <w:tr w:rsidR="00D838DA" w:rsidRPr="00D838DA" w14:paraId="0677A49D"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B5FE82E"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14:paraId="295B18D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26D4816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417597C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0.840</w:t>
            </w:r>
          </w:p>
        </w:tc>
        <w:tc>
          <w:tcPr>
            <w:tcW w:w="0" w:type="auto"/>
            <w:tcBorders>
              <w:top w:val="nil"/>
              <w:left w:val="nil"/>
              <w:bottom w:val="single" w:sz="8" w:space="0" w:color="auto"/>
              <w:right w:val="single" w:sz="8" w:space="0" w:color="auto"/>
            </w:tcBorders>
            <w:shd w:val="clear" w:color="auto" w:fill="auto"/>
            <w:vAlign w:val="center"/>
            <w:hideMark/>
          </w:tcPr>
          <w:p w14:paraId="574C5FB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0.875</w:t>
            </w:r>
          </w:p>
        </w:tc>
        <w:tc>
          <w:tcPr>
            <w:tcW w:w="0" w:type="auto"/>
            <w:tcBorders>
              <w:top w:val="nil"/>
              <w:left w:val="nil"/>
              <w:bottom w:val="single" w:sz="8" w:space="0" w:color="auto"/>
              <w:right w:val="single" w:sz="8" w:space="0" w:color="auto"/>
            </w:tcBorders>
            <w:shd w:val="clear" w:color="auto" w:fill="auto"/>
            <w:vAlign w:val="center"/>
            <w:hideMark/>
          </w:tcPr>
          <w:p w14:paraId="2800F90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485F2E1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0.840</w:t>
            </w:r>
          </w:p>
        </w:tc>
      </w:tr>
      <w:tr w:rsidR="00D838DA" w:rsidRPr="00D838DA" w14:paraId="35832C62"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F2CB5D"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w:t>
            </w:r>
          </w:p>
        </w:tc>
        <w:tc>
          <w:tcPr>
            <w:tcW w:w="0" w:type="auto"/>
            <w:tcBorders>
              <w:top w:val="nil"/>
              <w:left w:val="nil"/>
              <w:bottom w:val="single" w:sz="8" w:space="0" w:color="auto"/>
              <w:right w:val="single" w:sz="8" w:space="0" w:color="auto"/>
            </w:tcBorders>
            <w:shd w:val="clear" w:color="auto" w:fill="auto"/>
            <w:vAlign w:val="center"/>
            <w:hideMark/>
          </w:tcPr>
          <w:p w14:paraId="1B708EB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0.875</w:t>
            </w:r>
          </w:p>
        </w:tc>
        <w:tc>
          <w:tcPr>
            <w:tcW w:w="0" w:type="auto"/>
            <w:tcBorders>
              <w:top w:val="nil"/>
              <w:left w:val="nil"/>
              <w:bottom w:val="single" w:sz="8" w:space="0" w:color="auto"/>
              <w:right w:val="single" w:sz="8" w:space="0" w:color="auto"/>
            </w:tcBorders>
            <w:shd w:val="clear" w:color="auto" w:fill="auto"/>
            <w:vAlign w:val="center"/>
            <w:hideMark/>
          </w:tcPr>
          <w:p w14:paraId="481F095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69B573A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nil"/>
              <w:left w:val="nil"/>
              <w:bottom w:val="single" w:sz="8" w:space="0" w:color="auto"/>
              <w:right w:val="single" w:sz="8" w:space="0" w:color="auto"/>
            </w:tcBorders>
            <w:shd w:val="clear" w:color="auto" w:fill="auto"/>
            <w:vAlign w:val="center"/>
            <w:hideMark/>
          </w:tcPr>
          <w:p w14:paraId="7122472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14:paraId="4B105E3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4DFB1C8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r>
      <w:tr w:rsidR="00D838DA" w:rsidRPr="00D838DA" w14:paraId="04CF9123"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44A794E"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w:t>
            </w:r>
          </w:p>
        </w:tc>
        <w:tc>
          <w:tcPr>
            <w:tcW w:w="0" w:type="auto"/>
            <w:tcBorders>
              <w:top w:val="nil"/>
              <w:left w:val="nil"/>
              <w:bottom w:val="single" w:sz="8" w:space="0" w:color="auto"/>
              <w:right w:val="single" w:sz="8" w:space="0" w:color="auto"/>
            </w:tcBorders>
            <w:shd w:val="clear" w:color="auto" w:fill="auto"/>
            <w:vAlign w:val="center"/>
            <w:hideMark/>
          </w:tcPr>
          <w:p w14:paraId="381C66A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14:paraId="349BBD4F"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55BA5DF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0.855</w:t>
            </w:r>
          </w:p>
        </w:tc>
        <w:tc>
          <w:tcPr>
            <w:tcW w:w="0" w:type="auto"/>
            <w:tcBorders>
              <w:top w:val="nil"/>
              <w:left w:val="nil"/>
              <w:bottom w:val="single" w:sz="8" w:space="0" w:color="auto"/>
              <w:right w:val="single" w:sz="8" w:space="0" w:color="auto"/>
            </w:tcBorders>
            <w:shd w:val="clear" w:color="auto" w:fill="auto"/>
            <w:vAlign w:val="center"/>
            <w:hideMark/>
          </w:tcPr>
          <w:p w14:paraId="69B36D2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237023C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2019474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r>
      <w:tr w:rsidR="00D838DA" w:rsidRPr="00D838DA" w14:paraId="7FF0CB6C"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9FF9D3E"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w:t>
            </w:r>
          </w:p>
        </w:tc>
        <w:tc>
          <w:tcPr>
            <w:tcW w:w="0" w:type="auto"/>
            <w:tcBorders>
              <w:top w:val="nil"/>
              <w:left w:val="nil"/>
              <w:bottom w:val="single" w:sz="8" w:space="0" w:color="auto"/>
              <w:right w:val="single" w:sz="8" w:space="0" w:color="auto"/>
            </w:tcBorders>
            <w:shd w:val="clear" w:color="auto" w:fill="auto"/>
            <w:vAlign w:val="center"/>
            <w:hideMark/>
          </w:tcPr>
          <w:p w14:paraId="4E402FD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0F77F63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082C7A4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0.865</w:t>
            </w:r>
          </w:p>
        </w:tc>
        <w:tc>
          <w:tcPr>
            <w:tcW w:w="0" w:type="auto"/>
            <w:tcBorders>
              <w:top w:val="nil"/>
              <w:left w:val="nil"/>
              <w:bottom w:val="single" w:sz="8" w:space="0" w:color="auto"/>
              <w:right w:val="single" w:sz="8" w:space="0" w:color="auto"/>
            </w:tcBorders>
            <w:shd w:val="clear" w:color="auto" w:fill="auto"/>
            <w:vAlign w:val="center"/>
            <w:hideMark/>
          </w:tcPr>
          <w:p w14:paraId="2D5C1D1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41D585C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377AE00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r>
      <w:tr w:rsidR="00D838DA" w:rsidRPr="00D838DA" w14:paraId="1DD46DFA"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3B8E37F"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7.5</w:t>
            </w:r>
          </w:p>
        </w:tc>
        <w:tc>
          <w:tcPr>
            <w:tcW w:w="0" w:type="auto"/>
            <w:tcBorders>
              <w:top w:val="nil"/>
              <w:left w:val="nil"/>
              <w:bottom w:val="single" w:sz="8" w:space="0" w:color="auto"/>
              <w:right w:val="single" w:sz="8" w:space="0" w:color="auto"/>
            </w:tcBorders>
            <w:shd w:val="clear" w:color="auto" w:fill="auto"/>
            <w:vAlign w:val="center"/>
            <w:hideMark/>
          </w:tcPr>
          <w:p w14:paraId="76FC635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c>
          <w:tcPr>
            <w:tcW w:w="0" w:type="auto"/>
            <w:tcBorders>
              <w:top w:val="nil"/>
              <w:left w:val="nil"/>
              <w:bottom w:val="single" w:sz="8" w:space="0" w:color="auto"/>
              <w:right w:val="single" w:sz="8" w:space="0" w:color="auto"/>
            </w:tcBorders>
            <w:shd w:val="clear" w:color="auto" w:fill="auto"/>
            <w:vAlign w:val="center"/>
            <w:hideMark/>
          </w:tcPr>
          <w:p w14:paraId="4B7AEEA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14:paraId="4622101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0.885</w:t>
            </w:r>
          </w:p>
        </w:tc>
        <w:tc>
          <w:tcPr>
            <w:tcW w:w="0" w:type="auto"/>
            <w:tcBorders>
              <w:top w:val="nil"/>
              <w:left w:val="nil"/>
              <w:bottom w:val="single" w:sz="8" w:space="0" w:color="auto"/>
              <w:right w:val="single" w:sz="8" w:space="0" w:color="auto"/>
            </w:tcBorders>
            <w:shd w:val="clear" w:color="auto" w:fill="auto"/>
            <w:vAlign w:val="center"/>
            <w:hideMark/>
          </w:tcPr>
          <w:p w14:paraId="23CF847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14:paraId="6B19A1B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515DFD8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r>
      <w:tr w:rsidR="00D838DA" w:rsidRPr="00D838DA" w14:paraId="576B4404"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98BD74C"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10</w:t>
            </w:r>
          </w:p>
        </w:tc>
        <w:tc>
          <w:tcPr>
            <w:tcW w:w="0" w:type="auto"/>
            <w:tcBorders>
              <w:top w:val="nil"/>
              <w:left w:val="nil"/>
              <w:bottom w:val="single" w:sz="8" w:space="0" w:color="auto"/>
              <w:right w:val="single" w:sz="8" w:space="0" w:color="auto"/>
            </w:tcBorders>
            <w:shd w:val="clear" w:color="auto" w:fill="auto"/>
            <w:vAlign w:val="center"/>
            <w:hideMark/>
          </w:tcPr>
          <w:p w14:paraId="04CF89C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28E4706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5EB9F21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0.895</w:t>
            </w:r>
          </w:p>
        </w:tc>
        <w:tc>
          <w:tcPr>
            <w:tcW w:w="0" w:type="auto"/>
            <w:tcBorders>
              <w:top w:val="nil"/>
              <w:left w:val="nil"/>
              <w:bottom w:val="single" w:sz="8" w:space="0" w:color="auto"/>
              <w:right w:val="single" w:sz="8" w:space="0" w:color="auto"/>
            </w:tcBorders>
            <w:shd w:val="clear" w:color="auto" w:fill="auto"/>
            <w:vAlign w:val="center"/>
            <w:hideMark/>
          </w:tcPr>
          <w:p w14:paraId="1E895D2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14:paraId="16C7AA9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04E81B4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r>
      <w:tr w:rsidR="00D838DA" w:rsidRPr="00D838DA" w14:paraId="486642ED"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91D2365"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w:t>
            </w:r>
          </w:p>
        </w:tc>
        <w:tc>
          <w:tcPr>
            <w:tcW w:w="0" w:type="auto"/>
            <w:tcBorders>
              <w:top w:val="nil"/>
              <w:left w:val="nil"/>
              <w:bottom w:val="single" w:sz="8" w:space="0" w:color="auto"/>
              <w:right w:val="single" w:sz="8" w:space="0" w:color="auto"/>
            </w:tcBorders>
            <w:shd w:val="clear" w:color="auto" w:fill="auto"/>
            <w:vAlign w:val="center"/>
            <w:hideMark/>
          </w:tcPr>
          <w:p w14:paraId="7DE3C0A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2562437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45C24D9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0.902</w:t>
            </w:r>
          </w:p>
        </w:tc>
        <w:tc>
          <w:tcPr>
            <w:tcW w:w="0" w:type="auto"/>
            <w:tcBorders>
              <w:top w:val="nil"/>
              <w:left w:val="nil"/>
              <w:bottom w:val="single" w:sz="8" w:space="0" w:color="auto"/>
              <w:right w:val="single" w:sz="8" w:space="0" w:color="auto"/>
            </w:tcBorders>
            <w:shd w:val="clear" w:color="auto" w:fill="auto"/>
            <w:vAlign w:val="center"/>
            <w:hideMark/>
          </w:tcPr>
          <w:p w14:paraId="4A27B09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6FAF3C3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14:paraId="30A516B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r>
      <w:tr w:rsidR="00D838DA" w:rsidRPr="00D838DA" w14:paraId="76F42F62"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6225804"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20</w:t>
            </w:r>
          </w:p>
        </w:tc>
        <w:tc>
          <w:tcPr>
            <w:tcW w:w="0" w:type="auto"/>
            <w:tcBorders>
              <w:top w:val="nil"/>
              <w:left w:val="nil"/>
              <w:bottom w:val="single" w:sz="8" w:space="0" w:color="auto"/>
              <w:right w:val="single" w:sz="8" w:space="0" w:color="auto"/>
            </w:tcBorders>
            <w:shd w:val="clear" w:color="auto" w:fill="auto"/>
            <w:vAlign w:val="center"/>
            <w:hideMark/>
          </w:tcPr>
          <w:p w14:paraId="3E9743B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14:paraId="4C0E323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57A8C37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c>
          <w:tcPr>
            <w:tcW w:w="0" w:type="auto"/>
            <w:tcBorders>
              <w:top w:val="nil"/>
              <w:left w:val="nil"/>
              <w:bottom w:val="single" w:sz="8" w:space="0" w:color="auto"/>
              <w:right w:val="single" w:sz="8" w:space="0" w:color="auto"/>
            </w:tcBorders>
            <w:shd w:val="clear" w:color="auto" w:fill="auto"/>
            <w:vAlign w:val="center"/>
            <w:hideMark/>
          </w:tcPr>
          <w:p w14:paraId="0060810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1141E11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27655ED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0.910</w:t>
            </w:r>
          </w:p>
        </w:tc>
      </w:tr>
      <w:tr w:rsidR="00D838DA" w:rsidRPr="00D838DA" w14:paraId="6160CCF4"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0CAA762"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25</w:t>
            </w:r>
          </w:p>
        </w:tc>
        <w:tc>
          <w:tcPr>
            <w:tcW w:w="0" w:type="auto"/>
            <w:tcBorders>
              <w:top w:val="nil"/>
              <w:left w:val="nil"/>
              <w:bottom w:val="single" w:sz="8" w:space="0" w:color="auto"/>
              <w:right w:val="single" w:sz="8" w:space="0" w:color="auto"/>
            </w:tcBorders>
            <w:shd w:val="clear" w:color="auto" w:fill="auto"/>
            <w:vAlign w:val="center"/>
            <w:hideMark/>
          </w:tcPr>
          <w:p w14:paraId="498419E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6BE3128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0149B94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0456A21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0A95A53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29EF6E2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r>
      <w:tr w:rsidR="00D838DA" w:rsidRPr="00D838DA" w14:paraId="44320F2D"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9A3907B"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30</w:t>
            </w:r>
          </w:p>
        </w:tc>
        <w:tc>
          <w:tcPr>
            <w:tcW w:w="0" w:type="auto"/>
            <w:tcBorders>
              <w:top w:val="nil"/>
              <w:left w:val="nil"/>
              <w:bottom w:val="single" w:sz="8" w:space="0" w:color="auto"/>
              <w:right w:val="single" w:sz="8" w:space="0" w:color="auto"/>
            </w:tcBorders>
            <w:shd w:val="clear" w:color="auto" w:fill="auto"/>
            <w:vAlign w:val="center"/>
            <w:hideMark/>
          </w:tcPr>
          <w:p w14:paraId="72EAAD2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30009AC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223EFC1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c>
          <w:tcPr>
            <w:tcW w:w="0" w:type="auto"/>
            <w:tcBorders>
              <w:top w:val="nil"/>
              <w:left w:val="nil"/>
              <w:bottom w:val="single" w:sz="8" w:space="0" w:color="auto"/>
              <w:right w:val="single" w:sz="8" w:space="0" w:color="auto"/>
            </w:tcBorders>
            <w:shd w:val="clear" w:color="auto" w:fill="auto"/>
            <w:vAlign w:val="center"/>
            <w:hideMark/>
          </w:tcPr>
          <w:p w14:paraId="6559EDD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4606827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02C7C08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0.917</w:t>
            </w:r>
          </w:p>
        </w:tc>
      </w:tr>
      <w:tr w:rsidR="00D838DA" w:rsidRPr="00D838DA" w14:paraId="500D8E94"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F7D0F29"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40</w:t>
            </w:r>
          </w:p>
        </w:tc>
        <w:tc>
          <w:tcPr>
            <w:tcW w:w="0" w:type="auto"/>
            <w:tcBorders>
              <w:top w:val="nil"/>
              <w:left w:val="nil"/>
              <w:bottom w:val="single" w:sz="8" w:space="0" w:color="auto"/>
              <w:right w:val="single" w:sz="8" w:space="0" w:color="auto"/>
            </w:tcBorders>
            <w:shd w:val="clear" w:color="auto" w:fill="auto"/>
            <w:vAlign w:val="center"/>
            <w:hideMark/>
          </w:tcPr>
          <w:p w14:paraId="0BBB724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311B2A1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7A298AB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c>
          <w:tcPr>
            <w:tcW w:w="0" w:type="auto"/>
            <w:tcBorders>
              <w:top w:val="nil"/>
              <w:left w:val="nil"/>
              <w:bottom w:val="single" w:sz="8" w:space="0" w:color="auto"/>
              <w:right w:val="single" w:sz="8" w:space="0" w:color="auto"/>
            </w:tcBorders>
            <w:shd w:val="clear" w:color="auto" w:fill="auto"/>
            <w:vAlign w:val="center"/>
            <w:hideMark/>
          </w:tcPr>
          <w:p w14:paraId="26BB85B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0304B0D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6601044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0.924</w:t>
            </w:r>
          </w:p>
        </w:tc>
      </w:tr>
      <w:tr w:rsidR="00D838DA" w:rsidRPr="00D838DA" w14:paraId="64B4F156"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323A77F"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50</w:t>
            </w:r>
          </w:p>
        </w:tc>
        <w:tc>
          <w:tcPr>
            <w:tcW w:w="0" w:type="auto"/>
            <w:tcBorders>
              <w:top w:val="nil"/>
              <w:left w:val="nil"/>
              <w:bottom w:val="single" w:sz="8" w:space="0" w:color="auto"/>
              <w:right w:val="single" w:sz="8" w:space="0" w:color="auto"/>
            </w:tcBorders>
            <w:shd w:val="clear" w:color="auto" w:fill="auto"/>
            <w:vAlign w:val="center"/>
            <w:hideMark/>
          </w:tcPr>
          <w:p w14:paraId="79DD83E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421A542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071AC27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c>
          <w:tcPr>
            <w:tcW w:w="0" w:type="auto"/>
            <w:tcBorders>
              <w:top w:val="nil"/>
              <w:left w:val="nil"/>
              <w:bottom w:val="single" w:sz="8" w:space="0" w:color="auto"/>
              <w:right w:val="single" w:sz="8" w:space="0" w:color="auto"/>
            </w:tcBorders>
            <w:shd w:val="clear" w:color="auto" w:fill="auto"/>
            <w:vAlign w:val="center"/>
            <w:hideMark/>
          </w:tcPr>
          <w:p w14:paraId="28A343D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1A6D9B0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79E1C0F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0.930</w:t>
            </w:r>
          </w:p>
        </w:tc>
      </w:tr>
      <w:tr w:rsidR="00D838DA" w:rsidRPr="00D838DA" w14:paraId="4F1A4C24"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C9B6B34"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60</w:t>
            </w:r>
          </w:p>
        </w:tc>
        <w:tc>
          <w:tcPr>
            <w:tcW w:w="0" w:type="auto"/>
            <w:tcBorders>
              <w:top w:val="nil"/>
              <w:left w:val="nil"/>
              <w:bottom w:val="single" w:sz="8" w:space="0" w:color="auto"/>
              <w:right w:val="single" w:sz="8" w:space="0" w:color="auto"/>
            </w:tcBorders>
            <w:shd w:val="clear" w:color="auto" w:fill="auto"/>
            <w:vAlign w:val="center"/>
            <w:hideMark/>
          </w:tcPr>
          <w:p w14:paraId="416C602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75B10C0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24278FA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1CBE15F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435C7B1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4DEB189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r>
      <w:tr w:rsidR="00D838DA" w:rsidRPr="00D838DA" w14:paraId="7A37C673"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EE7D646"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75</w:t>
            </w:r>
          </w:p>
        </w:tc>
        <w:tc>
          <w:tcPr>
            <w:tcW w:w="0" w:type="auto"/>
            <w:tcBorders>
              <w:top w:val="nil"/>
              <w:left w:val="nil"/>
              <w:bottom w:val="single" w:sz="8" w:space="0" w:color="auto"/>
              <w:right w:val="single" w:sz="8" w:space="0" w:color="auto"/>
            </w:tcBorders>
            <w:shd w:val="clear" w:color="auto" w:fill="auto"/>
            <w:vAlign w:val="center"/>
            <w:hideMark/>
          </w:tcPr>
          <w:p w14:paraId="5F14030F"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1DC6492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5AF1AD9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049E6CA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0.945</w:t>
            </w:r>
          </w:p>
        </w:tc>
        <w:tc>
          <w:tcPr>
            <w:tcW w:w="0" w:type="auto"/>
            <w:tcBorders>
              <w:top w:val="nil"/>
              <w:left w:val="nil"/>
              <w:bottom w:val="single" w:sz="8" w:space="0" w:color="auto"/>
              <w:right w:val="single" w:sz="8" w:space="0" w:color="auto"/>
            </w:tcBorders>
            <w:shd w:val="clear" w:color="auto" w:fill="auto"/>
            <w:vAlign w:val="center"/>
            <w:hideMark/>
          </w:tcPr>
          <w:p w14:paraId="4CBC005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6366CF9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r>
      <w:tr w:rsidR="00D838DA" w:rsidRPr="00D838DA" w14:paraId="70AA6DFC"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8C512C0"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100</w:t>
            </w:r>
          </w:p>
        </w:tc>
        <w:tc>
          <w:tcPr>
            <w:tcW w:w="0" w:type="auto"/>
            <w:tcBorders>
              <w:top w:val="nil"/>
              <w:left w:val="nil"/>
              <w:bottom w:val="single" w:sz="8" w:space="0" w:color="auto"/>
              <w:right w:val="single" w:sz="8" w:space="0" w:color="auto"/>
            </w:tcBorders>
            <w:shd w:val="clear" w:color="auto" w:fill="auto"/>
            <w:vAlign w:val="center"/>
            <w:hideMark/>
          </w:tcPr>
          <w:p w14:paraId="4B6D3C0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38A477B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1891708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0.936</w:t>
            </w:r>
          </w:p>
        </w:tc>
        <w:tc>
          <w:tcPr>
            <w:tcW w:w="0" w:type="auto"/>
            <w:tcBorders>
              <w:top w:val="nil"/>
              <w:left w:val="nil"/>
              <w:bottom w:val="single" w:sz="8" w:space="0" w:color="auto"/>
              <w:right w:val="single" w:sz="8" w:space="0" w:color="auto"/>
            </w:tcBorders>
            <w:shd w:val="clear" w:color="auto" w:fill="auto"/>
            <w:vAlign w:val="center"/>
            <w:hideMark/>
          </w:tcPr>
          <w:p w14:paraId="1E97156F"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251DF8C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09DCA4C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r>
      <w:tr w:rsidR="00D838DA" w:rsidRPr="00D838DA" w14:paraId="172405F4"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54A5AE0"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125</w:t>
            </w:r>
          </w:p>
        </w:tc>
        <w:tc>
          <w:tcPr>
            <w:tcW w:w="0" w:type="auto"/>
            <w:tcBorders>
              <w:top w:val="nil"/>
              <w:left w:val="nil"/>
              <w:bottom w:val="single" w:sz="8" w:space="0" w:color="auto"/>
              <w:right w:val="single" w:sz="8" w:space="0" w:color="auto"/>
            </w:tcBorders>
            <w:shd w:val="clear" w:color="auto" w:fill="auto"/>
            <w:vAlign w:val="center"/>
            <w:hideMark/>
          </w:tcPr>
          <w:p w14:paraId="208D26A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6210C85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38E3364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7FA63F3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hideMark/>
          </w:tcPr>
          <w:p w14:paraId="27D44A1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162B533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r>
      <w:tr w:rsidR="00D838DA" w:rsidRPr="00D838DA" w14:paraId="1A6C2605"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C05121E"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150</w:t>
            </w:r>
          </w:p>
        </w:tc>
        <w:tc>
          <w:tcPr>
            <w:tcW w:w="0" w:type="auto"/>
            <w:tcBorders>
              <w:top w:val="nil"/>
              <w:left w:val="nil"/>
              <w:bottom w:val="single" w:sz="8" w:space="0" w:color="auto"/>
              <w:right w:val="single" w:sz="8" w:space="0" w:color="auto"/>
            </w:tcBorders>
            <w:shd w:val="clear" w:color="auto" w:fill="auto"/>
            <w:vAlign w:val="center"/>
            <w:hideMark/>
          </w:tcPr>
          <w:p w14:paraId="4994F6B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hideMark/>
          </w:tcPr>
          <w:p w14:paraId="72CABBC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14:paraId="66938D1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0.941</w:t>
            </w:r>
          </w:p>
        </w:tc>
        <w:tc>
          <w:tcPr>
            <w:tcW w:w="0" w:type="auto"/>
            <w:tcBorders>
              <w:top w:val="nil"/>
              <w:left w:val="nil"/>
              <w:bottom w:val="single" w:sz="8" w:space="0" w:color="auto"/>
              <w:right w:val="single" w:sz="8" w:space="0" w:color="auto"/>
            </w:tcBorders>
            <w:shd w:val="clear" w:color="auto" w:fill="auto"/>
            <w:vAlign w:val="center"/>
            <w:hideMark/>
          </w:tcPr>
          <w:p w14:paraId="4597F76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14:paraId="71FC158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hideMark/>
          </w:tcPr>
          <w:p w14:paraId="6ED271FF"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r>
      <w:tr w:rsidR="00D838DA" w:rsidRPr="00D838DA" w14:paraId="6EC04E69"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41FB5453"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200</w:t>
            </w:r>
          </w:p>
        </w:tc>
        <w:tc>
          <w:tcPr>
            <w:tcW w:w="0" w:type="auto"/>
            <w:tcBorders>
              <w:top w:val="nil"/>
              <w:left w:val="nil"/>
              <w:bottom w:val="single" w:sz="8" w:space="0" w:color="auto"/>
              <w:right w:val="single" w:sz="8" w:space="0" w:color="auto"/>
            </w:tcBorders>
            <w:shd w:val="clear" w:color="auto" w:fill="auto"/>
            <w:vAlign w:val="center"/>
          </w:tcPr>
          <w:p w14:paraId="61DECB1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3B213FF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05A0AD9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tcPr>
          <w:p w14:paraId="002F79A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385ADDA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10F6FFC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r>
      <w:tr w:rsidR="00D838DA" w:rsidRPr="00D838DA" w14:paraId="575D422A"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628D0469"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250</w:t>
            </w:r>
          </w:p>
        </w:tc>
        <w:tc>
          <w:tcPr>
            <w:tcW w:w="0" w:type="auto"/>
            <w:tcBorders>
              <w:top w:val="nil"/>
              <w:left w:val="nil"/>
              <w:bottom w:val="single" w:sz="8" w:space="0" w:color="auto"/>
              <w:right w:val="single" w:sz="8" w:space="0" w:color="auto"/>
            </w:tcBorders>
            <w:shd w:val="clear" w:color="auto" w:fill="auto"/>
            <w:vAlign w:val="center"/>
          </w:tcPr>
          <w:p w14:paraId="56EF0A2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2B6499F6"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4D73438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0.950</w:t>
            </w:r>
          </w:p>
        </w:tc>
        <w:tc>
          <w:tcPr>
            <w:tcW w:w="0" w:type="auto"/>
            <w:tcBorders>
              <w:top w:val="nil"/>
              <w:left w:val="nil"/>
              <w:bottom w:val="single" w:sz="8" w:space="0" w:color="auto"/>
              <w:right w:val="single" w:sz="8" w:space="0" w:color="auto"/>
            </w:tcBorders>
            <w:shd w:val="clear" w:color="auto" w:fill="auto"/>
            <w:vAlign w:val="center"/>
          </w:tcPr>
          <w:p w14:paraId="59F1EDE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3141882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3A11C91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14:paraId="1B07BAA3"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2FC01CED"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300</w:t>
            </w:r>
          </w:p>
        </w:tc>
        <w:tc>
          <w:tcPr>
            <w:tcW w:w="0" w:type="auto"/>
            <w:tcBorders>
              <w:top w:val="nil"/>
              <w:left w:val="nil"/>
              <w:bottom w:val="single" w:sz="8" w:space="0" w:color="auto"/>
              <w:right w:val="single" w:sz="8" w:space="0" w:color="auto"/>
            </w:tcBorders>
            <w:shd w:val="clear" w:color="auto" w:fill="auto"/>
            <w:vAlign w:val="center"/>
          </w:tcPr>
          <w:p w14:paraId="7822778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5D4F6DA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4B2F493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70185B68"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717786D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117D9D49"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14:paraId="3F881800"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128FACC6"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350</w:t>
            </w:r>
          </w:p>
        </w:tc>
        <w:tc>
          <w:tcPr>
            <w:tcW w:w="0" w:type="auto"/>
            <w:tcBorders>
              <w:top w:val="nil"/>
              <w:left w:val="nil"/>
              <w:bottom w:val="single" w:sz="8" w:space="0" w:color="auto"/>
              <w:right w:val="single" w:sz="8" w:space="0" w:color="auto"/>
            </w:tcBorders>
            <w:shd w:val="clear" w:color="auto" w:fill="auto"/>
            <w:vAlign w:val="center"/>
          </w:tcPr>
          <w:p w14:paraId="2CE3EC31"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3EE8D97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05EC410B"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0.954</w:t>
            </w:r>
          </w:p>
        </w:tc>
        <w:tc>
          <w:tcPr>
            <w:tcW w:w="0" w:type="auto"/>
            <w:tcBorders>
              <w:top w:val="nil"/>
              <w:left w:val="nil"/>
              <w:bottom w:val="single" w:sz="8" w:space="0" w:color="auto"/>
              <w:right w:val="single" w:sz="8" w:space="0" w:color="auto"/>
            </w:tcBorders>
            <w:shd w:val="clear" w:color="auto" w:fill="auto"/>
            <w:vAlign w:val="center"/>
          </w:tcPr>
          <w:p w14:paraId="5387F20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215DB94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2398FF5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14:paraId="5916601E"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630D93B6"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400</w:t>
            </w:r>
          </w:p>
        </w:tc>
        <w:tc>
          <w:tcPr>
            <w:tcW w:w="0" w:type="auto"/>
            <w:tcBorders>
              <w:top w:val="nil"/>
              <w:left w:val="nil"/>
              <w:bottom w:val="single" w:sz="8" w:space="0" w:color="auto"/>
              <w:right w:val="single" w:sz="8" w:space="0" w:color="auto"/>
            </w:tcBorders>
            <w:shd w:val="clear" w:color="auto" w:fill="auto"/>
            <w:vAlign w:val="center"/>
          </w:tcPr>
          <w:p w14:paraId="1AE8938C"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677120F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7A09E1DE"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682AE873"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512465B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7C5EBA1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14:paraId="05F3E43B"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4A7255A9"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450</w:t>
            </w:r>
          </w:p>
        </w:tc>
        <w:tc>
          <w:tcPr>
            <w:tcW w:w="0" w:type="auto"/>
            <w:tcBorders>
              <w:top w:val="nil"/>
              <w:left w:val="nil"/>
              <w:bottom w:val="single" w:sz="8" w:space="0" w:color="auto"/>
              <w:right w:val="single" w:sz="8" w:space="0" w:color="auto"/>
            </w:tcBorders>
            <w:shd w:val="clear" w:color="auto" w:fill="auto"/>
            <w:vAlign w:val="center"/>
          </w:tcPr>
          <w:p w14:paraId="1F4D0A6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69954C1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1F93ED9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090D686F"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626C29DD"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6A8EDE52"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r w:rsidR="00D838DA" w:rsidRPr="00D838DA" w14:paraId="45E8EC47" w14:textId="77777777" w:rsidTr="0031660E">
        <w:trPr>
          <w:jc w:val="center"/>
        </w:trPr>
        <w:tc>
          <w:tcPr>
            <w:tcW w:w="0" w:type="auto"/>
            <w:tcBorders>
              <w:top w:val="nil"/>
              <w:left w:val="single" w:sz="8" w:space="0" w:color="auto"/>
              <w:bottom w:val="single" w:sz="8" w:space="0" w:color="auto"/>
              <w:right w:val="single" w:sz="8" w:space="0" w:color="auto"/>
            </w:tcBorders>
            <w:shd w:val="clear" w:color="auto" w:fill="auto"/>
            <w:vAlign w:val="center"/>
          </w:tcPr>
          <w:p w14:paraId="7887693F" w14:textId="77777777" w:rsidR="00D838DA" w:rsidRPr="00D838DA" w:rsidRDefault="00D838DA" w:rsidP="00D838DA">
            <w:pPr>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500</w:t>
            </w:r>
          </w:p>
        </w:tc>
        <w:tc>
          <w:tcPr>
            <w:tcW w:w="0" w:type="auto"/>
            <w:tcBorders>
              <w:top w:val="nil"/>
              <w:left w:val="nil"/>
              <w:bottom w:val="single" w:sz="8" w:space="0" w:color="auto"/>
              <w:right w:val="single" w:sz="8" w:space="0" w:color="auto"/>
            </w:tcBorders>
            <w:shd w:val="clear" w:color="auto" w:fill="auto"/>
            <w:vAlign w:val="center"/>
          </w:tcPr>
          <w:p w14:paraId="7DDD907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37FC2BBA"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b/>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60265A35"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3A5F82B7"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c>
          <w:tcPr>
            <w:tcW w:w="0" w:type="auto"/>
            <w:tcBorders>
              <w:top w:val="nil"/>
              <w:left w:val="nil"/>
              <w:bottom w:val="single" w:sz="8" w:space="0" w:color="auto"/>
              <w:right w:val="single" w:sz="8" w:space="0" w:color="auto"/>
            </w:tcBorders>
            <w:shd w:val="clear" w:color="auto" w:fill="auto"/>
            <w:vAlign w:val="center"/>
          </w:tcPr>
          <w:p w14:paraId="7D2669B0"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0.962</w:t>
            </w:r>
          </w:p>
        </w:tc>
        <w:tc>
          <w:tcPr>
            <w:tcW w:w="0" w:type="auto"/>
            <w:tcBorders>
              <w:top w:val="nil"/>
              <w:left w:val="nil"/>
              <w:bottom w:val="single" w:sz="8" w:space="0" w:color="auto"/>
              <w:right w:val="single" w:sz="8" w:space="0" w:color="auto"/>
            </w:tcBorders>
            <w:shd w:val="clear" w:color="auto" w:fill="auto"/>
            <w:vAlign w:val="center"/>
          </w:tcPr>
          <w:p w14:paraId="45B18284" w14:textId="77777777" w:rsidR="00D838DA" w:rsidRPr="00D838DA" w:rsidRDefault="00D838DA" w:rsidP="00D838DA">
            <w:pPr>
              <w:widowControl w:val="0"/>
              <w:autoSpaceDE w:val="0"/>
              <w:autoSpaceDN w:val="0"/>
              <w:spacing w:after="120" w:line="240" w:lineRule="auto"/>
              <w:jc w:val="center"/>
              <w:rPr>
                <w:rFonts w:ascii="Calibri" w:eastAsia="Times New Roman" w:hAnsi="Calibri" w:cs="Arial"/>
                <w:color w:val="000000"/>
                <w:sz w:val="20"/>
                <w:szCs w:val="20"/>
              </w:rPr>
            </w:pPr>
            <w:r w:rsidRPr="00D838DA">
              <w:rPr>
                <w:rFonts w:ascii="Calibri" w:eastAsia="Times New Roman" w:hAnsi="Calibri" w:cs="Arial"/>
                <w:color w:val="000000"/>
                <w:sz w:val="20"/>
                <w:szCs w:val="20"/>
              </w:rPr>
              <w:t>0.958</w:t>
            </w:r>
          </w:p>
        </w:tc>
      </w:tr>
    </w:tbl>
    <w:p w14:paraId="13BD2FF8" w14:textId="77777777" w:rsidR="00D838DA" w:rsidRPr="00D838DA" w:rsidRDefault="00D838DA" w:rsidP="00D838DA">
      <w:pPr>
        <w:spacing w:after="120" w:line="240" w:lineRule="auto"/>
        <w:ind w:left="810" w:firstLine="720"/>
        <w:rPr>
          <w:rFonts w:ascii="Calibri" w:eastAsia="Times New Roman" w:hAnsi="Calibri" w:cs="Times New Roman"/>
          <w:sz w:val="20"/>
          <w:szCs w:val="20"/>
        </w:rPr>
      </w:pPr>
    </w:p>
    <w:p w14:paraId="5BE5FE34"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RHRS</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ab/>
        <w:t>= Annual operating hours for fan motor based on building type</w:t>
      </w:r>
    </w:p>
    <w:p w14:paraId="21560B2D" w14:textId="77777777" w:rsidR="00D838DA" w:rsidRDefault="00D838DA" w:rsidP="00D838DA">
      <w:pPr>
        <w:spacing w:after="240" w:line="240" w:lineRule="auto"/>
        <w:ind w:left="2160"/>
        <w:rPr>
          <w:rFonts w:ascii="Calibri" w:eastAsia="Times New Roman" w:hAnsi="Calibri" w:cs="Times New Roman"/>
          <w:sz w:val="20"/>
          <w:szCs w:val="20"/>
        </w:rPr>
      </w:pPr>
      <w:r w:rsidRPr="00D838DA">
        <w:rPr>
          <w:rFonts w:ascii="Calibri" w:eastAsia="Times New Roman" w:hAnsi="Calibri" w:cs="Times New Roman"/>
          <w:sz w:val="20"/>
          <w:szCs w:val="20"/>
        </w:rPr>
        <w:t>Default hours are provided for HVAC applications which vary by HVAC application and building type</w:t>
      </w:r>
      <w:r w:rsidRPr="00D838DA">
        <w:rPr>
          <w:rFonts w:ascii="Calibri" w:eastAsia="Times New Roman" w:hAnsi="Calibri" w:cs="Times New Roman"/>
          <w:sz w:val="20"/>
          <w:szCs w:val="20"/>
          <w:vertAlign w:val="superscript"/>
        </w:rPr>
        <w:footnoteReference w:id="8"/>
      </w:r>
      <w:r w:rsidRPr="00D838DA">
        <w:rPr>
          <w:rFonts w:ascii="Calibri" w:eastAsia="Times New Roman" w:hAnsi="Calibri" w:cs="Times New Roman"/>
          <w:sz w:val="20"/>
          <w:szCs w:val="20"/>
        </w:rPr>
        <w:t>.   When available, actual hours should be used.</w:t>
      </w:r>
    </w:p>
    <w:tbl>
      <w:tblPr>
        <w:tblW w:w="4420" w:type="dxa"/>
        <w:jc w:val="center"/>
        <w:tblInd w:w="93" w:type="dxa"/>
        <w:tblLook w:val="04A0" w:firstRow="1" w:lastRow="0" w:firstColumn="1" w:lastColumn="0" w:noHBand="0" w:noVBand="1"/>
      </w:tblPr>
      <w:tblGrid>
        <w:gridCol w:w="3100"/>
        <w:gridCol w:w="1320"/>
        <w:tblGridChange w:id="1">
          <w:tblGrid>
            <w:gridCol w:w="3100"/>
            <w:gridCol w:w="1320"/>
          </w:tblGrid>
        </w:tblGridChange>
      </w:tblGrid>
      <w:tr w:rsidR="0031660E" w:rsidRPr="0031660E" w14:paraId="6C71910C" w14:textId="77777777" w:rsidTr="008F01CB">
        <w:trPr>
          <w:trHeight w:val="255"/>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7CF7819B" w14:textId="77777777" w:rsidR="0031660E" w:rsidRPr="0031660E" w:rsidRDefault="0031660E" w:rsidP="0031660E">
            <w:pPr>
              <w:spacing w:after="0" w:line="240" w:lineRule="auto"/>
              <w:rPr>
                <w:rFonts w:ascii="Calibri" w:eastAsia="Times New Roman" w:hAnsi="Calibri" w:cs="Times New Roman"/>
                <w:color w:val="FFFFFF"/>
                <w:sz w:val="20"/>
                <w:szCs w:val="20"/>
              </w:rPr>
            </w:pPr>
            <w:r>
              <w:rPr>
                <w:rFonts w:ascii="Calibri" w:eastAsia="Times New Roman" w:hAnsi="Calibri" w:cs="Times New Roman"/>
                <w:color w:val="FFFFFF"/>
                <w:sz w:val="20"/>
                <w:szCs w:val="20"/>
              </w:rPr>
              <w:t>Building Type</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3E34035B" w14:textId="77777777" w:rsidR="0031660E" w:rsidRPr="0031660E" w:rsidRDefault="0031660E" w:rsidP="0031660E">
            <w:pPr>
              <w:spacing w:after="0" w:line="240" w:lineRule="auto"/>
              <w:jc w:val="center"/>
              <w:rPr>
                <w:rFonts w:ascii="Calibri" w:eastAsia="Times New Roman" w:hAnsi="Calibri" w:cs="Times New Roman"/>
                <w:b/>
                <w:bCs/>
                <w:color w:val="FFFFFF"/>
                <w:sz w:val="20"/>
                <w:szCs w:val="20"/>
              </w:rPr>
            </w:pPr>
            <w:r>
              <w:rPr>
                <w:rFonts w:ascii="Calibri" w:eastAsia="Times New Roman" w:hAnsi="Calibri" w:cs="Times New Roman"/>
                <w:b/>
                <w:bCs/>
                <w:color w:val="FFFFFF"/>
                <w:sz w:val="20"/>
                <w:szCs w:val="20"/>
              </w:rPr>
              <w:t xml:space="preserve">Total </w:t>
            </w:r>
            <w:r w:rsidRPr="0031660E">
              <w:rPr>
                <w:rFonts w:ascii="Calibri" w:eastAsia="Times New Roman" w:hAnsi="Calibri" w:cs="Times New Roman"/>
                <w:b/>
                <w:bCs/>
                <w:color w:val="FFFFFF"/>
                <w:sz w:val="20"/>
                <w:szCs w:val="20"/>
              </w:rPr>
              <w:t>Fan Run Hours</w:t>
            </w:r>
          </w:p>
        </w:tc>
      </w:tr>
      <w:tr w:rsidR="0031660E" w:rsidRPr="0031660E" w14:paraId="612EE763"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BD67524"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Assembly</w:t>
            </w:r>
          </w:p>
        </w:tc>
        <w:tc>
          <w:tcPr>
            <w:tcW w:w="1320" w:type="dxa"/>
            <w:tcBorders>
              <w:top w:val="nil"/>
              <w:left w:val="nil"/>
              <w:bottom w:val="single" w:sz="4" w:space="0" w:color="auto"/>
              <w:right w:val="single" w:sz="4" w:space="0" w:color="auto"/>
            </w:tcBorders>
            <w:shd w:val="clear" w:color="auto" w:fill="auto"/>
            <w:noWrap/>
            <w:vAlign w:val="bottom"/>
            <w:hideMark/>
          </w:tcPr>
          <w:p w14:paraId="4D58C29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7235</w:t>
            </w:r>
          </w:p>
        </w:tc>
      </w:tr>
      <w:tr w:rsidR="0031660E" w:rsidRPr="0031660E" w14:paraId="647ED3D6"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F6F9F7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Assisted Living</w:t>
            </w:r>
          </w:p>
        </w:tc>
        <w:tc>
          <w:tcPr>
            <w:tcW w:w="1320" w:type="dxa"/>
            <w:tcBorders>
              <w:top w:val="nil"/>
              <w:left w:val="nil"/>
              <w:bottom w:val="single" w:sz="4" w:space="0" w:color="auto"/>
              <w:right w:val="single" w:sz="4" w:space="0" w:color="auto"/>
            </w:tcBorders>
            <w:shd w:val="clear" w:color="auto" w:fill="auto"/>
            <w:noWrap/>
            <w:vAlign w:val="bottom"/>
            <w:hideMark/>
          </w:tcPr>
          <w:p w14:paraId="5844DA7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31660E" w:rsidRPr="0031660E" w14:paraId="3C25C1FE"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0919E31"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College</w:t>
            </w:r>
          </w:p>
        </w:tc>
        <w:tc>
          <w:tcPr>
            <w:tcW w:w="1320" w:type="dxa"/>
            <w:tcBorders>
              <w:top w:val="nil"/>
              <w:left w:val="nil"/>
              <w:bottom w:val="single" w:sz="4" w:space="0" w:color="auto"/>
              <w:right w:val="single" w:sz="4" w:space="0" w:color="auto"/>
            </w:tcBorders>
            <w:shd w:val="clear" w:color="auto" w:fill="auto"/>
            <w:noWrap/>
            <w:vAlign w:val="bottom"/>
            <w:hideMark/>
          </w:tcPr>
          <w:p w14:paraId="1D6EBBC2"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6103</w:t>
            </w:r>
          </w:p>
        </w:tc>
      </w:tr>
      <w:tr w:rsidR="0031660E" w:rsidRPr="0031660E" w14:paraId="4B42E7A6"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F8FEFD0"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Convenience Store</w:t>
            </w:r>
          </w:p>
        </w:tc>
        <w:tc>
          <w:tcPr>
            <w:tcW w:w="1320" w:type="dxa"/>
            <w:tcBorders>
              <w:top w:val="nil"/>
              <w:left w:val="nil"/>
              <w:bottom w:val="single" w:sz="4" w:space="0" w:color="auto"/>
              <w:right w:val="single" w:sz="4" w:space="0" w:color="auto"/>
            </w:tcBorders>
            <w:shd w:val="clear" w:color="auto" w:fill="auto"/>
            <w:noWrap/>
            <w:vAlign w:val="bottom"/>
            <w:hideMark/>
          </w:tcPr>
          <w:p w14:paraId="1FEFBD6E"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7004</w:t>
            </w:r>
          </w:p>
        </w:tc>
      </w:tr>
      <w:tr w:rsidR="0031660E" w:rsidRPr="0031660E" w14:paraId="49668EF3"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0BD981B"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Elementary School</w:t>
            </w:r>
          </w:p>
        </w:tc>
        <w:tc>
          <w:tcPr>
            <w:tcW w:w="1320" w:type="dxa"/>
            <w:tcBorders>
              <w:top w:val="nil"/>
              <w:left w:val="nil"/>
              <w:bottom w:val="single" w:sz="4" w:space="0" w:color="auto"/>
              <w:right w:val="single" w:sz="4" w:space="0" w:color="auto"/>
            </w:tcBorders>
            <w:shd w:val="clear" w:color="auto" w:fill="auto"/>
            <w:noWrap/>
            <w:vAlign w:val="bottom"/>
            <w:hideMark/>
          </w:tcPr>
          <w:p w14:paraId="6481249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7522</w:t>
            </w:r>
          </w:p>
        </w:tc>
      </w:tr>
      <w:tr w:rsidR="0031660E" w:rsidRPr="0031660E" w14:paraId="20D98A9D"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E86DA0A"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Garage</w:t>
            </w:r>
          </w:p>
        </w:tc>
        <w:tc>
          <w:tcPr>
            <w:tcW w:w="1320" w:type="dxa"/>
            <w:tcBorders>
              <w:top w:val="nil"/>
              <w:left w:val="nil"/>
              <w:bottom w:val="single" w:sz="4" w:space="0" w:color="auto"/>
              <w:right w:val="single" w:sz="4" w:space="0" w:color="auto"/>
            </w:tcBorders>
            <w:shd w:val="clear" w:color="auto" w:fill="auto"/>
            <w:noWrap/>
            <w:vAlign w:val="bottom"/>
            <w:hideMark/>
          </w:tcPr>
          <w:p w14:paraId="1667A2B4"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7357</w:t>
            </w:r>
          </w:p>
        </w:tc>
      </w:tr>
      <w:tr w:rsidR="0031660E" w:rsidRPr="0031660E" w14:paraId="21ABF814"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4A77DDA"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Grocery</w:t>
            </w:r>
          </w:p>
        </w:tc>
        <w:tc>
          <w:tcPr>
            <w:tcW w:w="1320" w:type="dxa"/>
            <w:tcBorders>
              <w:top w:val="nil"/>
              <w:left w:val="nil"/>
              <w:bottom w:val="single" w:sz="4" w:space="0" w:color="auto"/>
              <w:right w:val="single" w:sz="4" w:space="0" w:color="auto"/>
            </w:tcBorders>
            <w:shd w:val="clear" w:color="auto" w:fill="auto"/>
            <w:noWrap/>
            <w:vAlign w:val="bottom"/>
            <w:hideMark/>
          </w:tcPr>
          <w:p w14:paraId="389405B6"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7403</w:t>
            </w:r>
          </w:p>
        </w:tc>
      </w:tr>
      <w:tr w:rsidR="0031660E" w:rsidRPr="0031660E" w14:paraId="22091BA6"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D58CC6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Healthcare Clinic</w:t>
            </w:r>
          </w:p>
        </w:tc>
        <w:tc>
          <w:tcPr>
            <w:tcW w:w="1320" w:type="dxa"/>
            <w:tcBorders>
              <w:top w:val="nil"/>
              <w:left w:val="nil"/>
              <w:bottom w:val="single" w:sz="4" w:space="0" w:color="auto"/>
              <w:right w:val="single" w:sz="4" w:space="0" w:color="auto"/>
            </w:tcBorders>
            <w:shd w:val="clear" w:color="auto" w:fill="auto"/>
            <w:noWrap/>
            <w:vAlign w:val="bottom"/>
            <w:hideMark/>
          </w:tcPr>
          <w:p w14:paraId="32A5E9DA"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6345</w:t>
            </w:r>
          </w:p>
        </w:tc>
      </w:tr>
      <w:tr w:rsidR="0031660E" w:rsidRPr="0031660E" w14:paraId="4160EED8"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27685C5"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High School</w:t>
            </w:r>
          </w:p>
        </w:tc>
        <w:tc>
          <w:tcPr>
            <w:tcW w:w="1320" w:type="dxa"/>
            <w:tcBorders>
              <w:top w:val="nil"/>
              <w:left w:val="nil"/>
              <w:bottom w:val="single" w:sz="4" w:space="0" w:color="auto"/>
              <w:right w:val="single" w:sz="4" w:space="0" w:color="auto"/>
            </w:tcBorders>
            <w:shd w:val="clear" w:color="auto" w:fill="auto"/>
            <w:noWrap/>
            <w:vAlign w:val="bottom"/>
            <w:hideMark/>
          </w:tcPr>
          <w:p w14:paraId="27F6C7EF"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7879</w:t>
            </w:r>
          </w:p>
        </w:tc>
      </w:tr>
      <w:tr w:rsidR="0031660E" w:rsidRPr="0031660E" w14:paraId="23FC5579"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EB7B83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Hospital - VAV econ</w:t>
            </w:r>
          </w:p>
        </w:tc>
        <w:tc>
          <w:tcPr>
            <w:tcW w:w="1320" w:type="dxa"/>
            <w:tcBorders>
              <w:top w:val="nil"/>
              <w:left w:val="nil"/>
              <w:bottom w:val="single" w:sz="4" w:space="0" w:color="auto"/>
              <w:right w:val="single" w:sz="4" w:space="0" w:color="auto"/>
            </w:tcBorders>
            <w:shd w:val="clear" w:color="auto" w:fill="auto"/>
            <w:noWrap/>
            <w:vAlign w:val="bottom"/>
            <w:hideMark/>
          </w:tcPr>
          <w:p w14:paraId="29224D4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31660E" w:rsidRPr="0031660E" w14:paraId="2ED6D7CB"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267B5E9"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Hospital - CAV econ</w:t>
            </w:r>
          </w:p>
        </w:tc>
        <w:tc>
          <w:tcPr>
            <w:tcW w:w="1320" w:type="dxa"/>
            <w:tcBorders>
              <w:top w:val="nil"/>
              <w:left w:val="nil"/>
              <w:bottom w:val="single" w:sz="4" w:space="0" w:color="auto"/>
              <w:right w:val="single" w:sz="4" w:space="0" w:color="auto"/>
            </w:tcBorders>
            <w:shd w:val="clear" w:color="auto" w:fill="auto"/>
            <w:noWrap/>
            <w:vAlign w:val="bottom"/>
            <w:hideMark/>
          </w:tcPr>
          <w:p w14:paraId="7FBA72E6"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31660E" w:rsidRPr="0031660E" w14:paraId="14FF896D"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321525A"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Hospital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306104B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31660E" w:rsidRPr="0031660E" w14:paraId="04AFDC16"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A47DF02"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Hospital - FCU</w:t>
            </w:r>
          </w:p>
        </w:tc>
        <w:tc>
          <w:tcPr>
            <w:tcW w:w="1320" w:type="dxa"/>
            <w:tcBorders>
              <w:top w:val="nil"/>
              <w:left w:val="nil"/>
              <w:bottom w:val="single" w:sz="4" w:space="0" w:color="auto"/>
              <w:right w:val="single" w:sz="4" w:space="0" w:color="auto"/>
            </w:tcBorders>
            <w:shd w:val="clear" w:color="auto" w:fill="auto"/>
            <w:noWrap/>
            <w:vAlign w:val="bottom"/>
            <w:hideMark/>
          </w:tcPr>
          <w:p w14:paraId="22432359"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31660E" w:rsidRPr="0031660E" w14:paraId="0B5CC174"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99AE7CB"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Manufacturing Facility</w:t>
            </w:r>
          </w:p>
        </w:tc>
        <w:tc>
          <w:tcPr>
            <w:tcW w:w="1320" w:type="dxa"/>
            <w:tcBorders>
              <w:top w:val="nil"/>
              <w:left w:val="nil"/>
              <w:bottom w:val="single" w:sz="4" w:space="0" w:color="auto"/>
              <w:right w:val="single" w:sz="4" w:space="0" w:color="auto"/>
            </w:tcBorders>
            <w:shd w:val="clear" w:color="auto" w:fill="auto"/>
            <w:noWrap/>
            <w:vAlign w:val="bottom"/>
            <w:hideMark/>
          </w:tcPr>
          <w:p w14:paraId="76BB5299"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8706</w:t>
            </w:r>
          </w:p>
        </w:tc>
      </w:tr>
      <w:tr w:rsidR="0031660E" w:rsidRPr="0031660E" w14:paraId="0EB144B0"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0763B0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MF - High Rise</w:t>
            </w:r>
          </w:p>
        </w:tc>
        <w:tc>
          <w:tcPr>
            <w:tcW w:w="1320" w:type="dxa"/>
            <w:tcBorders>
              <w:top w:val="nil"/>
              <w:left w:val="nil"/>
              <w:bottom w:val="single" w:sz="4" w:space="0" w:color="auto"/>
              <w:right w:val="single" w:sz="4" w:space="0" w:color="auto"/>
            </w:tcBorders>
            <w:shd w:val="clear" w:color="auto" w:fill="auto"/>
            <w:noWrap/>
            <w:vAlign w:val="bottom"/>
            <w:hideMark/>
          </w:tcPr>
          <w:p w14:paraId="52C29A96" w14:textId="1F2969AF" w:rsidR="0031660E" w:rsidRPr="0031660E" w:rsidRDefault="0031660E" w:rsidP="0031660E">
            <w:pPr>
              <w:spacing w:after="0" w:line="240" w:lineRule="auto"/>
              <w:jc w:val="center"/>
              <w:rPr>
                <w:rFonts w:ascii="Calibri" w:eastAsia="Times New Roman" w:hAnsi="Calibri" w:cs="Times New Roman"/>
                <w:color w:val="000000"/>
                <w:sz w:val="20"/>
                <w:szCs w:val="20"/>
              </w:rPr>
            </w:pPr>
            <w:del w:id="2" w:author="Samuel Dent" w:date="2015-12-18T09:28:00Z">
              <w:r w:rsidRPr="0031660E">
                <w:rPr>
                  <w:rFonts w:ascii="Calibri" w:eastAsia="Times New Roman" w:hAnsi="Calibri" w:cs="Times New Roman"/>
                  <w:color w:val="000000"/>
                  <w:sz w:val="20"/>
                  <w:szCs w:val="20"/>
                </w:rPr>
                <w:delText> </w:delText>
              </w:r>
              <w:r>
                <w:rPr>
                  <w:rFonts w:ascii="Calibri" w:eastAsia="Times New Roman" w:hAnsi="Calibri" w:cs="Times New Roman"/>
                  <w:color w:val="000000"/>
                  <w:sz w:val="20"/>
                  <w:szCs w:val="20"/>
                </w:rPr>
                <w:delText>TBD</w:delText>
              </w:r>
            </w:del>
            <w:ins w:id="3" w:author="Samuel Dent" w:date="2015-12-18T09:28:00Z">
              <w:r w:rsidR="00F6774E">
                <w:rPr>
                  <w:rFonts w:ascii="Calibri" w:eastAsia="Times New Roman" w:hAnsi="Calibri" w:cs="Times New Roman"/>
                  <w:color w:val="000000"/>
                  <w:sz w:val="20"/>
                  <w:szCs w:val="20"/>
                </w:rPr>
                <w:t>8760</w:t>
              </w:r>
            </w:ins>
          </w:p>
        </w:tc>
      </w:tr>
      <w:tr w:rsidR="0031660E" w:rsidRPr="0031660E" w14:paraId="322B6812"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1A4CADC"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MF - Mid Rise</w:t>
            </w:r>
          </w:p>
        </w:tc>
        <w:tc>
          <w:tcPr>
            <w:tcW w:w="1320" w:type="dxa"/>
            <w:tcBorders>
              <w:top w:val="nil"/>
              <w:left w:val="nil"/>
              <w:bottom w:val="single" w:sz="4" w:space="0" w:color="auto"/>
              <w:right w:val="single" w:sz="4" w:space="0" w:color="auto"/>
            </w:tcBorders>
            <w:shd w:val="clear" w:color="auto" w:fill="auto"/>
            <w:noWrap/>
            <w:vAlign w:val="bottom"/>
            <w:hideMark/>
          </w:tcPr>
          <w:p w14:paraId="6A07393A"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8760</w:t>
            </w:r>
          </w:p>
        </w:tc>
      </w:tr>
      <w:tr w:rsidR="00F6774E" w:rsidRPr="0031660E" w14:paraId="1BC66FD6"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64459FF" w14:textId="77777777" w:rsidR="00F6774E" w:rsidRPr="0031660E" w:rsidRDefault="00F6774E" w:rsidP="0031660E">
            <w:pPr>
              <w:spacing w:after="0" w:line="240" w:lineRule="auto"/>
              <w:rPr>
                <w:rFonts w:ascii="Calibri" w:eastAsia="Times New Roman" w:hAnsi="Calibri" w:cs="Times New Roman"/>
                <w:color w:val="000000"/>
                <w:sz w:val="20"/>
                <w:szCs w:val="20"/>
              </w:rPr>
            </w:pPr>
            <w:ins w:id="4" w:author="Samuel Dent" w:date="2015-12-18T09:28:00Z">
              <w:r>
                <w:rPr>
                  <w:rFonts w:ascii="Calibri" w:hAnsi="Calibri"/>
                  <w:color w:val="000000"/>
                  <w:sz w:val="20"/>
                  <w:szCs w:val="20"/>
                </w:rPr>
                <w:t>Hotel/</w:t>
              </w:r>
            </w:ins>
            <w:r>
              <w:rPr>
                <w:rFonts w:ascii="Calibri" w:hAnsi="Calibri"/>
                <w:color w:val="000000"/>
                <w:sz w:val="20"/>
                <w:szCs w:val="20"/>
              </w:rPr>
              <w:t>Motel</w:t>
            </w:r>
            <w:ins w:id="5" w:author="Samuel Dent" w:date="2015-12-18T09:28:00Z">
              <w:r>
                <w:rPr>
                  <w:rFonts w:ascii="Calibri" w:hAnsi="Calibri"/>
                  <w:color w:val="000000"/>
                  <w:sz w:val="20"/>
                  <w:szCs w:val="20"/>
                </w:rPr>
                <w:t xml:space="preserve"> - Guest</w:t>
              </w:r>
            </w:ins>
          </w:p>
        </w:tc>
        <w:tc>
          <w:tcPr>
            <w:tcW w:w="1320" w:type="dxa"/>
            <w:tcBorders>
              <w:top w:val="nil"/>
              <w:left w:val="nil"/>
              <w:bottom w:val="single" w:sz="4" w:space="0" w:color="auto"/>
              <w:right w:val="single" w:sz="4" w:space="0" w:color="auto"/>
            </w:tcBorders>
            <w:shd w:val="clear" w:color="auto" w:fill="auto"/>
            <w:noWrap/>
            <w:vAlign w:val="bottom"/>
            <w:hideMark/>
          </w:tcPr>
          <w:p w14:paraId="473D7536" w14:textId="12C8260F" w:rsidR="00F6774E" w:rsidRPr="0031660E" w:rsidRDefault="0031660E" w:rsidP="0031660E">
            <w:pPr>
              <w:spacing w:after="0" w:line="240" w:lineRule="auto"/>
              <w:jc w:val="center"/>
              <w:rPr>
                <w:rFonts w:ascii="Calibri" w:eastAsia="Times New Roman" w:hAnsi="Calibri" w:cs="Times New Roman"/>
                <w:color w:val="000000"/>
                <w:sz w:val="20"/>
                <w:szCs w:val="20"/>
              </w:rPr>
            </w:pPr>
            <w:del w:id="6" w:author="Samuel Dent" w:date="2015-12-18T09:28:00Z">
              <w:r w:rsidRPr="0031660E">
                <w:rPr>
                  <w:rFonts w:ascii="Calibri" w:eastAsia="Times New Roman" w:hAnsi="Calibri" w:cs="Times New Roman"/>
                  <w:color w:val="000000"/>
                  <w:sz w:val="20"/>
                  <w:szCs w:val="20"/>
                </w:rPr>
                <w:delText> </w:delText>
              </w:r>
              <w:r>
                <w:rPr>
                  <w:rFonts w:ascii="Calibri" w:eastAsia="Times New Roman" w:hAnsi="Calibri" w:cs="Times New Roman"/>
                  <w:color w:val="000000"/>
                  <w:sz w:val="20"/>
                  <w:szCs w:val="20"/>
                </w:rPr>
                <w:delText>TBD</w:delText>
              </w:r>
            </w:del>
            <w:ins w:id="7" w:author="Samuel Dent" w:date="2015-12-18T09:28:00Z">
              <w:r w:rsidR="00F6774E">
                <w:rPr>
                  <w:rFonts w:ascii="Calibri" w:hAnsi="Calibri"/>
                  <w:color w:val="000000"/>
                  <w:sz w:val="20"/>
                  <w:szCs w:val="20"/>
                </w:rPr>
                <w:t>8760</w:t>
              </w:r>
            </w:ins>
          </w:p>
        </w:tc>
      </w:tr>
      <w:tr w:rsidR="00F6774E" w:rsidRPr="0031660E" w14:paraId="4978E8CA" w14:textId="77777777" w:rsidTr="0031660E">
        <w:trPr>
          <w:trHeight w:val="255"/>
          <w:jc w:val="center"/>
          <w:ins w:id="8" w:author="Samuel Dent" w:date="2015-12-18T09:28:00Z"/>
        </w:trPr>
        <w:tc>
          <w:tcPr>
            <w:tcW w:w="3100" w:type="dxa"/>
            <w:tcBorders>
              <w:top w:val="nil"/>
              <w:left w:val="single" w:sz="4" w:space="0" w:color="auto"/>
              <w:bottom w:val="single" w:sz="4" w:space="0" w:color="auto"/>
              <w:right w:val="single" w:sz="4" w:space="0" w:color="auto"/>
            </w:tcBorders>
            <w:shd w:val="clear" w:color="auto" w:fill="auto"/>
            <w:noWrap/>
            <w:vAlign w:val="bottom"/>
          </w:tcPr>
          <w:p w14:paraId="26BD28B4" w14:textId="77777777" w:rsidR="00F6774E" w:rsidRPr="0031660E" w:rsidRDefault="00F6774E" w:rsidP="0031660E">
            <w:pPr>
              <w:spacing w:after="0" w:line="240" w:lineRule="auto"/>
              <w:rPr>
                <w:ins w:id="9" w:author="Samuel Dent" w:date="2015-12-18T09:28:00Z"/>
                <w:rFonts w:ascii="Calibri" w:eastAsia="Times New Roman" w:hAnsi="Calibri" w:cs="Times New Roman"/>
                <w:color w:val="000000"/>
                <w:sz w:val="20"/>
                <w:szCs w:val="20"/>
              </w:rPr>
            </w:pPr>
            <w:ins w:id="10" w:author="Samuel Dent" w:date="2015-12-18T09:28:00Z">
              <w:r>
                <w:rPr>
                  <w:rFonts w:ascii="Calibri" w:hAnsi="Calibri"/>
                  <w:color w:val="000000"/>
                  <w:sz w:val="20"/>
                  <w:szCs w:val="20"/>
                </w:rPr>
                <w:t>Hotel/Motel - Common</w:t>
              </w:r>
            </w:ins>
          </w:p>
        </w:tc>
        <w:tc>
          <w:tcPr>
            <w:tcW w:w="1320" w:type="dxa"/>
            <w:tcBorders>
              <w:top w:val="nil"/>
              <w:left w:val="nil"/>
              <w:bottom w:val="single" w:sz="4" w:space="0" w:color="auto"/>
              <w:right w:val="single" w:sz="4" w:space="0" w:color="auto"/>
            </w:tcBorders>
            <w:shd w:val="clear" w:color="auto" w:fill="auto"/>
            <w:noWrap/>
            <w:vAlign w:val="bottom"/>
          </w:tcPr>
          <w:p w14:paraId="41CF5190" w14:textId="77777777" w:rsidR="00F6774E" w:rsidRPr="0031660E" w:rsidRDefault="00F6774E" w:rsidP="0031660E">
            <w:pPr>
              <w:spacing w:after="0" w:line="240" w:lineRule="auto"/>
              <w:jc w:val="center"/>
              <w:rPr>
                <w:ins w:id="11" w:author="Samuel Dent" w:date="2015-12-18T09:28:00Z"/>
                <w:rFonts w:ascii="Calibri" w:eastAsia="Times New Roman" w:hAnsi="Calibri" w:cs="Times New Roman"/>
                <w:color w:val="000000"/>
                <w:sz w:val="20"/>
                <w:szCs w:val="20"/>
              </w:rPr>
            </w:pPr>
            <w:ins w:id="12" w:author="Samuel Dent" w:date="2015-12-18T09:28:00Z">
              <w:r>
                <w:rPr>
                  <w:rFonts w:ascii="Calibri" w:hAnsi="Calibri"/>
                  <w:color w:val="000000"/>
                  <w:sz w:val="20"/>
                  <w:szCs w:val="20"/>
                </w:rPr>
                <w:t>8760</w:t>
              </w:r>
            </w:ins>
          </w:p>
        </w:tc>
      </w:tr>
      <w:tr w:rsidR="0031660E" w:rsidRPr="0031660E" w14:paraId="7E260043"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E87614E"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Movie Theatre</w:t>
            </w:r>
          </w:p>
        </w:tc>
        <w:tc>
          <w:tcPr>
            <w:tcW w:w="1320" w:type="dxa"/>
            <w:tcBorders>
              <w:top w:val="nil"/>
              <w:left w:val="nil"/>
              <w:bottom w:val="single" w:sz="4" w:space="0" w:color="auto"/>
              <w:right w:val="single" w:sz="4" w:space="0" w:color="auto"/>
            </w:tcBorders>
            <w:shd w:val="clear" w:color="auto" w:fill="auto"/>
            <w:noWrap/>
            <w:vAlign w:val="bottom"/>
            <w:hideMark/>
          </w:tcPr>
          <w:p w14:paraId="6AACB198"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7505</w:t>
            </w:r>
          </w:p>
        </w:tc>
      </w:tr>
      <w:tr w:rsidR="0031660E" w:rsidRPr="0031660E" w14:paraId="7AB69B08"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2E507B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High Rise - VAV econ</w:t>
            </w:r>
          </w:p>
        </w:tc>
        <w:tc>
          <w:tcPr>
            <w:tcW w:w="1320" w:type="dxa"/>
            <w:tcBorders>
              <w:top w:val="nil"/>
              <w:left w:val="nil"/>
              <w:bottom w:val="single" w:sz="4" w:space="0" w:color="auto"/>
              <w:right w:val="single" w:sz="4" w:space="0" w:color="auto"/>
            </w:tcBorders>
            <w:shd w:val="clear" w:color="auto" w:fill="auto"/>
            <w:noWrap/>
            <w:vAlign w:val="bottom"/>
            <w:hideMark/>
          </w:tcPr>
          <w:p w14:paraId="77650D27"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6064</w:t>
            </w:r>
          </w:p>
        </w:tc>
      </w:tr>
      <w:tr w:rsidR="0031660E" w:rsidRPr="0031660E" w14:paraId="4C14947C"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A668A80"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High Rise - CAV econ</w:t>
            </w:r>
          </w:p>
        </w:tc>
        <w:tc>
          <w:tcPr>
            <w:tcW w:w="1320" w:type="dxa"/>
            <w:tcBorders>
              <w:top w:val="nil"/>
              <w:left w:val="nil"/>
              <w:bottom w:val="single" w:sz="4" w:space="0" w:color="auto"/>
              <w:right w:val="single" w:sz="4" w:space="0" w:color="auto"/>
            </w:tcBorders>
            <w:shd w:val="clear" w:color="auto" w:fill="auto"/>
            <w:noWrap/>
            <w:vAlign w:val="bottom"/>
            <w:hideMark/>
          </w:tcPr>
          <w:p w14:paraId="5ADC2F6F"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5697</w:t>
            </w:r>
          </w:p>
        </w:tc>
      </w:tr>
      <w:tr w:rsidR="0031660E" w:rsidRPr="0031660E" w14:paraId="443515D1"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C9126BF"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High Rise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77885516"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5682</w:t>
            </w:r>
          </w:p>
        </w:tc>
      </w:tr>
      <w:tr w:rsidR="0031660E" w:rsidRPr="0031660E" w14:paraId="3800D834"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392D14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High Rise - FCU</w:t>
            </w:r>
          </w:p>
        </w:tc>
        <w:tc>
          <w:tcPr>
            <w:tcW w:w="1320" w:type="dxa"/>
            <w:tcBorders>
              <w:top w:val="nil"/>
              <w:left w:val="nil"/>
              <w:bottom w:val="single" w:sz="4" w:space="0" w:color="auto"/>
              <w:right w:val="single" w:sz="4" w:space="0" w:color="auto"/>
            </w:tcBorders>
            <w:shd w:val="clear" w:color="auto" w:fill="auto"/>
            <w:noWrap/>
            <w:vAlign w:val="bottom"/>
            <w:hideMark/>
          </w:tcPr>
          <w:p w14:paraId="7272C51D"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6163</w:t>
            </w:r>
          </w:p>
        </w:tc>
      </w:tr>
      <w:tr w:rsidR="0031660E" w:rsidRPr="0031660E" w14:paraId="12198EBD"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37327AC"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Low Rise</w:t>
            </w:r>
          </w:p>
        </w:tc>
        <w:tc>
          <w:tcPr>
            <w:tcW w:w="1320" w:type="dxa"/>
            <w:tcBorders>
              <w:top w:val="nil"/>
              <w:left w:val="nil"/>
              <w:bottom w:val="single" w:sz="4" w:space="0" w:color="auto"/>
              <w:right w:val="single" w:sz="4" w:space="0" w:color="auto"/>
            </w:tcBorders>
            <w:shd w:val="clear" w:color="auto" w:fill="auto"/>
            <w:noWrap/>
            <w:vAlign w:val="bottom"/>
            <w:hideMark/>
          </w:tcPr>
          <w:p w14:paraId="43C5B0B9"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6288</w:t>
            </w:r>
          </w:p>
        </w:tc>
      </w:tr>
      <w:tr w:rsidR="0031660E" w:rsidRPr="0031660E" w14:paraId="34730A8B"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985A0DA"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Office - Mid Rise</w:t>
            </w:r>
          </w:p>
        </w:tc>
        <w:tc>
          <w:tcPr>
            <w:tcW w:w="1320" w:type="dxa"/>
            <w:tcBorders>
              <w:top w:val="nil"/>
              <w:left w:val="nil"/>
              <w:bottom w:val="single" w:sz="4" w:space="0" w:color="auto"/>
              <w:right w:val="single" w:sz="4" w:space="0" w:color="auto"/>
            </w:tcBorders>
            <w:shd w:val="clear" w:color="auto" w:fill="auto"/>
            <w:noWrap/>
            <w:vAlign w:val="bottom"/>
            <w:hideMark/>
          </w:tcPr>
          <w:p w14:paraId="1678D43E"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6125</w:t>
            </w:r>
          </w:p>
        </w:tc>
      </w:tr>
      <w:tr w:rsidR="0031660E" w:rsidRPr="0031660E" w14:paraId="53F7FCB7"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C683CEE"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Religious Building</w:t>
            </w:r>
          </w:p>
        </w:tc>
        <w:tc>
          <w:tcPr>
            <w:tcW w:w="1320" w:type="dxa"/>
            <w:tcBorders>
              <w:top w:val="nil"/>
              <w:left w:val="nil"/>
              <w:bottom w:val="single" w:sz="4" w:space="0" w:color="auto"/>
              <w:right w:val="single" w:sz="4" w:space="0" w:color="auto"/>
            </w:tcBorders>
            <w:shd w:val="clear" w:color="auto" w:fill="auto"/>
            <w:noWrap/>
            <w:vAlign w:val="bottom"/>
            <w:hideMark/>
          </w:tcPr>
          <w:p w14:paraId="05F6466A"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7380</w:t>
            </w:r>
          </w:p>
        </w:tc>
      </w:tr>
      <w:tr w:rsidR="0031660E" w:rsidRPr="0031660E" w14:paraId="15EBCBDB"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BA6D8C3"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Restaurant</w:t>
            </w:r>
          </w:p>
        </w:tc>
        <w:tc>
          <w:tcPr>
            <w:tcW w:w="1320" w:type="dxa"/>
            <w:tcBorders>
              <w:top w:val="nil"/>
              <w:left w:val="nil"/>
              <w:bottom w:val="single" w:sz="4" w:space="0" w:color="auto"/>
              <w:right w:val="single" w:sz="4" w:space="0" w:color="auto"/>
            </w:tcBorders>
            <w:shd w:val="clear" w:color="auto" w:fill="auto"/>
            <w:noWrap/>
            <w:vAlign w:val="bottom"/>
            <w:hideMark/>
          </w:tcPr>
          <w:p w14:paraId="7AD69A56"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7809</w:t>
            </w:r>
          </w:p>
        </w:tc>
      </w:tr>
      <w:tr w:rsidR="0031660E" w:rsidRPr="0031660E" w14:paraId="0F9DC6C4"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1F858B8"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Retail - Department Store</w:t>
            </w:r>
          </w:p>
        </w:tc>
        <w:tc>
          <w:tcPr>
            <w:tcW w:w="1320" w:type="dxa"/>
            <w:tcBorders>
              <w:top w:val="nil"/>
              <w:left w:val="nil"/>
              <w:bottom w:val="single" w:sz="4" w:space="0" w:color="auto"/>
              <w:right w:val="single" w:sz="4" w:space="0" w:color="auto"/>
            </w:tcBorders>
            <w:shd w:val="clear" w:color="auto" w:fill="auto"/>
            <w:noWrap/>
            <w:vAlign w:val="bottom"/>
            <w:hideMark/>
          </w:tcPr>
          <w:p w14:paraId="7F703B3E"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6890</w:t>
            </w:r>
          </w:p>
        </w:tc>
      </w:tr>
      <w:tr w:rsidR="0031660E" w:rsidRPr="0031660E" w14:paraId="55CE1967" w14:textId="77777777" w:rsidTr="008F01C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2DF0FD1"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Retail - Strip Mall</w:t>
            </w:r>
          </w:p>
        </w:tc>
        <w:tc>
          <w:tcPr>
            <w:tcW w:w="1320" w:type="dxa"/>
            <w:tcBorders>
              <w:top w:val="nil"/>
              <w:left w:val="nil"/>
              <w:bottom w:val="single" w:sz="4" w:space="0" w:color="auto"/>
              <w:right w:val="single" w:sz="4" w:space="0" w:color="auto"/>
            </w:tcBorders>
            <w:shd w:val="clear" w:color="auto" w:fill="auto"/>
            <w:noWrap/>
            <w:vAlign w:val="bottom"/>
            <w:hideMark/>
          </w:tcPr>
          <w:p w14:paraId="326E8AC3"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6846</w:t>
            </w:r>
          </w:p>
        </w:tc>
      </w:tr>
      <w:tr w:rsidR="0031660E" w:rsidRPr="0031660E" w14:paraId="7F442930" w14:textId="77777777" w:rsidTr="000F2A62">
        <w:tblPrEx>
          <w:tblW w:w="4420" w:type="dxa"/>
          <w:jc w:val="center"/>
          <w:tblInd w:w="93" w:type="dxa"/>
          <w:tblPrExChange w:id="13" w:author="Samuel Dent" w:date="2015-12-18T09:35:00Z">
            <w:tblPrEx>
              <w:tblW w:w="4420" w:type="dxa"/>
              <w:jc w:val="center"/>
              <w:tblInd w:w="93" w:type="dxa"/>
            </w:tblPrEx>
          </w:tblPrExChange>
        </w:tblPrEx>
        <w:trPr>
          <w:trHeight w:val="255"/>
          <w:jc w:val="center"/>
          <w:trPrChange w:id="14" w:author="Samuel Dent" w:date="2015-12-18T09:35:00Z">
            <w:trPr>
              <w:trHeight w:val="255"/>
              <w:jc w:val="center"/>
            </w:trPr>
          </w:trPrChange>
        </w:trPr>
        <w:tc>
          <w:tcPr>
            <w:tcW w:w="3100" w:type="dxa"/>
            <w:tcBorders>
              <w:top w:val="nil"/>
              <w:left w:val="single" w:sz="4" w:space="0" w:color="auto"/>
              <w:bottom w:val="single" w:sz="4" w:space="0" w:color="auto"/>
              <w:right w:val="single" w:sz="4" w:space="0" w:color="auto"/>
            </w:tcBorders>
            <w:shd w:val="clear" w:color="auto" w:fill="auto"/>
            <w:noWrap/>
            <w:vAlign w:val="bottom"/>
            <w:hideMark/>
            <w:tcPrChange w:id="15" w:author="Samuel Dent" w:date="2015-12-18T09:35:00Z">
              <w:tcPr>
                <w:tcW w:w="3100"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5EB177F5" w14:textId="77777777" w:rsidR="0031660E" w:rsidRPr="0031660E" w:rsidRDefault="0031660E" w:rsidP="0031660E">
            <w:pPr>
              <w:spacing w:after="0" w:line="240" w:lineRule="auto"/>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Warehouse</w:t>
            </w:r>
          </w:p>
        </w:tc>
        <w:tc>
          <w:tcPr>
            <w:tcW w:w="1320" w:type="dxa"/>
            <w:tcBorders>
              <w:top w:val="nil"/>
              <w:left w:val="nil"/>
              <w:bottom w:val="single" w:sz="4" w:space="0" w:color="auto"/>
              <w:right w:val="single" w:sz="4" w:space="0" w:color="auto"/>
            </w:tcBorders>
            <w:shd w:val="clear" w:color="auto" w:fill="auto"/>
            <w:noWrap/>
            <w:vAlign w:val="bottom"/>
            <w:hideMark/>
            <w:tcPrChange w:id="16" w:author="Samuel Dent" w:date="2015-12-18T09:35:00Z">
              <w:tcPr>
                <w:tcW w:w="1320" w:type="dxa"/>
                <w:tcBorders>
                  <w:top w:val="nil"/>
                  <w:left w:val="nil"/>
                  <w:bottom w:val="single" w:sz="4" w:space="0" w:color="auto"/>
                  <w:right w:val="single" w:sz="4" w:space="0" w:color="auto"/>
                </w:tcBorders>
                <w:shd w:val="clear" w:color="auto" w:fill="auto"/>
                <w:noWrap/>
                <w:vAlign w:val="bottom"/>
                <w:hideMark/>
              </w:tcPr>
            </w:tcPrChange>
          </w:tcPr>
          <w:p w14:paraId="5953CF4A" w14:textId="77777777" w:rsidR="0031660E" w:rsidRPr="0031660E" w:rsidRDefault="0031660E" w:rsidP="0031660E">
            <w:pPr>
              <w:spacing w:after="0" w:line="240" w:lineRule="auto"/>
              <w:jc w:val="center"/>
              <w:rPr>
                <w:rFonts w:ascii="Calibri" w:eastAsia="Times New Roman" w:hAnsi="Calibri" w:cs="Times New Roman"/>
                <w:color w:val="000000"/>
                <w:sz w:val="20"/>
                <w:szCs w:val="20"/>
              </w:rPr>
            </w:pPr>
            <w:r w:rsidRPr="0031660E">
              <w:rPr>
                <w:rFonts w:ascii="Calibri" w:eastAsia="Times New Roman" w:hAnsi="Calibri" w:cs="Times New Roman"/>
                <w:color w:val="000000"/>
                <w:sz w:val="20"/>
                <w:szCs w:val="20"/>
              </w:rPr>
              <w:t>6786</w:t>
            </w:r>
          </w:p>
        </w:tc>
      </w:tr>
      <w:tr w:rsidR="000F2A62" w:rsidRPr="0031660E" w14:paraId="00E23A04" w14:textId="77777777" w:rsidTr="000F2A62">
        <w:tblPrEx>
          <w:tblW w:w="4420" w:type="dxa"/>
          <w:jc w:val="center"/>
          <w:tblInd w:w="93" w:type="dxa"/>
          <w:tblPrExChange w:id="17" w:author="Samuel Dent" w:date="2015-12-18T09:35:00Z">
            <w:tblPrEx>
              <w:tblW w:w="4420" w:type="dxa"/>
              <w:jc w:val="center"/>
              <w:tblInd w:w="93" w:type="dxa"/>
            </w:tblPrEx>
          </w:tblPrExChange>
        </w:tblPrEx>
        <w:trPr>
          <w:trHeight w:val="255"/>
          <w:jc w:val="center"/>
          <w:ins w:id="18" w:author="Samuel Dent" w:date="2015-12-18T09:34:00Z"/>
          <w:trPrChange w:id="19" w:author="Samuel Dent" w:date="2015-12-18T09:35:00Z">
            <w:trPr>
              <w:trHeight w:val="255"/>
              <w:jc w:val="center"/>
            </w:trPr>
          </w:trPrChange>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tcPrChange w:id="20" w:author="Samuel Dent" w:date="2015-12-18T09:35:00Z">
              <w:tcPr>
                <w:tcW w:w="3100" w:type="dxa"/>
                <w:tcBorders>
                  <w:top w:val="nil"/>
                  <w:left w:val="single" w:sz="4" w:space="0" w:color="auto"/>
                  <w:bottom w:val="single" w:sz="4" w:space="0" w:color="auto"/>
                  <w:right w:val="single" w:sz="4" w:space="0" w:color="auto"/>
                </w:tcBorders>
                <w:shd w:val="clear" w:color="auto" w:fill="auto"/>
                <w:noWrap/>
                <w:vAlign w:val="bottom"/>
              </w:tcPr>
            </w:tcPrChange>
          </w:tcPr>
          <w:p w14:paraId="352EAB27" w14:textId="01D863CE" w:rsidR="000F2A62" w:rsidRPr="0031660E" w:rsidRDefault="000F2A62" w:rsidP="0031660E">
            <w:pPr>
              <w:spacing w:after="0" w:line="240" w:lineRule="auto"/>
              <w:rPr>
                <w:ins w:id="21" w:author="Samuel Dent" w:date="2015-12-18T09:34:00Z"/>
                <w:rFonts w:ascii="Calibri" w:eastAsia="Times New Roman" w:hAnsi="Calibri" w:cs="Times New Roman"/>
                <w:color w:val="000000"/>
                <w:sz w:val="20"/>
                <w:szCs w:val="20"/>
              </w:rPr>
            </w:pPr>
            <w:bookmarkStart w:id="22" w:name="_GoBack"/>
            <w:ins w:id="23" w:author="Samuel Dent" w:date="2015-12-18T09:35:00Z">
              <w:r>
                <w:rPr>
                  <w:rFonts w:ascii="Calibri" w:eastAsia="Times New Roman" w:hAnsi="Calibri" w:cs="Times New Roman"/>
                  <w:color w:val="000000"/>
                  <w:sz w:val="20"/>
                  <w:szCs w:val="20"/>
                </w:rPr>
                <w:t>Unknown</w:t>
              </w:r>
            </w:ins>
          </w:p>
        </w:tc>
        <w:tc>
          <w:tcPr>
            <w:tcW w:w="1320" w:type="dxa"/>
            <w:tcBorders>
              <w:top w:val="single" w:sz="4" w:space="0" w:color="auto"/>
              <w:left w:val="nil"/>
              <w:bottom w:val="single" w:sz="4" w:space="0" w:color="auto"/>
              <w:right w:val="single" w:sz="4" w:space="0" w:color="auto"/>
            </w:tcBorders>
            <w:shd w:val="clear" w:color="auto" w:fill="auto"/>
            <w:noWrap/>
            <w:vAlign w:val="bottom"/>
            <w:tcPrChange w:id="24" w:author="Samuel Dent" w:date="2015-12-18T09:35:00Z">
              <w:tcPr>
                <w:tcW w:w="1320" w:type="dxa"/>
                <w:tcBorders>
                  <w:top w:val="nil"/>
                  <w:left w:val="nil"/>
                  <w:bottom w:val="single" w:sz="4" w:space="0" w:color="auto"/>
                  <w:right w:val="single" w:sz="4" w:space="0" w:color="auto"/>
                </w:tcBorders>
                <w:shd w:val="clear" w:color="auto" w:fill="auto"/>
                <w:noWrap/>
                <w:vAlign w:val="bottom"/>
              </w:tcPr>
            </w:tcPrChange>
          </w:tcPr>
          <w:p w14:paraId="5A68C88A" w14:textId="657979BA" w:rsidR="000F2A62" w:rsidRPr="0031660E" w:rsidRDefault="000F2A62" w:rsidP="0031660E">
            <w:pPr>
              <w:spacing w:after="0" w:line="240" w:lineRule="auto"/>
              <w:jc w:val="center"/>
              <w:rPr>
                <w:ins w:id="25" w:author="Samuel Dent" w:date="2015-12-18T09:34:00Z"/>
                <w:rFonts w:ascii="Calibri" w:eastAsia="Times New Roman" w:hAnsi="Calibri" w:cs="Times New Roman"/>
                <w:color w:val="000000"/>
                <w:sz w:val="20"/>
                <w:szCs w:val="20"/>
              </w:rPr>
            </w:pPr>
            <w:ins w:id="26" w:author="Samuel Dent" w:date="2015-12-18T09:35:00Z">
              <w:r>
                <w:rPr>
                  <w:rFonts w:ascii="Calibri" w:eastAsia="Times New Roman" w:hAnsi="Calibri" w:cs="Times New Roman"/>
                  <w:color w:val="000000"/>
                  <w:sz w:val="20"/>
                  <w:szCs w:val="20"/>
                </w:rPr>
                <w:t>7100</w:t>
              </w:r>
            </w:ins>
          </w:p>
        </w:tc>
      </w:tr>
      <w:bookmarkEnd w:id="22"/>
    </w:tbl>
    <w:p w14:paraId="74ED186F" w14:textId="77777777" w:rsidR="0031660E" w:rsidRDefault="0031660E" w:rsidP="00D838DA">
      <w:pPr>
        <w:spacing w:after="240" w:line="240" w:lineRule="auto"/>
        <w:ind w:left="2160"/>
        <w:rPr>
          <w:rFonts w:ascii="Calibri" w:eastAsia="Times New Roman" w:hAnsi="Calibri" w:cs="Times New Roman"/>
          <w:sz w:val="20"/>
          <w:szCs w:val="20"/>
        </w:rPr>
      </w:pPr>
    </w:p>
    <w:p w14:paraId="0DF2B73E" w14:textId="77777777" w:rsidR="00D838DA" w:rsidRPr="00D838DA" w:rsidRDefault="00D838DA" w:rsidP="00D838DA">
      <w:pPr>
        <w:spacing w:after="120" w:line="240" w:lineRule="auto"/>
        <w:ind w:left="1440"/>
        <w:rPr>
          <w:rFonts w:ascii="Calibri" w:eastAsia="Times New Roman" w:hAnsi="Calibri" w:cs="Times New Roman"/>
          <w:sz w:val="20"/>
          <w:szCs w:val="20"/>
        </w:rPr>
      </w:pPr>
    </w:p>
    <w:p w14:paraId="336C8404" w14:textId="77777777" w:rsidR="00D838DA" w:rsidRPr="00D838DA" w:rsidRDefault="00D838DA" w:rsidP="00D838DA">
      <w:pPr>
        <w:spacing w:after="240" w:line="240" w:lineRule="auto"/>
        <w:ind w:left="810"/>
        <w:rPr>
          <w:rFonts w:ascii="Calibri" w:eastAsia="Times New Roman" w:hAnsi="Calibri" w:cs="Calibri"/>
          <w:color w:val="000000"/>
          <w:sz w:val="20"/>
          <w:szCs w:val="20"/>
        </w:rPr>
      </w:pPr>
      <m:oMath>
        <m:r>
          <w:rPr>
            <w:rFonts w:ascii="Cambria Math" w:eastAsia="Times New Roman" w:hAnsi="Cambria Math" w:cs="Times New Roman"/>
            <w:sz w:val="20"/>
            <w:szCs w:val="20"/>
          </w:rPr>
          <m:t>%FF</m:t>
        </m:r>
      </m:oMath>
      <w:r w:rsidRPr="00D838DA">
        <w:rPr>
          <w:rFonts w:ascii="Calibri" w:eastAsia="Times New Roman" w:hAnsi="Calibri" w:cs="Times New Roman"/>
          <w:sz w:val="20"/>
          <w:szCs w:val="20"/>
        </w:rPr>
        <w:tab/>
      </w:r>
      <w:r w:rsidRPr="00D838DA">
        <w:rPr>
          <w:rFonts w:ascii="Calibri" w:eastAsia="Times New Roman" w:hAnsi="Calibri" w:cs="Times New Roman"/>
          <w:sz w:val="20"/>
          <w:szCs w:val="20"/>
        </w:rPr>
        <w:tab/>
        <w:t>= Percentage of run-time spent within a given flow fraction range</w:t>
      </w:r>
    </w:p>
    <w:p w14:paraId="651153A9" w14:textId="77777777" w:rsidR="00D838DA" w:rsidRPr="00D838DA" w:rsidRDefault="00D838DA" w:rsidP="00D838DA">
      <w:pPr>
        <w:spacing w:after="240" w:line="240" w:lineRule="auto"/>
        <w:ind w:left="2070"/>
        <w:rPr>
          <w:rFonts w:ascii="Calibri" w:eastAsia="Times New Roman" w:hAnsi="Calibri" w:cs="Times New Roman"/>
          <w:sz w:val="20"/>
          <w:szCs w:val="20"/>
        </w:rPr>
      </w:pPr>
      <w:r w:rsidRPr="00D838DA">
        <w:rPr>
          <w:rFonts w:ascii="Calibri" w:eastAsia="Times New Roman" w:hAnsi="Calibri" w:cs="Calibri"/>
          <w:color w:val="000000"/>
          <w:sz w:val="20"/>
          <w:szCs w:val="20"/>
        </w:rPr>
        <w:t>Default Fan Duty Cycle Based on 2012 ASHRAE Handbook; HVAC Systems and Equipment, page 45.11, Figure 12.</w:t>
      </w:r>
    </w:p>
    <w:tbl>
      <w:tblPr>
        <w:tblW w:w="0" w:type="auto"/>
        <w:jc w:val="center"/>
        <w:tblLook w:val="04A0" w:firstRow="1" w:lastRow="0" w:firstColumn="1" w:lastColumn="0" w:noHBand="0" w:noVBand="1"/>
      </w:tblPr>
      <w:tblGrid>
        <w:gridCol w:w="1687"/>
        <w:gridCol w:w="2908"/>
      </w:tblGrid>
      <w:tr w:rsidR="00D838DA" w:rsidRPr="00D838DA" w14:paraId="2EEDC2F1" w14:textId="77777777" w:rsidTr="0031660E">
        <w:trPr>
          <w:trHeight w:val="602"/>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64C35BCD"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Flow Fraction</w:t>
            </w:r>
            <w:r w:rsidRPr="00D838DA">
              <w:rPr>
                <w:rFonts w:ascii="Calibri" w:eastAsia="Times New Roman" w:hAnsi="Calibri" w:cs="Calibri"/>
                <w:b/>
                <w:color w:val="FFFFFF"/>
                <w:sz w:val="20"/>
                <w:szCs w:val="20"/>
              </w:rPr>
              <w:br/>
              <w:t xml:space="preserve"> (% of design </w:t>
            </w:r>
            <w:proofErr w:type="spellStart"/>
            <w:r w:rsidRPr="00D838DA">
              <w:rPr>
                <w:rFonts w:ascii="Calibri" w:eastAsia="Times New Roman" w:hAnsi="Calibri" w:cs="Calibri"/>
                <w:b/>
                <w:color w:val="FFFFFF"/>
                <w:sz w:val="20"/>
                <w:szCs w:val="20"/>
              </w:rPr>
              <w:t>cfm</w:t>
            </w:r>
            <w:proofErr w:type="spellEnd"/>
            <w:r w:rsidRPr="00D838DA">
              <w:rPr>
                <w:rFonts w:ascii="Calibri" w:eastAsia="Times New Roman" w:hAnsi="Calibri" w:cs="Calibri"/>
                <w:b/>
                <w:color w:val="FFFFFF"/>
                <w:sz w:val="20"/>
                <w:szCs w:val="20"/>
              </w:rPr>
              <w:t>)</w:t>
            </w:r>
          </w:p>
        </w:tc>
        <w:tc>
          <w:tcPr>
            <w:tcW w:w="0" w:type="auto"/>
            <w:tcBorders>
              <w:top w:val="single" w:sz="4" w:space="0" w:color="auto"/>
              <w:left w:val="nil"/>
              <w:bottom w:val="single" w:sz="4" w:space="0" w:color="auto"/>
              <w:right w:val="single" w:sz="4" w:space="0" w:color="auto"/>
            </w:tcBorders>
            <w:shd w:val="clear" w:color="auto" w:fill="7F7F7F" w:themeFill="text1" w:themeFillTint="80"/>
            <w:vAlign w:val="bottom"/>
            <w:hideMark/>
          </w:tcPr>
          <w:p w14:paraId="35A5A668"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Percent of Time at Flow Fraction</w:t>
            </w:r>
          </w:p>
        </w:tc>
      </w:tr>
      <w:tr w:rsidR="00D838DA" w:rsidRPr="00D838DA" w14:paraId="252D661B" w14:textId="77777777"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25C654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 to 10%</w:t>
            </w:r>
          </w:p>
        </w:tc>
        <w:tc>
          <w:tcPr>
            <w:tcW w:w="0" w:type="auto"/>
            <w:tcBorders>
              <w:top w:val="nil"/>
              <w:left w:val="nil"/>
              <w:bottom w:val="single" w:sz="4" w:space="0" w:color="auto"/>
              <w:right w:val="single" w:sz="4" w:space="0" w:color="auto"/>
            </w:tcBorders>
            <w:shd w:val="clear" w:color="auto" w:fill="auto"/>
            <w:noWrap/>
            <w:vAlign w:val="center"/>
          </w:tcPr>
          <w:p w14:paraId="5DA52FF3"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0.0%</w:t>
            </w:r>
          </w:p>
        </w:tc>
      </w:tr>
      <w:tr w:rsidR="00D838DA" w:rsidRPr="00D838DA" w14:paraId="457807BD" w14:textId="77777777"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9B2D1B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 to 20%</w:t>
            </w:r>
          </w:p>
        </w:tc>
        <w:tc>
          <w:tcPr>
            <w:tcW w:w="0" w:type="auto"/>
            <w:tcBorders>
              <w:top w:val="nil"/>
              <w:left w:val="nil"/>
              <w:bottom w:val="single" w:sz="4" w:space="0" w:color="auto"/>
              <w:right w:val="single" w:sz="4" w:space="0" w:color="auto"/>
            </w:tcBorders>
            <w:shd w:val="clear" w:color="auto" w:fill="auto"/>
            <w:noWrap/>
            <w:vAlign w:val="center"/>
          </w:tcPr>
          <w:p w14:paraId="3C23D390"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1.0%</w:t>
            </w:r>
          </w:p>
        </w:tc>
      </w:tr>
      <w:tr w:rsidR="00D838DA" w:rsidRPr="00D838DA" w14:paraId="76D50910" w14:textId="77777777" w:rsidTr="0031660E">
        <w:trPr>
          <w:trHeight w:val="107"/>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8CDC1F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20% to 30%</w:t>
            </w:r>
          </w:p>
        </w:tc>
        <w:tc>
          <w:tcPr>
            <w:tcW w:w="0" w:type="auto"/>
            <w:tcBorders>
              <w:top w:val="nil"/>
              <w:left w:val="nil"/>
              <w:bottom w:val="single" w:sz="4" w:space="0" w:color="auto"/>
              <w:right w:val="single" w:sz="4" w:space="0" w:color="auto"/>
            </w:tcBorders>
            <w:shd w:val="clear" w:color="auto" w:fill="auto"/>
            <w:noWrap/>
            <w:vAlign w:val="center"/>
          </w:tcPr>
          <w:p w14:paraId="7897E910"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5.5%</w:t>
            </w:r>
          </w:p>
        </w:tc>
      </w:tr>
      <w:tr w:rsidR="00D838DA" w:rsidRPr="00D838DA" w14:paraId="75C6B72A" w14:textId="77777777" w:rsidTr="0031660E">
        <w:trPr>
          <w:trHeight w:val="152"/>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5C9AD8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30% to 40%</w:t>
            </w:r>
          </w:p>
        </w:tc>
        <w:tc>
          <w:tcPr>
            <w:tcW w:w="0" w:type="auto"/>
            <w:tcBorders>
              <w:top w:val="nil"/>
              <w:left w:val="nil"/>
              <w:bottom w:val="single" w:sz="4" w:space="0" w:color="auto"/>
              <w:right w:val="single" w:sz="4" w:space="0" w:color="auto"/>
            </w:tcBorders>
            <w:shd w:val="clear" w:color="auto" w:fill="auto"/>
            <w:noWrap/>
            <w:vAlign w:val="center"/>
          </w:tcPr>
          <w:p w14:paraId="051445CF"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15.5%</w:t>
            </w:r>
          </w:p>
        </w:tc>
      </w:tr>
      <w:tr w:rsidR="00D838DA" w:rsidRPr="00D838DA" w14:paraId="1796D1C5" w14:textId="77777777" w:rsidTr="0031660E">
        <w:trPr>
          <w:trHeight w:val="1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36DC37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40% to 50%</w:t>
            </w:r>
          </w:p>
        </w:tc>
        <w:tc>
          <w:tcPr>
            <w:tcW w:w="0" w:type="auto"/>
            <w:tcBorders>
              <w:top w:val="nil"/>
              <w:left w:val="nil"/>
              <w:bottom w:val="single" w:sz="4" w:space="0" w:color="auto"/>
              <w:right w:val="single" w:sz="4" w:space="0" w:color="auto"/>
            </w:tcBorders>
            <w:shd w:val="clear" w:color="auto" w:fill="auto"/>
            <w:noWrap/>
            <w:vAlign w:val="center"/>
          </w:tcPr>
          <w:p w14:paraId="04F073CA"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22.0%</w:t>
            </w:r>
          </w:p>
        </w:tc>
      </w:tr>
      <w:tr w:rsidR="00D838DA" w:rsidRPr="00D838DA" w14:paraId="1895BB5C" w14:textId="77777777" w:rsidTr="0031660E">
        <w:trPr>
          <w:trHeight w:val="21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FFA2DB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50% to 60%</w:t>
            </w:r>
          </w:p>
        </w:tc>
        <w:tc>
          <w:tcPr>
            <w:tcW w:w="0" w:type="auto"/>
            <w:tcBorders>
              <w:top w:val="nil"/>
              <w:left w:val="nil"/>
              <w:bottom w:val="single" w:sz="4" w:space="0" w:color="auto"/>
              <w:right w:val="single" w:sz="4" w:space="0" w:color="auto"/>
            </w:tcBorders>
            <w:shd w:val="clear" w:color="auto" w:fill="auto"/>
            <w:noWrap/>
            <w:vAlign w:val="center"/>
          </w:tcPr>
          <w:p w14:paraId="0BB7787B"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25.0%</w:t>
            </w:r>
          </w:p>
        </w:tc>
      </w:tr>
      <w:tr w:rsidR="00D838DA" w:rsidRPr="00D838DA" w14:paraId="5B19E9A5" w14:textId="77777777" w:rsidTr="0031660E">
        <w:trPr>
          <w:trHeight w:val="1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341867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60% to 70%</w:t>
            </w:r>
          </w:p>
        </w:tc>
        <w:tc>
          <w:tcPr>
            <w:tcW w:w="0" w:type="auto"/>
            <w:tcBorders>
              <w:top w:val="nil"/>
              <w:left w:val="nil"/>
              <w:bottom w:val="single" w:sz="4" w:space="0" w:color="auto"/>
              <w:right w:val="single" w:sz="4" w:space="0" w:color="auto"/>
            </w:tcBorders>
            <w:shd w:val="clear" w:color="auto" w:fill="auto"/>
            <w:noWrap/>
            <w:vAlign w:val="center"/>
          </w:tcPr>
          <w:p w14:paraId="43D19A51"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19.0%</w:t>
            </w:r>
          </w:p>
        </w:tc>
      </w:tr>
      <w:tr w:rsidR="00D838DA" w:rsidRPr="00D838DA" w14:paraId="4E4C88B8" w14:textId="77777777" w:rsidTr="0031660E">
        <w:trPr>
          <w:trHeight w:val="197"/>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C253F1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70% to 80%</w:t>
            </w:r>
          </w:p>
        </w:tc>
        <w:tc>
          <w:tcPr>
            <w:tcW w:w="0" w:type="auto"/>
            <w:tcBorders>
              <w:top w:val="nil"/>
              <w:left w:val="nil"/>
              <w:bottom w:val="single" w:sz="4" w:space="0" w:color="auto"/>
              <w:right w:val="single" w:sz="4" w:space="0" w:color="auto"/>
            </w:tcBorders>
            <w:shd w:val="clear" w:color="auto" w:fill="auto"/>
            <w:noWrap/>
            <w:vAlign w:val="center"/>
          </w:tcPr>
          <w:p w14:paraId="0BF19778"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8.5%</w:t>
            </w:r>
          </w:p>
        </w:tc>
      </w:tr>
      <w:tr w:rsidR="00D838DA" w:rsidRPr="00D838DA" w14:paraId="13025A4E" w14:textId="77777777" w:rsidTr="0031660E">
        <w:trPr>
          <w:trHeight w:val="70"/>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925E88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80% to 90%</w:t>
            </w:r>
          </w:p>
        </w:tc>
        <w:tc>
          <w:tcPr>
            <w:tcW w:w="0" w:type="auto"/>
            <w:tcBorders>
              <w:top w:val="nil"/>
              <w:left w:val="nil"/>
              <w:bottom w:val="single" w:sz="4" w:space="0" w:color="auto"/>
              <w:right w:val="single" w:sz="4" w:space="0" w:color="auto"/>
            </w:tcBorders>
            <w:shd w:val="clear" w:color="auto" w:fill="auto"/>
            <w:noWrap/>
            <w:vAlign w:val="center"/>
          </w:tcPr>
          <w:p w14:paraId="6E56CCF9"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3.0%</w:t>
            </w:r>
          </w:p>
        </w:tc>
      </w:tr>
      <w:tr w:rsidR="00D838DA" w:rsidRPr="00D838DA" w14:paraId="6D5FA139" w14:textId="77777777" w:rsidTr="0031660E">
        <w:trPr>
          <w:trHeight w:val="5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C4F20C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90% to 100%</w:t>
            </w:r>
          </w:p>
        </w:tc>
        <w:tc>
          <w:tcPr>
            <w:tcW w:w="0" w:type="auto"/>
            <w:tcBorders>
              <w:top w:val="nil"/>
              <w:left w:val="nil"/>
              <w:bottom w:val="single" w:sz="4" w:space="0" w:color="auto"/>
              <w:right w:val="single" w:sz="4" w:space="0" w:color="auto"/>
            </w:tcBorders>
            <w:shd w:val="clear" w:color="auto" w:fill="auto"/>
            <w:noWrap/>
            <w:vAlign w:val="center"/>
          </w:tcPr>
          <w:p w14:paraId="62A84B5A" w14:textId="77777777" w:rsidR="00D838DA" w:rsidRPr="00D838DA" w:rsidRDefault="00D838DA" w:rsidP="00D838DA">
            <w:pPr>
              <w:widowControl w:val="0"/>
              <w:autoSpaceDE w:val="0"/>
              <w:autoSpaceDN w:val="0"/>
              <w:spacing w:after="120" w:line="240" w:lineRule="auto"/>
              <w:jc w:val="center"/>
              <w:rPr>
                <w:rFonts w:ascii="Calibri" w:eastAsia="Times New Roman" w:hAnsi="Calibri" w:cs="Calibri"/>
                <w:sz w:val="20"/>
                <w:szCs w:val="20"/>
              </w:rPr>
            </w:pPr>
            <w:r w:rsidRPr="00D838DA">
              <w:rPr>
                <w:rFonts w:ascii="Calibri" w:eastAsia="Times New Roman" w:hAnsi="Calibri" w:cs="Calibri"/>
                <w:sz w:val="20"/>
                <w:szCs w:val="20"/>
              </w:rPr>
              <w:t>0.5%</w:t>
            </w:r>
          </w:p>
        </w:tc>
      </w:tr>
    </w:tbl>
    <w:p w14:paraId="08B8E645" w14:textId="77777777" w:rsidR="00D838DA" w:rsidRPr="00D838DA" w:rsidRDefault="00D838DA" w:rsidP="00D838DA">
      <w:pPr>
        <w:spacing w:after="120" w:line="240" w:lineRule="auto"/>
        <w:ind w:left="810"/>
        <w:rPr>
          <w:rFonts w:ascii="Calibri" w:eastAsia="Times New Roman" w:hAnsi="Calibri" w:cs="Times New Roman"/>
          <w:sz w:val="20"/>
          <w:szCs w:val="20"/>
        </w:rPr>
      </w:pPr>
    </w:p>
    <w:p w14:paraId="3866A162"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ab/>
        <w:t>= Part load ratio for a given flow fraction range based on the baseline flow control type</w:t>
      </w:r>
    </w:p>
    <w:p w14:paraId="544A0EE8"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ab/>
        <w:t>= Part load ratio for a given flow fraction range based on the retrofit flow control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3"/>
        <w:gridCol w:w="720"/>
        <w:gridCol w:w="720"/>
        <w:gridCol w:w="720"/>
        <w:gridCol w:w="720"/>
        <w:gridCol w:w="721"/>
        <w:gridCol w:w="720"/>
        <w:gridCol w:w="720"/>
        <w:gridCol w:w="720"/>
        <w:gridCol w:w="720"/>
        <w:gridCol w:w="721"/>
      </w:tblGrid>
      <w:tr w:rsidR="00D838DA" w:rsidRPr="00D838DA" w14:paraId="607A0AB8" w14:textId="77777777" w:rsidTr="0031660E">
        <w:tc>
          <w:tcPr>
            <w:tcW w:w="2433" w:type="dxa"/>
            <w:vMerge w:val="restart"/>
            <w:shd w:val="clear" w:color="auto" w:fill="7F7F7F" w:themeFill="text1" w:themeFillTint="80"/>
            <w:noWrap/>
            <w:hideMark/>
          </w:tcPr>
          <w:p w14:paraId="382AC01C"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Control Type</w:t>
            </w:r>
          </w:p>
        </w:tc>
        <w:tc>
          <w:tcPr>
            <w:tcW w:w="7202" w:type="dxa"/>
            <w:gridSpan w:val="10"/>
            <w:shd w:val="clear" w:color="auto" w:fill="7F7F7F" w:themeFill="text1" w:themeFillTint="80"/>
            <w:noWrap/>
            <w:hideMark/>
          </w:tcPr>
          <w:p w14:paraId="5B18C63D"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Flow Fraction</w:t>
            </w:r>
          </w:p>
        </w:tc>
      </w:tr>
      <w:tr w:rsidR="00D838DA" w:rsidRPr="00D838DA" w14:paraId="14957ED8" w14:textId="77777777" w:rsidTr="0031660E">
        <w:trPr>
          <w:tblHeader/>
        </w:trPr>
        <w:tc>
          <w:tcPr>
            <w:tcW w:w="2433" w:type="dxa"/>
            <w:vMerge/>
            <w:shd w:val="clear" w:color="auto" w:fill="7F7F7F" w:themeFill="text1" w:themeFillTint="80"/>
            <w:vAlign w:val="center"/>
            <w:hideMark/>
          </w:tcPr>
          <w:p w14:paraId="44FA18A6" w14:textId="77777777" w:rsidR="00D838DA" w:rsidRPr="00D838DA" w:rsidRDefault="00D838DA" w:rsidP="00D838DA">
            <w:pPr>
              <w:spacing w:after="120" w:line="240" w:lineRule="auto"/>
              <w:rPr>
                <w:rFonts w:ascii="Calibri" w:eastAsia="Times New Roman" w:hAnsi="Calibri" w:cs="Calibri"/>
                <w:b/>
                <w:color w:val="FFFFFF"/>
                <w:sz w:val="20"/>
                <w:szCs w:val="20"/>
              </w:rPr>
            </w:pPr>
          </w:p>
        </w:tc>
        <w:tc>
          <w:tcPr>
            <w:tcW w:w="720" w:type="dxa"/>
            <w:shd w:val="clear" w:color="auto" w:fill="7F7F7F" w:themeFill="text1" w:themeFillTint="80"/>
            <w:noWrap/>
            <w:vAlign w:val="bottom"/>
            <w:hideMark/>
          </w:tcPr>
          <w:p w14:paraId="4990700C"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10%</w:t>
            </w:r>
          </w:p>
        </w:tc>
        <w:tc>
          <w:tcPr>
            <w:tcW w:w="720" w:type="dxa"/>
            <w:shd w:val="clear" w:color="auto" w:fill="7F7F7F" w:themeFill="text1" w:themeFillTint="80"/>
            <w:noWrap/>
            <w:vAlign w:val="bottom"/>
            <w:hideMark/>
          </w:tcPr>
          <w:p w14:paraId="45274ABC"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20%</w:t>
            </w:r>
          </w:p>
        </w:tc>
        <w:tc>
          <w:tcPr>
            <w:tcW w:w="720" w:type="dxa"/>
            <w:shd w:val="clear" w:color="auto" w:fill="7F7F7F" w:themeFill="text1" w:themeFillTint="80"/>
            <w:noWrap/>
            <w:vAlign w:val="bottom"/>
            <w:hideMark/>
          </w:tcPr>
          <w:p w14:paraId="0F6AE7FD"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30%</w:t>
            </w:r>
          </w:p>
        </w:tc>
        <w:tc>
          <w:tcPr>
            <w:tcW w:w="720" w:type="dxa"/>
            <w:shd w:val="clear" w:color="auto" w:fill="7F7F7F" w:themeFill="text1" w:themeFillTint="80"/>
            <w:noWrap/>
            <w:vAlign w:val="bottom"/>
            <w:hideMark/>
          </w:tcPr>
          <w:p w14:paraId="135298A6"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40%</w:t>
            </w:r>
          </w:p>
        </w:tc>
        <w:tc>
          <w:tcPr>
            <w:tcW w:w="721" w:type="dxa"/>
            <w:shd w:val="clear" w:color="auto" w:fill="7F7F7F" w:themeFill="text1" w:themeFillTint="80"/>
            <w:noWrap/>
            <w:vAlign w:val="bottom"/>
            <w:hideMark/>
          </w:tcPr>
          <w:p w14:paraId="62B6D392"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50%</w:t>
            </w:r>
          </w:p>
        </w:tc>
        <w:tc>
          <w:tcPr>
            <w:tcW w:w="720" w:type="dxa"/>
            <w:shd w:val="clear" w:color="auto" w:fill="7F7F7F" w:themeFill="text1" w:themeFillTint="80"/>
            <w:noWrap/>
            <w:vAlign w:val="bottom"/>
            <w:hideMark/>
          </w:tcPr>
          <w:p w14:paraId="1ADF7BE1"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60%</w:t>
            </w:r>
          </w:p>
        </w:tc>
        <w:tc>
          <w:tcPr>
            <w:tcW w:w="720" w:type="dxa"/>
            <w:shd w:val="clear" w:color="auto" w:fill="7F7F7F" w:themeFill="text1" w:themeFillTint="80"/>
            <w:noWrap/>
            <w:vAlign w:val="bottom"/>
            <w:hideMark/>
          </w:tcPr>
          <w:p w14:paraId="0AA0398A"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70%</w:t>
            </w:r>
          </w:p>
        </w:tc>
        <w:tc>
          <w:tcPr>
            <w:tcW w:w="720" w:type="dxa"/>
            <w:shd w:val="clear" w:color="auto" w:fill="7F7F7F" w:themeFill="text1" w:themeFillTint="80"/>
            <w:noWrap/>
            <w:vAlign w:val="bottom"/>
            <w:hideMark/>
          </w:tcPr>
          <w:p w14:paraId="3FCC0B98"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80%</w:t>
            </w:r>
          </w:p>
        </w:tc>
        <w:tc>
          <w:tcPr>
            <w:tcW w:w="720" w:type="dxa"/>
            <w:shd w:val="clear" w:color="auto" w:fill="7F7F7F" w:themeFill="text1" w:themeFillTint="80"/>
            <w:noWrap/>
            <w:vAlign w:val="bottom"/>
            <w:hideMark/>
          </w:tcPr>
          <w:p w14:paraId="11E5A35C"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90%</w:t>
            </w:r>
          </w:p>
        </w:tc>
        <w:tc>
          <w:tcPr>
            <w:tcW w:w="721" w:type="dxa"/>
            <w:shd w:val="clear" w:color="auto" w:fill="7F7F7F" w:themeFill="text1" w:themeFillTint="80"/>
            <w:noWrap/>
            <w:vAlign w:val="bottom"/>
            <w:hideMark/>
          </w:tcPr>
          <w:p w14:paraId="31B8AB6F" w14:textId="77777777" w:rsidR="00D838DA" w:rsidRPr="00D838DA" w:rsidRDefault="00D838DA" w:rsidP="00D838DA">
            <w:pPr>
              <w:spacing w:after="120" w:line="240" w:lineRule="auto"/>
              <w:jc w:val="center"/>
              <w:rPr>
                <w:rFonts w:ascii="Calibri" w:eastAsia="Times New Roman" w:hAnsi="Calibri" w:cs="Calibri"/>
                <w:b/>
                <w:color w:val="FFFFFF"/>
                <w:sz w:val="20"/>
                <w:szCs w:val="20"/>
              </w:rPr>
            </w:pPr>
            <w:r w:rsidRPr="00D838DA">
              <w:rPr>
                <w:rFonts w:ascii="Calibri" w:eastAsia="Times New Roman" w:hAnsi="Calibri" w:cs="Calibri"/>
                <w:b/>
                <w:color w:val="FFFFFF"/>
                <w:sz w:val="20"/>
                <w:szCs w:val="20"/>
              </w:rPr>
              <w:t>100%</w:t>
            </w:r>
          </w:p>
        </w:tc>
      </w:tr>
      <w:tr w:rsidR="00D838DA" w:rsidRPr="00D838DA" w14:paraId="5A72D073" w14:textId="77777777" w:rsidTr="0031660E">
        <w:tc>
          <w:tcPr>
            <w:tcW w:w="2433" w:type="dxa"/>
            <w:shd w:val="clear" w:color="auto" w:fill="auto"/>
            <w:noWrap/>
            <w:vAlign w:val="bottom"/>
            <w:hideMark/>
          </w:tcPr>
          <w:p w14:paraId="462FDCD1"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No Control or Bypass Damper</w:t>
            </w:r>
          </w:p>
        </w:tc>
        <w:tc>
          <w:tcPr>
            <w:tcW w:w="720" w:type="dxa"/>
            <w:shd w:val="clear" w:color="auto" w:fill="auto"/>
            <w:noWrap/>
            <w:vAlign w:val="bottom"/>
            <w:hideMark/>
          </w:tcPr>
          <w:p w14:paraId="3537082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1B41A6C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40A7E08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035CA84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1" w:type="dxa"/>
            <w:shd w:val="clear" w:color="auto" w:fill="auto"/>
            <w:noWrap/>
            <w:vAlign w:val="bottom"/>
            <w:hideMark/>
          </w:tcPr>
          <w:p w14:paraId="14AF94F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2EF288E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297B7A4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010E1C7C"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0" w:type="dxa"/>
            <w:shd w:val="clear" w:color="auto" w:fill="auto"/>
            <w:noWrap/>
            <w:vAlign w:val="bottom"/>
            <w:hideMark/>
          </w:tcPr>
          <w:p w14:paraId="156760B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c>
          <w:tcPr>
            <w:tcW w:w="721" w:type="dxa"/>
            <w:shd w:val="clear" w:color="auto" w:fill="auto"/>
            <w:noWrap/>
            <w:vAlign w:val="bottom"/>
            <w:hideMark/>
          </w:tcPr>
          <w:p w14:paraId="39F72C7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14:paraId="6229D3D0" w14:textId="77777777" w:rsidTr="0031660E">
        <w:tc>
          <w:tcPr>
            <w:tcW w:w="2433" w:type="dxa"/>
            <w:shd w:val="clear" w:color="auto" w:fill="auto"/>
            <w:noWrap/>
            <w:vAlign w:val="bottom"/>
            <w:hideMark/>
          </w:tcPr>
          <w:p w14:paraId="01B3B8E1"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Discharge Dampers</w:t>
            </w:r>
          </w:p>
        </w:tc>
        <w:tc>
          <w:tcPr>
            <w:tcW w:w="720" w:type="dxa"/>
            <w:shd w:val="clear" w:color="auto" w:fill="auto"/>
            <w:noWrap/>
            <w:vAlign w:val="bottom"/>
            <w:hideMark/>
          </w:tcPr>
          <w:p w14:paraId="66C82ED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0.46</w:t>
            </w:r>
          </w:p>
        </w:tc>
        <w:tc>
          <w:tcPr>
            <w:tcW w:w="720" w:type="dxa"/>
            <w:shd w:val="clear" w:color="auto" w:fill="auto"/>
            <w:noWrap/>
            <w:vAlign w:val="bottom"/>
            <w:hideMark/>
          </w:tcPr>
          <w:p w14:paraId="28B989D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0.55</w:t>
            </w:r>
          </w:p>
        </w:tc>
        <w:tc>
          <w:tcPr>
            <w:tcW w:w="720" w:type="dxa"/>
            <w:shd w:val="clear" w:color="auto" w:fill="auto"/>
            <w:noWrap/>
            <w:vAlign w:val="bottom"/>
            <w:hideMark/>
          </w:tcPr>
          <w:p w14:paraId="70E982CC"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14:paraId="494BC4D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0.70</w:t>
            </w:r>
          </w:p>
        </w:tc>
        <w:tc>
          <w:tcPr>
            <w:tcW w:w="721" w:type="dxa"/>
            <w:shd w:val="clear" w:color="auto" w:fill="auto"/>
            <w:noWrap/>
            <w:vAlign w:val="bottom"/>
            <w:hideMark/>
          </w:tcPr>
          <w:p w14:paraId="7ACA77B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0.77</w:t>
            </w:r>
          </w:p>
        </w:tc>
        <w:tc>
          <w:tcPr>
            <w:tcW w:w="720" w:type="dxa"/>
            <w:shd w:val="clear" w:color="auto" w:fill="auto"/>
            <w:noWrap/>
            <w:vAlign w:val="bottom"/>
            <w:hideMark/>
          </w:tcPr>
          <w:p w14:paraId="44608A7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0.83</w:t>
            </w:r>
          </w:p>
        </w:tc>
        <w:tc>
          <w:tcPr>
            <w:tcW w:w="720" w:type="dxa"/>
            <w:shd w:val="clear" w:color="auto" w:fill="auto"/>
            <w:noWrap/>
            <w:vAlign w:val="bottom"/>
            <w:hideMark/>
          </w:tcPr>
          <w:p w14:paraId="46ADCEC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0.88</w:t>
            </w:r>
          </w:p>
        </w:tc>
        <w:tc>
          <w:tcPr>
            <w:tcW w:w="720" w:type="dxa"/>
            <w:shd w:val="clear" w:color="auto" w:fill="auto"/>
            <w:noWrap/>
            <w:vAlign w:val="bottom"/>
            <w:hideMark/>
          </w:tcPr>
          <w:p w14:paraId="14E27B5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0.93</w:t>
            </w:r>
          </w:p>
        </w:tc>
        <w:tc>
          <w:tcPr>
            <w:tcW w:w="720" w:type="dxa"/>
            <w:shd w:val="clear" w:color="auto" w:fill="auto"/>
            <w:noWrap/>
            <w:vAlign w:val="bottom"/>
            <w:hideMark/>
          </w:tcPr>
          <w:p w14:paraId="4FA18FC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0.97</w:t>
            </w:r>
          </w:p>
        </w:tc>
        <w:tc>
          <w:tcPr>
            <w:tcW w:w="721" w:type="dxa"/>
            <w:shd w:val="clear" w:color="auto" w:fill="auto"/>
            <w:noWrap/>
            <w:vAlign w:val="bottom"/>
            <w:hideMark/>
          </w:tcPr>
          <w:p w14:paraId="04162F8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14:paraId="16953063" w14:textId="77777777" w:rsidTr="0031660E">
        <w:tc>
          <w:tcPr>
            <w:tcW w:w="2433" w:type="dxa"/>
            <w:shd w:val="clear" w:color="auto" w:fill="auto"/>
            <w:noWrap/>
            <w:vAlign w:val="bottom"/>
            <w:hideMark/>
          </w:tcPr>
          <w:p w14:paraId="79AFABE0"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Outlet Damper, BI &amp; Airfoil Fans</w:t>
            </w:r>
          </w:p>
        </w:tc>
        <w:tc>
          <w:tcPr>
            <w:tcW w:w="720" w:type="dxa"/>
            <w:shd w:val="clear" w:color="auto" w:fill="auto"/>
            <w:noWrap/>
            <w:vAlign w:val="bottom"/>
            <w:hideMark/>
          </w:tcPr>
          <w:p w14:paraId="63619DF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14:paraId="32F70F9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14:paraId="4B1DC01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14:paraId="4F5E061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0.64</w:t>
            </w:r>
          </w:p>
        </w:tc>
        <w:tc>
          <w:tcPr>
            <w:tcW w:w="721" w:type="dxa"/>
            <w:shd w:val="clear" w:color="auto" w:fill="auto"/>
            <w:noWrap/>
            <w:vAlign w:val="bottom"/>
            <w:hideMark/>
          </w:tcPr>
          <w:p w14:paraId="651CB03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0.72</w:t>
            </w:r>
          </w:p>
        </w:tc>
        <w:tc>
          <w:tcPr>
            <w:tcW w:w="720" w:type="dxa"/>
            <w:shd w:val="clear" w:color="auto" w:fill="auto"/>
            <w:noWrap/>
            <w:vAlign w:val="bottom"/>
            <w:hideMark/>
          </w:tcPr>
          <w:p w14:paraId="18A1249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0.80</w:t>
            </w:r>
          </w:p>
        </w:tc>
        <w:tc>
          <w:tcPr>
            <w:tcW w:w="720" w:type="dxa"/>
            <w:shd w:val="clear" w:color="auto" w:fill="auto"/>
            <w:noWrap/>
            <w:vAlign w:val="bottom"/>
            <w:hideMark/>
          </w:tcPr>
          <w:p w14:paraId="7905A34C"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0.89</w:t>
            </w:r>
          </w:p>
        </w:tc>
        <w:tc>
          <w:tcPr>
            <w:tcW w:w="720" w:type="dxa"/>
            <w:shd w:val="clear" w:color="auto" w:fill="auto"/>
            <w:noWrap/>
            <w:vAlign w:val="bottom"/>
            <w:hideMark/>
          </w:tcPr>
          <w:p w14:paraId="685690C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0.96</w:t>
            </w:r>
          </w:p>
        </w:tc>
        <w:tc>
          <w:tcPr>
            <w:tcW w:w="720" w:type="dxa"/>
            <w:shd w:val="clear" w:color="auto" w:fill="auto"/>
            <w:noWrap/>
            <w:vAlign w:val="bottom"/>
            <w:hideMark/>
          </w:tcPr>
          <w:p w14:paraId="5BFCC0A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1.02</w:t>
            </w:r>
          </w:p>
        </w:tc>
        <w:tc>
          <w:tcPr>
            <w:tcW w:w="721" w:type="dxa"/>
            <w:shd w:val="clear" w:color="auto" w:fill="auto"/>
            <w:noWrap/>
            <w:vAlign w:val="bottom"/>
            <w:hideMark/>
          </w:tcPr>
          <w:p w14:paraId="0A771CB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1.05</w:t>
            </w:r>
          </w:p>
        </w:tc>
      </w:tr>
      <w:tr w:rsidR="00D838DA" w:rsidRPr="00D838DA" w14:paraId="39416154" w14:textId="77777777" w:rsidTr="0031660E">
        <w:tc>
          <w:tcPr>
            <w:tcW w:w="2433" w:type="dxa"/>
            <w:shd w:val="clear" w:color="auto" w:fill="auto"/>
            <w:noWrap/>
            <w:vAlign w:val="bottom"/>
            <w:hideMark/>
          </w:tcPr>
          <w:p w14:paraId="746DF744"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Damper Box</w:t>
            </w:r>
          </w:p>
        </w:tc>
        <w:tc>
          <w:tcPr>
            <w:tcW w:w="720" w:type="dxa"/>
            <w:shd w:val="clear" w:color="auto" w:fill="auto"/>
            <w:noWrap/>
            <w:vAlign w:val="bottom"/>
            <w:hideMark/>
          </w:tcPr>
          <w:p w14:paraId="39B3D97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0.56</w:t>
            </w:r>
          </w:p>
        </w:tc>
        <w:tc>
          <w:tcPr>
            <w:tcW w:w="720" w:type="dxa"/>
            <w:shd w:val="clear" w:color="auto" w:fill="auto"/>
            <w:noWrap/>
            <w:vAlign w:val="bottom"/>
            <w:hideMark/>
          </w:tcPr>
          <w:p w14:paraId="43AAD4D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14:paraId="0BB42CC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0.62</w:t>
            </w:r>
          </w:p>
        </w:tc>
        <w:tc>
          <w:tcPr>
            <w:tcW w:w="720" w:type="dxa"/>
            <w:shd w:val="clear" w:color="auto" w:fill="auto"/>
            <w:noWrap/>
            <w:vAlign w:val="bottom"/>
            <w:hideMark/>
          </w:tcPr>
          <w:p w14:paraId="1A276F2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0.64</w:t>
            </w:r>
          </w:p>
        </w:tc>
        <w:tc>
          <w:tcPr>
            <w:tcW w:w="721" w:type="dxa"/>
            <w:shd w:val="clear" w:color="auto" w:fill="auto"/>
            <w:noWrap/>
            <w:vAlign w:val="bottom"/>
            <w:hideMark/>
          </w:tcPr>
          <w:p w14:paraId="75DF9A8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0.66</w:t>
            </w:r>
          </w:p>
        </w:tc>
        <w:tc>
          <w:tcPr>
            <w:tcW w:w="720" w:type="dxa"/>
            <w:shd w:val="clear" w:color="auto" w:fill="auto"/>
            <w:noWrap/>
            <w:vAlign w:val="bottom"/>
            <w:hideMark/>
          </w:tcPr>
          <w:p w14:paraId="1E38472C"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0.69</w:t>
            </w:r>
          </w:p>
        </w:tc>
        <w:tc>
          <w:tcPr>
            <w:tcW w:w="720" w:type="dxa"/>
            <w:shd w:val="clear" w:color="auto" w:fill="auto"/>
            <w:noWrap/>
            <w:vAlign w:val="bottom"/>
            <w:hideMark/>
          </w:tcPr>
          <w:p w14:paraId="700F2EE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0.74</w:t>
            </w:r>
          </w:p>
        </w:tc>
        <w:tc>
          <w:tcPr>
            <w:tcW w:w="720" w:type="dxa"/>
            <w:shd w:val="clear" w:color="auto" w:fill="auto"/>
            <w:noWrap/>
            <w:vAlign w:val="bottom"/>
            <w:hideMark/>
          </w:tcPr>
          <w:p w14:paraId="1186946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0.81</w:t>
            </w:r>
          </w:p>
        </w:tc>
        <w:tc>
          <w:tcPr>
            <w:tcW w:w="720" w:type="dxa"/>
            <w:shd w:val="clear" w:color="auto" w:fill="auto"/>
            <w:noWrap/>
            <w:vAlign w:val="bottom"/>
            <w:hideMark/>
          </w:tcPr>
          <w:p w14:paraId="72F725E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0.92</w:t>
            </w:r>
          </w:p>
        </w:tc>
        <w:tc>
          <w:tcPr>
            <w:tcW w:w="721" w:type="dxa"/>
            <w:shd w:val="clear" w:color="auto" w:fill="auto"/>
            <w:noWrap/>
            <w:vAlign w:val="bottom"/>
            <w:hideMark/>
          </w:tcPr>
          <w:p w14:paraId="0E74FE0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1.07</w:t>
            </w:r>
          </w:p>
        </w:tc>
      </w:tr>
      <w:tr w:rsidR="00D838DA" w:rsidRPr="00D838DA" w14:paraId="5F988CF2" w14:textId="77777777" w:rsidTr="0031660E">
        <w:tc>
          <w:tcPr>
            <w:tcW w:w="2433" w:type="dxa"/>
            <w:shd w:val="clear" w:color="auto" w:fill="auto"/>
            <w:noWrap/>
            <w:vAlign w:val="bottom"/>
            <w:hideMark/>
          </w:tcPr>
          <w:p w14:paraId="1C3F9BC0"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Guide Vane, BI &amp; Airfoil Fans</w:t>
            </w:r>
          </w:p>
        </w:tc>
        <w:tc>
          <w:tcPr>
            <w:tcW w:w="720" w:type="dxa"/>
            <w:shd w:val="clear" w:color="auto" w:fill="auto"/>
            <w:noWrap/>
            <w:vAlign w:val="bottom"/>
            <w:hideMark/>
          </w:tcPr>
          <w:p w14:paraId="4F46CC1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14:paraId="6A11A40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0.56</w:t>
            </w:r>
          </w:p>
        </w:tc>
        <w:tc>
          <w:tcPr>
            <w:tcW w:w="720" w:type="dxa"/>
            <w:shd w:val="clear" w:color="auto" w:fill="auto"/>
            <w:noWrap/>
            <w:vAlign w:val="bottom"/>
            <w:hideMark/>
          </w:tcPr>
          <w:p w14:paraId="41CE16BA"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14:paraId="1A4ABF4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0.59</w:t>
            </w:r>
          </w:p>
        </w:tc>
        <w:tc>
          <w:tcPr>
            <w:tcW w:w="721" w:type="dxa"/>
            <w:shd w:val="clear" w:color="auto" w:fill="auto"/>
            <w:noWrap/>
            <w:vAlign w:val="bottom"/>
            <w:hideMark/>
          </w:tcPr>
          <w:p w14:paraId="4098DB3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14:paraId="431F81D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0.62</w:t>
            </w:r>
          </w:p>
        </w:tc>
        <w:tc>
          <w:tcPr>
            <w:tcW w:w="720" w:type="dxa"/>
            <w:shd w:val="clear" w:color="auto" w:fill="auto"/>
            <w:noWrap/>
            <w:vAlign w:val="bottom"/>
            <w:hideMark/>
          </w:tcPr>
          <w:p w14:paraId="2AC4BDF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0.67</w:t>
            </w:r>
          </w:p>
        </w:tc>
        <w:tc>
          <w:tcPr>
            <w:tcW w:w="720" w:type="dxa"/>
            <w:shd w:val="clear" w:color="auto" w:fill="auto"/>
            <w:noWrap/>
            <w:vAlign w:val="bottom"/>
            <w:hideMark/>
          </w:tcPr>
          <w:p w14:paraId="58B7A02A"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0.74</w:t>
            </w:r>
          </w:p>
        </w:tc>
        <w:tc>
          <w:tcPr>
            <w:tcW w:w="720" w:type="dxa"/>
            <w:shd w:val="clear" w:color="auto" w:fill="auto"/>
            <w:noWrap/>
            <w:vAlign w:val="bottom"/>
            <w:hideMark/>
          </w:tcPr>
          <w:p w14:paraId="17884E6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0.85</w:t>
            </w:r>
          </w:p>
        </w:tc>
        <w:tc>
          <w:tcPr>
            <w:tcW w:w="721" w:type="dxa"/>
            <w:shd w:val="clear" w:color="auto" w:fill="auto"/>
            <w:noWrap/>
            <w:vAlign w:val="bottom"/>
            <w:hideMark/>
          </w:tcPr>
          <w:p w14:paraId="633411B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r w:rsidR="00D838DA" w:rsidRPr="00D838DA" w14:paraId="013B4DD0" w14:textId="77777777" w:rsidTr="0031660E">
        <w:tc>
          <w:tcPr>
            <w:tcW w:w="2433" w:type="dxa"/>
            <w:shd w:val="clear" w:color="auto" w:fill="auto"/>
            <w:noWrap/>
            <w:vAlign w:val="bottom"/>
            <w:hideMark/>
          </w:tcPr>
          <w:p w14:paraId="7A63F63A"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Vane Dampers</w:t>
            </w:r>
          </w:p>
        </w:tc>
        <w:tc>
          <w:tcPr>
            <w:tcW w:w="720" w:type="dxa"/>
            <w:shd w:val="clear" w:color="auto" w:fill="auto"/>
            <w:noWrap/>
            <w:vAlign w:val="bottom"/>
            <w:hideMark/>
          </w:tcPr>
          <w:p w14:paraId="67EA18D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0.38</w:t>
            </w:r>
          </w:p>
        </w:tc>
        <w:tc>
          <w:tcPr>
            <w:tcW w:w="720" w:type="dxa"/>
            <w:shd w:val="clear" w:color="auto" w:fill="auto"/>
            <w:noWrap/>
            <w:vAlign w:val="bottom"/>
            <w:hideMark/>
          </w:tcPr>
          <w:p w14:paraId="1AC8B1A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0.40</w:t>
            </w:r>
          </w:p>
        </w:tc>
        <w:tc>
          <w:tcPr>
            <w:tcW w:w="720" w:type="dxa"/>
            <w:shd w:val="clear" w:color="auto" w:fill="auto"/>
            <w:noWrap/>
            <w:vAlign w:val="bottom"/>
            <w:hideMark/>
          </w:tcPr>
          <w:p w14:paraId="20530AB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0.42</w:t>
            </w:r>
          </w:p>
        </w:tc>
        <w:tc>
          <w:tcPr>
            <w:tcW w:w="720" w:type="dxa"/>
            <w:shd w:val="clear" w:color="auto" w:fill="auto"/>
            <w:noWrap/>
            <w:vAlign w:val="bottom"/>
            <w:hideMark/>
          </w:tcPr>
          <w:p w14:paraId="2CCEBBD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0.44</w:t>
            </w:r>
          </w:p>
        </w:tc>
        <w:tc>
          <w:tcPr>
            <w:tcW w:w="721" w:type="dxa"/>
            <w:shd w:val="clear" w:color="auto" w:fill="auto"/>
            <w:noWrap/>
            <w:vAlign w:val="bottom"/>
            <w:hideMark/>
          </w:tcPr>
          <w:p w14:paraId="1207F04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0.48</w:t>
            </w:r>
          </w:p>
        </w:tc>
        <w:tc>
          <w:tcPr>
            <w:tcW w:w="720" w:type="dxa"/>
            <w:shd w:val="clear" w:color="auto" w:fill="auto"/>
            <w:noWrap/>
            <w:vAlign w:val="bottom"/>
            <w:hideMark/>
          </w:tcPr>
          <w:p w14:paraId="5599CC3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0.53</w:t>
            </w:r>
          </w:p>
        </w:tc>
        <w:tc>
          <w:tcPr>
            <w:tcW w:w="720" w:type="dxa"/>
            <w:shd w:val="clear" w:color="auto" w:fill="auto"/>
            <w:noWrap/>
            <w:vAlign w:val="bottom"/>
            <w:hideMark/>
          </w:tcPr>
          <w:p w14:paraId="083BBCC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0.60</w:t>
            </w:r>
          </w:p>
        </w:tc>
        <w:tc>
          <w:tcPr>
            <w:tcW w:w="720" w:type="dxa"/>
            <w:shd w:val="clear" w:color="auto" w:fill="auto"/>
            <w:noWrap/>
            <w:vAlign w:val="bottom"/>
            <w:hideMark/>
          </w:tcPr>
          <w:p w14:paraId="76C53E7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0.70</w:t>
            </w:r>
          </w:p>
        </w:tc>
        <w:tc>
          <w:tcPr>
            <w:tcW w:w="720" w:type="dxa"/>
            <w:shd w:val="clear" w:color="auto" w:fill="auto"/>
            <w:noWrap/>
            <w:vAlign w:val="bottom"/>
            <w:hideMark/>
          </w:tcPr>
          <w:p w14:paraId="07FA027F"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0.83</w:t>
            </w:r>
          </w:p>
        </w:tc>
        <w:tc>
          <w:tcPr>
            <w:tcW w:w="721" w:type="dxa"/>
            <w:shd w:val="clear" w:color="auto" w:fill="auto"/>
            <w:noWrap/>
            <w:vAlign w:val="bottom"/>
            <w:hideMark/>
          </w:tcPr>
          <w:p w14:paraId="1D3E7C8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0.99</w:t>
            </w:r>
          </w:p>
        </w:tc>
      </w:tr>
      <w:tr w:rsidR="00D838DA" w:rsidRPr="00D838DA" w14:paraId="526406AA" w14:textId="77777777" w:rsidTr="0031660E">
        <w:tc>
          <w:tcPr>
            <w:tcW w:w="2433" w:type="dxa"/>
            <w:shd w:val="clear" w:color="auto" w:fill="auto"/>
            <w:noWrap/>
            <w:vAlign w:val="bottom"/>
            <w:hideMark/>
          </w:tcPr>
          <w:p w14:paraId="5B24DC15"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Outlet Damper, FC Fans</w:t>
            </w:r>
          </w:p>
        </w:tc>
        <w:tc>
          <w:tcPr>
            <w:tcW w:w="720" w:type="dxa"/>
            <w:shd w:val="clear" w:color="auto" w:fill="auto"/>
            <w:noWrap/>
            <w:vAlign w:val="bottom"/>
            <w:hideMark/>
          </w:tcPr>
          <w:p w14:paraId="301C025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0.22</w:t>
            </w:r>
          </w:p>
        </w:tc>
        <w:tc>
          <w:tcPr>
            <w:tcW w:w="720" w:type="dxa"/>
            <w:shd w:val="clear" w:color="auto" w:fill="auto"/>
            <w:noWrap/>
            <w:vAlign w:val="bottom"/>
            <w:hideMark/>
          </w:tcPr>
          <w:p w14:paraId="3D91F04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0.26</w:t>
            </w:r>
          </w:p>
        </w:tc>
        <w:tc>
          <w:tcPr>
            <w:tcW w:w="720" w:type="dxa"/>
            <w:shd w:val="clear" w:color="auto" w:fill="auto"/>
            <w:noWrap/>
            <w:vAlign w:val="bottom"/>
            <w:hideMark/>
          </w:tcPr>
          <w:p w14:paraId="22BBFAF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0.30</w:t>
            </w:r>
          </w:p>
        </w:tc>
        <w:tc>
          <w:tcPr>
            <w:tcW w:w="720" w:type="dxa"/>
            <w:shd w:val="clear" w:color="auto" w:fill="auto"/>
            <w:noWrap/>
            <w:vAlign w:val="bottom"/>
            <w:hideMark/>
          </w:tcPr>
          <w:p w14:paraId="20976C1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0.37</w:t>
            </w:r>
          </w:p>
        </w:tc>
        <w:tc>
          <w:tcPr>
            <w:tcW w:w="721" w:type="dxa"/>
            <w:shd w:val="clear" w:color="auto" w:fill="auto"/>
            <w:noWrap/>
            <w:vAlign w:val="bottom"/>
            <w:hideMark/>
          </w:tcPr>
          <w:p w14:paraId="6C195A3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0.45</w:t>
            </w:r>
          </w:p>
        </w:tc>
        <w:tc>
          <w:tcPr>
            <w:tcW w:w="720" w:type="dxa"/>
            <w:shd w:val="clear" w:color="auto" w:fill="auto"/>
            <w:noWrap/>
            <w:vAlign w:val="bottom"/>
            <w:hideMark/>
          </w:tcPr>
          <w:p w14:paraId="23A7810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0.54</w:t>
            </w:r>
          </w:p>
        </w:tc>
        <w:tc>
          <w:tcPr>
            <w:tcW w:w="720" w:type="dxa"/>
            <w:shd w:val="clear" w:color="auto" w:fill="auto"/>
            <w:noWrap/>
            <w:vAlign w:val="bottom"/>
            <w:hideMark/>
          </w:tcPr>
          <w:p w14:paraId="6C0D72C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0.65</w:t>
            </w:r>
          </w:p>
        </w:tc>
        <w:tc>
          <w:tcPr>
            <w:tcW w:w="720" w:type="dxa"/>
            <w:shd w:val="clear" w:color="auto" w:fill="auto"/>
            <w:noWrap/>
            <w:vAlign w:val="bottom"/>
            <w:hideMark/>
          </w:tcPr>
          <w:p w14:paraId="5AF8636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0.77</w:t>
            </w:r>
          </w:p>
        </w:tc>
        <w:tc>
          <w:tcPr>
            <w:tcW w:w="720" w:type="dxa"/>
            <w:shd w:val="clear" w:color="auto" w:fill="auto"/>
            <w:noWrap/>
            <w:vAlign w:val="bottom"/>
            <w:hideMark/>
          </w:tcPr>
          <w:p w14:paraId="060B3C7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0.91</w:t>
            </w:r>
          </w:p>
        </w:tc>
        <w:tc>
          <w:tcPr>
            <w:tcW w:w="721" w:type="dxa"/>
            <w:shd w:val="clear" w:color="auto" w:fill="auto"/>
            <w:noWrap/>
            <w:vAlign w:val="bottom"/>
            <w:hideMark/>
          </w:tcPr>
          <w:p w14:paraId="781B825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1.06</w:t>
            </w:r>
          </w:p>
        </w:tc>
      </w:tr>
      <w:tr w:rsidR="00D838DA" w:rsidRPr="00D838DA" w14:paraId="580E1A1B" w14:textId="77777777" w:rsidTr="0031660E">
        <w:tc>
          <w:tcPr>
            <w:tcW w:w="2433" w:type="dxa"/>
            <w:shd w:val="clear" w:color="auto" w:fill="auto"/>
            <w:noWrap/>
            <w:vAlign w:val="bottom"/>
            <w:hideMark/>
          </w:tcPr>
          <w:p w14:paraId="62609779"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Eddy Current Drives</w:t>
            </w:r>
          </w:p>
        </w:tc>
        <w:tc>
          <w:tcPr>
            <w:tcW w:w="720" w:type="dxa"/>
            <w:shd w:val="clear" w:color="auto" w:fill="auto"/>
            <w:noWrap/>
            <w:vAlign w:val="bottom"/>
            <w:hideMark/>
          </w:tcPr>
          <w:p w14:paraId="2E9FF67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0.17</w:t>
            </w:r>
          </w:p>
        </w:tc>
        <w:tc>
          <w:tcPr>
            <w:tcW w:w="720" w:type="dxa"/>
            <w:shd w:val="clear" w:color="auto" w:fill="auto"/>
            <w:noWrap/>
            <w:vAlign w:val="bottom"/>
            <w:hideMark/>
          </w:tcPr>
          <w:p w14:paraId="49C00B13"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0.20</w:t>
            </w:r>
          </w:p>
        </w:tc>
        <w:tc>
          <w:tcPr>
            <w:tcW w:w="720" w:type="dxa"/>
            <w:shd w:val="clear" w:color="auto" w:fill="auto"/>
            <w:noWrap/>
            <w:vAlign w:val="bottom"/>
            <w:hideMark/>
          </w:tcPr>
          <w:p w14:paraId="6775C6C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0.25</w:t>
            </w:r>
          </w:p>
        </w:tc>
        <w:tc>
          <w:tcPr>
            <w:tcW w:w="720" w:type="dxa"/>
            <w:shd w:val="clear" w:color="auto" w:fill="auto"/>
            <w:noWrap/>
            <w:vAlign w:val="bottom"/>
            <w:hideMark/>
          </w:tcPr>
          <w:p w14:paraId="2C58535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0.32</w:t>
            </w:r>
          </w:p>
        </w:tc>
        <w:tc>
          <w:tcPr>
            <w:tcW w:w="721" w:type="dxa"/>
            <w:shd w:val="clear" w:color="auto" w:fill="auto"/>
            <w:noWrap/>
            <w:vAlign w:val="bottom"/>
            <w:hideMark/>
          </w:tcPr>
          <w:p w14:paraId="53829C5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0.41</w:t>
            </w:r>
          </w:p>
        </w:tc>
        <w:tc>
          <w:tcPr>
            <w:tcW w:w="720" w:type="dxa"/>
            <w:shd w:val="clear" w:color="auto" w:fill="auto"/>
            <w:noWrap/>
            <w:vAlign w:val="bottom"/>
            <w:hideMark/>
          </w:tcPr>
          <w:p w14:paraId="54B42D4A"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0.51</w:t>
            </w:r>
          </w:p>
        </w:tc>
        <w:tc>
          <w:tcPr>
            <w:tcW w:w="720" w:type="dxa"/>
            <w:shd w:val="clear" w:color="auto" w:fill="auto"/>
            <w:noWrap/>
            <w:vAlign w:val="bottom"/>
            <w:hideMark/>
          </w:tcPr>
          <w:p w14:paraId="1F3A438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14:paraId="193C7A9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0.76</w:t>
            </w:r>
          </w:p>
        </w:tc>
        <w:tc>
          <w:tcPr>
            <w:tcW w:w="720" w:type="dxa"/>
            <w:shd w:val="clear" w:color="auto" w:fill="auto"/>
            <w:noWrap/>
            <w:vAlign w:val="bottom"/>
            <w:hideMark/>
          </w:tcPr>
          <w:p w14:paraId="4038AF34"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0.90</w:t>
            </w:r>
          </w:p>
        </w:tc>
        <w:tc>
          <w:tcPr>
            <w:tcW w:w="721" w:type="dxa"/>
            <w:shd w:val="clear" w:color="auto" w:fill="auto"/>
            <w:noWrap/>
            <w:vAlign w:val="bottom"/>
            <w:hideMark/>
          </w:tcPr>
          <w:p w14:paraId="59A6336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1.04</w:t>
            </w:r>
          </w:p>
        </w:tc>
      </w:tr>
      <w:tr w:rsidR="00D838DA" w:rsidRPr="00D838DA" w14:paraId="4CA603E0" w14:textId="77777777" w:rsidTr="0031660E">
        <w:tc>
          <w:tcPr>
            <w:tcW w:w="2433" w:type="dxa"/>
            <w:shd w:val="clear" w:color="auto" w:fill="auto"/>
            <w:noWrap/>
            <w:vAlign w:val="bottom"/>
            <w:hideMark/>
          </w:tcPr>
          <w:p w14:paraId="300C600A"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Inlet Guide Vane, FC Fans</w:t>
            </w:r>
          </w:p>
        </w:tc>
        <w:tc>
          <w:tcPr>
            <w:tcW w:w="720" w:type="dxa"/>
            <w:shd w:val="clear" w:color="auto" w:fill="auto"/>
            <w:noWrap/>
            <w:vAlign w:val="bottom"/>
            <w:hideMark/>
          </w:tcPr>
          <w:p w14:paraId="65CD3E7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0.21</w:t>
            </w:r>
          </w:p>
        </w:tc>
        <w:tc>
          <w:tcPr>
            <w:tcW w:w="720" w:type="dxa"/>
            <w:shd w:val="clear" w:color="auto" w:fill="auto"/>
            <w:noWrap/>
            <w:vAlign w:val="bottom"/>
            <w:hideMark/>
          </w:tcPr>
          <w:p w14:paraId="0DE33FF8"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0.22</w:t>
            </w:r>
          </w:p>
        </w:tc>
        <w:tc>
          <w:tcPr>
            <w:tcW w:w="720" w:type="dxa"/>
            <w:shd w:val="clear" w:color="auto" w:fill="auto"/>
            <w:noWrap/>
            <w:vAlign w:val="bottom"/>
            <w:hideMark/>
          </w:tcPr>
          <w:p w14:paraId="6219B88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0.23</w:t>
            </w:r>
          </w:p>
        </w:tc>
        <w:tc>
          <w:tcPr>
            <w:tcW w:w="720" w:type="dxa"/>
            <w:shd w:val="clear" w:color="auto" w:fill="auto"/>
            <w:noWrap/>
            <w:vAlign w:val="bottom"/>
            <w:hideMark/>
          </w:tcPr>
          <w:p w14:paraId="0FC9E08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0.26</w:t>
            </w:r>
          </w:p>
        </w:tc>
        <w:tc>
          <w:tcPr>
            <w:tcW w:w="721" w:type="dxa"/>
            <w:shd w:val="clear" w:color="auto" w:fill="auto"/>
            <w:noWrap/>
            <w:vAlign w:val="bottom"/>
            <w:hideMark/>
          </w:tcPr>
          <w:p w14:paraId="4EB8473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0.31</w:t>
            </w:r>
          </w:p>
        </w:tc>
        <w:tc>
          <w:tcPr>
            <w:tcW w:w="720" w:type="dxa"/>
            <w:shd w:val="clear" w:color="auto" w:fill="auto"/>
            <w:noWrap/>
            <w:vAlign w:val="bottom"/>
            <w:hideMark/>
          </w:tcPr>
          <w:p w14:paraId="0E9088C2"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0.39</w:t>
            </w:r>
          </w:p>
        </w:tc>
        <w:tc>
          <w:tcPr>
            <w:tcW w:w="720" w:type="dxa"/>
            <w:shd w:val="clear" w:color="auto" w:fill="auto"/>
            <w:noWrap/>
            <w:vAlign w:val="bottom"/>
            <w:hideMark/>
          </w:tcPr>
          <w:p w14:paraId="59DB3F6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0.49</w:t>
            </w:r>
          </w:p>
        </w:tc>
        <w:tc>
          <w:tcPr>
            <w:tcW w:w="720" w:type="dxa"/>
            <w:shd w:val="clear" w:color="auto" w:fill="auto"/>
            <w:noWrap/>
            <w:vAlign w:val="bottom"/>
            <w:hideMark/>
          </w:tcPr>
          <w:p w14:paraId="4B1C7D2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0.63</w:t>
            </w:r>
          </w:p>
        </w:tc>
        <w:tc>
          <w:tcPr>
            <w:tcW w:w="720" w:type="dxa"/>
            <w:shd w:val="clear" w:color="auto" w:fill="auto"/>
            <w:noWrap/>
            <w:vAlign w:val="bottom"/>
            <w:hideMark/>
          </w:tcPr>
          <w:p w14:paraId="1EFB25F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0.81</w:t>
            </w:r>
          </w:p>
        </w:tc>
        <w:tc>
          <w:tcPr>
            <w:tcW w:w="721" w:type="dxa"/>
            <w:shd w:val="clear" w:color="auto" w:fill="auto"/>
            <w:noWrap/>
            <w:vAlign w:val="bottom"/>
            <w:hideMark/>
          </w:tcPr>
          <w:p w14:paraId="23ECC09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1.04</w:t>
            </w:r>
          </w:p>
        </w:tc>
      </w:tr>
      <w:tr w:rsidR="00D838DA" w:rsidRPr="00D838DA" w14:paraId="21F85641" w14:textId="77777777" w:rsidTr="0031660E">
        <w:tc>
          <w:tcPr>
            <w:tcW w:w="2433" w:type="dxa"/>
            <w:shd w:val="clear" w:color="auto" w:fill="auto"/>
            <w:noWrap/>
            <w:vAlign w:val="bottom"/>
            <w:hideMark/>
          </w:tcPr>
          <w:p w14:paraId="17EF9519"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VFD with duct static pressure controls</w:t>
            </w:r>
          </w:p>
        </w:tc>
        <w:tc>
          <w:tcPr>
            <w:tcW w:w="720" w:type="dxa"/>
            <w:shd w:val="clear" w:color="auto" w:fill="auto"/>
            <w:noWrap/>
            <w:vAlign w:val="bottom"/>
            <w:hideMark/>
          </w:tcPr>
          <w:p w14:paraId="5D37A91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0.09</w:t>
            </w:r>
          </w:p>
        </w:tc>
        <w:tc>
          <w:tcPr>
            <w:tcW w:w="720" w:type="dxa"/>
            <w:shd w:val="clear" w:color="auto" w:fill="auto"/>
            <w:noWrap/>
            <w:vAlign w:val="bottom"/>
            <w:hideMark/>
          </w:tcPr>
          <w:p w14:paraId="3B5DA18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0.10</w:t>
            </w:r>
          </w:p>
        </w:tc>
        <w:tc>
          <w:tcPr>
            <w:tcW w:w="720" w:type="dxa"/>
            <w:shd w:val="clear" w:color="auto" w:fill="auto"/>
            <w:noWrap/>
            <w:vAlign w:val="bottom"/>
            <w:hideMark/>
          </w:tcPr>
          <w:p w14:paraId="1209B1C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0.11</w:t>
            </w:r>
          </w:p>
        </w:tc>
        <w:tc>
          <w:tcPr>
            <w:tcW w:w="720" w:type="dxa"/>
            <w:shd w:val="clear" w:color="auto" w:fill="auto"/>
            <w:noWrap/>
            <w:vAlign w:val="bottom"/>
            <w:hideMark/>
          </w:tcPr>
          <w:p w14:paraId="18F5BF97"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0.15</w:t>
            </w:r>
          </w:p>
        </w:tc>
        <w:tc>
          <w:tcPr>
            <w:tcW w:w="721" w:type="dxa"/>
            <w:shd w:val="clear" w:color="auto" w:fill="auto"/>
            <w:noWrap/>
            <w:vAlign w:val="bottom"/>
            <w:hideMark/>
          </w:tcPr>
          <w:p w14:paraId="26C3C25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0.20</w:t>
            </w:r>
          </w:p>
        </w:tc>
        <w:tc>
          <w:tcPr>
            <w:tcW w:w="720" w:type="dxa"/>
            <w:shd w:val="clear" w:color="auto" w:fill="auto"/>
            <w:noWrap/>
            <w:vAlign w:val="bottom"/>
            <w:hideMark/>
          </w:tcPr>
          <w:p w14:paraId="3F03968A"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0.29</w:t>
            </w:r>
          </w:p>
        </w:tc>
        <w:tc>
          <w:tcPr>
            <w:tcW w:w="720" w:type="dxa"/>
            <w:shd w:val="clear" w:color="auto" w:fill="auto"/>
            <w:noWrap/>
            <w:vAlign w:val="bottom"/>
            <w:hideMark/>
          </w:tcPr>
          <w:p w14:paraId="07B30D8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0.41</w:t>
            </w:r>
          </w:p>
        </w:tc>
        <w:tc>
          <w:tcPr>
            <w:tcW w:w="720" w:type="dxa"/>
            <w:shd w:val="clear" w:color="auto" w:fill="auto"/>
            <w:noWrap/>
            <w:vAlign w:val="bottom"/>
            <w:hideMark/>
          </w:tcPr>
          <w:p w14:paraId="7B1B4610"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0.57</w:t>
            </w:r>
          </w:p>
        </w:tc>
        <w:tc>
          <w:tcPr>
            <w:tcW w:w="720" w:type="dxa"/>
            <w:shd w:val="clear" w:color="auto" w:fill="auto"/>
            <w:noWrap/>
            <w:vAlign w:val="bottom"/>
            <w:hideMark/>
          </w:tcPr>
          <w:p w14:paraId="605BD95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0.76</w:t>
            </w:r>
          </w:p>
        </w:tc>
        <w:tc>
          <w:tcPr>
            <w:tcW w:w="721" w:type="dxa"/>
            <w:shd w:val="clear" w:color="auto" w:fill="auto"/>
            <w:noWrap/>
            <w:vAlign w:val="bottom"/>
            <w:hideMark/>
          </w:tcPr>
          <w:p w14:paraId="3EAD85F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1.01</w:t>
            </w:r>
          </w:p>
        </w:tc>
      </w:tr>
      <w:tr w:rsidR="00D838DA" w:rsidRPr="00D838DA" w14:paraId="2F8AD3EE" w14:textId="77777777" w:rsidTr="0031660E">
        <w:tc>
          <w:tcPr>
            <w:tcW w:w="2433" w:type="dxa"/>
            <w:shd w:val="clear" w:color="auto" w:fill="auto"/>
            <w:noWrap/>
            <w:vAlign w:val="bottom"/>
            <w:hideMark/>
          </w:tcPr>
          <w:p w14:paraId="4F11BE13" w14:textId="77777777" w:rsidR="00D838DA" w:rsidRPr="00D838DA" w:rsidRDefault="00D838DA" w:rsidP="00D838DA">
            <w:pPr>
              <w:spacing w:after="120" w:line="240" w:lineRule="auto"/>
              <w:rPr>
                <w:rFonts w:ascii="Calibri" w:eastAsia="Times New Roman" w:hAnsi="Calibri" w:cs="Calibri"/>
                <w:color w:val="000000"/>
                <w:sz w:val="20"/>
                <w:szCs w:val="20"/>
              </w:rPr>
            </w:pPr>
            <w:r w:rsidRPr="00D838DA">
              <w:rPr>
                <w:rFonts w:ascii="Calibri" w:eastAsia="Times New Roman" w:hAnsi="Calibri" w:cs="Calibri"/>
                <w:color w:val="000000"/>
                <w:sz w:val="20"/>
                <w:szCs w:val="20"/>
              </w:rPr>
              <w:t>VFD with low/no duct static pressure</w:t>
            </w:r>
          </w:p>
        </w:tc>
        <w:tc>
          <w:tcPr>
            <w:tcW w:w="720" w:type="dxa"/>
            <w:shd w:val="clear" w:color="auto" w:fill="auto"/>
            <w:noWrap/>
            <w:vAlign w:val="bottom"/>
            <w:hideMark/>
          </w:tcPr>
          <w:p w14:paraId="76B5BD2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0.05</w:t>
            </w:r>
          </w:p>
        </w:tc>
        <w:tc>
          <w:tcPr>
            <w:tcW w:w="720" w:type="dxa"/>
            <w:shd w:val="clear" w:color="auto" w:fill="auto"/>
            <w:noWrap/>
            <w:vAlign w:val="bottom"/>
            <w:hideMark/>
          </w:tcPr>
          <w:p w14:paraId="3526BB11"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0.06</w:t>
            </w:r>
          </w:p>
        </w:tc>
        <w:tc>
          <w:tcPr>
            <w:tcW w:w="720" w:type="dxa"/>
            <w:shd w:val="clear" w:color="auto" w:fill="auto"/>
            <w:noWrap/>
            <w:vAlign w:val="bottom"/>
            <w:hideMark/>
          </w:tcPr>
          <w:p w14:paraId="29E347AE"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0.09</w:t>
            </w:r>
          </w:p>
        </w:tc>
        <w:tc>
          <w:tcPr>
            <w:tcW w:w="720" w:type="dxa"/>
            <w:shd w:val="clear" w:color="auto" w:fill="auto"/>
            <w:noWrap/>
            <w:vAlign w:val="bottom"/>
            <w:hideMark/>
          </w:tcPr>
          <w:p w14:paraId="0F41A32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0.12</w:t>
            </w:r>
          </w:p>
        </w:tc>
        <w:tc>
          <w:tcPr>
            <w:tcW w:w="721" w:type="dxa"/>
            <w:shd w:val="clear" w:color="auto" w:fill="auto"/>
            <w:noWrap/>
            <w:vAlign w:val="bottom"/>
            <w:hideMark/>
          </w:tcPr>
          <w:p w14:paraId="641CA07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0.18</w:t>
            </w:r>
          </w:p>
        </w:tc>
        <w:tc>
          <w:tcPr>
            <w:tcW w:w="720" w:type="dxa"/>
            <w:shd w:val="clear" w:color="auto" w:fill="auto"/>
            <w:noWrap/>
            <w:vAlign w:val="bottom"/>
            <w:hideMark/>
          </w:tcPr>
          <w:p w14:paraId="39454096"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0.27</w:t>
            </w:r>
          </w:p>
        </w:tc>
        <w:tc>
          <w:tcPr>
            <w:tcW w:w="720" w:type="dxa"/>
            <w:shd w:val="clear" w:color="auto" w:fill="auto"/>
            <w:noWrap/>
            <w:vAlign w:val="bottom"/>
            <w:hideMark/>
          </w:tcPr>
          <w:p w14:paraId="30CB9349"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0.39</w:t>
            </w:r>
          </w:p>
        </w:tc>
        <w:tc>
          <w:tcPr>
            <w:tcW w:w="720" w:type="dxa"/>
            <w:shd w:val="clear" w:color="auto" w:fill="auto"/>
            <w:noWrap/>
            <w:vAlign w:val="bottom"/>
            <w:hideMark/>
          </w:tcPr>
          <w:p w14:paraId="0CDE145D"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0.55</w:t>
            </w:r>
          </w:p>
        </w:tc>
        <w:tc>
          <w:tcPr>
            <w:tcW w:w="720" w:type="dxa"/>
            <w:shd w:val="clear" w:color="auto" w:fill="auto"/>
            <w:noWrap/>
            <w:vAlign w:val="bottom"/>
            <w:hideMark/>
          </w:tcPr>
          <w:p w14:paraId="3EBFFA25"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0.75</w:t>
            </w:r>
          </w:p>
        </w:tc>
        <w:tc>
          <w:tcPr>
            <w:tcW w:w="721" w:type="dxa"/>
            <w:shd w:val="clear" w:color="auto" w:fill="auto"/>
            <w:noWrap/>
            <w:vAlign w:val="bottom"/>
            <w:hideMark/>
          </w:tcPr>
          <w:p w14:paraId="65EC266B" w14:textId="77777777" w:rsidR="00D838DA" w:rsidRPr="00D838DA" w:rsidRDefault="00D838DA" w:rsidP="00D838DA">
            <w:pPr>
              <w:spacing w:after="120" w:line="240" w:lineRule="auto"/>
              <w:jc w:val="center"/>
              <w:rPr>
                <w:rFonts w:ascii="Calibri" w:eastAsia="Times New Roman" w:hAnsi="Calibri" w:cs="Calibri"/>
                <w:color w:val="000000"/>
                <w:sz w:val="20"/>
                <w:szCs w:val="20"/>
              </w:rPr>
            </w:pPr>
            <w:r w:rsidRPr="00D838DA">
              <w:rPr>
                <w:rFonts w:ascii="Calibri" w:eastAsia="Times New Roman" w:hAnsi="Calibri" w:cs="Calibri"/>
                <w:color w:val="000000"/>
                <w:sz w:val="20"/>
                <w:szCs w:val="20"/>
              </w:rPr>
              <w:t>1.00</w:t>
            </w:r>
          </w:p>
        </w:tc>
      </w:tr>
    </w:tbl>
    <w:p w14:paraId="7BF10B01" w14:textId="77777777" w:rsidR="00D838DA" w:rsidRPr="00D838DA" w:rsidRDefault="00D838DA" w:rsidP="00D838DA">
      <w:pPr>
        <w:spacing w:after="120" w:line="240" w:lineRule="auto"/>
        <w:ind w:left="810"/>
        <w:rPr>
          <w:rFonts w:ascii="Calibri" w:eastAsia="Times New Roman" w:hAnsi="Calibri" w:cs="Times New Roman"/>
          <w:sz w:val="20"/>
          <w:szCs w:val="20"/>
        </w:rPr>
      </w:pPr>
    </w:p>
    <w:p w14:paraId="69401262" w14:textId="77777777" w:rsidR="00D838DA" w:rsidRPr="00D838DA" w:rsidRDefault="00D838DA" w:rsidP="00D838DA">
      <w:pPr>
        <w:spacing w:after="120" w:line="240" w:lineRule="auto"/>
        <w:ind w:left="810"/>
        <w:rPr>
          <w:rFonts w:ascii="Calibri" w:eastAsia="Times New Roman" w:hAnsi="Calibri" w:cs="Times New Roman"/>
          <w:sz w:val="20"/>
          <w:szCs w:val="20"/>
        </w:rPr>
      </w:pPr>
      <w:r w:rsidRPr="00D838DA">
        <w:rPr>
          <w:rFonts w:ascii="Calibri" w:eastAsia="Times New Roman" w:hAnsi="Calibri" w:cs="Times New Roman"/>
          <w:sz w:val="20"/>
          <w:szCs w:val="20"/>
        </w:rPr>
        <w:t>Provided below is the resultant values based upon the defaults provided above:</w:t>
      </w:r>
    </w:p>
    <w:p w14:paraId="5A0E1E87" w14:textId="77777777" w:rsidR="00D838DA" w:rsidRPr="00D838DA" w:rsidRDefault="00D838DA" w:rsidP="00D838DA">
      <w:pPr>
        <w:spacing w:after="120" w:line="240" w:lineRule="auto"/>
        <w:ind w:left="810"/>
        <w:rPr>
          <w:rFonts w:ascii="Calibri" w:eastAsia="Times New Roman" w:hAnsi="Calibri" w:cs="Times New Roman"/>
          <w:sz w:val="20"/>
          <w:szCs w:val="20"/>
        </w:rPr>
      </w:pPr>
    </w:p>
    <w:tbl>
      <w:tblPr>
        <w:tblW w:w="5743" w:type="dxa"/>
        <w:jc w:val="center"/>
        <w:tblInd w:w="93" w:type="dxa"/>
        <w:tblLook w:val="04A0" w:firstRow="1" w:lastRow="0" w:firstColumn="1" w:lastColumn="0" w:noHBand="0" w:noVBand="1"/>
      </w:tblPr>
      <w:tblGrid>
        <w:gridCol w:w="3320"/>
        <w:gridCol w:w="2423"/>
      </w:tblGrid>
      <w:tr w:rsidR="00D838DA" w:rsidRPr="00D838DA" w14:paraId="51E542D1" w14:textId="77777777" w:rsidTr="0031660E">
        <w:trPr>
          <w:trHeight w:val="300"/>
          <w:tblHeader/>
          <w:jc w:val="center"/>
        </w:trPr>
        <w:tc>
          <w:tcPr>
            <w:tcW w:w="332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6AB61495" w14:textId="77777777" w:rsidR="00D838DA" w:rsidRPr="00D838DA" w:rsidRDefault="00D838DA" w:rsidP="00D838DA">
            <w:pPr>
              <w:spacing w:after="0" w:line="240" w:lineRule="auto"/>
              <w:rPr>
                <w:rFonts w:ascii="Calibri" w:eastAsia="Times New Roman" w:hAnsi="Calibri" w:cs="Times New Roman"/>
                <w:b/>
                <w:color w:val="FFFFFF" w:themeColor="background1"/>
                <w:sz w:val="20"/>
                <w:szCs w:val="20"/>
              </w:rPr>
            </w:pPr>
            <w:r w:rsidRPr="00D838DA">
              <w:rPr>
                <w:rFonts w:ascii="Calibri" w:eastAsia="Times New Roman" w:hAnsi="Calibri" w:cs="Times New Roman"/>
                <w:b/>
                <w:color w:val="FFFFFF" w:themeColor="background1"/>
                <w:sz w:val="20"/>
                <w:szCs w:val="20"/>
              </w:rPr>
              <w:t>Control Type</w:t>
            </w:r>
          </w:p>
        </w:tc>
        <w:tc>
          <w:tcPr>
            <w:tcW w:w="2423"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6640756A" w14:textId="77777777" w:rsidR="00D838DA" w:rsidRPr="00D838DA" w:rsidRDefault="00D838DA" w:rsidP="00D838DA">
            <w:pPr>
              <w:spacing w:after="0" w:line="240" w:lineRule="auto"/>
              <w:rPr>
                <w:rFonts w:ascii="Calibri" w:eastAsia="Times New Roman" w:hAnsi="Calibri" w:cs="Times New Roman"/>
                <w:b/>
                <w:color w:val="FFFFFF" w:themeColor="background1"/>
                <w:sz w:val="20"/>
                <w:szCs w:val="20"/>
              </w:rPr>
            </w:pPr>
            <w:r w:rsidRPr="00D838DA">
              <w:rPr>
                <w:rFonts w:ascii="Calibri" w:eastAsia="Times New Roman" w:hAnsi="Calibri" w:cs="Times New Roman"/>
                <w:b/>
                <w:color w:val="FFFFFF" w:themeColor="background1"/>
                <w:sz w:val="20"/>
                <w:szCs w:val="20"/>
              </w:rPr>
              <w:t> </w:t>
            </w:r>
            <m:oMath>
              <m:nary>
                <m:naryPr>
                  <m:chr m:val="∑"/>
                  <m:limLoc m:val="undOvr"/>
                  <m:ctrlPr>
                    <w:rPr>
                      <w:rFonts w:ascii="Cambria Math" w:eastAsia="Times New Roman" w:hAnsi="Cambria Math" w:cs="Times New Roman"/>
                      <w:b/>
                      <w:i/>
                      <w:color w:val="FFFFFF" w:themeColor="background1"/>
                      <w:sz w:val="20"/>
                    </w:rPr>
                  </m:ctrlPr>
                </m:naryPr>
                <m:sub>
                  <m:r>
                    <m:rPr>
                      <m:sty m:val="bi"/>
                    </m:rPr>
                    <w:rPr>
                      <w:rFonts w:ascii="Cambria Math" w:eastAsia="Times New Roman" w:hAnsi="Cambria Math" w:cs="Times New Roman"/>
                      <w:color w:val="FFFFFF" w:themeColor="background1"/>
                      <w:sz w:val="20"/>
                    </w:rPr>
                    <m:t>0%</m:t>
                  </m:r>
                </m:sub>
                <m:sup>
                  <m:r>
                    <m:rPr>
                      <m:sty m:val="bi"/>
                    </m:rPr>
                    <w:rPr>
                      <w:rFonts w:ascii="Cambria Math" w:eastAsia="Times New Roman" w:hAnsi="Cambria Math" w:cs="Times New Roman"/>
                      <w:color w:val="FFFFFF" w:themeColor="background1"/>
                      <w:sz w:val="20"/>
                    </w:rPr>
                    <m:t>100%</m:t>
                  </m:r>
                </m:sup>
                <m:e>
                  <m:d>
                    <m:dPr>
                      <m:ctrlPr>
                        <w:rPr>
                          <w:rFonts w:ascii="Cambria Math" w:eastAsia="Times New Roman" w:hAnsi="Cambria Math" w:cs="Times New Roman"/>
                          <w:b/>
                          <w:i/>
                          <w:color w:val="FFFFFF" w:themeColor="background1"/>
                          <w:sz w:val="20"/>
                        </w:rPr>
                      </m:ctrlPr>
                    </m:dPr>
                    <m:e>
                      <m:r>
                        <m:rPr>
                          <m:sty m:val="bi"/>
                        </m:rPr>
                        <w:rPr>
                          <w:rFonts w:ascii="Cambria Math" w:eastAsia="Times New Roman" w:hAnsi="Cambria Math" w:cs="Times New Roman"/>
                          <w:color w:val="FFFFFF" w:themeColor="background1"/>
                          <w:sz w:val="20"/>
                        </w:rPr>
                        <m:t>%FF</m:t>
                      </m:r>
                      <m:r>
                        <m:rPr>
                          <m:sty m:val="bi"/>
                        </m:rPr>
                        <w:rPr>
                          <w:rFonts w:ascii="Cambria Math" w:eastAsia="Times New Roman" w:hAnsi="Cambria Math" w:cs="Times New Roman" w:hint="eastAsia"/>
                          <w:color w:val="FFFFFF" w:themeColor="background1"/>
                          <w:sz w:val="20"/>
                        </w:rPr>
                        <m:t>×</m:t>
                      </m:r>
                      <m:sSub>
                        <m:sSubPr>
                          <m:ctrlPr>
                            <w:rPr>
                              <w:rFonts w:ascii="Cambria Math" w:eastAsia="Times New Roman" w:hAnsi="Cambria Math" w:cs="Times New Roman"/>
                              <w:b/>
                              <w:i/>
                              <w:color w:val="FFFFFF" w:themeColor="background1"/>
                              <w:sz w:val="20"/>
                            </w:rPr>
                          </m:ctrlPr>
                        </m:sSubPr>
                        <m:e>
                          <m:r>
                            <m:rPr>
                              <m:sty m:val="bi"/>
                            </m:rPr>
                            <w:rPr>
                              <w:rFonts w:ascii="Cambria Math" w:eastAsia="Times New Roman" w:hAnsi="Cambria Math" w:cs="Times New Roman"/>
                              <w:color w:val="FFFFFF" w:themeColor="background1"/>
                              <w:sz w:val="20"/>
                            </w:rPr>
                            <m:t>PLR</m:t>
                          </m:r>
                        </m:e>
                        <m:sub>
                          <m:r>
                            <m:rPr>
                              <m:sty m:val="bi"/>
                            </m:rPr>
                            <w:rPr>
                              <w:rFonts w:ascii="Cambria Math" w:eastAsia="Times New Roman" w:hAnsi="Cambria Math" w:cs="Times New Roman"/>
                              <w:color w:val="FFFFFF" w:themeColor="background1"/>
                              <w:sz w:val="20"/>
                            </w:rPr>
                            <m:t>Base</m:t>
                          </m:r>
                        </m:sub>
                      </m:sSub>
                    </m:e>
                  </m:d>
                </m:e>
              </m:nary>
            </m:oMath>
          </w:p>
        </w:tc>
      </w:tr>
      <w:tr w:rsidR="00D838DA" w:rsidRPr="00D838DA" w14:paraId="34B2D524"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3412790"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No Control or Bypass Damper</w:t>
            </w:r>
          </w:p>
        </w:tc>
        <w:tc>
          <w:tcPr>
            <w:tcW w:w="2423" w:type="dxa"/>
            <w:tcBorders>
              <w:top w:val="nil"/>
              <w:left w:val="nil"/>
              <w:bottom w:val="single" w:sz="4" w:space="0" w:color="auto"/>
              <w:right w:val="single" w:sz="4" w:space="0" w:color="auto"/>
            </w:tcBorders>
            <w:shd w:val="clear" w:color="auto" w:fill="auto"/>
            <w:noWrap/>
            <w:vAlign w:val="bottom"/>
            <w:hideMark/>
          </w:tcPr>
          <w:p w14:paraId="55979EC5"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1.00</w:t>
            </w:r>
          </w:p>
        </w:tc>
      </w:tr>
      <w:tr w:rsidR="00D838DA" w:rsidRPr="00D838DA" w14:paraId="51362136"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BA79D4B"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Discharge Dampers</w:t>
            </w:r>
          </w:p>
        </w:tc>
        <w:tc>
          <w:tcPr>
            <w:tcW w:w="2423" w:type="dxa"/>
            <w:tcBorders>
              <w:top w:val="nil"/>
              <w:left w:val="nil"/>
              <w:bottom w:val="single" w:sz="4" w:space="0" w:color="auto"/>
              <w:right w:val="single" w:sz="4" w:space="0" w:color="auto"/>
            </w:tcBorders>
            <w:shd w:val="clear" w:color="auto" w:fill="auto"/>
            <w:noWrap/>
            <w:vAlign w:val="bottom"/>
            <w:hideMark/>
          </w:tcPr>
          <w:p w14:paraId="784A3091"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0.80</w:t>
            </w:r>
          </w:p>
        </w:tc>
      </w:tr>
      <w:tr w:rsidR="00D838DA" w:rsidRPr="00D838DA" w14:paraId="77BA6FD6"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4A4FC18"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Outlet Damper, BI &amp; Airfoil Fans</w:t>
            </w:r>
          </w:p>
        </w:tc>
        <w:tc>
          <w:tcPr>
            <w:tcW w:w="2423" w:type="dxa"/>
            <w:tcBorders>
              <w:top w:val="nil"/>
              <w:left w:val="nil"/>
              <w:bottom w:val="single" w:sz="4" w:space="0" w:color="auto"/>
              <w:right w:val="single" w:sz="4" w:space="0" w:color="auto"/>
            </w:tcBorders>
            <w:shd w:val="clear" w:color="auto" w:fill="auto"/>
            <w:noWrap/>
            <w:vAlign w:val="bottom"/>
            <w:hideMark/>
          </w:tcPr>
          <w:p w14:paraId="6867F8A3"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0.78</w:t>
            </w:r>
          </w:p>
        </w:tc>
      </w:tr>
      <w:tr w:rsidR="00D838DA" w:rsidRPr="00D838DA" w14:paraId="2A64344B"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66150CA"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Damper Box</w:t>
            </w:r>
          </w:p>
        </w:tc>
        <w:tc>
          <w:tcPr>
            <w:tcW w:w="2423" w:type="dxa"/>
            <w:tcBorders>
              <w:top w:val="nil"/>
              <w:left w:val="nil"/>
              <w:bottom w:val="single" w:sz="4" w:space="0" w:color="auto"/>
              <w:right w:val="single" w:sz="4" w:space="0" w:color="auto"/>
            </w:tcBorders>
            <w:shd w:val="clear" w:color="auto" w:fill="auto"/>
            <w:noWrap/>
            <w:vAlign w:val="bottom"/>
            <w:hideMark/>
          </w:tcPr>
          <w:p w14:paraId="1E652C60"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0.69</w:t>
            </w:r>
          </w:p>
        </w:tc>
      </w:tr>
      <w:tr w:rsidR="00D838DA" w:rsidRPr="00D838DA" w14:paraId="06AFD337"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6136FDC8"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Guide Vane, BI &amp; Airfoil Fans</w:t>
            </w:r>
          </w:p>
        </w:tc>
        <w:tc>
          <w:tcPr>
            <w:tcW w:w="2423" w:type="dxa"/>
            <w:tcBorders>
              <w:top w:val="nil"/>
              <w:left w:val="nil"/>
              <w:bottom w:val="single" w:sz="4" w:space="0" w:color="auto"/>
              <w:right w:val="single" w:sz="4" w:space="0" w:color="auto"/>
            </w:tcBorders>
            <w:shd w:val="clear" w:color="auto" w:fill="auto"/>
            <w:noWrap/>
            <w:vAlign w:val="bottom"/>
            <w:hideMark/>
          </w:tcPr>
          <w:p w14:paraId="15B2C803"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0.63</w:t>
            </w:r>
          </w:p>
        </w:tc>
      </w:tr>
      <w:tr w:rsidR="00D838DA" w:rsidRPr="00D838DA" w14:paraId="2AFBF901"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469A55"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Vane Dampers</w:t>
            </w:r>
          </w:p>
        </w:tc>
        <w:tc>
          <w:tcPr>
            <w:tcW w:w="2423" w:type="dxa"/>
            <w:tcBorders>
              <w:top w:val="nil"/>
              <w:left w:val="nil"/>
              <w:bottom w:val="single" w:sz="4" w:space="0" w:color="auto"/>
              <w:right w:val="single" w:sz="4" w:space="0" w:color="auto"/>
            </w:tcBorders>
            <w:shd w:val="clear" w:color="auto" w:fill="auto"/>
            <w:noWrap/>
            <w:vAlign w:val="bottom"/>
            <w:hideMark/>
          </w:tcPr>
          <w:p w14:paraId="099B6EF2"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0.53</w:t>
            </w:r>
          </w:p>
        </w:tc>
      </w:tr>
      <w:tr w:rsidR="00D838DA" w:rsidRPr="00D838DA" w14:paraId="572F8DFB"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F8C72F5"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Outlet Damper, FC Fans</w:t>
            </w:r>
          </w:p>
        </w:tc>
        <w:tc>
          <w:tcPr>
            <w:tcW w:w="2423" w:type="dxa"/>
            <w:tcBorders>
              <w:top w:val="nil"/>
              <w:left w:val="nil"/>
              <w:bottom w:val="single" w:sz="4" w:space="0" w:color="auto"/>
              <w:right w:val="single" w:sz="4" w:space="0" w:color="auto"/>
            </w:tcBorders>
            <w:shd w:val="clear" w:color="auto" w:fill="auto"/>
            <w:noWrap/>
            <w:vAlign w:val="bottom"/>
            <w:hideMark/>
          </w:tcPr>
          <w:p w14:paraId="6A22E171"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0.53</w:t>
            </w:r>
          </w:p>
        </w:tc>
      </w:tr>
      <w:tr w:rsidR="00D838DA" w:rsidRPr="00D838DA" w14:paraId="19D2CEF4"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666BF88"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Eddy Current Drives</w:t>
            </w:r>
          </w:p>
        </w:tc>
        <w:tc>
          <w:tcPr>
            <w:tcW w:w="2423" w:type="dxa"/>
            <w:tcBorders>
              <w:top w:val="nil"/>
              <w:left w:val="nil"/>
              <w:bottom w:val="single" w:sz="4" w:space="0" w:color="auto"/>
              <w:right w:val="single" w:sz="4" w:space="0" w:color="auto"/>
            </w:tcBorders>
            <w:shd w:val="clear" w:color="auto" w:fill="auto"/>
            <w:noWrap/>
            <w:vAlign w:val="bottom"/>
            <w:hideMark/>
          </w:tcPr>
          <w:p w14:paraId="3ECEAD15"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0.49</w:t>
            </w:r>
          </w:p>
        </w:tc>
      </w:tr>
      <w:tr w:rsidR="00D838DA" w:rsidRPr="00D838DA" w14:paraId="78756C30"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75A35B1"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Inlet Guide Vane, FC Fans</w:t>
            </w:r>
          </w:p>
        </w:tc>
        <w:tc>
          <w:tcPr>
            <w:tcW w:w="2423" w:type="dxa"/>
            <w:tcBorders>
              <w:top w:val="nil"/>
              <w:left w:val="nil"/>
              <w:bottom w:val="single" w:sz="4" w:space="0" w:color="auto"/>
              <w:right w:val="single" w:sz="4" w:space="0" w:color="auto"/>
            </w:tcBorders>
            <w:shd w:val="clear" w:color="auto" w:fill="auto"/>
            <w:noWrap/>
            <w:vAlign w:val="bottom"/>
            <w:hideMark/>
          </w:tcPr>
          <w:p w14:paraId="6ACA92FA"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0.39</w:t>
            </w:r>
          </w:p>
        </w:tc>
      </w:tr>
      <w:tr w:rsidR="00D838DA" w:rsidRPr="00D838DA" w14:paraId="76A1A21B"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BC478E1"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VFD with duct static pressure controls</w:t>
            </w:r>
          </w:p>
        </w:tc>
        <w:tc>
          <w:tcPr>
            <w:tcW w:w="2423" w:type="dxa"/>
            <w:tcBorders>
              <w:top w:val="nil"/>
              <w:left w:val="nil"/>
              <w:bottom w:val="single" w:sz="4" w:space="0" w:color="auto"/>
              <w:right w:val="single" w:sz="4" w:space="0" w:color="auto"/>
            </w:tcBorders>
            <w:shd w:val="clear" w:color="auto" w:fill="auto"/>
            <w:noWrap/>
            <w:vAlign w:val="bottom"/>
            <w:hideMark/>
          </w:tcPr>
          <w:p w14:paraId="4B5E2AED"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0.30</w:t>
            </w:r>
          </w:p>
        </w:tc>
      </w:tr>
      <w:tr w:rsidR="00D838DA" w:rsidRPr="00D838DA" w14:paraId="5EC0D109" w14:textId="77777777" w:rsidTr="0031660E">
        <w:trPr>
          <w:trHeight w:val="300"/>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1D4E81C" w14:textId="77777777" w:rsidR="00D838DA" w:rsidRPr="00D838DA" w:rsidRDefault="00D838DA" w:rsidP="00D838DA">
            <w:pPr>
              <w:spacing w:after="0" w:line="240" w:lineRule="auto"/>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VFD with low/no duct static pressure</w:t>
            </w:r>
          </w:p>
        </w:tc>
        <w:tc>
          <w:tcPr>
            <w:tcW w:w="2423" w:type="dxa"/>
            <w:tcBorders>
              <w:top w:val="nil"/>
              <w:left w:val="nil"/>
              <w:bottom w:val="single" w:sz="4" w:space="0" w:color="auto"/>
              <w:right w:val="single" w:sz="4" w:space="0" w:color="auto"/>
            </w:tcBorders>
            <w:shd w:val="clear" w:color="auto" w:fill="auto"/>
            <w:noWrap/>
            <w:vAlign w:val="bottom"/>
            <w:hideMark/>
          </w:tcPr>
          <w:p w14:paraId="4FD94F37" w14:textId="77777777" w:rsidR="00D838DA" w:rsidRPr="00D838DA" w:rsidRDefault="00D838DA" w:rsidP="00D838DA">
            <w:pPr>
              <w:spacing w:after="0" w:line="240" w:lineRule="auto"/>
              <w:jc w:val="center"/>
              <w:rPr>
                <w:rFonts w:ascii="Calibri" w:eastAsia="Times New Roman" w:hAnsi="Calibri" w:cs="Times New Roman"/>
                <w:color w:val="000000"/>
                <w:sz w:val="20"/>
                <w:szCs w:val="20"/>
              </w:rPr>
            </w:pPr>
            <w:r w:rsidRPr="00D838DA">
              <w:rPr>
                <w:rFonts w:ascii="Calibri" w:eastAsia="Times New Roman" w:hAnsi="Calibri" w:cs="Times New Roman"/>
                <w:color w:val="000000"/>
                <w:sz w:val="20"/>
                <w:szCs w:val="20"/>
              </w:rPr>
              <w:t>0.27</w:t>
            </w:r>
          </w:p>
        </w:tc>
      </w:tr>
    </w:tbl>
    <w:p w14:paraId="2620413B" w14:textId="77777777" w:rsidR="00D838DA" w:rsidRPr="00D838DA" w:rsidRDefault="00D838DA" w:rsidP="00D838DA">
      <w:pPr>
        <w:spacing w:after="120" w:line="240" w:lineRule="auto"/>
        <w:ind w:left="810"/>
        <w:rPr>
          <w:rFonts w:ascii="Calibri" w:eastAsia="Times New Roman" w:hAnsi="Calibri" w:cs="Times New Roman"/>
          <w:sz w:val="20"/>
          <w:szCs w:val="20"/>
        </w:rPr>
      </w:pPr>
    </w:p>
    <w:p w14:paraId="3E732AAF" w14:textId="77777777" w:rsidR="00D838DA" w:rsidRPr="00D838DA" w:rsidRDefault="000F2A62" w:rsidP="00D838DA">
      <w:pPr>
        <w:spacing w:after="120" w:line="240" w:lineRule="auto"/>
        <w:ind w:left="72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IE</m:t>
            </m:r>
          </m:e>
          <m:sub>
            <m:r>
              <w:rPr>
                <w:rFonts w:ascii="Cambria Math" w:eastAsia="Times New Roman" w:hAnsi="Cambria Math" w:cs="Times New Roman"/>
                <w:sz w:val="20"/>
                <w:szCs w:val="20"/>
              </w:rPr>
              <m:t>energy</m:t>
            </m:r>
          </m:sub>
        </m:sSub>
      </m:oMath>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HVAC interactive effects factor for energy (default = 15.7%)</w:t>
      </w:r>
    </w:p>
    <w:p w14:paraId="63394288"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 w:val="20"/>
          <w:szCs w:val="20"/>
        </w:rPr>
      </w:pPr>
      <w:r w:rsidRPr="00D838DA">
        <w:rPr>
          <w:rFonts w:ascii="Calibri" w:eastAsia="Times New Roman" w:hAnsi="Calibri" w:cs="Times New Roman"/>
          <w:b/>
          <w:smallCaps/>
          <w:sz w:val="20"/>
          <w:szCs w:val="20"/>
        </w:rPr>
        <w:t xml:space="preserve">Summer Coincident Peak Demand Savings </w:t>
      </w:r>
    </w:p>
    <w:tbl>
      <w:tblPr>
        <w:tblStyle w:val="TableGrid19"/>
        <w:tblW w:w="488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7200"/>
      </w:tblGrid>
      <w:tr w:rsidR="00D838DA" w:rsidRPr="00D838DA" w14:paraId="3045C393" w14:textId="77777777" w:rsidTr="0031660E">
        <w:tc>
          <w:tcPr>
            <w:tcW w:w="1154" w:type="pct"/>
          </w:tcPr>
          <w:p w14:paraId="26BA35C6" w14:textId="77777777"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w:t>
            </w:r>
            <w:r w:rsidRPr="00D838DA">
              <w:rPr>
                <w:rFonts w:ascii="Calibri" w:hAnsi="Calibri"/>
                <w:vertAlign w:val="subscript"/>
              </w:rPr>
              <w:t>Base</w:t>
            </w:r>
            <w:proofErr w:type="spellEnd"/>
            <w:r w:rsidRPr="00D838DA">
              <w:rPr>
                <w:rFonts w:ascii="Calibri" w:hAnsi="Calibri"/>
              </w:rPr>
              <w:t xml:space="preserve"> =</w:t>
            </w:r>
          </w:p>
        </w:tc>
        <w:tc>
          <w:tcPr>
            <w:tcW w:w="3846" w:type="pct"/>
          </w:tcPr>
          <w:p w14:paraId="50ADA2A7" w14:textId="77777777" w:rsidR="00D838DA" w:rsidRPr="00D838DA" w:rsidRDefault="000F2A62"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m:t>
                </m:r>
                <m:sSub>
                  <m:sSubPr>
                    <m:ctrlPr>
                      <w:rPr>
                        <w:rFonts w:ascii="Cambria Math" w:hAnsi="Cambria Math"/>
                        <w:i/>
                      </w:rPr>
                    </m:ctrlPr>
                  </m:sSubPr>
                  <m:e>
                    <m:r>
                      <w:rPr>
                        <w:rFonts w:ascii="Cambria Math" w:hAnsi="Cambria Math"/>
                      </w:rPr>
                      <m:t>PLR</m:t>
                    </m:r>
                  </m:e>
                  <m:sub>
                    <m:r>
                      <w:rPr>
                        <w:rFonts w:ascii="Cambria Math" w:hAnsi="Cambria Math"/>
                      </w:rPr>
                      <m:t>Base,  FFpeak</m:t>
                    </m:r>
                  </m:sub>
                </m:sSub>
                <m:r>
                  <w:rPr>
                    <w:rFonts w:ascii="Cambria Math" w:hAnsi="Cambria Math"/>
                  </w:rPr>
                  <m:t xml:space="preserve">  </m:t>
                </m:r>
              </m:oMath>
            </m:oMathPara>
          </w:p>
        </w:tc>
      </w:tr>
      <w:tr w:rsidR="00D838DA" w:rsidRPr="00D838DA" w14:paraId="217758AD" w14:textId="77777777" w:rsidTr="0031660E">
        <w:tc>
          <w:tcPr>
            <w:tcW w:w="1154" w:type="pct"/>
          </w:tcPr>
          <w:p w14:paraId="7F6CAF3F" w14:textId="77777777" w:rsidR="00D838DA" w:rsidRPr="00D838DA" w:rsidRDefault="00D838DA" w:rsidP="00D838DA">
            <w:pPr>
              <w:spacing w:after="120"/>
              <w:ind w:left="720"/>
              <w:rPr>
                <w:rFonts w:ascii="Calibri" w:hAnsi="Calibri"/>
                <w:noProof/>
                <w:lang w:bidi="en-US"/>
              </w:rPr>
            </w:pPr>
            <w:proofErr w:type="spellStart"/>
            <w:r w:rsidRPr="00D838DA">
              <w:rPr>
                <w:rFonts w:ascii="Calibri" w:hAnsi="Calibri"/>
              </w:rPr>
              <w:t>kW</w:t>
            </w:r>
            <w:r w:rsidRPr="00D838DA">
              <w:rPr>
                <w:rFonts w:ascii="Calibri" w:hAnsi="Calibri"/>
                <w:vertAlign w:val="subscript"/>
              </w:rPr>
              <w:t>Retrofit</w:t>
            </w:r>
            <w:proofErr w:type="spellEnd"/>
            <w:r w:rsidRPr="00D838DA">
              <w:rPr>
                <w:rFonts w:ascii="Calibri" w:hAnsi="Calibri"/>
              </w:rPr>
              <w:t xml:space="preserve"> =</w:t>
            </w:r>
          </w:p>
        </w:tc>
        <w:tc>
          <w:tcPr>
            <w:tcW w:w="3846" w:type="pct"/>
          </w:tcPr>
          <w:p w14:paraId="078C03B8" w14:textId="77777777" w:rsidR="00D838DA" w:rsidRPr="00D838DA" w:rsidRDefault="000F2A62" w:rsidP="00D838DA">
            <w:pPr>
              <w:spacing w:after="120"/>
              <w:ind w:left="720"/>
              <w:rPr>
                <w:rFonts w:ascii="Calibri" w:hAnsi="Calibri"/>
                <w:noProof/>
                <w:lang w:bidi="en-US"/>
              </w:rPr>
            </w:pPr>
            <m:oMathPara>
              <m:oMathParaPr>
                <m:jc m:val="left"/>
              </m:oMathParaPr>
              <m:oMath>
                <m:d>
                  <m:dPr>
                    <m:ctrlPr>
                      <w:rPr>
                        <w:rFonts w:ascii="Cambria Math" w:hAnsi="Cambria Math"/>
                        <w:i/>
                      </w:rPr>
                    </m:ctrlPr>
                  </m:dPr>
                  <m:e>
                    <m:r>
                      <w:rPr>
                        <w:rFonts w:ascii="Cambria Math" w:hAnsi="Cambria Math"/>
                      </w:rPr>
                      <m:t>0.746×HP×</m:t>
                    </m:r>
                    <m:f>
                      <m:fPr>
                        <m:ctrlPr>
                          <w:rPr>
                            <w:rFonts w:ascii="Cambria Math" w:hAnsi="Cambria Math"/>
                            <w:i/>
                          </w:rPr>
                        </m:ctrlPr>
                      </m:fPr>
                      <m:num>
                        <m:r>
                          <w:rPr>
                            <w:rFonts w:ascii="Cambria Math" w:hAnsi="Cambria Math"/>
                          </w:rPr>
                          <m:t>LF</m:t>
                        </m:r>
                      </m:num>
                      <m:den>
                        <m:sSub>
                          <m:sSubPr>
                            <m:ctrlPr>
                              <w:rPr>
                                <w:rFonts w:ascii="Cambria Math" w:hAnsi="Cambria Math"/>
                                <w:i/>
                              </w:rPr>
                            </m:ctrlPr>
                          </m:sSubPr>
                          <m:e>
                            <m:r>
                              <w:rPr>
                                <w:rFonts w:ascii="Cambria Math" w:hAnsi="Cambria Math"/>
                              </w:rPr>
                              <m:t>η</m:t>
                            </m:r>
                          </m:e>
                          <m:sub>
                            <m:r>
                              <w:rPr>
                                <w:rFonts w:ascii="Cambria Math" w:hAnsi="Cambria Math"/>
                              </w:rPr>
                              <m:t>motor</m:t>
                            </m:r>
                          </m:sub>
                        </m:sSub>
                      </m:den>
                    </m:f>
                  </m:e>
                </m:d>
                <m:r>
                  <w:rPr>
                    <w:rFonts w:ascii="Cambria Math" w:hAnsi="Cambria Math"/>
                  </w:rPr>
                  <m:t xml:space="preserve">× </m:t>
                </m:r>
                <m:sSub>
                  <m:sSubPr>
                    <m:ctrlPr>
                      <w:rPr>
                        <w:rFonts w:ascii="Cambria Math" w:hAnsi="Cambria Math"/>
                        <w:i/>
                      </w:rPr>
                    </m:ctrlPr>
                  </m:sSubPr>
                  <m:e>
                    <m:r>
                      <w:rPr>
                        <w:rFonts w:ascii="Cambria Math" w:hAnsi="Cambria Math"/>
                      </w:rPr>
                      <m:t>PLR</m:t>
                    </m:r>
                  </m:e>
                  <m:sub>
                    <m:r>
                      <w:rPr>
                        <w:rFonts w:ascii="Cambria Math" w:hAnsi="Cambria Math"/>
                      </w:rPr>
                      <m:t>Retrofit,  FFpeak</m:t>
                    </m:r>
                  </m:sub>
                </m:sSub>
                <m:r>
                  <w:rPr>
                    <w:rFonts w:ascii="Cambria Math" w:hAnsi="Cambria Math"/>
                  </w:rPr>
                  <m:t xml:space="preserve"> </m:t>
                </m:r>
              </m:oMath>
            </m:oMathPara>
          </w:p>
        </w:tc>
      </w:tr>
      <w:tr w:rsidR="00D838DA" w:rsidRPr="00D838DA" w14:paraId="3484B1B5" w14:textId="77777777" w:rsidTr="0031660E">
        <w:tc>
          <w:tcPr>
            <w:tcW w:w="1154" w:type="pct"/>
          </w:tcPr>
          <w:p w14:paraId="7A91AC7A" w14:textId="77777777"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w:t>
            </w:r>
            <w:r w:rsidRPr="00D838DA">
              <w:rPr>
                <w:rFonts w:ascii="Calibri" w:hAnsi="Calibri"/>
                <w:vertAlign w:val="subscript"/>
              </w:rPr>
              <w:t>fan</w:t>
            </w:r>
            <w:proofErr w:type="spellEnd"/>
            <w:r w:rsidRPr="00D838DA">
              <w:rPr>
                <w:rFonts w:ascii="Calibri" w:hAnsi="Calibri"/>
              </w:rPr>
              <w:t xml:space="preserve"> =</w:t>
            </w:r>
          </w:p>
        </w:tc>
        <w:tc>
          <w:tcPr>
            <w:tcW w:w="3846" w:type="pct"/>
          </w:tcPr>
          <w:p w14:paraId="4192B709" w14:textId="77777777" w:rsidR="00D838DA" w:rsidRPr="00D838DA" w:rsidRDefault="000F2A62"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m:t>
                    </m:r>
                  </m:e>
                  <m:sub>
                    <m:r>
                      <m:rPr>
                        <m:sty m:val="p"/>
                      </m:rPr>
                      <w:rPr>
                        <w:rFonts w:ascii="Cambria Math" w:hAnsi="Cambria Math"/>
                      </w:rPr>
                      <m:t>Base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kW</m:t>
                    </m:r>
                  </m:e>
                  <m:sub>
                    <m:r>
                      <m:rPr>
                        <m:sty m:val="p"/>
                      </m:rPr>
                      <w:rPr>
                        <w:rFonts w:ascii="Cambria Math" w:hAnsi="Cambria Math"/>
                      </w:rPr>
                      <m:t>Retrofit</m:t>
                    </m:r>
                  </m:sub>
                </m:sSub>
              </m:oMath>
            </m:oMathPara>
          </w:p>
        </w:tc>
      </w:tr>
      <w:tr w:rsidR="00D838DA" w:rsidRPr="00D838DA" w14:paraId="742D8BE0" w14:textId="77777777" w:rsidTr="0031660E">
        <w:tc>
          <w:tcPr>
            <w:tcW w:w="1154" w:type="pct"/>
          </w:tcPr>
          <w:p w14:paraId="61A233A2" w14:textId="77777777" w:rsidR="00D838DA" w:rsidRPr="00D838DA" w:rsidRDefault="00D838DA" w:rsidP="00D838DA">
            <w:pPr>
              <w:spacing w:after="120"/>
              <w:ind w:left="720"/>
              <w:rPr>
                <w:rFonts w:ascii="Calibri" w:hAnsi="Calibri"/>
                <w:noProof/>
                <w:lang w:bidi="en-US"/>
              </w:rPr>
            </w:pPr>
            <w:r w:rsidRPr="00D838DA">
              <w:rPr>
                <w:rFonts w:ascii="Calibri" w:hAnsi="Calibri"/>
              </w:rPr>
              <w:t>∆</w:t>
            </w:r>
            <w:proofErr w:type="spellStart"/>
            <w:r w:rsidRPr="00D838DA">
              <w:rPr>
                <w:rFonts w:ascii="Calibri" w:hAnsi="Calibri"/>
              </w:rPr>
              <w:t>kW</w:t>
            </w:r>
            <w:r w:rsidRPr="00D838DA">
              <w:rPr>
                <w:rFonts w:ascii="Calibri" w:hAnsi="Calibri"/>
                <w:vertAlign w:val="subscript"/>
              </w:rPr>
              <w:t>total</w:t>
            </w:r>
            <w:proofErr w:type="spellEnd"/>
            <w:r w:rsidRPr="00D838DA">
              <w:rPr>
                <w:rFonts w:ascii="Calibri" w:hAnsi="Calibri"/>
              </w:rPr>
              <w:t xml:space="preserve"> =</w:t>
            </w:r>
          </w:p>
        </w:tc>
        <w:tc>
          <w:tcPr>
            <w:tcW w:w="3846" w:type="pct"/>
          </w:tcPr>
          <w:p w14:paraId="26A3C79D" w14:textId="77777777" w:rsidR="00D838DA" w:rsidRPr="00D838DA" w:rsidRDefault="000F2A62" w:rsidP="00D838DA">
            <w:pPr>
              <w:spacing w:after="120"/>
              <w:ind w:left="720"/>
              <w:rPr>
                <w:rFonts w:ascii="Calibri" w:hAnsi="Calibri"/>
                <w:noProof/>
                <w:lang w:bidi="en-US"/>
              </w:rPr>
            </w:pPr>
            <m:oMathPara>
              <m:oMathParaPr>
                <m:jc m:val="left"/>
              </m:oMathParaPr>
              <m:oMath>
                <m:sSub>
                  <m:sSubPr>
                    <m:ctrlPr>
                      <w:rPr>
                        <w:rFonts w:ascii="Cambria Math" w:hAnsi="Cambria Math"/>
                      </w:rPr>
                    </m:ctrlPr>
                  </m:sSubPr>
                  <m:e>
                    <m:r>
                      <m:rPr>
                        <m:sty m:val="p"/>
                      </m:rPr>
                      <w:rPr>
                        <w:rFonts w:ascii="Cambria Math" w:hAnsi="Cambria Math"/>
                      </w:rPr>
                      <m:t>∆kW</m:t>
                    </m:r>
                  </m:e>
                  <m:sub>
                    <m:r>
                      <m:rPr>
                        <m:sty m:val="p"/>
                      </m:rPr>
                      <w:rPr>
                        <w:rFonts w:ascii="Cambria Math" w:hAnsi="Cambria Math"/>
                      </w:rPr>
                      <m:t>fan</m:t>
                    </m:r>
                  </m:sub>
                </m:sSub>
                <m:r>
                  <m:rPr>
                    <m:sty m:val="p"/>
                  </m:rPr>
                  <w:rPr>
                    <w:rFonts w:ascii="Cambria Math" w:hAnsi="Cambria Math"/>
                  </w:rPr>
                  <m:t>×(1+</m:t>
                </m:r>
                <m:sSub>
                  <m:sSubPr>
                    <m:ctrlPr>
                      <w:rPr>
                        <w:rFonts w:ascii="Cambria Math" w:hAnsi="Cambria Math"/>
                      </w:rPr>
                    </m:ctrlPr>
                  </m:sSubPr>
                  <m:e>
                    <m:r>
                      <m:rPr>
                        <m:sty m:val="p"/>
                      </m:rPr>
                      <w:rPr>
                        <w:rFonts w:ascii="Cambria Math" w:hAnsi="Cambria Math"/>
                      </w:rPr>
                      <m:t>IE</m:t>
                    </m:r>
                  </m:e>
                  <m:sub>
                    <m:r>
                      <m:rPr>
                        <m:sty m:val="p"/>
                      </m:rPr>
                      <w:rPr>
                        <w:rFonts w:ascii="Cambria Math" w:hAnsi="Cambria Math"/>
                      </w:rPr>
                      <m:t>demand</m:t>
                    </m:r>
                  </m:sub>
                </m:sSub>
                <m:r>
                  <m:rPr>
                    <m:sty m:val="p"/>
                  </m:rPr>
                  <w:rPr>
                    <w:rFonts w:ascii="Cambria Math" w:hAnsi="Cambria Math"/>
                  </w:rPr>
                  <m:t>)</m:t>
                </m:r>
              </m:oMath>
            </m:oMathPara>
          </w:p>
        </w:tc>
      </w:tr>
    </w:tbl>
    <w:p w14:paraId="125C1946" w14:textId="77777777" w:rsidR="00D838DA" w:rsidRPr="00D838DA" w:rsidRDefault="00D838DA" w:rsidP="00D838DA">
      <w:pPr>
        <w:spacing w:after="120" w:line="240" w:lineRule="auto"/>
        <w:rPr>
          <w:rFonts w:ascii="Calibri" w:eastAsia="Times New Roman" w:hAnsi="Calibri" w:cs="Times New Roman"/>
          <w:noProof/>
          <w:sz w:val="20"/>
          <w:szCs w:val="20"/>
        </w:rPr>
      </w:pPr>
    </w:p>
    <w:p w14:paraId="72424082" w14:textId="77777777" w:rsidR="00D838DA" w:rsidRPr="00D838DA" w:rsidRDefault="00D838DA" w:rsidP="00D838DA">
      <w:pPr>
        <w:spacing w:after="120" w:line="240" w:lineRule="auto"/>
        <w:rPr>
          <w:rFonts w:ascii="Calibri" w:eastAsia="Times New Roman" w:hAnsi="Calibri" w:cs="Times New Roman"/>
          <w:noProof/>
          <w:sz w:val="20"/>
          <w:szCs w:val="20"/>
        </w:rPr>
      </w:pPr>
      <w:r w:rsidRPr="00D838DA">
        <w:rPr>
          <w:rFonts w:ascii="Calibri" w:eastAsia="Times New Roman" w:hAnsi="Calibri" w:cs="Times New Roman"/>
          <w:noProof/>
          <w:sz w:val="20"/>
          <w:szCs w:val="20"/>
        </w:rPr>
        <w:t>Where:</w:t>
      </w:r>
    </w:p>
    <w:p w14:paraId="72B1B043" w14:textId="77777777" w:rsidR="00D838DA" w:rsidRPr="00D838DA" w:rsidRDefault="000F2A62" w:rsidP="00D838DA">
      <w:pPr>
        <w:spacing w:after="240" w:line="240" w:lineRule="auto"/>
        <w:ind w:left="806"/>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Base</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Baseline summer coincident peak demand (kW)</w:t>
      </w:r>
    </w:p>
    <w:p w14:paraId="25C3EFE7"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Retrofit</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Retrofit summer coincident peak demand (kW)</w:t>
      </w:r>
    </w:p>
    <w:p w14:paraId="68D74A9B" w14:textId="77777777" w:rsidR="00D838DA" w:rsidRPr="00D838DA" w:rsidRDefault="000F2A62" w:rsidP="00D838DA">
      <w:pPr>
        <w:keepNext/>
        <w:keepLines/>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fan</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Fan-only summer coincident peak demand impact</w:t>
      </w:r>
    </w:p>
    <w:p w14:paraId="26560669" w14:textId="77777777" w:rsidR="00D838DA" w:rsidRPr="00D838DA" w:rsidRDefault="000F2A62" w:rsidP="00D838DA">
      <w:pPr>
        <w:spacing w:after="240" w:line="240" w:lineRule="auto"/>
        <w:ind w:left="81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∆kW</m:t>
            </m:r>
          </m:e>
          <m:sub>
            <m:r>
              <w:rPr>
                <w:rFonts w:ascii="Cambria Math" w:eastAsia="Times New Roman" w:hAnsi="Cambria Math" w:cs="Times New Roman"/>
                <w:sz w:val="20"/>
                <w:szCs w:val="20"/>
              </w:rPr>
              <m:t>total</m:t>
            </m:r>
          </m:sub>
        </m:sSub>
      </m:oMath>
      <w:r w:rsidR="00D838DA" w:rsidRPr="00D838DA">
        <w:rPr>
          <w:rFonts w:ascii="Calibri" w:eastAsia="Times New Roman" w:hAnsi="Calibri" w:cs="Times New Roman"/>
          <w:sz w:val="20"/>
          <w:szCs w:val="20"/>
        </w:rPr>
        <w:t xml:space="preserve"> </w:t>
      </w:r>
      <w:r w:rsidR="00D838DA" w:rsidRPr="00D838DA">
        <w:rPr>
          <w:rFonts w:ascii="Calibri" w:eastAsia="Times New Roman" w:hAnsi="Calibri" w:cs="Times New Roman"/>
          <w:sz w:val="20"/>
          <w:szCs w:val="20"/>
        </w:rPr>
        <w:tab/>
      </w:r>
      <w:r w:rsidR="00D838DA" w:rsidRPr="00D838DA">
        <w:rPr>
          <w:rFonts w:ascii="Calibri" w:eastAsia="Times New Roman" w:hAnsi="Calibri" w:cs="Times New Roman"/>
          <w:sz w:val="20"/>
          <w:szCs w:val="20"/>
        </w:rPr>
        <w:tab/>
        <w:t>= Total project summer coincident peak demand impact</w:t>
      </w:r>
    </w:p>
    <w:p w14:paraId="4D40A56A" w14:textId="77777777" w:rsidR="00D838DA" w:rsidRPr="00D838DA" w:rsidRDefault="000F2A62"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Base,FFpeak</m:t>
            </m:r>
          </m:sub>
        </m:sSub>
      </m:oMath>
      <w:r w:rsidR="00D838DA" w:rsidRPr="00D838DA">
        <w:rPr>
          <w:rFonts w:ascii="Calibri" w:eastAsia="Times New Roman" w:hAnsi="Calibri" w:cs="Times New Roman"/>
          <w:sz w:val="20"/>
          <w:szCs w:val="20"/>
        </w:rPr>
        <w:tab/>
        <w:t>= The part load ratio for the average flow fraction between the peak daytime hours during the weekday peak time period based on the baseline flow control type (default average flow fraction during peak period = 90%)</w:t>
      </w:r>
    </w:p>
    <w:p w14:paraId="4416A0FC" w14:textId="77777777" w:rsidR="00D838DA" w:rsidRPr="00D838DA" w:rsidRDefault="000F2A62"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PLR</m:t>
            </m:r>
          </m:e>
          <m:sub>
            <m:r>
              <w:rPr>
                <w:rFonts w:ascii="Cambria Math" w:eastAsia="Times New Roman" w:hAnsi="Cambria Math" w:cs="Times New Roman"/>
                <w:sz w:val="20"/>
                <w:szCs w:val="20"/>
              </w:rPr>
              <m:t>Retrofit,FFpeak</m:t>
            </m:r>
          </m:sub>
        </m:sSub>
      </m:oMath>
      <w:r w:rsidR="00D838DA" w:rsidRPr="00D838DA">
        <w:rPr>
          <w:rFonts w:ascii="Calibri" w:eastAsia="Times New Roman" w:hAnsi="Calibri" w:cs="Times New Roman"/>
          <w:sz w:val="20"/>
          <w:szCs w:val="20"/>
        </w:rPr>
        <w:tab/>
        <w:t>= The part load ratio for the average flow fraction between the peak daytime hours during the weekday peak time period based on the retrofit flow control type (default average flow fraction during peak period = 90%)</w:t>
      </w:r>
    </w:p>
    <w:p w14:paraId="332AB658" w14:textId="77777777" w:rsidR="00D838DA" w:rsidRPr="00D838DA" w:rsidRDefault="000F2A62" w:rsidP="00D838DA">
      <w:pPr>
        <w:spacing w:after="240" w:line="240" w:lineRule="auto"/>
        <w:ind w:left="2880" w:hanging="2070"/>
        <w:rPr>
          <w:rFonts w:ascii="Calibri" w:eastAsia="Times New Roman" w:hAnsi="Calibri"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IE</m:t>
            </m:r>
          </m:e>
          <m:sub>
            <m:r>
              <w:rPr>
                <w:rFonts w:ascii="Cambria Math" w:eastAsia="Times New Roman" w:hAnsi="Cambria Math" w:cs="Times New Roman"/>
                <w:sz w:val="20"/>
                <w:szCs w:val="20"/>
              </w:rPr>
              <m:t>demand</m:t>
            </m:r>
          </m:sub>
        </m:sSub>
      </m:oMath>
      <w:r w:rsidR="00D838DA" w:rsidRPr="00D838DA">
        <w:rPr>
          <w:rFonts w:ascii="Calibri" w:eastAsia="Times New Roman" w:hAnsi="Calibri" w:cs="Times New Roman"/>
          <w:sz w:val="20"/>
          <w:szCs w:val="20"/>
        </w:rPr>
        <w:tab/>
        <w:t>= HVAC interactive effects factor for summer coincident peak demand</w:t>
      </w:r>
      <w:r w:rsidR="00D838DA" w:rsidRPr="00D838DA">
        <w:rPr>
          <w:rFonts w:ascii="Calibri" w:eastAsia="Times New Roman" w:hAnsi="Calibri" w:cs="Times New Roman"/>
          <w:sz w:val="20"/>
          <w:szCs w:val="20"/>
        </w:rPr>
        <w:br/>
        <w:t xml:space="preserve"> (default = 15.7%)</w:t>
      </w:r>
    </w:p>
    <w:p w14:paraId="08A21CCC"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Fossil Fuel Impact Descriptions and Calculation </w:t>
      </w:r>
    </w:p>
    <w:p w14:paraId="4E3774E2" w14:textId="77777777"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There are no expected fossil fuel impacts for this measure.</w:t>
      </w:r>
    </w:p>
    <w:p w14:paraId="408BD379"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 xml:space="preserve">Water Impact Descriptions and Calculation  </w:t>
      </w:r>
    </w:p>
    <w:p w14:paraId="4F3CACD6" w14:textId="77777777" w:rsidR="00D838DA" w:rsidRPr="00D838DA" w:rsidRDefault="00D838DA" w:rsidP="00D838DA">
      <w:pPr>
        <w:spacing w:after="120" w:line="240" w:lineRule="auto"/>
        <w:rPr>
          <w:rFonts w:ascii="Calibri" w:eastAsia="Times New Roman" w:hAnsi="Calibri" w:cs="Times New Roman"/>
          <w:b/>
          <w:iCs/>
          <w:sz w:val="20"/>
          <w:szCs w:val="20"/>
        </w:rPr>
      </w:pPr>
      <w:r w:rsidRPr="00D838DA">
        <w:rPr>
          <w:rFonts w:ascii="Calibri" w:eastAsia="Times New Roman" w:hAnsi="Calibri" w:cs="Times New Roman"/>
          <w:sz w:val="20"/>
          <w:szCs w:val="20"/>
        </w:rPr>
        <w:t>N/A</w:t>
      </w:r>
    </w:p>
    <w:p w14:paraId="65BF6C73" w14:textId="77777777" w:rsidR="00D838DA" w:rsidRPr="00D838DA" w:rsidRDefault="00D838DA" w:rsidP="00D838DA">
      <w:pPr>
        <w:keepNext/>
        <w:keepLines/>
        <w:tabs>
          <w:tab w:val="left" w:pos="5040"/>
        </w:tabs>
        <w:spacing w:before="200" w:after="120"/>
        <w:outlineLvl w:val="5"/>
        <w:rPr>
          <w:rFonts w:ascii="Calibri" w:eastAsia="Times New Roman" w:hAnsi="Calibri" w:cs="Times New Roman"/>
          <w:b/>
          <w:smallCaps/>
          <w:szCs w:val="20"/>
        </w:rPr>
      </w:pPr>
      <w:r w:rsidRPr="00D838DA">
        <w:rPr>
          <w:rFonts w:ascii="Calibri" w:eastAsia="Times New Roman" w:hAnsi="Calibri" w:cs="Times New Roman"/>
          <w:b/>
          <w:smallCaps/>
          <w:szCs w:val="20"/>
        </w:rPr>
        <w:t>Deemed O&amp;M Cost Adjustment Calculation</w:t>
      </w:r>
    </w:p>
    <w:p w14:paraId="7BB06864" w14:textId="77777777" w:rsidR="00D838DA" w:rsidRPr="00D838DA" w:rsidRDefault="00D838DA" w:rsidP="00D838DA">
      <w:pPr>
        <w:spacing w:after="120" w:line="240" w:lineRule="auto"/>
        <w:rPr>
          <w:rFonts w:ascii="Calibri" w:eastAsia="Times New Roman" w:hAnsi="Calibri" w:cs="Times New Roman"/>
          <w:sz w:val="20"/>
          <w:szCs w:val="20"/>
        </w:rPr>
      </w:pPr>
      <w:r w:rsidRPr="00D838DA">
        <w:rPr>
          <w:rFonts w:ascii="Calibri" w:eastAsia="Times New Roman" w:hAnsi="Calibri" w:cs="Times New Roman"/>
          <w:sz w:val="20"/>
          <w:szCs w:val="20"/>
        </w:rPr>
        <w:t>N/A</w:t>
      </w:r>
    </w:p>
    <w:p w14:paraId="39A1C4C2" w14:textId="77777777" w:rsidR="00D838DA" w:rsidRPr="00D838DA" w:rsidRDefault="00D838DA" w:rsidP="00D838DA">
      <w:pPr>
        <w:spacing w:after="120" w:line="240" w:lineRule="auto"/>
        <w:rPr>
          <w:rFonts w:ascii="Calibri" w:eastAsia="Times New Roman" w:hAnsi="Calibri" w:cs="Times New Roman"/>
          <w:b/>
          <w:iCs/>
          <w:sz w:val="20"/>
          <w:szCs w:val="20"/>
        </w:rPr>
      </w:pPr>
    </w:p>
    <w:p w14:paraId="0E0606B2" w14:textId="143EE139" w:rsidR="00D838DA" w:rsidRPr="00D838DA" w:rsidRDefault="00D838DA" w:rsidP="00D838DA">
      <w:pPr>
        <w:rPr>
          <w:rFonts w:ascii="Calibri" w:eastAsia="Times New Roman" w:hAnsi="Calibri" w:cs="Times New Roman"/>
          <w:b/>
          <w:smallCaps/>
          <w:szCs w:val="20"/>
        </w:rPr>
        <w:sectPr w:rsidR="00D838DA" w:rsidRPr="00D838DA" w:rsidSect="0031660E">
          <w:headerReference w:type="default" r:id="rId8"/>
          <w:footerReference w:type="default" r:id="rId9"/>
          <w:pgSz w:w="12240" w:h="15840" w:code="1"/>
          <w:pgMar w:top="1440" w:right="1440" w:bottom="1440" w:left="1440" w:header="720" w:footer="720" w:gutter="0"/>
          <w:cols w:space="720"/>
          <w:docGrid w:linePitch="272"/>
        </w:sectPr>
      </w:pPr>
      <w:r w:rsidRPr="00D838DA">
        <w:rPr>
          <w:rFonts w:ascii="Calibri" w:eastAsia="Times New Roman" w:hAnsi="Calibri" w:cs="Times New Roman"/>
          <w:b/>
          <w:smallCaps/>
          <w:szCs w:val="20"/>
        </w:rPr>
        <w:t>Measure Code: CI-HVC-VSDF-V0</w:t>
      </w:r>
      <w:r w:rsidR="00F67375">
        <w:rPr>
          <w:rFonts w:ascii="Calibri" w:eastAsia="Times New Roman" w:hAnsi="Calibri" w:cs="Times New Roman"/>
          <w:b/>
          <w:smallCaps/>
          <w:szCs w:val="20"/>
        </w:rPr>
        <w:t>2</w:t>
      </w:r>
      <w:r w:rsidRPr="00D838DA">
        <w:rPr>
          <w:rFonts w:ascii="Calibri" w:eastAsia="Times New Roman" w:hAnsi="Calibri" w:cs="Times New Roman"/>
          <w:b/>
          <w:smallCaps/>
          <w:szCs w:val="20"/>
        </w:rPr>
        <w:t>-1</w:t>
      </w:r>
      <w:r w:rsidR="00F67375">
        <w:rPr>
          <w:rFonts w:ascii="Calibri" w:eastAsia="Times New Roman" w:hAnsi="Calibri" w:cs="Times New Roman"/>
          <w:b/>
          <w:smallCaps/>
          <w:szCs w:val="20"/>
        </w:rPr>
        <w:t>6</w:t>
      </w:r>
      <w:r w:rsidRPr="00D838DA">
        <w:rPr>
          <w:rFonts w:ascii="Calibri" w:eastAsia="Times New Roman" w:hAnsi="Calibri" w:cs="Times New Roman"/>
          <w:b/>
          <w:smallCaps/>
          <w:szCs w:val="20"/>
        </w:rPr>
        <w:t>0601</w:t>
      </w:r>
    </w:p>
    <w:p w14:paraId="183B8154" w14:textId="77777777"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9BEBD" w14:textId="77777777" w:rsidR="008F01CB" w:rsidRDefault="008F01CB" w:rsidP="00D838DA">
      <w:pPr>
        <w:spacing w:after="0" w:line="240" w:lineRule="auto"/>
      </w:pPr>
      <w:r>
        <w:separator/>
      </w:r>
    </w:p>
  </w:endnote>
  <w:endnote w:type="continuationSeparator" w:id="0">
    <w:p w14:paraId="6F577F1F" w14:textId="77777777" w:rsidR="008F01CB" w:rsidRDefault="008F01CB" w:rsidP="00D838DA">
      <w:pPr>
        <w:spacing w:after="0" w:line="240" w:lineRule="auto"/>
      </w:pPr>
      <w:r>
        <w:continuationSeparator/>
      </w:r>
    </w:p>
  </w:endnote>
  <w:endnote w:type="continuationNotice" w:id="1">
    <w:p w14:paraId="2B6CC4C2" w14:textId="77777777" w:rsidR="008F01CB" w:rsidRDefault="008F01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ADDCF" w14:textId="77777777" w:rsidR="008F01CB" w:rsidRDefault="008F01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2592E" w14:textId="77777777" w:rsidR="008F01CB" w:rsidRDefault="008F01CB" w:rsidP="00D838DA">
      <w:pPr>
        <w:spacing w:after="0" w:line="240" w:lineRule="auto"/>
      </w:pPr>
      <w:r>
        <w:separator/>
      </w:r>
    </w:p>
  </w:footnote>
  <w:footnote w:type="continuationSeparator" w:id="0">
    <w:p w14:paraId="4C756F39" w14:textId="77777777" w:rsidR="008F01CB" w:rsidRDefault="008F01CB" w:rsidP="00D838DA">
      <w:pPr>
        <w:spacing w:after="0" w:line="240" w:lineRule="auto"/>
      </w:pPr>
      <w:r>
        <w:continuationSeparator/>
      </w:r>
    </w:p>
  </w:footnote>
  <w:footnote w:type="continuationNotice" w:id="1">
    <w:p w14:paraId="0661C2E4" w14:textId="77777777" w:rsidR="008F01CB" w:rsidRDefault="008F01CB">
      <w:pPr>
        <w:spacing w:after="0" w:line="240" w:lineRule="auto"/>
      </w:pPr>
    </w:p>
  </w:footnote>
  <w:footnote w:id="2">
    <w:p w14:paraId="3DDD42DD" w14:textId="77777777" w:rsidR="00D838DA" w:rsidRPr="0074386F" w:rsidRDefault="00D838DA" w:rsidP="00D838DA">
      <w:pPr>
        <w:pStyle w:val="Footnote"/>
        <w:rPr>
          <w:szCs w:val="18"/>
        </w:rPr>
      </w:pPr>
      <w:r w:rsidRPr="003B1236">
        <w:rPr>
          <w:rStyle w:val="FootnoteReference"/>
          <w:szCs w:val="18"/>
        </w:rPr>
        <w:footnoteRef/>
      </w:r>
      <w:r w:rsidRPr="0074386F">
        <w:rPr>
          <w:szCs w:val="18"/>
        </w:rPr>
        <w:t xml:space="preserve"> Efficiency Vermont TRM 10/26/11 for </w:t>
      </w:r>
      <w:r w:rsidRPr="0074386F">
        <w:rPr>
          <w:szCs w:val="18"/>
          <w:lang w:val="en"/>
        </w:rPr>
        <w:t>HVAC VSD motors</w:t>
      </w:r>
      <w:r w:rsidRPr="0074386F">
        <w:rPr>
          <w:szCs w:val="18"/>
        </w:rPr>
        <w:t xml:space="preserve"> </w:t>
      </w:r>
    </w:p>
  </w:footnote>
  <w:footnote w:id="3">
    <w:p w14:paraId="6C5AFFD5" w14:textId="77777777" w:rsidR="00D838DA" w:rsidRPr="0074386F" w:rsidRDefault="00D838DA" w:rsidP="00D838DA">
      <w:pPr>
        <w:pStyle w:val="Footnote"/>
        <w:rPr>
          <w:szCs w:val="18"/>
        </w:rPr>
      </w:pPr>
      <w:r w:rsidRPr="00225B09">
        <w:rPr>
          <w:rStyle w:val="FootnoteReference"/>
          <w:szCs w:val="18"/>
        </w:rPr>
        <w:footnoteRef/>
      </w:r>
      <w:r w:rsidRPr="0074386F">
        <w:rPr>
          <w:szCs w:val="18"/>
        </w:rPr>
        <w:t xml:space="preserve"> DEER 2008 </w:t>
      </w:r>
    </w:p>
  </w:footnote>
  <w:footnote w:id="4">
    <w:p w14:paraId="7A158FA1" w14:textId="77777777" w:rsidR="00D838DA" w:rsidRPr="0074386F" w:rsidRDefault="00D838DA" w:rsidP="00D838DA">
      <w:pPr>
        <w:pStyle w:val="Footnote"/>
        <w:rPr>
          <w:szCs w:val="18"/>
          <w:lang w:val="en"/>
        </w:rPr>
      </w:pPr>
      <w:r w:rsidRPr="00225B09">
        <w:rPr>
          <w:rStyle w:val="FootnoteReference"/>
          <w:szCs w:val="18"/>
        </w:rPr>
        <w:footnoteRef/>
      </w:r>
      <w:r w:rsidRPr="0074386F">
        <w:rPr>
          <w:szCs w:val="18"/>
          <w:lang w:val="en"/>
        </w:rPr>
        <w:t xml:space="preserve"> </w:t>
      </w:r>
      <w:r w:rsidRPr="0074386F">
        <w:rPr>
          <w:szCs w:val="18"/>
        </w:rPr>
        <w:t xml:space="preserve">Ohio TRM 8/6/2010 varies by motor/fan size based on equipment costs from Granger 2008 Catalog </w:t>
      </w:r>
      <w:proofErr w:type="spellStart"/>
      <w:r w:rsidRPr="0074386F">
        <w:rPr>
          <w:szCs w:val="18"/>
        </w:rPr>
        <w:t>pp</w:t>
      </w:r>
      <w:proofErr w:type="spellEnd"/>
      <w:r w:rsidRPr="0074386F">
        <w:rPr>
          <w:szCs w:val="18"/>
        </w:rPr>
        <w:t xml:space="preserve"> 286-289, average across available voltages and models.  Labor costs from RS Means Data 2008   Ohio average cost adjustment applied.</w:t>
      </w:r>
    </w:p>
  </w:footnote>
  <w:footnote w:id="5">
    <w:p w14:paraId="2833FA11" w14:textId="77777777" w:rsidR="00D838DA" w:rsidRPr="0074386F" w:rsidRDefault="00D838DA" w:rsidP="00D838DA">
      <w:pPr>
        <w:pStyle w:val="Footnote"/>
        <w:rPr>
          <w:szCs w:val="18"/>
        </w:rPr>
      </w:pPr>
      <w:r w:rsidRPr="00225B09">
        <w:rPr>
          <w:rStyle w:val="FootnoteReference"/>
          <w:szCs w:val="18"/>
        </w:rPr>
        <w:footnoteRef/>
      </w:r>
      <w:r w:rsidRPr="0074386F">
        <w:rPr>
          <w:szCs w:val="18"/>
        </w:rPr>
        <w:t xml:space="preserve"> Methodology developed and tested in Del Balso, Ryan Joseph. “Investigation into the Reliability of Energy Efficiency/Demand Side Management Savings Estimates for Variable Frequency Drives in Commercial Applications”. A project report submitted to the Faculty of the Graduate School of the University of Colorado, 2013.</w:t>
      </w:r>
    </w:p>
  </w:footnote>
  <w:footnote w:id="6">
    <w:p w14:paraId="6D0D2B46" w14:textId="77777777" w:rsidR="00D838DA" w:rsidRPr="0074386F" w:rsidRDefault="00D838DA" w:rsidP="00D838DA">
      <w:pPr>
        <w:pStyle w:val="Footnote"/>
        <w:rPr>
          <w:szCs w:val="18"/>
        </w:rPr>
      </w:pPr>
      <w:r w:rsidRPr="00225B09">
        <w:rPr>
          <w:rStyle w:val="FootnoteReference"/>
          <w:szCs w:val="18"/>
        </w:rPr>
        <w:footnoteRef/>
      </w:r>
      <w:r w:rsidRPr="0074386F">
        <w:rPr>
          <w:szCs w:val="18"/>
        </w:rPr>
        <w:t xml:space="preserve"> </w:t>
      </w:r>
      <w:proofErr w:type="gramStart"/>
      <w:r w:rsidRPr="0074386F">
        <w:rPr>
          <w:szCs w:val="18"/>
        </w:rPr>
        <w:t>Lawrence Berkeley National Laboratory, and Resource Dynamics Corporation.</w:t>
      </w:r>
      <w:proofErr w:type="gramEnd"/>
      <w:r w:rsidRPr="0074386F">
        <w:rPr>
          <w:szCs w:val="18"/>
        </w:rPr>
        <w:t xml:space="preserve"> </w:t>
      </w:r>
      <w:proofErr w:type="gramStart"/>
      <w:r w:rsidRPr="0074386F">
        <w:rPr>
          <w:szCs w:val="18"/>
        </w:rPr>
        <w:t>(2008). “Improving Motor and Drive System Performance; A Sourcebook for Industry”.</w:t>
      </w:r>
      <w:proofErr w:type="gramEnd"/>
      <w:r w:rsidRPr="0074386F">
        <w:rPr>
          <w:szCs w:val="18"/>
        </w:rPr>
        <w:t xml:space="preserve"> </w:t>
      </w:r>
      <w:proofErr w:type="gramStart"/>
      <w:r w:rsidRPr="0074386F">
        <w:rPr>
          <w:szCs w:val="18"/>
        </w:rPr>
        <w:t>U.S. Department of Energy, Office of Energy Efficiency and Renewable Energy.</w:t>
      </w:r>
      <w:proofErr w:type="gramEnd"/>
      <w:r w:rsidRPr="0074386F">
        <w:rPr>
          <w:szCs w:val="18"/>
        </w:rPr>
        <w:t xml:space="preserve"> Golden, CO: National Renewable Energy Laboratory.</w:t>
      </w:r>
    </w:p>
  </w:footnote>
  <w:footnote w:id="7">
    <w:p w14:paraId="2D42191D" w14:textId="77777777" w:rsidR="00D838DA" w:rsidRPr="0074386F" w:rsidRDefault="00D838DA" w:rsidP="00D838DA">
      <w:pPr>
        <w:pStyle w:val="Footnote"/>
        <w:rPr>
          <w:szCs w:val="18"/>
        </w:rPr>
      </w:pPr>
      <w:r w:rsidRPr="00225B09">
        <w:rPr>
          <w:rStyle w:val="FootnoteReference"/>
          <w:szCs w:val="18"/>
        </w:rPr>
        <w:footnoteRef/>
      </w:r>
      <w:r w:rsidRPr="0074386F">
        <w:rPr>
          <w:szCs w:val="18"/>
        </w:rPr>
        <w:t xml:space="preserve"> Douglass, J. (2005). </w:t>
      </w:r>
      <w:proofErr w:type="gramStart"/>
      <w:r w:rsidRPr="0074386F">
        <w:rPr>
          <w:szCs w:val="18"/>
        </w:rPr>
        <w:t>Induction Motor Efficiency Standards.</w:t>
      </w:r>
      <w:proofErr w:type="gramEnd"/>
      <w:r w:rsidRPr="0074386F">
        <w:rPr>
          <w:szCs w:val="18"/>
        </w:rPr>
        <w:t xml:space="preserve"> </w:t>
      </w:r>
      <w:proofErr w:type="gramStart"/>
      <w:r w:rsidRPr="0074386F">
        <w:rPr>
          <w:szCs w:val="18"/>
        </w:rPr>
        <w:t>Washington State University and the Northwest Energy Efficiency Alliance, Extension Energy Program, Olympia, WA.</w:t>
      </w:r>
      <w:proofErr w:type="gramEnd"/>
      <w:r w:rsidRPr="0074386F">
        <w:rPr>
          <w:szCs w:val="18"/>
        </w:rPr>
        <w:t xml:space="preserve"> Retrieved October 17, 2013, from </w:t>
      </w:r>
      <w:hyperlink r:id="rId1" w:history="1">
        <w:r w:rsidRPr="009C362B">
          <w:rPr>
            <w:szCs w:val="18"/>
          </w:rPr>
          <w:t>http://www1.eere.energy.gov/manufacturing/tech_assistance/pdfs/motor_efficiency_standards.pdf</w:t>
        </w:r>
      </w:hyperlink>
      <w:r w:rsidRPr="00225B09">
        <w:rPr>
          <w:szCs w:val="18"/>
        </w:rPr>
        <w:t xml:space="preserve"> </w:t>
      </w:r>
    </w:p>
  </w:footnote>
  <w:footnote w:id="8">
    <w:p w14:paraId="5BCA2A9A" w14:textId="4824A958" w:rsidR="00D838DA" w:rsidRPr="0075793C" w:rsidRDefault="00D838DA" w:rsidP="008F01CB">
      <w:pPr>
        <w:rPr>
          <w:szCs w:val="18"/>
        </w:rPr>
      </w:pPr>
      <w:r w:rsidRPr="00225B09">
        <w:rPr>
          <w:rStyle w:val="FootnoteReference"/>
          <w:szCs w:val="18"/>
        </w:rPr>
        <w:footnoteRef/>
      </w:r>
      <w:r w:rsidRPr="0074386F">
        <w:rPr>
          <w:szCs w:val="18"/>
        </w:rPr>
        <w:t xml:space="preserve"> </w:t>
      </w:r>
      <w:r w:rsidR="0030361B">
        <w:rPr>
          <w:sz w:val="18"/>
          <w:szCs w:val="18"/>
        </w:rPr>
        <w:t xml:space="preserve">Hours per year are estimated using the </w:t>
      </w:r>
      <w:proofErr w:type="spellStart"/>
      <w:r w:rsidR="0030361B">
        <w:rPr>
          <w:sz w:val="18"/>
          <w:szCs w:val="18"/>
        </w:rPr>
        <w:t>eQuest</w:t>
      </w:r>
      <w:proofErr w:type="spellEnd"/>
      <w:r w:rsidR="0030361B">
        <w:rPr>
          <w:sz w:val="18"/>
          <w:szCs w:val="18"/>
        </w:rPr>
        <w:t xml:space="preserve"> models as the total number of hours the fans are operating for heating, cooling and ventilation for each building type.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13134" w14:textId="77777777" w:rsidR="00D838DA" w:rsidRPr="0084244F" w:rsidRDefault="00D838DA" w:rsidP="0031660E">
    <w:pPr>
      <w:pStyle w:val="Header"/>
      <w:pBdr>
        <w:bottom w:val="single" w:sz="4" w:space="0" w:color="auto"/>
      </w:pBdr>
      <w:rPr>
        <w:sz w:val="24"/>
      </w:rPr>
    </w:pPr>
    <w:r w:rsidRPr="0084244F">
      <w:t xml:space="preserve">Illinois Statewide Technical Reference Manual </w:t>
    </w:r>
    <w:r>
      <w:t>– 4.4.26 Variable Speed Drives for HVAC Supply and Return Fans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DA"/>
    <w:rsid w:val="000F2A62"/>
    <w:rsid w:val="0030361B"/>
    <w:rsid w:val="0031660E"/>
    <w:rsid w:val="005C49AA"/>
    <w:rsid w:val="005E1091"/>
    <w:rsid w:val="00685361"/>
    <w:rsid w:val="007E68F3"/>
    <w:rsid w:val="008F01CB"/>
    <w:rsid w:val="00BB22CF"/>
    <w:rsid w:val="00D838DA"/>
    <w:rsid w:val="00E85DEF"/>
    <w:rsid w:val="00F67375"/>
    <w:rsid w:val="00F6774E"/>
    <w:rsid w:val="00F70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38DA"/>
  </w:style>
  <w:style w:type="character" w:styleId="FootnoteReference">
    <w:name w:val="footnote reference"/>
    <w:aliases w:val="Footnote_Reference,o,fr"/>
    <w:uiPriority w:val="99"/>
    <w:qFormat/>
    <w:rsid w:val="00D838DA"/>
    <w:rPr>
      <w:rFonts w:ascii="Arial" w:hAnsi="Arial" w:cs="Times New Roman"/>
      <w:sz w:val="20"/>
      <w:vertAlign w:val="superscript"/>
    </w:rPr>
  </w:style>
  <w:style w:type="character" w:customStyle="1" w:styleId="FootnoteChar">
    <w:name w:val="Footnote Char"/>
    <w:basedOn w:val="DefaultParagraphFont"/>
    <w:link w:val="Footnote"/>
    <w:rsid w:val="00D838DA"/>
    <w:rPr>
      <w:rFonts w:eastAsiaTheme="minorEastAsia" w:cstheme="minorHAnsi"/>
      <w:sz w:val="18"/>
      <w:szCs w:val="20"/>
    </w:rPr>
  </w:style>
  <w:style w:type="paragraph" w:customStyle="1" w:styleId="Footnote">
    <w:name w:val="Footnote"/>
    <w:basedOn w:val="FootnoteText"/>
    <w:link w:val="FootnoteChar"/>
    <w:autoRedefine/>
    <w:qFormat/>
    <w:rsid w:val="00D838DA"/>
    <w:pPr>
      <w:widowControl w:val="0"/>
    </w:pPr>
    <w:rPr>
      <w:rFonts w:eastAsiaTheme="minorEastAsia" w:cstheme="minorHAnsi"/>
      <w:sz w:val="18"/>
    </w:rPr>
  </w:style>
  <w:style w:type="table" w:customStyle="1" w:styleId="TableGrid19">
    <w:name w:val="Table Grid19"/>
    <w:basedOn w:val="TableNormal"/>
    <w:next w:val="TableGrid"/>
    <w:uiPriority w:val="59"/>
    <w:rsid w:val="00D838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838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8DA"/>
    <w:rPr>
      <w:sz w:val="20"/>
      <w:szCs w:val="20"/>
    </w:rPr>
  </w:style>
  <w:style w:type="table" w:styleId="TableGrid">
    <w:name w:val="Table Grid"/>
    <w:basedOn w:val="TableNormal"/>
    <w:uiPriority w:val="59"/>
    <w:rsid w:val="00D8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38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DA"/>
    <w:rPr>
      <w:rFonts w:ascii="Tahoma" w:hAnsi="Tahoma" w:cs="Tahoma"/>
      <w:sz w:val="16"/>
      <w:szCs w:val="16"/>
    </w:rPr>
  </w:style>
  <w:style w:type="character" w:styleId="CommentReference">
    <w:name w:val="annotation reference"/>
    <w:basedOn w:val="DefaultParagraphFont"/>
    <w:uiPriority w:val="99"/>
    <w:semiHidden/>
    <w:unhideWhenUsed/>
    <w:rsid w:val="005E1091"/>
    <w:rPr>
      <w:sz w:val="16"/>
      <w:szCs w:val="16"/>
    </w:rPr>
  </w:style>
  <w:style w:type="paragraph" w:styleId="CommentText">
    <w:name w:val="annotation text"/>
    <w:basedOn w:val="Normal"/>
    <w:link w:val="CommentTextChar"/>
    <w:uiPriority w:val="99"/>
    <w:semiHidden/>
    <w:unhideWhenUsed/>
    <w:rsid w:val="005E1091"/>
    <w:pPr>
      <w:spacing w:line="240" w:lineRule="auto"/>
    </w:pPr>
    <w:rPr>
      <w:sz w:val="20"/>
      <w:szCs w:val="20"/>
    </w:rPr>
  </w:style>
  <w:style w:type="character" w:customStyle="1" w:styleId="CommentTextChar">
    <w:name w:val="Comment Text Char"/>
    <w:basedOn w:val="DefaultParagraphFont"/>
    <w:link w:val="CommentText"/>
    <w:uiPriority w:val="99"/>
    <w:semiHidden/>
    <w:rsid w:val="005E1091"/>
    <w:rPr>
      <w:sz w:val="20"/>
      <w:szCs w:val="20"/>
    </w:rPr>
  </w:style>
  <w:style w:type="paragraph" w:styleId="CommentSubject">
    <w:name w:val="annotation subject"/>
    <w:basedOn w:val="CommentText"/>
    <w:next w:val="CommentText"/>
    <w:link w:val="CommentSubjectChar"/>
    <w:uiPriority w:val="99"/>
    <w:semiHidden/>
    <w:unhideWhenUsed/>
    <w:rsid w:val="005E1091"/>
    <w:rPr>
      <w:b/>
      <w:bCs/>
    </w:rPr>
  </w:style>
  <w:style w:type="character" w:customStyle="1" w:styleId="CommentSubjectChar">
    <w:name w:val="Comment Subject Char"/>
    <w:basedOn w:val="CommentTextChar"/>
    <w:link w:val="CommentSubject"/>
    <w:uiPriority w:val="99"/>
    <w:semiHidden/>
    <w:rsid w:val="005E1091"/>
    <w:rPr>
      <w:b/>
      <w:bCs/>
      <w:sz w:val="20"/>
      <w:szCs w:val="20"/>
    </w:rPr>
  </w:style>
  <w:style w:type="paragraph" w:styleId="Revision">
    <w:name w:val="Revision"/>
    <w:hidden/>
    <w:uiPriority w:val="99"/>
    <w:semiHidden/>
    <w:rsid w:val="0030361B"/>
    <w:pPr>
      <w:spacing w:after="0" w:line="240" w:lineRule="auto"/>
    </w:pPr>
  </w:style>
  <w:style w:type="paragraph" w:styleId="Footer">
    <w:name w:val="footer"/>
    <w:basedOn w:val="Normal"/>
    <w:link w:val="FooterChar"/>
    <w:uiPriority w:val="99"/>
    <w:unhideWhenUsed/>
    <w:rsid w:val="008F0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1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38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38DA"/>
  </w:style>
  <w:style w:type="character" w:styleId="FootnoteReference">
    <w:name w:val="footnote reference"/>
    <w:aliases w:val="Footnote_Reference,o,fr"/>
    <w:uiPriority w:val="99"/>
    <w:qFormat/>
    <w:rsid w:val="00D838DA"/>
    <w:rPr>
      <w:rFonts w:ascii="Arial" w:hAnsi="Arial" w:cs="Times New Roman"/>
      <w:sz w:val="20"/>
      <w:vertAlign w:val="superscript"/>
    </w:rPr>
  </w:style>
  <w:style w:type="character" w:customStyle="1" w:styleId="FootnoteChar">
    <w:name w:val="Footnote Char"/>
    <w:basedOn w:val="DefaultParagraphFont"/>
    <w:link w:val="Footnote"/>
    <w:rsid w:val="00D838DA"/>
    <w:rPr>
      <w:rFonts w:eastAsiaTheme="minorEastAsia" w:cstheme="minorHAnsi"/>
      <w:sz w:val="18"/>
      <w:szCs w:val="20"/>
    </w:rPr>
  </w:style>
  <w:style w:type="paragraph" w:customStyle="1" w:styleId="Footnote">
    <w:name w:val="Footnote"/>
    <w:basedOn w:val="FootnoteText"/>
    <w:link w:val="FootnoteChar"/>
    <w:autoRedefine/>
    <w:qFormat/>
    <w:rsid w:val="00D838DA"/>
    <w:pPr>
      <w:widowControl w:val="0"/>
    </w:pPr>
    <w:rPr>
      <w:rFonts w:eastAsiaTheme="minorEastAsia" w:cstheme="minorHAnsi"/>
      <w:sz w:val="18"/>
    </w:rPr>
  </w:style>
  <w:style w:type="table" w:customStyle="1" w:styleId="TableGrid19">
    <w:name w:val="Table Grid19"/>
    <w:basedOn w:val="TableNormal"/>
    <w:next w:val="TableGrid"/>
    <w:uiPriority w:val="59"/>
    <w:rsid w:val="00D838D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838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838DA"/>
    <w:rPr>
      <w:sz w:val="20"/>
      <w:szCs w:val="20"/>
    </w:rPr>
  </w:style>
  <w:style w:type="table" w:styleId="TableGrid">
    <w:name w:val="Table Grid"/>
    <w:basedOn w:val="TableNormal"/>
    <w:uiPriority w:val="59"/>
    <w:rsid w:val="00D83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838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DA"/>
    <w:rPr>
      <w:rFonts w:ascii="Tahoma" w:hAnsi="Tahoma" w:cs="Tahoma"/>
      <w:sz w:val="16"/>
      <w:szCs w:val="16"/>
    </w:rPr>
  </w:style>
  <w:style w:type="character" w:styleId="CommentReference">
    <w:name w:val="annotation reference"/>
    <w:basedOn w:val="DefaultParagraphFont"/>
    <w:uiPriority w:val="99"/>
    <w:semiHidden/>
    <w:unhideWhenUsed/>
    <w:rsid w:val="005E1091"/>
    <w:rPr>
      <w:sz w:val="16"/>
      <w:szCs w:val="16"/>
    </w:rPr>
  </w:style>
  <w:style w:type="paragraph" w:styleId="CommentText">
    <w:name w:val="annotation text"/>
    <w:basedOn w:val="Normal"/>
    <w:link w:val="CommentTextChar"/>
    <w:uiPriority w:val="99"/>
    <w:semiHidden/>
    <w:unhideWhenUsed/>
    <w:rsid w:val="005E1091"/>
    <w:pPr>
      <w:spacing w:line="240" w:lineRule="auto"/>
    </w:pPr>
    <w:rPr>
      <w:sz w:val="20"/>
      <w:szCs w:val="20"/>
    </w:rPr>
  </w:style>
  <w:style w:type="character" w:customStyle="1" w:styleId="CommentTextChar">
    <w:name w:val="Comment Text Char"/>
    <w:basedOn w:val="DefaultParagraphFont"/>
    <w:link w:val="CommentText"/>
    <w:uiPriority w:val="99"/>
    <w:semiHidden/>
    <w:rsid w:val="005E1091"/>
    <w:rPr>
      <w:sz w:val="20"/>
      <w:szCs w:val="20"/>
    </w:rPr>
  </w:style>
  <w:style w:type="paragraph" w:styleId="CommentSubject">
    <w:name w:val="annotation subject"/>
    <w:basedOn w:val="CommentText"/>
    <w:next w:val="CommentText"/>
    <w:link w:val="CommentSubjectChar"/>
    <w:uiPriority w:val="99"/>
    <w:semiHidden/>
    <w:unhideWhenUsed/>
    <w:rsid w:val="005E1091"/>
    <w:rPr>
      <w:b/>
      <w:bCs/>
    </w:rPr>
  </w:style>
  <w:style w:type="character" w:customStyle="1" w:styleId="CommentSubjectChar">
    <w:name w:val="Comment Subject Char"/>
    <w:basedOn w:val="CommentTextChar"/>
    <w:link w:val="CommentSubject"/>
    <w:uiPriority w:val="99"/>
    <w:semiHidden/>
    <w:rsid w:val="005E1091"/>
    <w:rPr>
      <w:b/>
      <w:bCs/>
      <w:sz w:val="20"/>
      <w:szCs w:val="20"/>
    </w:rPr>
  </w:style>
  <w:style w:type="paragraph" w:styleId="Revision">
    <w:name w:val="Revision"/>
    <w:hidden/>
    <w:uiPriority w:val="99"/>
    <w:semiHidden/>
    <w:rsid w:val="0030361B"/>
    <w:pPr>
      <w:spacing w:after="0" w:line="240" w:lineRule="auto"/>
    </w:pPr>
  </w:style>
  <w:style w:type="paragraph" w:styleId="Footer">
    <w:name w:val="footer"/>
    <w:basedOn w:val="Normal"/>
    <w:link w:val="FooterChar"/>
    <w:uiPriority w:val="99"/>
    <w:unhideWhenUsed/>
    <w:rsid w:val="008F0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91602">
      <w:bodyDiv w:val="1"/>
      <w:marLeft w:val="0"/>
      <w:marRight w:val="0"/>
      <w:marTop w:val="0"/>
      <w:marBottom w:val="0"/>
      <w:divBdr>
        <w:top w:val="none" w:sz="0" w:space="0" w:color="auto"/>
        <w:left w:val="none" w:sz="0" w:space="0" w:color="auto"/>
        <w:bottom w:val="none" w:sz="0" w:space="0" w:color="auto"/>
        <w:right w:val="none" w:sz="0" w:space="0" w:color="auto"/>
      </w:divBdr>
    </w:div>
    <w:div w:id="103219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1.eere.energy.gov/manufacturing/tech_assistance/pdfs/motor_efficiency_stand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2E2DD-101C-4CC0-8D2B-E04102A8F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17</TotalTime>
  <Pages>8</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2</cp:revision>
  <dcterms:created xsi:type="dcterms:W3CDTF">2015-11-02T20:56:00Z</dcterms:created>
  <dcterms:modified xsi:type="dcterms:W3CDTF">2015-12-18T14:35:00Z</dcterms:modified>
</cp:coreProperties>
</file>