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29A43" w14:textId="77777777" w:rsidR="00EC293E" w:rsidRPr="0028614A" w:rsidRDefault="00EC293E" w:rsidP="00EC293E">
      <w:pPr>
        <w:spacing w:line="360" w:lineRule="auto"/>
        <w:jc w:val="center"/>
        <w:rPr>
          <w:b/>
          <w:sz w:val="56"/>
        </w:rPr>
      </w:pPr>
      <w:bookmarkStart w:id="0" w:name="_Toc409070228"/>
      <w:bookmarkStart w:id="1" w:name="_Toc411593577"/>
      <w:bookmarkStart w:id="2" w:name="_GoBack"/>
      <w:bookmarkEnd w:id="2"/>
      <w:r w:rsidRPr="008F033B">
        <w:rPr>
          <w:b/>
          <w:sz w:val="56"/>
        </w:rPr>
        <w:t>Illinois</w:t>
      </w:r>
      <w:r w:rsidRPr="0042413F">
        <w:rPr>
          <w:b/>
          <w:sz w:val="56"/>
          <w:szCs w:val="56"/>
        </w:rPr>
        <w:t xml:space="preserve"> Statewide</w:t>
      </w:r>
      <w:bookmarkStart w:id="3" w:name="_Toc311441024"/>
      <w:bookmarkStart w:id="4" w:name="_Toc311441572"/>
      <w:bookmarkStart w:id="5" w:name="_Toc311441786"/>
      <w:bookmarkStart w:id="6" w:name="_Toc311444829"/>
      <w:bookmarkStart w:id="7" w:name="_Toc311461616"/>
      <w:bookmarkStart w:id="8" w:name="_Toc311464130"/>
      <w:bookmarkStart w:id="9" w:name="_Toc311464187"/>
      <w:bookmarkStart w:id="10" w:name="_Toc311464224"/>
      <w:bookmarkStart w:id="11" w:name="_Toc311464255"/>
      <w:bookmarkStart w:id="12" w:name="_Toc311465361"/>
      <w:bookmarkStart w:id="13" w:name="_Toc311469763"/>
      <w:bookmarkStart w:id="14" w:name="_Toc311470069"/>
      <w:bookmarkStart w:id="15" w:name="_Toc311470205"/>
      <w:bookmarkStart w:id="16" w:name="_Toc311470723"/>
      <w:bookmarkStart w:id="17" w:name="_Toc311472369"/>
      <w:bookmarkStart w:id="18" w:name="_Toc311472528"/>
      <w:r>
        <w:rPr>
          <w:b/>
          <w:sz w:val="56"/>
        </w:rPr>
        <w:t xml:space="preserve"> </w:t>
      </w:r>
      <w:r w:rsidRPr="008F033B">
        <w:rPr>
          <w:b/>
          <w:sz w:val="56"/>
        </w:rPr>
        <w:t>Technical Reference Manual</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b/>
          <w:sz w:val="56"/>
        </w:rPr>
        <w:t xml:space="preserve"> </w:t>
      </w:r>
      <w:r w:rsidRPr="0042413F">
        <w:rPr>
          <w:b/>
          <w:sz w:val="56"/>
          <w:szCs w:val="56"/>
        </w:rPr>
        <w:t>for Energy Efficiency</w:t>
      </w:r>
    </w:p>
    <w:p w14:paraId="5844E7A3" w14:textId="77777777" w:rsidR="00EC293E" w:rsidRDefault="00EC293E" w:rsidP="00EC293E">
      <w:pPr>
        <w:spacing w:line="360" w:lineRule="auto"/>
        <w:jc w:val="center"/>
        <w:rPr>
          <w:b/>
          <w:sz w:val="56"/>
          <w:szCs w:val="56"/>
        </w:rPr>
      </w:pPr>
      <w:r>
        <w:rPr>
          <w:b/>
          <w:sz w:val="56"/>
          <w:szCs w:val="56"/>
        </w:rPr>
        <w:t>Version 5.0</w:t>
      </w:r>
    </w:p>
    <w:p w14:paraId="6677363F" w14:textId="77777777" w:rsidR="00EC293E" w:rsidRDefault="00EC293E" w:rsidP="00EC293E">
      <w:pPr>
        <w:spacing w:line="360" w:lineRule="auto"/>
        <w:jc w:val="center"/>
        <w:rPr>
          <w:b/>
          <w:sz w:val="56"/>
          <w:szCs w:val="56"/>
        </w:rPr>
      </w:pPr>
    </w:p>
    <w:p w14:paraId="06690D85" w14:textId="001E7FCB" w:rsidR="00EC293E" w:rsidRDefault="00A976C5" w:rsidP="00EC293E">
      <w:pPr>
        <w:spacing w:line="360" w:lineRule="auto"/>
        <w:jc w:val="center"/>
        <w:rPr>
          <w:b/>
          <w:sz w:val="56"/>
          <w:szCs w:val="56"/>
        </w:rPr>
      </w:pPr>
      <w:r>
        <w:rPr>
          <w:b/>
          <w:sz w:val="56"/>
          <w:szCs w:val="56"/>
        </w:rPr>
        <w:t xml:space="preserve">Volume 4: Cross-Cutting Measures </w:t>
      </w:r>
      <w:r w:rsidR="00EC293E">
        <w:rPr>
          <w:b/>
          <w:sz w:val="56"/>
          <w:szCs w:val="56"/>
        </w:rPr>
        <w:t>and Attachments</w:t>
      </w:r>
    </w:p>
    <w:p w14:paraId="073859BF" w14:textId="77777777" w:rsidR="00EC293E" w:rsidRPr="0042413F" w:rsidRDefault="00EC293E" w:rsidP="00EC293E">
      <w:pPr>
        <w:spacing w:line="360" w:lineRule="auto"/>
        <w:jc w:val="center"/>
        <w:rPr>
          <w:b/>
          <w:sz w:val="56"/>
          <w:szCs w:val="56"/>
        </w:rPr>
      </w:pPr>
    </w:p>
    <w:p w14:paraId="17D7B13B" w14:textId="77777777" w:rsidR="00EC293E" w:rsidRDefault="00EC293E" w:rsidP="00EC293E">
      <w:pPr>
        <w:jc w:val="center"/>
        <w:rPr>
          <w:b/>
          <w:sz w:val="48"/>
          <w:szCs w:val="48"/>
        </w:rPr>
      </w:pPr>
      <w:r>
        <w:rPr>
          <w:b/>
          <w:sz w:val="48"/>
          <w:szCs w:val="48"/>
        </w:rPr>
        <w:t>Draft</w:t>
      </w:r>
    </w:p>
    <w:p w14:paraId="48B6EACB" w14:textId="77777777" w:rsidR="00EC293E" w:rsidRPr="002F27B8" w:rsidRDefault="00EC293E" w:rsidP="00EC293E">
      <w:pPr>
        <w:jc w:val="center"/>
        <w:rPr>
          <w:b/>
          <w:sz w:val="48"/>
          <w:szCs w:val="48"/>
        </w:rPr>
      </w:pPr>
      <w:r>
        <w:rPr>
          <w:b/>
          <w:sz w:val="48"/>
          <w:szCs w:val="48"/>
        </w:rPr>
        <w:t>December 18</w:t>
      </w:r>
      <w:r w:rsidRPr="00DC7D0C">
        <w:rPr>
          <w:b/>
          <w:sz w:val="48"/>
          <w:szCs w:val="48"/>
          <w:vertAlign w:val="superscript"/>
        </w:rPr>
        <w:t>th</w:t>
      </w:r>
      <w:r w:rsidRPr="00521764">
        <w:rPr>
          <w:b/>
          <w:sz w:val="48"/>
          <w:szCs w:val="48"/>
        </w:rPr>
        <w:t>, 201</w:t>
      </w:r>
      <w:r>
        <w:rPr>
          <w:b/>
          <w:sz w:val="48"/>
          <w:szCs w:val="48"/>
        </w:rPr>
        <w:t>5</w:t>
      </w:r>
    </w:p>
    <w:p w14:paraId="2C5A36BA" w14:textId="77777777" w:rsidR="00EC293E" w:rsidRDefault="00EC293E" w:rsidP="00EC293E">
      <w:pPr>
        <w:jc w:val="center"/>
        <w:rPr>
          <w:b/>
          <w:sz w:val="48"/>
          <w:szCs w:val="48"/>
        </w:rPr>
      </w:pPr>
    </w:p>
    <w:p w14:paraId="1BF25444" w14:textId="77777777" w:rsidR="00EC293E" w:rsidRPr="004B2377" w:rsidRDefault="00EC293E" w:rsidP="00EC293E">
      <w:pPr>
        <w:jc w:val="center"/>
        <w:rPr>
          <w:b/>
          <w:sz w:val="48"/>
          <w:szCs w:val="48"/>
        </w:rPr>
      </w:pPr>
      <w:r>
        <w:rPr>
          <w:b/>
          <w:sz w:val="48"/>
          <w:szCs w:val="48"/>
        </w:rPr>
        <w:t>Effective:</w:t>
      </w:r>
    </w:p>
    <w:p w14:paraId="3A976E40" w14:textId="77777777" w:rsidR="00EC293E" w:rsidRPr="008251F5" w:rsidRDefault="00EC293E" w:rsidP="00EC293E">
      <w:pPr>
        <w:jc w:val="center"/>
        <w:rPr>
          <w:b/>
          <w:strike/>
          <w:sz w:val="48"/>
          <w:szCs w:val="48"/>
        </w:rPr>
      </w:pPr>
      <w:r w:rsidRPr="0028614A">
        <w:rPr>
          <w:b/>
          <w:strike/>
          <w:sz w:val="48"/>
          <w:szCs w:val="48"/>
        </w:rPr>
        <w:t>June 1</w:t>
      </w:r>
      <w:r w:rsidRPr="0028614A">
        <w:rPr>
          <w:b/>
          <w:strike/>
          <w:sz w:val="48"/>
          <w:szCs w:val="48"/>
          <w:vertAlign w:val="superscript"/>
        </w:rPr>
        <w:t>st</w:t>
      </w:r>
      <w:r>
        <w:rPr>
          <w:b/>
          <w:strike/>
          <w:sz w:val="48"/>
          <w:szCs w:val="48"/>
        </w:rPr>
        <w:t>, 2015</w:t>
      </w:r>
    </w:p>
    <w:p w14:paraId="5E6D53E8" w14:textId="77777777" w:rsidR="00EC293E" w:rsidRDefault="00EC293E" w:rsidP="00EC293E">
      <w:pPr>
        <w:spacing w:line="360" w:lineRule="auto"/>
        <w:jc w:val="center"/>
        <w:rPr>
          <w:b/>
          <w:sz w:val="48"/>
          <w:szCs w:val="48"/>
        </w:rPr>
      </w:pPr>
    </w:p>
    <w:p w14:paraId="2338D023" w14:textId="77777777" w:rsidR="00065C25" w:rsidRDefault="00065C25" w:rsidP="009F45F0">
      <w:pPr>
        <w:widowControl/>
        <w:spacing w:after="160"/>
        <w:jc w:val="center"/>
        <w:rPr>
          <w:rFonts w:eastAsia="Franklin Gothic Book"/>
          <w:sz w:val="22"/>
        </w:rPr>
        <w:sectPr w:rsidR="00065C25">
          <w:headerReference w:type="default" r:id="rId8"/>
          <w:footerReference w:type="default" r:id="rId9"/>
          <w:pgSz w:w="12240" w:h="15840"/>
          <w:pgMar w:top="1440" w:right="1440" w:bottom="1440" w:left="1440" w:header="720" w:footer="720" w:gutter="0"/>
          <w:cols w:space="720"/>
          <w:docGrid w:linePitch="360"/>
        </w:sectPr>
      </w:pPr>
    </w:p>
    <w:sdt>
      <w:sdtPr>
        <w:rPr>
          <w:rFonts w:eastAsia="Times New Roman" w:cs="Times New Roman"/>
          <w:sz w:val="20"/>
          <w:szCs w:val="22"/>
        </w:rPr>
        <w:id w:val="173702248"/>
        <w:docPartObj>
          <w:docPartGallery w:val="Table of Contents"/>
          <w:docPartUnique/>
        </w:docPartObj>
      </w:sdtPr>
      <w:sdtEndPr>
        <w:rPr>
          <w:b/>
          <w:bCs/>
          <w:noProof/>
        </w:rPr>
      </w:sdtEndPr>
      <w:sdtContent>
        <w:p w14:paraId="559594EC" w14:textId="32BDA35D" w:rsidR="00CC2784" w:rsidRPr="0007657F" w:rsidRDefault="0007657F">
          <w:pPr>
            <w:pStyle w:val="TOCHeading"/>
            <w:rPr>
              <w:rFonts w:eastAsia="Times New Roman" w:cs="Times New Roman"/>
              <w:b/>
              <w:sz w:val="20"/>
              <w:szCs w:val="22"/>
            </w:rPr>
          </w:pPr>
          <w:r w:rsidRPr="0007657F">
            <w:rPr>
              <w:rFonts w:eastAsia="Times New Roman" w:cs="Times New Roman"/>
              <w:b/>
              <w:sz w:val="20"/>
              <w:szCs w:val="22"/>
            </w:rPr>
            <w:t>Volume 1: Overview and User Guide</w:t>
          </w:r>
        </w:p>
        <w:p w14:paraId="1A365DEA" w14:textId="21405028" w:rsidR="0007657F" w:rsidRDefault="0007657F" w:rsidP="0007657F">
          <w:pPr>
            <w:spacing w:after="0"/>
            <w:rPr>
              <w:b/>
            </w:rPr>
          </w:pPr>
          <w:r w:rsidRPr="0007657F">
            <w:rPr>
              <w:b/>
            </w:rPr>
            <w:t>Volume 2: Commercial and Industrial Measures</w:t>
          </w:r>
        </w:p>
        <w:p w14:paraId="20E4B674" w14:textId="01384E38" w:rsidR="000C22C8" w:rsidRPr="0007657F" w:rsidRDefault="000C22C8" w:rsidP="0007657F">
          <w:pPr>
            <w:spacing w:after="0"/>
            <w:rPr>
              <w:b/>
            </w:rPr>
          </w:pPr>
          <w:r>
            <w:rPr>
              <w:b/>
            </w:rPr>
            <w:t>Volume 3: Residential Measures</w:t>
          </w:r>
        </w:p>
        <w:p w14:paraId="26297E73" w14:textId="14C8B82C" w:rsidR="000C22C8" w:rsidRPr="00554AA1" w:rsidRDefault="000C22C8" w:rsidP="000C22C8">
          <w:pPr>
            <w:rPr>
              <w:b/>
            </w:rPr>
          </w:pPr>
          <w:r>
            <w:rPr>
              <w:b/>
            </w:rPr>
            <w:t xml:space="preserve">Volume 4: </w:t>
          </w:r>
          <w:r w:rsidR="00554AA1">
            <w:rPr>
              <w:b/>
            </w:rPr>
            <w:t xml:space="preserve">Cross-Cutting Measures </w:t>
          </w:r>
          <w:r>
            <w:rPr>
              <w:b/>
            </w:rPr>
            <w:t>and Attachments</w:t>
          </w:r>
        </w:p>
        <w:p w14:paraId="1A2ADBC0" w14:textId="77777777" w:rsidR="006336B1" w:rsidRDefault="00CC2784">
          <w:pPr>
            <w:pStyle w:val="TOC1"/>
            <w:tabs>
              <w:tab w:val="left" w:pos="400"/>
              <w:tab w:val="right" w:leader="dot" w:pos="9350"/>
            </w:tabs>
            <w:rPr>
              <w:rFonts w:eastAsiaTheme="minorEastAsia" w:cstheme="minorBidi"/>
              <w:noProof/>
              <w:sz w:val="22"/>
            </w:rPr>
          </w:pPr>
          <w:r>
            <w:fldChar w:fldCharType="begin"/>
          </w:r>
          <w:r>
            <w:instrText xml:space="preserve"> TOC \o "1-3" \h \z \u </w:instrText>
          </w:r>
          <w:r>
            <w:fldChar w:fldCharType="separate"/>
          </w:r>
          <w:hyperlink w:anchor="_Toc438191058" w:history="1">
            <w:r w:rsidR="006336B1" w:rsidRPr="0086336F">
              <w:rPr>
                <w:rStyle w:val="Hyperlink"/>
                <w:noProof/>
              </w:rPr>
              <w:t>6</w:t>
            </w:r>
            <w:r w:rsidR="006336B1">
              <w:rPr>
                <w:rFonts w:eastAsiaTheme="minorEastAsia" w:cstheme="minorBidi"/>
                <w:noProof/>
                <w:sz w:val="22"/>
              </w:rPr>
              <w:tab/>
            </w:r>
            <w:r w:rsidR="006336B1" w:rsidRPr="0086336F">
              <w:rPr>
                <w:rStyle w:val="Hyperlink"/>
                <w:noProof/>
              </w:rPr>
              <w:t>Cross Cutting Measures</w:t>
            </w:r>
            <w:r w:rsidR="006336B1">
              <w:rPr>
                <w:noProof/>
                <w:webHidden/>
              </w:rPr>
              <w:tab/>
            </w:r>
            <w:r w:rsidR="006336B1">
              <w:rPr>
                <w:noProof/>
                <w:webHidden/>
              </w:rPr>
              <w:fldChar w:fldCharType="begin"/>
            </w:r>
            <w:r w:rsidR="006336B1">
              <w:rPr>
                <w:noProof/>
                <w:webHidden/>
              </w:rPr>
              <w:instrText xml:space="preserve"> PAGEREF _Toc438191058 \h </w:instrText>
            </w:r>
            <w:r w:rsidR="006336B1">
              <w:rPr>
                <w:noProof/>
                <w:webHidden/>
              </w:rPr>
            </w:r>
            <w:r w:rsidR="006336B1">
              <w:rPr>
                <w:noProof/>
                <w:webHidden/>
              </w:rPr>
              <w:fldChar w:fldCharType="separate"/>
            </w:r>
            <w:r w:rsidR="006336B1">
              <w:rPr>
                <w:noProof/>
                <w:webHidden/>
              </w:rPr>
              <w:t>1</w:t>
            </w:r>
            <w:r w:rsidR="006336B1">
              <w:rPr>
                <w:noProof/>
                <w:webHidden/>
              </w:rPr>
              <w:fldChar w:fldCharType="end"/>
            </w:r>
          </w:hyperlink>
        </w:p>
        <w:p w14:paraId="793D0D8B" w14:textId="77777777" w:rsidR="006336B1" w:rsidRDefault="00C51BEF">
          <w:pPr>
            <w:pStyle w:val="TOC2"/>
            <w:tabs>
              <w:tab w:val="left" w:pos="880"/>
              <w:tab w:val="right" w:leader="dot" w:pos="9350"/>
            </w:tabs>
            <w:rPr>
              <w:rFonts w:eastAsiaTheme="minorEastAsia" w:cstheme="minorBidi"/>
              <w:noProof/>
              <w:sz w:val="22"/>
            </w:rPr>
          </w:pPr>
          <w:hyperlink w:anchor="_Toc438191059" w:history="1">
            <w:r w:rsidR="006336B1" w:rsidRPr="0086336F">
              <w:rPr>
                <w:rStyle w:val="Hyperlink"/>
                <w:noProof/>
              </w:rPr>
              <w:t>6.1</w:t>
            </w:r>
            <w:r w:rsidR="006336B1">
              <w:rPr>
                <w:rFonts w:eastAsiaTheme="minorEastAsia" w:cstheme="minorBidi"/>
                <w:noProof/>
                <w:sz w:val="22"/>
              </w:rPr>
              <w:tab/>
            </w:r>
            <w:r w:rsidR="006336B1" w:rsidRPr="0086336F">
              <w:rPr>
                <w:rStyle w:val="Hyperlink"/>
                <w:noProof/>
              </w:rPr>
              <w:t>Behavior</w:t>
            </w:r>
            <w:r w:rsidR="006336B1">
              <w:rPr>
                <w:noProof/>
                <w:webHidden/>
              </w:rPr>
              <w:tab/>
            </w:r>
            <w:r w:rsidR="006336B1">
              <w:rPr>
                <w:noProof/>
                <w:webHidden/>
              </w:rPr>
              <w:fldChar w:fldCharType="begin"/>
            </w:r>
            <w:r w:rsidR="006336B1">
              <w:rPr>
                <w:noProof/>
                <w:webHidden/>
              </w:rPr>
              <w:instrText xml:space="preserve"> PAGEREF _Toc438191059 \h </w:instrText>
            </w:r>
            <w:r w:rsidR="006336B1">
              <w:rPr>
                <w:noProof/>
                <w:webHidden/>
              </w:rPr>
            </w:r>
            <w:r w:rsidR="006336B1">
              <w:rPr>
                <w:noProof/>
                <w:webHidden/>
              </w:rPr>
              <w:fldChar w:fldCharType="separate"/>
            </w:r>
            <w:r w:rsidR="006336B1">
              <w:rPr>
                <w:noProof/>
                <w:webHidden/>
              </w:rPr>
              <w:t>1</w:t>
            </w:r>
            <w:r w:rsidR="006336B1">
              <w:rPr>
                <w:noProof/>
                <w:webHidden/>
              </w:rPr>
              <w:fldChar w:fldCharType="end"/>
            </w:r>
          </w:hyperlink>
        </w:p>
        <w:p w14:paraId="363D8190" w14:textId="77777777" w:rsidR="006336B1" w:rsidRDefault="00C51BEF">
          <w:pPr>
            <w:pStyle w:val="TOC3"/>
            <w:tabs>
              <w:tab w:val="left" w:pos="1100"/>
              <w:tab w:val="right" w:leader="dot" w:pos="9350"/>
            </w:tabs>
            <w:rPr>
              <w:rFonts w:eastAsiaTheme="minorEastAsia" w:cstheme="minorBidi"/>
              <w:noProof/>
              <w:sz w:val="22"/>
            </w:rPr>
          </w:pPr>
          <w:hyperlink w:anchor="_Toc438191060" w:history="1">
            <w:r w:rsidR="006336B1" w:rsidRPr="0086336F">
              <w:rPr>
                <w:rStyle w:val="Hyperlink"/>
                <w:noProof/>
              </w:rPr>
              <w:t>6.1.1</w:t>
            </w:r>
            <w:r w:rsidR="006336B1">
              <w:rPr>
                <w:rFonts w:eastAsiaTheme="minorEastAsia" w:cstheme="minorBidi"/>
                <w:noProof/>
                <w:sz w:val="22"/>
              </w:rPr>
              <w:tab/>
            </w:r>
            <w:r w:rsidR="006336B1" w:rsidRPr="0086336F">
              <w:rPr>
                <w:rStyle w:val="Hyperlink"/>
                <w:noProof/>
              </w:rPr>
              <w:t>Adjustments to Behavior Savings to Account for Persistence</w:t>
            </w:r>
            <w:r w:rsidR="006336B1">
              <w:rPr>
                <w:noProof/>
                <w:webHidden/>
              </w:rPr>
              <w:tab/>
            </w:r>
            <w:r w:rsidR="006336B1">
              <w:rPr>
                <w:noProof/>
                <w:webHidden/>
              </w:rPr>
              <w:fldChar w:fldCharType="begin"/>
            </w:r>
            <w:r w:rsidR="006336B1">
              <w:rPr>
                <w:noProof/>
                <w:webHidden/>
              </w:rPr>
              <w:instrText xml:space="preserve"> PAGEREF _Toc438191060 \h </w:instrText>
            </w:r>
            <w:r w:rsidR="006336B1">
              <w:rPr>
                <w:noProof/>
                <w:webHidden/>
              </w:rPr>
            </w:r>
            <w:r w:rsidR="006336B1">
              <w:rPr>
                <w:noProof/>
                <w:webHidden/>
              </w:rPr>
              <w:fldChar w:fldCharType="separate"/>
            </w:r>
            <w:r w:rsidR="006336B1">
              <w:rPr>
                <w:noProof/>
                <w:webHidden/>
              </w:rPr>
              <w:t>1</w:t>
            </w:r>
            <w:r w:rsidR="006336B1">
              <w:rPr>
                <w:noProof/>
                <w:webHidden/>
              </w:rPr>
              <w:fldChar w:fldCharType="end"/>
            </w:r>
          </w:hyperlink>
        </w:p>
        <w:p w14:paraId="70A032B9" w14:textId="77777777" w:rsidR="006336B1" w:rsidRDefault="00C51BEF">
          <w:pPr>
            <w:pStyle w:val="TOC1"/>
            <w:tabs>
              <w:tab w:val="right" w:leader="dot" w:pos="9350"/>
            </w:tabs>
            <w:rPr>
              <w:rFonts w:eastAsiaTheme="minorEastAsia" w:cstheme="minorBidi"/>
              <w:noProof/>
              <w:sz w:val="22"/>
            </w:rPr>
          </w:pPr>
          <w:hyperlink w:anchor="_Toc438191061" w:history="1">
            <w:r w:rsidR="006336B1" w:rsidRPr="0086336F">
              <w:rPr>
                <w:rStyle w:val="Hyperlink"/>
                <w:rFonts w:eastAsia="Franklin Gothic Book" w:cs="Arial"/>
                <w:b/>
                <w:bCs/>
                <w:noProof/>
                <w:kern w:val="36"/>
                <w:lang w:eastAsia="x-none"/>
              </w:rPr>
              <w:t>Attachment A: Illinois Statewide Net-to-Gross Methodologies</w:t>
            </w:r>
            <w:r w:rsidR="006336B1">
              <w:rPr>
                <w:noProof/>
                <w:webHidden/>
              </w:rPr>
              <w:tab/>
            </w:r>
            <w:r w:rsidR="006336B1">
              <w:rPr>
                <w:noProof/>
                <w:webHidden/>
              </w:rPr>
              <w:fldChar w:fldCharType="begin"/>
            </w:r>
            <w:r w:rsidR="006336B1">
              <w:rPr>
                <w:noProof/>
                <w:webHidden/>
              </w:rPr>
              <w:instrText xml:space="preserve"> PAGEREF _Toc438191061 \h </w:instrText>
            </w:r>
            <w:r w:rsidR="006336B1">
              <w:rPr>
                <w:noProof/>
                <w:webHidden/>
              </w:rPr>
            </w:r>
            <w:r w:rsidR="006336B1">
              <w:rPr>
                <w:noProof/>
                <w:webHidden/>
              </w:rPr>
              <w:fldChar w:fldCharType="separate"/>
            </w:r>
            <w:r w:rsidR="006336B1">
              <w:rPr>
                <w:noProof/>
                <w:webHidden/>
              </w:rPr>
              <w:t>5</w:t>
            </w:r>
            <w:r w:rsidR="006336B1">
              <w:rPr>
                <w:noProof/>
                <w:webHidden/>
              </w:rPr>
              <w:fldChar w:fldCharType="end"/>
            </w:r>
          </w:hyperlink>
        </w:p>
        <w:p w14:paraId="4CC6D300" w14:textId="77777777" w:rsidR="006336B1" w:rsidRDefault="00C51BEF">
          <w:pPr>
            <w:pStyle w:val="TOC2"/>
            <w:tabs>
              <w:tab w:val="left" w:pos="660"/>
              <w:tab w:val="right" w:leader="dot" w:pos="9350"/>
            </w:tabs>
            <w:rPr>
              <w:rFonts w:eastAsiaTheme="minorEastAsia" w:cstheme="minorBidi"/>
              <w:noProof/>
              <w:sz w:val="22"/>
            </w:rPr>
          </w:pPr>
          <w:hyperlink w:anchor="_Toc438191062" w:history="1">
            <w:r w:rsidR="006336B1" w:rsidRPr="0086336F">
              <w:rPr>
                <w:rStyle w:val="Hyperlink"/>
                <w:rFonts w:eastAsia="Franklin Gothic Book" w:cs="Arial"/>
                <w:b/>
                <w:bCs/>
                <w:noProof/>
                <w:lang w:eastAsia="x-none"/>
              </w:rPr>
              <w:t>A.</w:t>
            </w:r>
            <w:r w:rsidR="006336B1">
              <w:rPr>
                <w:rFonts w:eastAsiaTheme="minorEastAsia" w:cstheme="minorBidi"/>
                <w:noProof/>
                <w:sz w:val="22"/>
              </w:rPr>
              <w:tab/>
            </w:r>
            <w:r w:rsidR="006336B1" w:rsidRPr="0086336F">
              <w:rPr>
                <w:rStyle w:val="Hyperlink"/>
                <w:rFonts w:eastAsia="Franklin Gothic Book" w:cs="Arial"/>
                <w:b/>
                <w:bCs/>
                <w:noProof/>
                <w:lang w:eastAsia="x-none"/>
              </w:rPr>
              <w:t>Policy Context for this Information</w:t>
            </w:r>
            <w:r w:rsidR="006336B1">
              <w:rPr>
                <w:noProof/>
                <w:webHidden/>
              </w:rPr>
              <w:tab/>
            </w:r>
            <w:r w:rsidR="006336B1">
              <w:rPr>
                <w:noProof/>
                <w:webHidden/>
              </w:rPr>
              <w:fldChar w:fldCharType="begin"/>
            </w:r>
            <w:r w:rsidR="006336B1">
              <w:rPr>
                <w:noProof/>
                <w:webHidden/>
              </w:rPr>
              <w:instrText xml:space="preserve"> PAGEREF _Toc438191062 \h </w:instrText>
            </w:r>
            <w:r w:rsidR="006336B1">
              <w:rPr>
                <w:noProof/>
                <w:webHidden/>
              </w:rPr>
            </w:r>
            <w:r w:rsidR="006336B1">
              <w:rPr>
                <w:noProof/>
                <w:webHidden/>
              </w:rPr>
              <w:fldChar w:fldCharType="separate"/>
            </w:r>
            <w:r w:rsidR="006336B1">
              <w:rPr>
                <w:noProof/>
                <w:webHidden/>
              </w:rPr>
              <w:t>5</w:t>
            </w:r>
            <w:r w:rsidR="006336B1">
              <w:rPr>
                <w:noProof/>
                <w:webHidden/>
              </w:rPr>
              <w:fldChar w:fldCharType="end"/>
            </w:r>
          </w:hyperlink>
        </w:p>
        <w:p w14:paraId="02998125" w14:textId="77777777" w:rsidR="006336B1" w:rsidRDefault="00C51BEF">
          <w:pPr>
            <w:pStyle w:val="TOC2"/>
            <w:tabs>
              <w:tab w:val="left" w:pos="660"/>
              <w:tab w:val="right" w:leader="dot" w:pos="9350"/>
            </w:tabs>
            <w:rPr>
              <w:rFonts w:eastAsiaTheme="minorEastAsia" w:cstheme="minorBidi"/>
              <w:noProof/>
              <w:sz w:val="22"/>
            </w:rPr>
          </w:pPr>
          <w:hyperlink w:anchor="_Toc438191063" w:history="1">
            <w:r w:rsidR="006336B1" w:rsidRPr="0086336F">
              <w:rPr>
                <w:rStyle w:val="Hyperlink"/>
                <w:rFonts w:eastAsia="Franklin Gothic Book" w:cs="Arial"/>
                <w:b/>
                <w:bCs/>
                <w:noProof/>
                <w:lang w:eastAsia="x-none"/>
              </w:rPr>
              <w:t>B.</w:t>
            </w:r>
            <w:r w:rsidR="006336B1">
              <w:rPr>
                <w:rFonts w:eastAsiaTheme="minorEastAsia" w:cstheme="minorBidi"/>
                <w:noProof/>
                <w:sz w:val="22"/>
              </w:rPr>
              <w:tab/>
            </w:r>
            <w:r w:rsidR="006336B1" w:rsidRPr="0086336F">
              <w:rPr>
                <w:rStyle w:val="Hyperlink"/>
                <w:rFonts w:eastAsia="Franklin Gothic Book" w:cs="Arial"/>
                <w:b/>
                <w:bCs/>
                <w:noProof/>
                <w:lang w:eastAsia="x-none"/>
              </w:rPr>
              <w:t>Programs Currently Covered in this Document</w:t>
            </w:r>
            <w:r w:rsidR="006336B1">
              <w:rPr>
                <w:noProof/>
                <w:webHidden/>
              </w:rPr>
              <w:tab/>
            </w:r>
            <w:r w:rsidR="006336B1">
              <w:rPr>
                <w:noProof/>
                <w:webHidden/>
              </w:rPr>
              <w:fldChar w:fldCharType="begin"/>
            </w:r>
            <w:r w:rsidR="006336B1">
              <w:rPr>
                <w:noProof/>
                <w:webHidden/>
              </w:rPr>
              <w:instrText xml:space="preserve"> PAGEREF _Toc438191063 \h </w:instrText>
            </w:r>
            <w:r w:rsidR="006336B1">
              <w:rPr>
                <w:noProof/>
                <w:webHidden/>
              </w:rPr>
            </w:r>
            <w:r w:rsidR="006336B1">
              <w:rPr>
                <w:noProof/>
                <w:webHidden/>
              </w:rPr>
              <w:fldChar w:fldCharType="separate"/>
            </w:r>
            <w:r w:rsidR="006336B1">
              <w:rPr>
                <w:noProof/>
                <w:webHidden/>
              </w:rPr>
              <w:t>6</w:t>
            </w:r>
            <w:r w:rsidR="006336B1">
              <w:rPr>
                <w:noProof/>
                <w:webHidden/>
              </w:rPr>
              <w:fldChar w:fldCharType="end"/>
            </w:r>
          </w:hyperlink>
        </w:p>
        <w:p w14:paraId="55FC0942" w14:textId="77777777" w:rsidR="006336B1" w:rsidRDefault="00C51BEF">
          <w:pPr>
            <w:pStyle w:val="TOC2"/>
            <w:tabs>
              <w:tab w:val="left" w:pos="660"/>
              <w:tab w:val="right" w:leader="dot" w:pos="9350"/>
            </w:tabs>
            <w:rPr>
              <w:rFonts w:eastAsiaTheme="minorEastAsia" w:cstheme="minorBidi"/>
              <w:noProof/>
              <w:sz w:val="22"/>
            </w:rPr>
          </w:pPr>
          <w:hyperlink w:anchor="_Toc438191064" w:history="1">
            <w:r w:rsidR="006336B1" w:rsidRPr="0086336F">
              <w:rPr>
                <w:rStyle w:val="Hyperlink"/>
                <w:rFonts w:eastAsia="Franklin Gothic Book" w:cs="Arial"/>
                <w:b/>
                <w:bCs/>
                <w:noProof/>
                <w:lang w:eastAsia="x-none"/>
              </w:rPr>
              <w:t>C.</w:t>
            </w:r>
            <w:r w:rsidR="006336B1">
              <w:rPr>
                <w:rFonts w:eastAsiaTheme="minorEastAsia" w:cstheme="minorBidi"/>
                <w:noProof/>
                <w:sz w:val="22"/>
              </w:rPr>
              <w:tab/>
            </w:r>
            <w:r w:rsidR="006336B1" w:rsidRPr="0086336F">
              <w:rPr>
                <w:rStyle w:val="Hyperlink"/>
                <w:rFonts w:eastAsia="Franklin Gothic Book" w:cs="Arial"/>
                <w:b/>
                <w:bCs/>
                <w:noProof/>
                <w:lang w:eastAsia="x-none"/>
              </w:rPr>
              <w:t>Updating the IL-NTG Methods</w:t>
            </w:r>
            <w:r w:rsidR="006336B1">
              <w:rPr>
                <w:noProof/>
                <w:webHidden/>
              </w:rPr>
              <w:tab/>
            </w:r>
            <w:r w:rsidR="006336B1">
              <w:rPr>
                <w:noProof/>
                <w:webHidden/>
              </w:rPr>
              <w:fldChar w:fldCharType="begin"/>
            </w:r>
            <w:r w:rsidR="006336B1">
              <w:rPr>
                <w:noProof/>
                <w:webHidden/>
              </w:rPr>
              <w:instrText xml:space="preserve"> PAGEREF _Toc438191064 \h </w:instrText>
            </w:r>
            <w:r w:rsidR="006336B1">
              <w:rPr>
                <w:noProof/>
                <w:webHidden/>
              </w:rPr>
            </w:r>
            <w:r w:rsidR="006336B1">
              <w:rPr>
                <w:noProof/>
                <w:webHidden/>
              </w:rPr>
              <w:fldChar w:fldCharType="separate"/>
            </w:r>
            <w:r w:rsidR="006336B1">
              <w:rPr>
                <w:noProof/>
                <w:webHidden/>
              </w:rPr>
              <w:t>7</w:t>
            </w:r>
            <w:r w:rsidR="006336B1">
              <w:rPr>
                <w:noProof/>
                <w:webHidden/>
              </w:rPr>
              <w:fldChar w:fldCharType="end"/>
            </w:r>
          </w:hyperlink>
        </w:p>
        <w:p w14:paraId="40FC183F" w14:textId="77777777" w:rsidR="006336B1" w:rsidRDefault="00C51BEF">
          <w:pPr>
            <w:pStyle w:val="TOC2"/>
            <w:tabs>
              <w:tab w:val="left" w:pos="660"/>
              <w:tab w:val="right" w:leader="dot" w:pos="9350"/>
            </w:tabs>
            <w:rPr>
              <w:rFonts w:eastAsiaTheme="minorEastAsia" w:cstheme="minorBidi"/>
              <w:noProof/>
              <w:sz w:val="22"/>
            </w:rPr>
          </w:pPr>
          <w:hyperlink w:anchor="_Toc438191065" w:history="1">
            <w:r w:rsidR="006336B1" w:rsidRPr="0086336F">
              <w:rPr>
                <w:rStyle w:val="Hyperlink"/>
                <w:rFonts w:eastAsia="Franklin Gothic Book" w:cs="Arial"/>
                <w:b/>
                <w:bCs/>
                <w:noProof/>
                <w:lang w:eastAsia="x-none"/>
              </w:rPr>
              <w:t>D.</w:t>
            </w:r>
            <w:r w:rsidR="006336B1">
              <w:rPr>
                <w:rFonts w:eastAsiaTheme="minorEastAsia" w:cstheme="minorBidi"/>
                <w:noProof/>
                <w:sz w:val="22"/>
              </w:rPr>
              <w:tab/>
            </w:r>
            <w:r w:rsidR="006336B1" w:rsidRPr="0086336F">
              <w:rPr>
                <w:rStyle w:val="Hyperlink"/>
                <w:rFonts w:eastAsia="Franklin Gothic Book" w:cs="Arial"/>
                <w:b/>
                <w:bCs/>
                <w:noProof/>
                <w:lang w:eastAsia="x-none"/>
              </w:rPr>
              <w:t>Diverging from the IL-NTG Methods</w:t>
            </w:r>
            <w:r w:rsidR="006336B1">
              <w:rPr>
                <w:noProof/>
                <w:webHidden/>
              </w:rPr>
              <w:tab/>
            </w:r>
            <w:r w:rsidR="006336B1">
              <w:rPr>
                <w:noProof/>
                <w:webHidden/>
              </w:rPr>
              <w:fldChar w:fldCharType="begin"/>
            </w:r>
            <w:r w:rsidR="006336B1">
              <w:rPr>
                <w:noProof/>
                <w:webHidden/>
              </w:rPr>
              <w:instrText xml:space="preserve"> PAGEREF _Toc438191065 \h </w:instrText>
            </w:r>
            <w:r w:rsidR="006336B1">
              <w:rPr>
                <w:noProof/>
                <w:webHidden/>
              </w:rPr>
            </w:r>
            <w:r w:rsidR="006336B1">
              <w:rPr>
                <w:noProof/>
                <w:webHidden/>
              </w:rPr>
              <w:fldChar w:fldCharType="separate"/>
            </w:r>
            <w:r w:rsidR="006336B1">
              <w:rPr>
                <w:noProof/>
                <w:webHidden/>
              </w:rPr>
              <w:t>7</w:t>
            </w:r>
            <w:r w:rsidR="006336B1">
              <w:rPr>
                <w:noProof/>
                <w:webHidden/>
              </w:rPr>
              <w:fldChar w:fldCharType="end"/>
            </w:r>
          </w:hyperlink>
        </w:p>
        <w:p w14:paraId="223B0F9E" w14:textId="77777777" w:rsidR="006336B1" w:rsidRDefault="00C51BEF">
          <w:pPr>
            <w:pStyle w:val="TOC2"/>
            <w:tabs>
              <w:tab w:val="left" w:pos="660"/>
              <w:tab w:val="right" w:leader="dot" w:pos="9350"/>
            </w:tabs>
            <w:rPr>
              <w:rFonts w:eastAsiaTheme="minorEastAsia" w:cstheme="minorBidi"/>
              <w:noProof/>
              <w:sz w:val="22"/>
            </w:rPr>
          </w:pPr>
          <w:hyperlink w:anchor="_Toc438191066" w:history="1">
            <w:r w:rsidR="006336B1" w:rsidRPr="0086336F">
              <w:rPr>
                <w:rStyle w:val="Hyperlink"/>
                <w:rFonts w:eastAsia="Franklin Gothic Book" w:cs="Arial"/>
                <w:b/>
                <w:bCs/>
                <w:noProof/>
                <w:lang w:eastAsia="x-none"/>
              </w:rPr>
              <w:t>E.</w:t>
            </w:r>
            <w:r w:rsidR="006336B1">
              <w:rPr>
                <w:rFonts w:eastAsiaTheme="minorEastAsia" w:cstheme="minorBidi"/>
                <w:noProof/>
                <w:sz w:val="22"/>
              </w:rPr>
              <w:tab/>
            </w:r>
            <w:r w:rsidR="006336B1" w:rsidRPr="0086336F">
              <w:rPr>
                <w:rStyle w:val="Hyperlink"/>
                <w:rFonts w:eastAsia="Franklin Gothic Book" w:cs="Arial"/>
                <w:b/>
                <w:bCs/>
                <w:noProof/>
                <w:lang w:eastAsia="x-none"/>
              </w:rPr>
              <w:t>Procedure for Non-Consensus Items</w:t>
            </w:r>
            <w:r w:rsidR="006336B1">
              <w:rPr>
                <w:noProof/>
                <w:webHidden/>
              </w:rPr>
              <w:tab/>
            </w:r>
            <w:r w:rsidR="006336B1">
              <w:rPr>
                <w:noProof/>
                <w:webHidden/>
              </w:rPr>
              <w:fldChar w:fldCharType="begin"/>
            </w:r>
            <w:r w:rsidR="006336B1">
              <w:rPr>
                <w:noProof/>
                <w:webHidden/>
              </w:rPr>
              <w:instrText xml:space="preserve"> PAGEREF _Toc438191066 \h </w:instrText>
            </w:r>
            <w:r w:rsidR="006336B1">
              <w:rPr>
                <w:noProof/>
                <w:webHidden/>
              </w:rPr>
            </w:r>
            <w:r w:rsidR="006336B1">
              <w:rPr>
                <w:noProof/>
                <w:webHidden/>
              </w:rPr>
              <w:fldChar w:fldCharType="separate"/>
            </w:r>
            <w:r w:rsidR="006336B1">
              <w:rPr>
                <w:noProof/>
                <w:webHidden/>
              </w:rPr>
              <w:t>8</w:t>
            </w:r>
            <w:r w:rsidR="006336B1">
              <w:rPr>
                <w:noProof/>
                <w:webHidden/>
              </w:rPr>
              <w:fldChar w:fldCharType="end"/>
            </w:r>
          </w:hyperlink>
        </w:p>
        <w:p w14:paraId="4ED2D4FF" w14:textId="77777777" w:rsidR="006336B1" w:rsidRDefault="00C51BEF">
          <w:pPr>
            <w:pStyle w:val="TOC1"/>
            <w:tabs>
              <w:tab w:val="left" w:pos="400"/>
              <w:tab w:val="right" w:leader="dot" w:pos="9350"/>
            </w:tabs>
            <w:rPr>
              <w:rFonts w:eastAsiaTheme="minorEastAsia" w:cstheme="minorBidi"/>
              <w:noProof/>
              <w:sz w:val="22"/>
            </w:rPr>
          </w:pPr>
          <w:hyperlink w:anchor="_Toc438191067" w:history="1">
            <w:r w:rsidR="006336B1" w:rsidRPr="0086336F">
              <w:rPr>
                <w:rStyle w:val="Hyperlink"/>
                <w:rFonts w:eastAsia="Franklin Gothic Book" w:cs="Arial"/>
                <w:b/>
                <w:bCs/>
                <w:noProof/>
                <w:kern w:val="36"/>
                <w:lang w:eastAsia="x-none"/>
              </w:rPr>
              <w:t>II.</w:t>
            </w:r>
            <w:r w:rsidR="006336B1">
              <w:rPr>
                <w:rFonts w:eastAsiaTheme="minorEastAsia" w:cstheme="minorBidi"/>
                <w:noProof/>
                <w:sz w:val="22"/>
              </w:rPr>
              <w:tab/>
            </w:r>
            <w:r w:rsidR="006336B1" w:rsidRPr="0086336F">
              <w:rPr>
                <w:rStyle w:val="Hyperlink"/>
                <w:rFonts w:eastAsia="Franklin Gothic Book" w:cs="Arial"/>
                <w:b/>
                <w:bCs/>
                <w:noProof/>
                <w:kern w:val="36"/>
                <w:lang w:eastAsia="x-none"/>
              </w:rPr>
              <w:t>Attribution in Energy Efficiency Programs in General</w:t>
            </w:r>
            <w:r w:rsidR="006336B1">
              <w:rPr>
                <w:noProof/>
                <w:webHidden/>
              </w:rPr>
              <w:tab/>
            </w:r>
            <w:r w:rsidR="006336B1">
              <w:rPr>
                <w:noProof/>
                <w:webHidden/>
              </w:rPr>
              <w:fldChar w:fldCharType="begin"/>
            </w:r>
            <w:r w:rsidR="006336B1">
              <w:rPr>
                <w:noProof/>
                <w:webHidden/>
              </w:rPr>
              <w:instrText xml:space="preserve"> PAGEREF _Toc438191067 \h </w:instrText>
            </w:r>
            <w:r w:rsidR="006336B1">
              <w:rPr>
                <w:noProof/>
                <w:webHidden/>
              </w:rPr>
            </w:r>
            <w:r w:rsidR="006336B1">
              <w:rPr>
                <w:noProof/>
                <w:webHidden/>
              </w:rPr>
              <w:fldChar w:fldCharType="separate"/>
            </w:r>
            <w:r w:rsidR="006336B1">
              <w:rPr>
                <w:noProof/>
                <w:webHidden/>
              </w:rPr>
              <w:t>9</w:t>
            </w:r>
            <w:r w:rsidR="006336B1">
              <w:rPr>
                <w:noProof/>
                <w:webHidden/>
              </w:rPr>
              <w:fldChar w:fldCharType="end"/>
            </w:r>
          </w:hyperlink>
        </w:p>
        <w:p w14:paraId="0942281C" w14:textId="77777777" w:rsidR="006336B1" w:rsidRDefault="00C51BEF">
          <w:pPr>
            <w:pStyle w:val="TOC1"/>
            <w:tabs>
              <w:tab w:val="left" w:pos="660"/>
              <w:tab w:val="right" w:leader="dot" w:pos="9350"/>
            </w:tabs>
            <w:rPr>
              <w:rFonts w:eastAsiaTheme="minorEastAsia" w:cstheme="minorBidi"/>
              <w:noProof/>
              <w:sz w:val="22"/>
            </w:rPr>
          </w:pPr>
          <w:hyperlink w:anchor="_Toc438191068" w:history="1">
            <w:r w:rsidR="006336B1" w:rsidRPr="0086336F">
              <w:rPr>
                <w:rStyle w:val="Hyperlink"/>
                <w:rFonts w:eastAsia="Franklin Gothic Book" w:cs="Arial"/>
                <w:b/>
                <w:bCs/>
                <w:noProof/>
                <w:kern w:val="36"/>
                <w:lang w:eastAsia="x-none"/>
              </w:rPr>
              <w:t>III.</w:t>
            </w:r>
            <w:r w:rsidR="006336B1">
              <w:rPr>
                <w:rFonts w:eastAsiaTheme="minorEastAsia" w:cstheme="minorBidi"/>
                <w:noProof/>
                <w:sz w:val="22"/>
              </w:rPr>
              <w:tab/>
            </w:r>
            <w:r w:rsidR="006336B1" w:rsidRPr="0086336F">
              <w:rPr>
                <w:rStyle w:val="Hyperlink"/>
                <w:rFonts w:eastAsia="Franklin Gothic Book" w:cs="Arial"/>
                <w:b/>
                <w:bCs/>
                <w:noProof/>
                <w:kern w:val="36"/>
                <w:lang w:eastAsia="x-none"/>
              </w:rPr>
              <w:t>Attribution within the Commercial, Industrial, and Public Sectors</w:t>
            </w:r>
            <w:r w:rsidR="006336B1">
              <w:rPr>
                <w:noProof/>
                <w:webHidden/>
              </w:rPr>
              <w:tab/>
            </w:r>
            <w:r w:rsidR="006336B1">
              <w:rPr>
                <w:noProof/>
                <w:webHidden/>
              </w:rPr>
              <w:fldChar w:fldCharType="begin"/>
            </w:r>
            <w:r w:rsidR="006336B1">
              <w:rPr>
                <w:noProof/>
                <w:webHidden/>
              </w:rPr>
              <w:instrText xml:space="preserve"> PAGEREF _Toc438191068 \h </w:instrText>
            </w:r>
            <w:r w:rsidR="006336B1">
              <w:rPr>
                <w:noProof/>
                <w:webHidden/>
              </w:rPr>
            </w:r>
            <w:r w:rsidR="006336B1">
              <w:rPr>
                <w:noProof/>
                <w:webHidden/>
              </w:rPr>
              <w:fldChar w:fldCharType="separate"/>
            </w:r>
            <w:r w:rsidR="006336B1">
              <w:rPr>
                <w:noProof/>
                <w:webHidden/>
              </w:rPr>
              <w:t>12</w:t>
            </w:r>
            <w:r w:rsidR="006336B1">
              <w:rPr>
                <w:noProof/>
                <w:webHidden/>
              </w:rPr>
              <w:fldChar w:fldCharType="end"/>
            </w:r>
          </w:hyperlink>
        </w:p>
        <w:p w14:paraId="4A097C1C" w14:textId="77777777" w:rsidR="006336B1" w:rsidRDefault="00C51BEF">
          <w:pPr>
            <w:pStyle w:val="TOC2"/>
            <w:tabs>
              <w:tab w:val="left" w:pos="660"/>
              <w:tab w:val="right" w:leader="dot" w:pos="9350"/>
            </w:tabs>
            <w:rPr>
              <w:rFonts w:eastAsiaTheme="minorEastAsia" w:cstheme="minorBidi"/>
              <w:noProof/>
              <w:sz w:val="22"/>
            </w:rPr>
          </w:pPr>
          <w:hyperlink w:anchor="_Toc438191069" w:history="1">
            <w:r w:rsidR="006336B1" w:rsidRPr="0086336F">
              <w:rPr>
                <w:rStyle w:val="Hyperlink"/>
                <w:rFonts w:eastAsia="Franklin Gothic Book" w:cs="Arial"/>
                <w:b/>
                <w:bCs/>
                <w:noProof/>
                <w:lang w:eastAsia="x-none"/>
              </w:rPr>
              <w:t>A.</w:t>
            </w:r>
            <w:r w:rsidR="006336B1">
              <w:rPr>
                <w:rFonts w:eastAsiaTheme="minorEastAsia" w:cstheme="minorBidi"/>
                <w:noProof/>
                <w:sz w:val="22"/>
              </w:rPr>
              <w:tab/>
            </w:r>
            <w:r w:rsidR="006336B1" w:rsidRPr="0086336F">
              <w:rPr>
                <w:rStyle w:val="Hyperlink"/>
                <w:rFonts w:eastAsia="Franklin Gothic Book" w:cs="Arial"/>
                <w:b/>
                <w:bCs/>
                <w:noProof/>
                <w:lang w:eastAsia="x-none"/>
              </w:rPr>
              <w:t>Standard/Prescriptive and Custom Programs</w:t>
            </w:r>
            <w:r w:rsidR="006336B1">
              <w:rPr>
                <w:noProof/>
                <w:webHidden/>
              </w:rPr>
              <w:tab/>
            </w:r>
            <w:r w:rsidR="006336B1">
              <w:rPr>
                <w:noProof/>
                <w:webHidden/>
              </w:rPr>
              <w:fldChar w:fldCharType="begin"/>
            </w:r>
            <w:r w:rsidR="006336B1">
              <w:rPr>
                <w:noProof/>
                <w:webHidden/>
              </w:rPr>
              <w:instrText xml:space="preserve"> PAGEREF _Toc438191069 \h </w:instrText>
            </w:r>
            <w:r w:rsidR="006336B1">
              <w:rPr>
                <w:noProof/>
                <w:webHidden/>
              </w:rPr>
            </w:r>
            <w:r w:rsidR="006336B1">
              <w:rPr>
                <w:noProof/>
                <w:webHidden/>
              </w:rPr>
              <w:fldChar w:fldCharType="separate"/>
            </w:r>
            <w:r w:rsidR="006336B1">
              <w:rPr>
                <w:noProof/>
                <w:webHidden/>
              </w:rPr>
              <w:t>12</w:t>
            </w:r>
            <w:r w:rsidR="006336B1">
              <w:rPr>
                <w:noProof/>
                <w:webHidden/>
              </w:rPr>
              <w:fldChar w:fldCharType="end"/>
            </w:r>
          </w:hyperlink>
        </w:p>
        <w:p w14:paraId="68EB1204" w14:textId="77777777" w:rsidR="006336B1" w:rsidRDefault="00C51BEF">
          <w:pPr>
            <w:pStyle w:val="TOC3"/>
            <w:tabs>
              <w:tab w:val="left" w:pos="880"/>
              <w:tab w:val="right" w:leader="dot" w:pos="9350"/>
            </w:tabs>
            <w:rPr>
              <w:rFonts w:eastAsiaTheme="minorEastAsia" w:cstheme="minorBidi"/>
              <w:noProof/>
              <w:sz w:val="22"/>
            </w:rPr>
          </w:pPr>
          <w:hyperlink w:anchor="_Toc438191070" w:history="1">
            <w:r w:rsidR="006336B1" w:rsidRPr="0086336F">
              <w:rPr>
                <w:rStyle w:val="Hyperlink"/>
                <w:rFonts w:eastAsia="Franklin Gothic Book" w:cs="Arial"/>
                <w:b/>
                <w:bCs/>
                <w:noProof/>
                <w:lang w:eastAsia="x-none"/>
              </w:rPr>
              <w:t>1.</w:t>
            </w:r>
            <w:r w:rsidR="006336B1">
              <w:rPr>
                <w:rFonts w:eastAsiaTheme="minorEastAsia" w:cstheme="minorBidi"/>
                <w:noProof/>
                <w:sz w:val="22"/>
              </w:rPr>
              <w:tab/>
            </w:r>
            <w:r w:rsidR="006336B1" w:rsidRPr="0086336F">
              <w:rPr>
                <w:rStyle w:val="Hyperlink"/>
                <w:rFonts w:eastAsia="Franklin Gothic Book" w:cs="Arial"/>
                <w:b/>
                <w:bCs/>
                <w:noProof/>
                <w:lang w:eastAsia="x-none"/>
              </w:rPr>
              <w:t>Free Ridership</w:t>
            </w:r>
            <w:r w:rsidR="006336B1">
              <w:rPr>
                <w:noProof/>
                <w:webHidden/>
              </w:rPr>
              <w:tab/>
            </w:r>
            <w:r w:rsidR="006336B1">
              <w:rPr>
                <w:noProof/>
                <w:webHidden/>
              </w:rPr>
              <w:fldChar w:fldCharType="begin"/>
            </w:r>
            <w:r w:rsidR="006336B1">
              <w:rPr>
                <w:noProof/>
                <w:webHidden/>
              </w:rPr>
              <w:instrText xml:space="preserve"> PAGEREF _Toc438191070 \h </w:instrText>
            </w:r>
            <w:r w:rsidR="006336B1">
              <w:rPr>
                <w:noProof/>
                <w:webHidden/>
              </w:rPr>
            </w:r>
            <w:r w:rsidR="006336B1">
              <w:rPr>
                <w:noProof/>
                <w:webHidden/>
              </w:rPr>
              <w:fldChar w:fldCharType="separate"/>
            </w:r>
            <w:r w:rsidR="006336B1">
              <w:rPr>
                <w:noProof/>
                <w:webHidden/>
              </w:rPr>
              <w:t>12</w:t>
            </w:r>
            <w:r w:rsidR="006336B1">
              <w:rPr>
                <w:noProof/>
                <w:webHidden/>
              </w:rPr>
              <w:fldChar w:fldCharType="end"/>
            </w:r>
          </w:hyperlink>
        </w:p>
        <w:p w14:paraId="1D1F071C" w14:textId="77777777" w:rsidR="006336B1" w:rsidRDefault="00C51BEF">
          <w:pPr>
            <w:pStyle w:val="TOC3"/>
            <w:tabs>
              <w:tab w:val="left" w:pos="880"/>
              <w:tab w:val="right" w:leader="dot" w:pos="9350"/>
            </w:tabs>
            <w:rPr>
              <w:rFonts w:eastAsiaTheme="minorEastAsia" w:cstheme="minorBidi"/>
              <w:noProof/>
              <w:sz w:val="22"/>
            </w:rPr>
          </w:pPr>
          <w:hyperlink w:anchor="_Toc438191071" w:history="1">
            <w:r w:rsidR="006336B1" w:rsidRPr="0086336F">
              <w:rPr>
                <w:rStyle w:val="Hyperlink"/>
                <w:rFonts w:eastAsia="Franklin Gothic Book" w:cs="Arial"/>
                <w:b/>
                <w:bCs/>
                <w:noProof/>
                <w:lang w:eastAsia="x-none"/>
              </w:rPr>
              <w:t>2.</w:t>
            </w:r>
            <w:r w:rsidR="006336B1">
              <w:rPr>
                <w:rFonts w:eastAsiaTheme="minorEastAsia" w:cstheme="minorBidi"/>
                <w:noProof/>
                <w:sz w:val="22"/>
              </w:rPr>
              <w:tab/>
            </w:r>
            <w:r w:rsidR="006336B1" w:rsidRPr="0086336F">
              <w:rPr>
                <w:rStyle w:val="Hyperlink"/>
                <w:rFonts w:eastAsia="Franklin Gothic Book" w:cs="Arial"/>
                <w:b/>
                <w:bCs/>
                <w:noProof/>
                <w:lang w:eastAsia="x-none"/>
              </w:rPr>
              <w:t>Spillover</w:t>
            </w:r>
            <w:r w:rsidR="006336B1">
              <w:rPr>
                <w:noProof/>
                <w:webHidden/>
              </w:rPr>
              <w:tab/>
            </w:r>
            <w:r w:rsidR="006336B1">
              <w:rPr>
                <w:noProof/>
                <w:webHidden/>
              </w:rPr>
              <w:fldChar w:fldCharType="begin"/>
            </w:r>
            <w:r w:rsidR="006336B1">
              <w:rPr>
                <w:noProof/>
                <w:webHidden/>
              </w:rPr>
              <w:instrText xml:space="preserve"> PAGEREF _Toc438191071 \h </w:instrText>
            </w:r>
            <w:r w:rsidR="006336B1">
              <w:rPr>
                <w:noProof/>
                <w:webHidden/>
              </w:rPr>
            </w:r>
            <w:r w:rsidR="006336B1">
              <w:rPr>
                <w:noProof/>
                <w:webHidden/>
              </w:rPr>
              <w:fldChar w:fldCharType="separate"/>
            </w:r>
            <w:r w:rsidR="006336B1">
              <w:rPr>
                <w:noProof/>
                <w:webHidden/>
              </w:rPr>
              <w:t>13</w:t>
            </w:r>
            <w:r w:rsidR="006336B1">
              <w:rPr>
                <w:noProof/>
                <w:webHidden/>
              </w:rPr>
              <w:fldChar w:fldCharType="end"/>
            </w:r>
          </w:hyperlink>
        </w:p>
        <w:p w14:paraId="4A6086FA" w14:textId="77777777" w:rsidR="006336B1" w:rsidRDefault="00C51BEF">
          <w:pPr>
            <w:pStyle w:val="TOC1"/>
            <w:tabs>
              <w:tab w:val="left" w:pos="660"/>
              <w:tab w:val="right" w:leader="dot" w:pos="9350"/>
            </w:tabs>
            <w:rPr>
              <w:rFonts w:eastAsiaTheme="minorEastAsia" w:cstheme="minorBidi"/>
              <w:noProof/>
              <w:sz w:val="22"/>
            </w:rPr>
          </w:pPr>
          <w:hyperlink w:anchor="_Toc438191072" w:history="1">
            <w:r w:rsidR="006336B1" w:rsidRPr="0086336F">
              <w:rPr>
                <w:rStyle w:val="Hyperlink"/>
                <w:rFonts w:eastAsia="Franklin Gothic Book" w:cs="Arial"/>
                <w:b/>
                <w:bCs/>
                <w:noProof/>
                <w:kern w:val="36"/>
                <w:lang w:eastAsia="x-none"/>
              </w:rPr>
              <w:t>IV.</w:t>
            </w:r>
            <w:r w:rsidR="006336B1">
              <w:rPr>
                <w:rFonts w:eastAsiaTheme="minorEastAsia" w:cstheme="minorBidi"/>
                <w:noProof/>
                <w:sz w:val="22"/>
              </w:rPr>
              <w:tab/>
            </w:r>
            <w:r w:rsidR="006336B1" w:rsidRPr="0086336F">
              <w:rPr>
                <w:rStyle w:val="Hyperlink"/>
                <w:rFonts w:eastAsia="Franklin Gothic Book" w:cs="Arial"/>
                <w:b/>
                <w:bCs/>
                <w:noProof/>
                <w:kern w:val="36"/>
                <w:lang w:eastAsia="x-none"/>
              </w:rPr>
              <w:t>Attribution within the Residential and Low Income Sectors</w:t>
            </w:r>
            <w:r w:rsidR="006336B1">
              <w:rPr>
                <w:noProof/>
                <w:webHidden/>
              </w:rPr>
              <w:tab/>
            </w:r>
            <w:r w:rsidR="006336B1">
              <w:rPr>
                <w:noProof/>
                <w:webHidden/>
              </w:rPr>
              <w:fldChar w:fldCharType="begin"/>
            </w:r>
            <w:r w:rsidR="006336B1">
              <w:rPr>
                <w:noProof/>
                <w:webHidden/>
              </w:rPr>
              <w:instrText xml:space="preserve"> PAGEREF _Toc438191072 \h </w:instrText>
            </w:r>
            <w:r w:rsidR="006336B1">
              <w:rPr>
                <w:noProof/>
                <w:webHidden/>
              </w:rPr>
            </w:r>
            <w:r w:rsidR="006336B1">
              <w:rPr>
                <w:noProof/>
                <w:webHidden/>
              </w:rPr>
              <w:fldChar w:fldCharType="separate"/>
            </w:r>
            <w:r w:rsidR="006336B1">
              <w:rPr>
                <w:noProof/>
                <w:webHidden/>
              </w:rPr>
              <w:t>14</w:t>
            </w:r>
            <w:r w:rsidR="006336B1">
              <w:rPr>
                <w:noProof/>
                <w:webHidden/>
              </w:rPr>
              <w:fldChar w:fldCharType="end"/>
            </w:r>
          </w:hyperlink>
        </w:p>
        <w:p w14:paraId="7426FB6F" w14:textId="77777777" w:rsidR="006336B1" w:rsidRDefault="00C51BEF">
          <w:pPr>
            <w:pStyle w:val="TOC2"/>
            <w:tabs>
              <w:tab w:val="left" w:pos="660"/>
              <w:tab w:val="right" w:leader="dot" w:pos="9350"/>
            </w:tabs>
            <w:rPr>
              <w:rFonts w:eastAsiaTheme="minorEastAsia" w:cstheme="minorBidi"/>
              <w:noProof/>
              <w:sz w:val="22"/>
            </w:rPr>
          </w:pPr>
          <w:hyperlink w:anchor="_Toc438191073" w:history="1">
            <w:r w:rsidR="006336B1" w:rsidRPr="0086336F">
              <w:rPr>
                <w:rStyle w:val="Hyperlink"/>
                <w:rFonts w:eastAsia="Franklin Gothic Book" w:cs="Arial"/>
                <w:b/>
                <w:bCs/>
                <w:noProof/>
                <w:lang w:eastAsia="x-none"/>
              </w:rPr>
              <w:t>A.</w:t>
            </w:r>
            <w:r w:rsidR="006336B1">
              <w:rPr>
                <w:rFonts w:eastAsiaTheme="minorEastAsia" w:cstheme="minorBidi"/>
                <w:noProof/>
                <w:sz w:val="22"/>
              </w:rPr>
              <w:tab/>
            </w:r>
            <w:r w:rsidR="006336B1" w:rsidRPr="0086336F">
              <w:rPr>
                <w:rStyle w:val="Hyperlink"/>
                <w:rFonts w:eastAsia="Franklin Gothic Book" w:cs="Arial"/>
                <w:b/>
                <w:bCs/>
                <w:noProof/>
                <w:lang w:eastAsia="x-none"/>
              </w:rPr>
              <w:t>Appliance Recycling Programs</w:t>
            </w:r>
            <w:r w:rsidR="006336B1">
              <w:rPr>
                <w:noProof/>
                <w:webHidden/>
              </w:rPr>
              <w:tab/>
            </w:r>
            <w:r w:rsidR="006336B1">
              <w:rPr>
                <w:noProof/>
                <w:webHidden/>
              </w:rPr>
              <w:fldChar w:fldCharType="begin"/>
            </w:r>
            <w:r w:rsidR="006336B1">
              <w:rPr>
                <w:noProof/>
                <w:webHidden/>
              </w:rPr>
              <w:instrText xml:space="preserve"> PAGEREF _Toc438191073 \h </w:instrText>
            </w:r>
            <w:r w:rsidR="006336B1">
              <w:rPr>
                <w:noProof/>
                <w:webHidden/>
              </w:rPr>
            </w:r>
            <w:r w:rsidR="006336B1">
              <w:rPr>
                <w:noProof/>
                <w:webHidden/>
              </w:rPr>
              <w:fldChar w:fldCharType="separate"/>
            </w:r>
            <w:r w:rsidR="006336B1">
              <w:rPr>
                <w:noProof/>
                <w:webHidden/>
              </w:rPr>
              <w:t>14</w:t>
            </w:r>
            <w:r w:rsidR="006336B1">
              <w:rPr>
                <w:noProof/>
                <w:webHidden/>
              </w:rPr>
              <w:fldChar w:fldCharType="end"/>
            </w:r>
          </w:hyperlink>
        </w:p>
        <w:p w14:paraId="1688D0A1" w14:textId="77777777" w:rsidR="006336B1" w:rsidRDefault="00C51BEF">
          <w:pPr>
            <w:pStyle w:val="TOC3"/>
            <w:tabs>
              <w:tab w:val="left" w:pos="880"/>
              <w:tab w:val="right" w:leader="dot" w:pos="9350"/>
            </w:tabs>
            <w:rPr>
              <w:rFonts w:eastAsiaTheme="minorEastAsia" w:cstheme="minorBidi"/>
              <w:noProof/>
              <w:sz w:val="22"/>
            </w:rPr>
          </w:pPr>
          <w:hyperlink w:anchor="_Toc438191074" w:history="1">
            <w:r w:rsidR="006336B1" w:rsidRPr="0086336F">
              <w:rPr>
                <w:rStyle w:val="Hyperlink"/>
                <w:rFonts w:eastAsia="Franklin Gothic Book" w:cs="Arial"/>
                <w:b/>
                <w:bCs/>
                <w:noProof/>
                <w:lang w:eastAsia="x-none"/>
              </w:rPr>
              <w:t>1.</w:t>
            </w:r>
            <w:r w:rsidR="006336B1">
              <w:rPr>
                <w:rFonts w:eastAsiaTheme="minorEastAsia" w:cstheme="minorBidi"/>
                <w:noProof/>
                <w:sz w:val="22"/>
              </w:rPr>
              <w:tab/>
            </w:r>
            <w:r w:rsidR="006336B1" w:rsidRPr="0086336F">
              <w:rPr>
                <w:rStyle w:val="Hyperlink"/>
                <w:rFonts w:eastAsia="Franklin Gothic Book" w:cs="Arial"/>
                <w:b/>
                <w:bCs/>
                <w:noProof/>
                <w:lang w:eastAsia="x-none"/>
              </w:rPr>
              <w:t>Free Ridership</w:t>
            </w:r>
            <w:r w:rsidR="006336B1">
              <w:rPr>
                <w:noProof/>
                <w:webHidden/>
              </w:rPr>
              <w:tab/>
            </w:r>
            <w:r w:rsidR="006336B1">
              <w:rPr>
                <w:noProof/>
                <w:webHidden/>
              </w:rPr>
              <w:fldChar w:fldCharType="begin"/>
            </w:r>
            <w:r w:rsidR="006336B1">
              <w:rPr>
                <w:noProof/>
                <w:webHidden/>
              </w:rPr>
              <w:instrText xml:space="preserve"> PAGEREF _Toc438191074 \h </w:instrText>
            </w:r>
            <w:r w:rsidR="006336B1">
              <w:rPr>
                <w:noProof/>
                <w:webHidden/>
              </w:rPr>
            </w:r>
            <w:r w:rsidR="006336B1">
              <w:rPr>
                <w:noProof/>
                <w:webHidden/>
              </w:rPr>
              <w:fldChar w:fldCharType="separate"/>
            </w:r>
            <w:r w:rsidR="006336B1">
              <w:rPr>
                <w:noProof/>
                <w:webHidden/>
              </w:rPr>
              <w:t>14</w:t>
            </w:r>
            <w:r w:rsidR="006336B1">
              <w:rPr>
                <w:noProof/>
                <w:webHidden/>
              </w:rPr>
              <w:fldChar w:fldCharType="end"/>
            </w:r>
          </w:hyperlink>
        </w:p>
        <w:p w14:paraId="19B87B58" w14:textId="77777777" w:rsidR="006336B1" w:rsidRDefault="00C51BEF">
          <w:pPr>
            <w:pStyle w:val="TOC3"/>
            <w:tabs>
              <w:tab w:val="left" w:pos="880"/>
              <w:tab w:val="right" w:leader="dot" w:pos="9350"/>
            </w:tabs>
            <w:rPr>
              <w:rFonts w:eastAsiaTheme="minorEastAsia" w:cstheme="minorBidi"/>
              <w:noProof/>
              <w:sz w:val="22"/>
            </w:rPr>
          </w:pPr>
          <w:hyperlink w:anchor="_Toc438191075" w:history="1">
            <w:r w:rsidR="006336B1" w:rsidRPr="0086336F">
              <w:rPr>
                <w:rStyle w:val="Hyperlink"/>
                <w:rFonts w:eastAsia="Franklin Gothic Book" w:cs="Arial"/>
                <w:b/>
                <w:bCs/>
                <w:noProof/>
                <w:lang w:eastAsia="x-none"/>
              </w:rPr>
              <w:t>2.</w:t>
            </w:r>
            <w:r w:rsidR="006336B1">
              <w:rPr>
                <w:rFonts w:eastAsiaTheme="minorEastAsia" w:cstheme="minorBidi"/>
                <w:noProof/>
                <w:sz w:val="22"/>
              </w:rPr>
              <w:tab/>
            </w:r>
            <w:r w:rsidR="006336B1" w:rsidRPr="0086336F">
              <w:rPr>
                <w:rStyle w:val="Hyperlink"/>
                <w:rFonts w:eastAsia="Franklin Gothic Book" w:cs="Arial"/>
                <w:b/>
                <w:bCs/>
                <w:noProof/>
                <w:lang w:eastAsia="x-none"/>
              </w:rPr>
              <w:t>Secondary Market Impacts</w:t>
            </w:r>
            <w:r w:rsidR="006336B1">
              <w:rPr>
                <w:noProof/>
                <w:webHidden/>
              </w:rPr>
              <w:tab/>
            </w:r>
            <w:r w:rsidR="006336B1">
              <w:rPr>
                <w:noProof/>
                <w:webHidden/>
              </w:rPr>
              <w:fldChar w:fldCharType="begin"/>
            </w:r>
            <w:r w:rsidR="006336B1">
              <w:rPr>
                <w:noProof/>
                <w:webHidden/>
              </w:rPr>
              <w:instrText xml:space="preserve"> PAGEREF _Toc438191075 \h </w:instrText>
            </w:r>
            <w:r w:rsidR="006336B1">
              <w:rPr>
                <w:noProof/>
                <w:webHidden/>
              </w:rPr>
            </w:r>
            <w:r w:rsidR="006336B1">
              <w:rPr>
                <w:noProof/>
                <w:webHidden/>
              </w:rPr>
              <w:fldChar w:fldCharType="separate"/>
            </w:r>
            <w:r w:rsidR="006336B1">
              <w:rPr>
                <w:noProof/>
                <w:webHidden/>
              </w:rPr>
              <w:t>16</w:t>
            </w:r>
            <w:r w:rsidR="006336B1">
              <w:rPr>
                <w:noProof/>
                <w:webHidden/>
              </w:rPr>
              <w:fldChar w:fldCharType="end"/>
            </w:r>
          </w:hyperlink>
        </w:p>
        <w:p w14:paraId="5560A40D" w14:textId="77777777" w:rsidR="006336B1" w:rsidRDefault="00C51BEF">
          <w:pPr>
            <w:pStyle w:val="TOC3"/>
            <w:tabs>
              <w:tab w:val="left" w:pos="880"/>
              <w:tab w:val="right" w:leader="dot" w:pos="9350"/>
            </w:tabs>
            <w:rPr>
              <w:rFonts w:eastAsiaTheme="minorEastAsia" w:cstheme="minorBidi"/>
              <w:noProof/>
              <w:sz w:val="22"/>
            </w:rPr>
          </w:pPr>
          <w:hyperlink w:anchor="_Toc438191076" w:history="1">
            <w:r w:rsidR="006336B1" w:rsidRPr="0086336F">
              <w:rPr>
                <w:rStyle w:val="Hyperlink"/>
                <w:rFonts w:eastAsia="Franklin Gothic Book" w:cs="Arial"/>
                <w:b/>
                <w:bCs/>
                <w:noProof/>
                <w:lang w:eastAsia="x-none"/>
              </w:rPr>
              <w:t>3.</w:t>
            </w:r>
            <w:r w:rsidR="006336B1">
              <w:rPr>
                <w:rFonts w:eastAsiaTheme="minorEastAsia" w:cstheme="minorBidi"/>
                <w:noProof/>
                <w:sz w:val="22"/>
              </w:rPr>
              <w:tab/>
            </w:r>
            <w:r w:rsidR="006336B1" w:rsidRPr="0086336F">
              <w:rPr>
                <w:rStyle w:val="Hyperlink"/>
                <w:rFonts w:eastAsia="Franklin Gothic Book" w:cs="Arial"/>
                <w:b/>
                <w:bCs/>
                <w:noProof/>
                <w:lang w:eastAsia="x-none"/>
              </w:rPr>
              <w:t>Induced Replacement</w:t>
            </w:r>
            <w:r w:rsidR="006336B1">
              <w:rPr>
                <w:noProof/>
                <w:webHidden/>
              </w:rPr>
              <w:tab/>
            </w:r>
            <w:r w:rsidR="006336B1">
              <w:rPr>
                <w:noProof/>
                <w:webHidden/>
              </w:rPr>
              <w:fldChar w:fldCharType="begin"/>
            </w:r>
            <w:r w:rsidR="006336B1">
              <w:rPr>
                <w:noProof/>
                <w:webHidden/>
              </w:rPr>
              <w:instrText xml:space="preserve"> PAGEREF _Toc438191076 \h </w:instrText>
            </w:r>
            <w:r w:rsidR="006336B1">
              <w:rPr>
                <w:noProof/>
                <w:webHidden/>
              </w:rPr>
            </w:r>
            <w:r w:rsidR="006336B1">
              <w:rPr>
                <w:noProof/>
                <w:webHidden/>
              </w:rPr>
              <w:fldChar w:fldCharType="separate"/>
            </w:r>
            <w:r w:rsidR="006336B1">
              <w:rPr>
                <w:noProof/>
                <w:webHidden/>
              </w:rPr>
              <w:t>17</w:t>
            </w:r>
            <w:r w:rsidR="006336B1">
              <w:rPr>
                <w:noProof/>
                <w:webHidden/>
              </w:rPr>
              <w:fldChar w:fldCharType="end"/>
            </w:r>
          </w:hyperlink>
        </w:p>
        <w:p w14:paraId="778272B1" w14:textId="77777777" w:rsidR="006336B1" w:rsidRDefault="00C51BEF">
          <w:pPr>
            <w:pStyle w:val="TOC3"/>
            <w:tabs>
              <w:tab w:val="left" w:pos="880"/>
              <w:tab w:val="right" w:leader="dot" w:pos="9350"/>
            </w:tabs>
            <w:rPr>
              <w:rFonts w:eastAsiaTheme="minorEastAsia" w:cstheme="minorBidi"/>
              <w:noProof/>
              <w:sz w:val="22"/>
            </w:rPr>
          </w:pPr>
          <w:hyperlink w:anchor="_Toc438191077" w:history="1">
            <w:r w:rsidR="006336B1" w:rsidRPr="0086336F">
              <w:rPr>
                <w:rStyle w:val="Hyperlink"/>
                <w:rFonts w:eastAsia="Franklin Gothic Book" w:cs="Arial"/>
                <w:b/>
                <w:bCs/>
                <w:noProof/>
                <w:lang w:eastAsia="x-none"/>
              </w:rPr>
              <w:t>4.</w:t>
            </w:r>
            <w:r w:rsidR="006336B1">
              <w:rPr>
                <w:rFonts w:eastAsiaTheme="minorEastAsia" w:cstheme="minorBidi"/>
                <w:noProof/>
                <w:sz w:val="22"/>
              </w:rPr>
              <w:tab/>
            </w:r>
            <w:r w:rsidR="006336B1" w:rsidRPr="0086336F">
              <w:rPr>
                <w:rStyle w:val="Hyperlink"/>
                <w:rFonts w:eastAsia="Franklin Gothic Book" w:cs="Arial"/>
                <w:b/>
                <w:bCs/>
                <w:noProof/>
                <w:lang w:eastAsia="x-none"/>
              </w:rPr>
              <w:t>Integrating Free Ridership, Secondary Market Impacts, and Induced Replacement</w:t>
            </w:r>
            <w:r w:rsidR="006336B1">
              <w:rPr>
                <w:noProof/>
                <w:webHidden/>
              </w:rPr>
              <w:tab/>
            </w:r>
            <w:r w:rsidR="006336B1">
              <w:rPr>
                <w:noProof/>
                <w:webHidden/>
              </w:rPr>
              <w:fldChar w:fldCharType="begin"/>
            </w:r>
            <w:r w:rsidR="006336B1">
              <w:rPr>
                <w:noProof/>
                <w:webHidden/>
              </w:rPr>
              <w:instrText xml:space="preserve"> PAGEREF _Toc438191077 \h </w:instrText>
            </w:r>
            <w:r w:rsidR="006336B1">
              <w:rPr>
                <w:noProof/>
                <w:webHidden/>
              </w:rPr>
            </w:r>
            <w:r w:rsidR="006336B1">
              <w:rPr>
                <w:noProof/>
                <w:webHidden/>
              </w:rPr>
              <w:fldChar w:fldCharType="separate"/>
            </w:r>
            <w:r w:rsidR="006336B1">
              <w:rPr>
                <w:noProof/>
                <w:webHidden/>
              </w:rPr>
              <w:t>18</w:t>
            </w:r>
            <w:r w:rsidR="006336B1">
              <w:rPr>
                <w:noProof/>
                <w:webHidden/>
              </w:rPr>
              <w:fldChar w:fldCharType="end"/>
            </w:r>
          </w:hyperlink>
        </w:p>
        <w:p w14:paraId="6276E6B0" w14:textId="77777777" w:rsidR="006336B1" w:rsidRDefault="00C51BEF">
          <w:pPr>
            <w:pStyle w:val="TOC3"/>
            <w:tabs>
              <w:tab w:val="left" w:pos="880"/>
              <w:tab w:val="right" w:leader="dot" w:pos="9350"/>
            </w:tabs>
            <w:rPr>
              <w:rFonts w:eastAsiaTheme="minorEastAsia" w:cstheme="minorBidi"/>
              <w:noProof/>
              <w:sz w:val="22"/>
            </w:rPr>
          </w:pPr>
          <w:hyperlink w:anchor="_Toc438191078" w:history="1">
            <w:r w:rsidR="006336B1" w:rsidRPr="0086336F">
              <w:rPr>
                <w:rStyle w:val="Hyperlink"/>
                <w:rFonts w:eastAsia="Franklin Gothic Book" w:cs="Arial"/>
                <w:b/>
                <w:bCs/>
                <w:noProof/>
                <w:lang w:eastAsia="x-none"/>
              </w:rPr>
              <w:t>5.</w:t>
            </w:r>
            <w:r w:rsidR="006336B1">
              <w:rPr>
                <w:rFonts w:eastAsiaTheme="minorEastAsia" w:cstheme="minorBidi"/>
                <w:noProof/>
                <w:sz w:val="22"/>
              </w:rPr>
              <w:tab/>
            </w:r>
            <w:r w:rsidR="006336B1" w:rsidRPr="0086336F">
              <w:rPr>
                <w:rStyle w:val="Hyperlink"/>
                <w:rFonts w:eastAsia="Franklin Gothic Book" w:cs="Arial"/>
                <w:b/>
                <w:bCs/>
                <w:noProof/>
                <w:lang w:eastAsia="x-none"/>
              </w:rPr>
              <w:t>Participant Spillover</w:t>
            </w:r>
            <w:r w:rsidR="006336B1">
              <w:rPr>
                <w:noProof/>
                <w:webHidden/>
              </w:rPr>
              <w:tab/>
            </w:r>
            <w:r w:rsidR="006336B1">
              <w:rPr>
                <w:noProof/>
                <w:webHidden/>
              </w:rPr>
              <w:fldChar w:fldCharType="begin"/>
            </w:r>
            <w:r w:rsidR="006336B1">
              <w:rPr>
                <w:noProof/>
                <w:webHidden/>
              </w:rPr>
              <w:instrText xml:space="preserve"> PAGEREF _Toc438191078 \h </w:instrText>
            </w:r>
            <w:r w:rsidR="006336B1">
              <w:rPr>
                <w:noProof/>
                <w:webHidden/>
              </w:rPr>
            </w:r>
            <w:r w:rsidR="006336B1">
              <w:rPr>
                <w:noProof/>
                <w:webHidden/>
              </w:rPr>
              <w:fldChar w:fldCharType="separate"/>
            </w:r>
            <w:r w:rsidR="006336B1">
              <w:rPr>
                <w:noProof/>
                <w:webHidden/>
              </w:rPr>
              <w:t>20</w:t>
            </w:r>
            <w:r w:rsidR="006336B1">
              <w:rPr>
                <w:noProof/>
                <w:webHidden/>
              </w:rPr>
              <w:fldChar w:fldCharType="end"/>
            </w:r>
          </w:hyperlink>
        </w:p>
        <w:p w14:paraId="067CC77B" w14:textId="77777777" w:rsidR="006336B1" w:rsidRDefault="00C51BEF">
          <w:pPr>
            <w:pStyle w:val="TOC3"/>
            <w:tabs>
              <w:tab w:val="left" w:pos="880"/>
              <w:tab w:val="right" w:leader="dot" w:pos="9350"/>
            </w:tabs>
            <w:rPr>
              <w:rFonts w:eastAsiaTheme="minorEastAsia" w:cstheme="minorBidi"/>
              <w:noProof/>
              <w:sz w:val="22"/>
            </w:rPr>
          </w:pPr>
          <w:hyperlink w:anchor="_Toc438191079" w:history="1">
            <w:r w:rsidR="006336B1" w:rsidRPr="0086336F">
              <w:rPr>
                <w:rStyle w:val="Hyperlink"/>
                <w:rFonts w:eastAsia="Franklin Gothic Book" w:cs="Arial"/>
                <w:b/>
                <w:bCs/>
                <w:noProof/>
                <w:lang w:eastAsia="x-none"/>
              </w:rPr>
              <w:t>6.</w:t>
            </w:r>
            <w:r w:rsidR="006336B1">
              <w:rPr>
                <w:rFonts w:eastAsiaTheme="minorEastAsia" w:cstheme="minorBidi"/>
                <w:noProof/>
                <w:sz w:val="22"/>
              </w:rPr>
              <w:tab/>
            </w:r>
            <w:r w:rsidR="006336B1" w:rsidRPr="0086336F">
              <w:rPr>
                <w:rStyle w:val="Hyperlink"/>
                <w:rFonts w:eastAsia="Franklin Gothic Book" w:cs="Arial"/>
                <w:b/>
                <w:bCs/>
                <w:noProof/>
                <w:lang w:eastAsia="x-none"/>
              </w:rPr>
              <w:t>Nonparticipan</w:t>
            </w:r>
            <w:r w:rsidR="006336B1" w:rsidRPr="0086336F">
              <w:rPr>
                <w:rStyle w:val="Hyperlink"/>
                <w:rFonts w:eastAsia="Franklin Gothic Book" w:cs="Arial"/>
                <w:noProof/>
                <w:lang w:eastAsia="x-none"/>
              </w:rPr>
              <w:t>t</w:t>
            </w:r>
            <w:r w:rsidR="006336B1" w:rsidRPr="0086336F">
              <w:rPr>
                <w:rStyle w:val="Hyperlink"/>
                <w:rFonts w:eastAsia="Franklin Gothic Book" w:cs="Arial"/>
                <w:b/>
                <w:bCs/>
                <w:noProof/>
                <w:lang w:eastAsia="x-none"/>
              </w:rPr>
              <w:t xml:space="preserve"> Spillover</w:t>
            </w:r>
            <w:r w:rsidR="006336B1">
              <w:rPr>
                <w:noProof/>
                <w:webHidden/>
              </w:rPr>
              <w:tab/>
            </w:r>
            <w:r w:rsidR="006336B1">
              <w:rPr>
                <w:noProof/>
                <w:webHidden/>
              </w:rPr>
              <w:fldChar w:fldCharType="begin"/>
            </w:r>
            <w:r w:rsidR="006336B1">
              <w:rPr>
                <w:noProof/>
                <w:webHidden/>
              </w:rPr>
              <w:instrText xml:space="preserve"> PAGEREF _Toc438191079 \h </w:instrText>
            </w:r>
            <w:r w:rsidR="006336B1">
              <w:rPr>
                <w:noProof/>
                <w:webHidden/>
              </w:rPr>
            </w:r>
            <w:r w:rsidR="006336B1">
              <w:rPr>
                <w:noProof/>
                <w:webHidden/>
              </w:rPr>
              <w:fldChar w:fldCharType="separate"/>
            </w:r>
            <w:r w:rsidR="006336B1">
              <w:rPr>
                <w:noProof/>
                <w:webHidden/>
              </w:rPr>
              <w:t>20</w:t>
            </w:r>
            <w:r w:rsidR="006336B1">
              <w:rPr>
                <w:noProof/>
                <w:webHidden/>
              </w:rPr>
              <w:fldChar w:fldCharType="end"/>
            </w:r>
          </w:hyperlink>
        </w:p>
        <w:p w14:paraId="7BFD6F7B" w14:textId="77777777" w:rsidR="006336B1" w:rsidRDefault="00C51BEF">
          <w:pPr>
            <w:pStyle w:val="TOC2"/>
            <w:tabs>
              <w:tab w:val="left" w:pos="660"/>
              <w:tab w:val="right" w:leader="dot" w:pos="9350"/>
            </w:tabs>
            <w:rPr>
              <w:rFonts w:eastAsiaTheme="minorEastAsia" w:cstheme="minorBidi"/>
              <w:noProof/>
              <w:sz w:val="22"/>
            </w:rPr>
          </w:pPr>
          <w:hyperlink w:anchor="_Toc438191080" w:history="1">
            <w:r w:rsidR="006336B1" w:rsidRPr="0086336F">
              <w:rPr>
                <w:rStyle w:val="Hyperlink"/>
                <w:rFonts w:eastAsia="Franklin Gothic Book" w:cs="Arial"/>
                <w:b/>
                <w:bCs/>
                <w:noProof/>
                <w:lang w:eastAsia="x-none"/>
              </w:rPr>
              <w:t>B.</w:t>
            </w:r>
            <w:r w:rsidR="006336B1">
              <w:rPr>
                <w:rFonts w:eastAsiaTheme="minorEastAsia" w:cstheme="minorBidi"/>
                <w:noProof/>
                <w:sz w:val="22"/>
              </w:rPr>
              <w:tab/>
            </w:r>
            <w:r w:rsidR="006336B1" w:rsidRPr="0086336F">
              <w:rPr>
                <w:rStyle w:val="Hyperlink"/>
                <w:rFonts w:eastAsia="Franklin Gothic Book" w:cs="Arial"/>
                <w:b/>
                <w:bCs/>
                <w:noProof/>
                <w:lang w:eastAsia="x-none"/>
              </w:rPr>
              <w:t>Residential Upstream Lighting Programs</w:t>
            </w:r>
            <w:r w:rsidR="006336B1">
              <w:rPr>
                <w:noProof/>
                <w:webHidden/>
              </w:rPr>
              <w:tab/>
            </w:r>
            <w:r w:rsidR="006336B1">
              <w:rPr>
                <w:noProof/>
                <w:webHidden/>
              </w:rPr>
              <w:fldChar w:fldCharType="begin"/>
            </w:r>
            <w:r w:rsidR="006336B1">
              <w:rPr>
                <w:noProof/>
                <w:webHidden/>
              </w:rPr>
              <w:instrText xml:space="preserve"> PAGEREF _Toc438191080 \h </w:instrText>
            </w:r>
            <w:r w:rsidR="006336B1">
              <w:rPr>
                <w:noProof/>
                <w:webHidden/>
              </w:rPr>
            </w:r>
            <w:r w:rsidR="006336B1">
              <w:rPr>
                <w:noProof/>
                <w:webHidden/>
              </w:rPr>
              <w:fldChar w:fldCharType="separate"/>
            </w:r>
            <w:r w:rsidR="006336B1">
              <w:rPr>
                <w:noProof/>
                <w:webHidden/>
              </w:rPr>
              <w:t>21</w:t>
            </w:r>
            <w:r w:rsidR="006336B1">
              <w:rPr>
                <w:noProof/>
                <w:webHidden/>
              </w:rPr>
              <w:fldChar w:fldCharType="end"/>
            </w:r>
          </w:hyperlink>
        </w:p>
        <w:p w14:paraId="44AAAB8F" w14:textId="77777777" w:rsidR="006336B1" w:rsidRDefault="00C51BEF">
          <w:pPr>
            <w:pStyle w:val="TOC3"/>
            <w:tabs>
              <w:tab w:val="left" w:pos="880"/>
              <w:tab w:val="right" w:leader="dot" w:pos="9350"/>
            </w:tabs>
            <w:rPr>
              <w:rFonts w:eastAsiaTheme="minorEastAsia" w:cstheme="minorBidi"/>
              <w:noProof/>
              <w:sz w:val="22"/>
            </w:rPr>
          </w:pPr>
          <w:hyperlink w:anchor="_Toc438191081" w:history="1">
            <w:r w:rsidR="006336B1" w:rsidRPr="0086336F">
              <w:rPr>
                <w:rStyle w:val="Hyperlink"/>
                <w:rFonts w:eastAsia="Franklin Gothic Book" w:cs="Arial"/>
                <w:b/>
                <w:bCs/>
                <w:noProof/>
                <w:lang w:eastAsia="x-none"/>
              </w:rPr>
              <w:t>1.</w:t>
            </w:r>
            <w:r w:rsidR="006336B1">
              <w:rPr>
                <w:rFonts w:eastAsiaTheme="minorEastAsia" w:cstheme="minorBidi"/>
                <w:noProof/>
                <w:sz w:val="22"/>
              </w:rPr>
              <w:tab/>
            </w:r>
            <w:r w:rsidR="006336B1" w:rsidRPr="0086336F">
              <w:rPr>
                <w:rStyle w:val="Hyperlink"/>
                <w:rFonts w:eastAsia="Franklin Gothic Book" w:cs="Arial"/>
                <w:b/>
                <w:bCs/>
                <w:noProof/>
                <w:lang w:eastAsia="x-none"/>
              </w:rPr>
              <w:t>Free Ridership</w:t>
            </w:r>
            <w:r w:rsidR="006336B1">
              <w:rPr>
                <w:noProof/>
                <w:webHidden/>
              </w:rPr>
              <w:tab/>
            </w:r>
            <w:r w:rsidR="006336B1">
              <w:rPr>
                <w:noProof/>
                <w:webHidden/>
              </w:rPr>
              <w:fldChar w:fldCharType="begin"/>
            </w:r>
            <w:r w:rsidR="006336B1">
              <w:rPr>
                <w:noProof/>
                <w:webHidden/>
              </w:rPr>
              <w:instrText xml:space="preserve"> PAGEREF _Toc438191081 \h </w:instrText>
            </w:r>
            <w:r w:rsidR="006336B1">
              <w:rPr>
                <w:noProof/>
                <w:webHidden/>
              </w:rPr>
            </w:r>
            <w:r w:rsidR="006336B1">
              <w:rPr>
                <w:noProof/>
                <w:webHidden/>
              </w:rPr>
              <w:fldChar w:fldCharType="separate"/>
            </w:r>
            <w:r w:rsidR="006336B1">
              <w:rPr>
                <w:noProof/>
                <w:webHidden/>
              </w:rPr>
              <w:t>21</w:t>
            </w:r>
            <w:r w:rsidR="006336B1">
              <w:rPr>
                <w:noProof/>
                <w:webHidden/>
              </w:rPr>
              <w:fldChar w:fldCharType="end"/>
            </w:r>
          </w:hyperlink>
        </w:p>
        <w:p w14:paraId="628459C0" w14:textId="77777777" w:rsidR="006336B1" w:rsidRDefault="00C51BEF">
          <w:pPr>
            <w:pStyle w:val="TOC3"/>
            <w:tabs>
              <w:tab w:val="left" w:pos="880"/>
              <w:tab w:val="right" w:leader="dot" w:pos="9350"/>
            </w:tabs>
            <w:rPr>
              <w:rFonts w:eastAsiaTheme="minorEastAsia" w:cstheme="minorBidi"/>
              <w:noProof/>
              <w:sz w:val="22"/>
            </w:rPr>
          </w:pPr>
          <w:hyperlink w:anchor="_Toc438191082" w:history="1">
            <w:r w:rsidR="006336B1" w:rsidRPr="0086336F">
              <w:rPr>
                <w:rStyle w:val="Hyperlink"/>
                <w:rFonts w:eastAsia="Franklin Gothic Book" w:cs="Arial"/>
                <w:b/>
                <w:bCs/>
                <w:noProof/>
                <w:lang w:eastAsia="x-none"/>
              </w:rPr>
              <w:t>2.</w:t>
            </w:r>
            <w:r w:rsidR="006336B1">
              <w:rPr>
                <w:rFonts w:eastAsiaTheme="minorEastAsia" w:cstheme="minorBidi"/>
                <w:noProof/>
                <w:sz w:val="22"/>
              </w:rPr>
              <w:tab/>
            </w:r>
            <w:r w:rsidR="006336B1" w:rsidRPr="0086336F">
              <w:rPr>
                <w:rStyle w:val="Hyperlink"/>
                <w:rFonts w:eastAsia="Franklin Gothic Book" w:cs="Arial"/>
                <w:b/>
                <w:bCs/>
                <w:noProof/>
                <w:lang w:eastAsia="x-none"/>
              </w:rPr>
              <w:t>Participant Spillover</w:t>
            </w:r>
            <w:r w:rsidR="006336B1">
              <w:rPr>
                <w:noProof/>
                <w:webHidden/>
              </w:rPr>
              <w:tab/>
            </w:r>
            <w:r w:rsidR="006336B1">
              <w:rPr>
                <w:noProof/>
                <w:webHidden/>
              </w:rPr>
              <w:fldChar w:fldCharType="begin"/>
            </w:r>
            <w:r w:rsidR="006336B1">
              <w:rPr>
                <w:noProof/>
                <w:webHidden/>
              </w:rPr>
              <w:instrText xml:space="preserve"> PAGEREF _Toc438191082 \h </w:instrText>
            </w:r>
            <w:r w:rsidR="006336B1">
              <w:rPr>
                <w:noProof/>
                <w:webHidden/>
              </w:rPr>
            </w:r>
            <w:r w:rsidR="006336B1">
              <w:rPr>
                <w:noProof/>
                <w:webHidden/>
              </w:rPr>
              <w:fldChar w:fldCharType="separate"/>
            </w:r>
            <w:r w:rsidR="006336B1">
              <w:rPr>
                <w:noProof/>
                <w:webHidden/>
              </w:rPr>
              <w:t>23</w:t>
            </w:r>
            <w:r w:rsidR="006336B1">
              <w:rPr>
                <w:noProof/>
                <w:webHidden/>
              </w:rPr>
              <w:fldChar w:fldCharType="end"/>
            </w:r>
          </w:hyperlink>
        </w:p>
        <w:p w14:paraId="0A73FB90" w14:textId="77777777" w:rsidR="006336B1" w:rsidRDefault="00C51BEF">
          <w:pPr>
            <w:pStyle w:val="TOC3"/>
            <w:tabs>
              <w:tab w:val="left" w:pos="880"/>
              <w:tab w:val="right" w:leader="dot" w:pos="9350"/>
            </w:tabs>
            <w:rPr>
              <w:rFonts w:eastAsiaTheme="minorEastAsia" w:cstheme="minorBidi"/>
              <w:noProof/>
              <w:sz w:val="22"/>
            </w:rPr>
          </w:pPr>
          <w:hyperlink w:anchor="_Toc438191083" w:history="1">
            <w:r w:rsidR="006336B1" w:rsidRPr="0086336F">
              <w:rPr>
                <w:rStyle w:val="Hyperlink"/>
                <w:rFonts w:eastAsia="Franklin Gothic Book" w:cs="Arial"/>
                <w:b/>
                <w:bCs/>
                <w:noProof/>
                <w:lang w:eastAsia="x-none"/>
              </w:rPr>
              <w:t>3.</w:t>
            </w:r>
            <w:r w:rsidR="006336B1">
              <w:rPr>
                <w:rFonts w:eastAsiaTheme="minorEastAsia" w:cstheme="minorBidi"/>
                <w:noProof/>
                <w:sz w:val="22"/>
              </w:rPr>
              <w:tab/>
            </w:r>
            <w:r w:rsidR="006336B1" w:rsidRPr="0086336F">
              <w:rPr>
                <w:rStyle w:val="Hyperlink"/>
                <w:rFonts w:eastAsia="Franklin Gothic Book" w:cs="Arial"/>
                <w:b/>
                <w:bCs/>
                <w:noProof/>
                <w:lang w:eastAsia="x-none"/>
              </w:rPr>
              <w:t>Nonparticipant Spillover</w:t>
            </w:r>
            <w:r w:rsidR="006336B1">
              <w:rPr>
                <w:noProof/>
                <w:webHidden/>
              </w:rPr>
              <w:tab/>
            </w:r>
            <w:r w:rsidR="006336B1">
              <w:rPr>
                <w:noProof/>
                <w:webHidden/>
              </w:rPr>
              <w:fldChar w:fldCharType="begin"/>
            </w:r>
            <w:r w:rsidR="006336B1">
              <w:rPr>
                <w:noProof/>
                <w:webHidden/>
              </w:rPr>
              <w:instrText xml:space="preserve"> PAGEREF _Toc438191083 \h </w:instrText>
            </w:r>
            <w:r w:rsidR="006336B1">
              <w:rPr>
                <w:noProof/>
                <w:webHidden/>
              </w:rPr>
            </w:r>
            <w:r w:rsidR="006336B1">
              <w:rPr>
                <w:noProof/>
                <w:webHidden/>
              </w:rPr>
              <w:fldChar w:fldCharType="separate"/>
            </w:r>
            <w:r w:rsidR="006336B1">
              <w:rPr>
                <w:noProof/>
                <w:webHidden/>
              </w:rPr>
              <w:t>24</w:t>
            </w:r>
            <w:r w:rsidR="006336B1">
              <w:rPr>
                <w:noProof/>
                <w:webHidden/>
              </w:rPr>
              <w:fldChar w:fldCharType="end"/>
            </w:r>
          </w:hyperlink>
        </w:p>
        <w:p w14:paraId="1E866A81" w14:textId="77777777" w:rsidR="006336B1" w:rsidRDefault="00C51BEF">
          <w:pPr>
            <w:pStyle w:val="TOC3"/>
            <w:tabs>
              <w:tab w:val="left" w:pos="880"/>
              <w:tab w:val="right" w:leader="dot" w:pos="9350"/>
            </w:tabs>
            <w:rPr>
              <w:rFonts w:eastAsiaTheme="minorEastAsia" w:cstheme="minorBidi"/>
              <w:noProof/>
              <w:sz w:val="22"/>
            </w:rPr>
          </w:pPr>
          <w:hyperlink w:anchor="_Toc438191084" w:history="1">
            <w:r w:rsidR="006336B1" w:rsidRPr="0086336F">
              <w:rPr>
                <w:rStyle w:val="Hyperlink"/>
                <w:rFonts w:eastAsia="Franklin Gothic Book" w:cs="Arial"/>
                <w:b/>
                <w:bCs/>
                <w:noProof/>
                <w:lang w:eastAsia="x-none"/>
              </w:rPr>
              <w:t>4.</w:t>
            </w:r>
            <w:r w:rsidR="006336B1">
              <w:rPr>
                <w:rFonts w:eastAsiaTheme="minorEastAsia" w:cstheme="minorBidi"/>
                <w:noProof/>
                <w:sz w:val="22"/>
              </w:rPr>
              <w:tab/>
            </w:r>
            <w:r w:rsidR="006336B1" w:rsidRPr="0086336F">
              <w:rPr>
                <w:rStyle w:val="Hyperlink"/>
                <w:rFonts w:eastAsia="Franklin Gothic Book" w:cs="Arial"/>
                <w:b/>
                <w:bCs/>
                <w:noProof/>
                <w:lang w:eastAsia="x-none"/>
              </w:rPr>
              <w:t>Method Advantages and Disadvantages</w:t>
            </w:r>
            <w:r w:rsidR="006336B1">
              <w:rPr>
                <w:noProof/>
                <w:webHidden/>
              </w:rPr>
              <w:tab/>
            </w:r>
            <w:r w:rsidR="006336B1">
              <w:rPr>
                <w:noProof/>
                <w:webHidden/>
              </w:rPr>
              <w:fldChar w:fldCharType="begin"/>
            </w:r>
            <w:r w:rsidR="006336B1">
              <w:rPr>
                <w:noProof/>
                <w:webHidden/>
              </w:rPr>
              <w:instrText xml:space="preserve"> PAGEREF _Toc438191084 \h </w:instrText>
            </w:r>
            <w:r w:rsidR="006336B1">
              <w:rPr>
                <w:noProof/>
                <w:webHidden/>
              </w:rPr>
            </w:r>
            <w:r w:rsidR="006336B1">
              <w:rPr>
                <w:noProof/>
                <w:webHidden/>
              </w:rPr>
              <w:fldChar w:fldCharType="separate"/>
            </w:r>
            <w:r w:rsidR="006336B1">
              <w:rPr>
                <w:noProof/>
                <w:webHidden/>
              </w:rPr>
              <w:t>24</w:t>
            </w:r>
            <w:r w:rsidR="006336B1">
              <w:rPr>
                <w:noProof/>
                <w:webHidden/>
              </w:rPr>
              <w:fldChar w:fldCharType="end"/>
            </w:r>
          </w:hyperlink>
        </w:p>
        <w:p w14:paraId="25B08A44" w14:textId="77777777" w:rsidR="006336B1" w:rsidRDefault="00C51BEF">
          <w:pPr>
            <w:pStyle w:val="TOC1"/>
            <w:tabs>
              <w:tab w:val="left" w:pos="400"/>
              <w:tab w:val="right" w:leader="dot" w:pos="9350"/>
            </w:tabs>
            <w:rPr>
              <w:rFonts w:eastAsiaTheme="minorEastAsia" w:cstheme="minorBidi"/>
              <w:noProof/>
              <w:sz w:val="22"/>
            </w:rPr>
          </w:pPr>
          <w:hyperlink w:anchor="_Toc438191085" w:history="1">
            <w:r w:rsidR="006336B1" w:rsidRPr="0086336F">
              <w:rPr>
                <w:rStyle w:val="Hyperlink"/>
                <w:rFonts w:eastAsia="Franklin Gothic Book" w:cs="Arial"/>
                <w:b/>
                <w:bCs/>
                <w:noProof/>
                <w:kern w:val="36"/>
                <w:lang w:eastAsia="x-none"/>
              </w:rPr>
              <w:t>V.</w:t>
            </w:r>
            <w:r w:rsidR="006336B1">
              <w:rPr>
                <w:rFonts w:eastAsiaTheme="minorEastAsia" w:cstheme="minorBidi"/>
                <w:noProof/>
                <w:sz w:val="22"/>
              </w:rPr>
              <w:tab/>
            </w:r>
            <w:r w:rsidR="006336B1" w:rsidRPr="0086336F">
              <w:rPr>
                <w:rStyle w:val="Hyperlink"/>
                <w:rFonts w:eastAsia="Franklin Gothic Book" w:cs="Arial"/>
                <w:b/>
                <w:bCs/>
                <w:noProof/>
                <w:kern w:val="36"/>
                <w:lang w:eastAsia="x-none"/>
              </w:rPr>
              <w:t>Appendix A: Overview of NTG Methods</w:t>
            </w:r>
            <w:r w:rsidR="006336B1">
              <w:rPr>
                <w:noProof/>
                <w:webHidden/>
              </w:rPr>
              <w:tab/>
            </w:r>
            <w:r w:rsidR="006336B1">
              <w:rPr>
                <w:noProof/>
                <w:webHidden/>
              </w:rPr>
              <w:fldChar w:fldCharType="begin"/>
            </w:r>
            <w:r w:rsidR="006336B1">
              <w:rPr>
                <w:noProof/>
                <w:webHidden/>
              </w:rPr>
              <w:instrText xml:space="preserve"> PAGEREF _Toc438191085 \h </w:instrText>
            </w:r>
            <w:r w:rsidR="006336B1">
              <w:rPr>
                <w:noProof/>
                <w:webHidden/>
              </w:rPr>
            </w:r>
            <w:r w:rsidR="006336B1">
              <w:rPr>
                <w:noProof/>
                <w:webHidden/>
              </w:rPr>
              <w:fldChar w:fldCharType="separate"/>
            </w:r>
            <w:r w:rsidR="006336B1">
              <w:rPr>
                <w:noProof/>
                <w:webHidden/>
              </w:rPr>
              <w:t>24</w:t>
            </w:r>
            <w:r w:rsidR="006336B1">
              <w:rPr>
                <w:noProof/>
                <w:webHidden/>
              </w:rPr>
              <w:fldChar w:fldCharType="end"/>
            </w:r>
          </w:hyperlink>
        </w:p>
        <w:p w14:paraId="00B51D69" w14:textId="77777777" w:rsidR="006336B1" w:rsidRDefault="00C51BEF">
          <w:pPr>
            <w:pStyle w:val="TOC2"/>
            <w:tabs>
              <w:tab w:val="left" w:pos="660"/>
              <w:tab w:val="right" w:leader="dot" w:pos="9350"/>
            </w:tabs>
            <w:rPr>
              <w:rFonts w:eastAsiaTheme="minorEastAsia" w:cstheme="minorBidi"/>
              <w:noProof/>
              <w:sz w:val="22"/>
            </w:rPr>
          </w:pPr>
          <w:hyperlink w:anchor="_Toc438191086" w:history="1">
            <w:r w:rsidR="006336B1" w:rsidRPr="0086336F">
              <w:rPr>
                <w:rStyle w:val="Hyperlink"/>
                <w:rFonts w:eastAsia="Franklin Gothic Book" w:cs="Arial"/>
                <w:b/>
                <w:bCs/>
                <w:noProof/>
                <w:lang w:eastAsia="x-none"/>
              </w:rPr>
              <w:t>A.</w:t>
            </w:r>
            <w:r w:rsidR="006336B1">
              <w:rPr>
                <w:rFonts w:eastAsiaTheme="minorEastAsia" w:cstheme="minorBidi"/>
                <w:noProof/>
                <w:sz w:val="22"/>
              </w:rPr>
              <w:tab/>
            </w:r>
            <w:r w:rsidR="006336B1" w:rsidRPr="0086336F">
              <w:rPr>
                <w:rStyle w:val="Hyperlink"/>
                <w:rFonts w:eastAsia="Franklin Gothic Book" w:cs="Arial"/>
                <w:b/>
                <w:bCs/>
                <w:noProof/>
                <w:lang w:eastAsia="x-none"/>
              </w:rPr>
              <w:t>Survey-Based Approaches</w:t>
            </w:r>
            <w:r w:rsidR="006336B1">
              <w:rPr>
                <w:noProof/>
                <w:webHidden/>
              </w:rPr>
              <w:tab/>
            </w:r>
            <w:r w:rsidR="006336B1">
              <w:rPr>
                <w:noProof/>
                <w:webHidden/>
              </w:rPr>
              <w:fldChar w:fldCharType="begin"/>
            </w:r>
            <w:r w:rsidR="006336B1">
              <w:rPr>
                <w:noProof/>
                <w:webHidden/>
              </w:rPr>
              <w:instrText xml:space="preserve"> PAGEREF _Toc438191086 \h </w:instrText>
            </w:r>
            <w:r w:rsidR="006336B1">
              <w:rPr>
                <w:noProof/>
                <w:webHidden/>
              </w:rPr>
            </w:r>
            <w:r w:rsidR="006336B1">
              <w:rPr>
                <w:noProof/>
                <w:webHidden/>
              </w:rPr>
              <w:fldChar w:fldCharType="separate"/>
            </w:r>
            <w:r w:rsidR="006336B1">
              <w:rPr>
                <w:noProof/>
                <w:webHidden/>
              </w:rPr>
              <w:t>25</w:t>
            </w:r>
            <w:r w:rsidR="006336B1">
              <w:rPr>
                <w:noProof/>
                <w:webHidden/>
              </w:rPr>
              <w:fldChar w:fldCharType="end"/>
            </w:r>
          </w:hyperlink>
        </w:p>
        <w:p w14:paraId="3F35FC4B" w14:textId="77777777" w:rsidR="006336B1" w:rsidRDefault="00C51BEF">
          <w:pPr>
            <w:pStyle w:val="TOC3"/>
            <w:tabs>
              <w:tab w:val="left" w:pos="880"/>
              <w:tab w:val="right" w:leader="dot" w:pos="9350"/>
            </w:tabs>
            <w:rPr>
              <w:rFonts w:eastAsiaTheme="minorEastAsia" w:cstheme="minorBidi"/>
              <w:noProof/>
              <w:sz w:val="22"/>
            </w:rPr>
          </w:pPr>
          <w:hyperlink w:anchor="_Toc438191087" w:history="1">
            <w:r w:rsidR="006336B1" w:rsidRPr="0086336F">
              <w:rPr>
                <w:rStyle w:val="Hyperlink"/>
                <w:rFonts w:eastAsia="Franklin Gothic Book" w:cs="Arial"/>
                <w:b/>
                <w:bCs/>
                <w:noProof/>
                <w:lang w:eastAsia="x-none"/>
              </w:rPr>
              <w:t>1.</w:t>
            </w:r>
            <w:r w:rsidR="006336B1">
              <w:rPr>
                <w:rFonts w:eastAsiaTheme="minorEastAsia" w:cstheme="minorBidi"/>
                <w:noProof/>
                <w:sz w:val="22"/>
              </w:rPr>
              <w:tab/>
            </w:r>
            <w:r w:rsidR="006336B1" w:rsidRPr="0086336F">
              <w:rPr>
                <w:rStyle w:val="Hyperlink"/>
                <w:rFonts w:eastAsia="Franklin Gothic Book" w:cs="Arial"/>
                <w:b/>
                <w:bCs/>
                <w:noProof/>
                <w:lang w:eastAsia="x-none"/>
              </w:rPr>
              <w:t>Self-Report Approach</w:t>
            </w:r>
            <w:r w:rsidR="006336B1">
              <w:rPr>
                <w:noProof/>
                <w:webHidden/>
              </w:rPr>
              <w:tab/>
            </w:r>
            <w:r w:rsidR="006336B1">
              <w:rPr>
                <w:noProof/>
                <w:webHidden/>
              </w:rPr>
              <w:fldChar w:fldCharType="begin"/>
            </w:r>
            <w:r w:rsidR="006336B1">
              <w:rPr>
                <w:noProof/>
                <w:webHidden/>
              </w:rPr>
              <w:instrText xml:space="preserve"> PAGEREF _Toc438191087 \h </w:instrText>
            </w:r>
            <w:r w:rsidR="006336B1">
              <w:rPr>
                <w:noProof/>
                <w:webHidden/>
              </w:rPr>
            </w:r>
            <w:r w:rsidR="006336B1">
              <w:rPr>
                <w:noProof/>
                <w:webHidden/>
              </w:rPr>
              <w:fldChar w:fldCharType="separate"/>
            </w:r>
            <w:r w:rsidR="006336B1">
              <w:rPr>
                <w:noProof/>
                <w:webHidden/>
              </w:rPr>
              <w:t>25</w:t>
            </w:r>
            <w:r w:rsidR="006336B1">
              <w:rPr>
                <w:noProof/>
                <w:webHidden/>
              </w:rPr>
              <w:fldChar w:fldCharType="end"/>
            </w:r>
          </w:hyperlink>
        </w:p>
        <w:p w14:paraId="151C971A" w14:textId="77777777" w:rsidR="006336B1" w:rsidRDefault="00C51BEF">
          <w:pPr>
            <w:pStyle w:val="TOC3"/>
            <w:tabs>
              <w:tab w:val="left" w:pos="880"/>
              <w:tab w:val="right" w:leader="dot" w:pos="9350"/>
            </w:tabs>
            <w:rPr>
              <w:rFonts w:eastAsiaTheme="minorEastAsia" w:cstheme="minorBidi"/>
              <w:noProof/>
              <w:sz w:val="22"/>
            </w:rPr>
          </w:pPr>
          <w:hyperlink w:anchor="_Toc438191088" w:history="1">
            <w:r w:rsidR="006336B1" w:rsidRPr="0086336F">
              <w:rPr>
                <w:rStyle w:val="Hyperlink"/>
                <w:rFonts w:eastAsia="Franklin Gothic Book" w:cs="Arial"/>
                <w:b/>
                <w:bCs/>
                <w:noProof/>
                <w:lang w:eastAsia="x-none"/>
              </w:rPr>
              <w:t>2.</w:t>
            </w:r>
            <w:r w:rsidR="006336B1">
              <w:rPr>
                <w:rFonts w:eastAsiaTheme="minorEastAsia" w:cstheme="minorBidi"/>
                <w:noProof/>
                <w:sz w:val="22"/>
              </w:rPr>
              <w:tab/>
            </w:r>
            <w:r w:rsidR="006336B1" w:rsidRPr="0086336F">
              <w:rPr>
                <w:rStyle w:val="Hyperlink"/>
                <w:rFonts w:eastAsia="Franklin Gothic Book" w:cs="Arial"/>
                <w:b/>
                <w:bCs/>
                <w:noProof/>
                <w:lang w:eastAsia="x-none"/>
              </w:rPr>
              <w:t>Econometric/Revealed Preference Approach</w:t>
            </w:r>
            <w:r w:rsidR="006336B1">
              <w:rPr>
                <w:noProof/>
                <w:webHidden/>
              </w:rPr>
              <w:tab/>
            </w:r>
            <w:r w:rsidR="006336B1">
              <w:rPr>
                <w:noProof/>
                <w:webHidden/>
              </w:rPr>
              <w:fldChar w:fldCharType="begin"/>
            </w:r>
            <w:r w:rsidR="006336B1">
              <w:rPr>
                <w:noProof/>
                <w:webHidden/>
              </w:rPr>
              <w:instrText xml:space="preserve"> PAGEREF _Toc438191088 \h </w:instrText>
            </w:r>
            <w:r w:rsidR="006336B1">
              <w:rPr>
                <w:noProof/>
                <w:webHidden/>
              </w:rPr>
            </w:r>
            <w:r w:rsidR="006336B1">
              <w:rPr>
                <w:noProof/>
                <w:webHidden/>
              </w:rPr>
              <w:fldChar w:fldCharType="separate"/>
            </w:r>
            <w:r w:rsidR="006336B1">
              <w:rPr>
                <w:noProof/>
                <w:webHidden/>
              </w:rPr>
              <w:t>25</w:t>
            </w:r>
            <w:r w:rsidR="006336B1">
              <w:rPr>
                <w:noProof/>
                <w:webHidden/>
              </w:rPr>
              <w:fldChar w:fldCharType="end"/>
            </w:r>
          </w:hyperlink>
        </w:p>
        <w:p w14:paraId="04DD74D3" w14:textId="77777777" w:rsidR="006336B1" w:rsidRDefault="00C51BEF">
          <w:pPr>
            <w:pStyle w:val="TOC2"/>
            <w:tabs>
              <w:tab w:val="left" w:pos="660"/>
              <w:tab w:val="right" w:leader="dot" w:pos="9350"/>
            </w:tabs>
            <w:rPr>
              <w:rFonts w:eastAsiaTheme="minorEastAsia" w:cstheme="minorBidi"/>
              <w:noProof/>
              <w:sz w:val="22"/>
            </w:rPr>
          </w:pPr>
          <w:hyperlink w:anchor="_Toc438191089" w:history="1">
            <w:r w:rsidR="006336B1" w:rsidRPr="0086336F">
              <w:rPr>
                <w:rStyle w:val="Hyperlink"/>
                <w:rFonts w:eastAsia="Franklin Gothic Book" w:cs="Arial"/>
                <w:b/>
                <w:bCs/>
                <w:noProof/>
                <w:lang w:eastAsia="x-none"/>
              </w:rPr>
              <w:t>B.</w:t>
            </w:r>
            <w:r w:rsidR="006336B1">
              <w:rPr>
                <w:rFonts w:eastAsiaTheme="minorEastAsia" w:cstheme="minorBidi"/>
                <w:noProof/>
                <w:sz w:val="22"/>
              </w:rPr>
              <w:tab/>
            </w:r>
            <w:r w:rsidR="006336B1" w:rsidRPr="0086336F">
              <w:rPr>
                <w:rStyle w:val="Hyperlink"/>
                <w:rFonts w:eastAsia="Franklin Gothic Book" w:cs="Arial"/>
                <w:b/>
                <w:bCs/>
                <w:noProof/>
                <w:lang w:eastAsia="x-none"/>
              </w:rPr>
              <w:t>Randomized Control Trials (RCT) and Quasi-Experimental Designs</w:t>
            </w:r>
            <w:r w:rsidR="006336B1">
              <w:rPr>
                <w:noProof/>
                <w:webHidden/>
              </w:rPr>
              <w:tab/>
            </w:r>
            <w:r w:rsidR="006336B1">
              <w:rPr>
                <w:noProof/>
                <w:webHidden/>
              </w:rPr>
              <w:fldChar w:fldCharType="begin"/>
            </w:r>
            <w:r w:rsidR="006336B1">
              <w:rPr>
                <w:noProof/>
                <w:webHidden/>
              </w:rPr>
              <w:instrText xml:space="preserve"> PAGEREF _Toc438191089 \h </w:instrText>
            </w:r>
            <w:r w:rsidR="006336B1">
              <w:rPr>
                <w:noProof/>
                <w:webHidden/>
              </w:rPr>
            </w:r>
            <w:r w:rsidR="006336B1">
              <w:rPr>
                <w:noProof/>
                <w:webHidden/>
              </w:rPr>
              <w:fldChar w:fldCharType="separate"/>
            </w:r>
            <w:r w:rsidR="006336B1">
              <w:rPr>
                <w:noProof/>
                <w:webHidden/>
              </w:rPr>
              <w:t>26</w:t>
            </w:r>
            <w:r w:rsidR="006336B1">
              <w:rPr>
                <w:noProof/>
                <w:webHidden/>
              </w:rPr>
              <w:fldChar w:fldCharType="end"/>
            </w:r>
          </w:hyperlink>
        </w:p>
        <w:p w14:paraId="3ED774DB" w14:textId="77777777" w:rsidR="006336B1" w:rsidRDefault="00C51BEF">
          <w:pPr>
            <w:pStyle w:val="TOC2"/>
            <w:tabs>
              <w:tab w:val="left" w:pos="660"/>
              <w:tab w:val="right" w:leader="dot" w:pos="9350"/>
            </w:tabs>
            <w:rPr>
              <w:rFonts w:eastAsiaTheme="minorEastAsia" w:cstheme="minorBidi"/>
              <w:noProof/>
              <w:sz w:val="22"/>
            </w:rPr>
          </w:pPr>
          <w:hyperlink w:anchor="_Toc438191090" w:history="1">
            <w:r w:rsidR="006336B1" w:rsidRPr="0086336F">
              <w:rPr>
                <w:rStyle w:val="Hyperlink"/>
                <w:rFonts w:eastAsia="Franklin Gothic Book" w:cs="Arial"/>
                <w:b/>
                <w:bCs/>
                <w:noProof/>
                <w:lang w:eastAsia="x-none"/>
              </w:rPr>
              <w:t>C.</w:t>
            </w:r>
            <w:r w:rsidR="006336B1">
              <w:rPr>
                <w:rFonts w:eastAsiaTheme="minorEastAsia" w:cstheme="minorBidi"/>
                <w:noProof/>
                <w:sz w:val="22"/>
              </w:rPr>
              <w:tab/>
            </w:r>
            <w:r w:rsidR="006336B1" w:rsidRPr="0086336F">
              <w:rPr>
                <w:rStyle w:val="Hyperlink"/>
                <w:rFonts w:eastAsia="Franklin Gothic Book" w:cs="Arial"/>
                <w:b/>
                <w:bCs/>
                <w:noProof/>
                <w:lang w:eastAsia="x-none"/>
              </w:rPr>
              <w:t>Deemed or Stipulated NTG Ratios</w:t>
            </w:r>
            <w:r w:rsidR="006336B1">
              <w:rPr>
                <w:noProof/>
                <w:webHidden/>
              </w:rPr>
              <w:tab/>
            </w:r>
            <w:r w:rsidR="006336B1">
              <w:rPr>
                <w:noProof/>
                <w:webHidden/>
              </w:rPr>
              <w:fldChar w:fldCharType="begin"/>
            </w:r>
            <w:r w:rsidR="006336B1">
              <w:rPr>
                <w:noProof/>
                <w:webHidden/>
              </w:rPr>
              <w:instrText xml:space="preserve"> PAGEREF _Toc438191090 \h </w:instrText>
            </w:r>
            <w:r w:rsidR="006336B1">
              <w:rPr>
                <w:noProof/>
                <w:webHidden/>
              </w:rPr>
            </w:r>
            <w:r w:rsidR="006336B1">
              <w:rPr>
                <w:noProof/>
                <w:webHidden/>
              </w:rPr>
              <w:fldChar w:fldCharType="separate"/>
            </w:r>
            <w:r w:rsidR="006336B1">
              <w:rPr>
                <w:noProof/>
                <w:webHidden/>
              </w:rPr>
              <w:t>26</w:t>
            </w:r>
            <w:r w:rsidR="006336B1">
              <w:rPr>
                <w:noProof/>
                <w:webHidden/>
              </w:rPr>
              <w:fldChar w:fldCharType="end"/>
            </w:r>
          </w:hyperlink>
        </w:p>
        <w:p w14:paraId="6AAAC3DB" w14:textId="77777777" w:rsidR="006336B1" w:rsidRDefault="00C51BEF">
          <w:pPr>
            <w:pStyle w:val="TOC2"/>
            <w:tabs>
              <w:tab w:val="left" w:pos="660"/>
              <w:tab w:val="right" w:leader="dot" w:pos="9350"/>
            </w:tabs>
            <w:rPr>
              <w:rFonts w:eastAsiaTheme="minorEastAsia" w:cstheme="minorBidi"/>
              <w:noProof/>
              <w:sz w:val="22"/>
            </w:rPr>
          </w:pPr>
          <w:hyperlink w:anchor="_Toc438191091" w:history="1">
            <w:r w:rsidR="006336B1" w:rsidRPr="0086336F">
              <w:rPr>
                <w:rStyle w:val="Hyperlink"/>
                <w:rFonts w:eastAsia="Franklin Gothic Book" w:cs="Arial"/>
                <w:b/>
                <w:bCs/>
                <w:noProof/>
                <w:lang w:eastAsia="x-none"/>
              </w:rPr>
              <w:t>D.</w:t>
            </w:r>
            <w:r w:rsidR="006336B1">
              <w:rPr>
                <w:rFonts w:eastAsiaTheme="minorEastAsia" w:cstheme="minorBidi"/>
                <w:noProof/>
                <w:sz w:val="22"/>
              </w:rPr>
              <w:tab/>
            </w:r>
            <w:r w:rsidR="006336B1" w:rsidRPr="0086336F">
              <w:rPr>
                <w:rStyle w:val="Hyperlink"/>
                <w:rFonts w:eastAsia="Franklin Gothic Book" w:cs="Arial"/>
                <w:b/>
                <w:bCs/>
                <w:noProof/>
                <w:lang w:eastAsia="x-none"/>
              </w:rPr>
              <w:t>Common Practice Baseline Approaches</w:t>
            </w:r>
            <w:r w:rsidR="006336B1">
              <w:rPr>
                <w:noProof/>
                <w:webHidden/>
              </w:rPr>
              <w:tab/>
            </w:r>
            <w:r w:rsidR="006336B1">
              <w:rPr>
                <w:noProof/>
                <w:webHidden/>
              </w:rPr>
              <w:fldChar w:fldCharType="begin"/>
            </w:r>
            <w:r w:rsidR="006336B1">
              <w:rPr>
                <w:noProof/>
                <w:webHidden/>
              </w:rPr>
              <w:instrText xml:space="preserve"> PAGEREF _Toc438191091 \h </w:instrText>
            </w:r>
            <w:r w:rsidR="006336B1">
              <w:rPr>
                <w:noProof/>
                <w:webHidden/>
              </w:rPr>
            </w:r>
            <w:r w:rsidR="006336B1">
              <w:rPr>
                <w:noProof/>
                <w:webHidden/>
              </w:rPr>
              <w:fldChar w:fldCharType="separate"/>
            </w:r>
            <w:r w:rsidR="006336B1">
              <w:rPr>
                <w:noProof/>
                <w:webHidden/>
              </w:rPr>
              <w:t>27</w:t>
            </w:r>
            <w:r w:rsidR="006336B1">
              <w:rPr>
                <w:noProof/>
                <w:webHidden/>
              </w:rPr>
              <w:fldChar w:fldCharType="end"/>
            </w:r>
          </w:hyperlink>
        </w:p>
        <w:p w14:paraId="3428A1A5" w14:textId="77777777" w:rsidR="006336B1" w:rsidRDefault="00C51BEF">
          <w:pPr>
            <w:pStyle w:val="TOC2"/>
            <w:tabs>
              <w:tab w:val="left" w:pos="660"/>
              <w:tab w:val="right" w:leader="dot" w:pos="9350"/>
            </w:tabs>
            <w:rPr>
              <w:rFonts w:eastAsiaTheme="minorEastAsia" w:cstheme="minorBidi"/>
              <w:noProof/>
              <w:sz w:val="22"/>
            </w:rPr>
          </w:pPr>
          <w:hyperlink w:anchor="_Toc438191092" w:history="1">
            <w:r w:rsidR="006336B1" w:rsidRPr="0086336F">
              <w:rPr>
                <w:rStyle w:val="Hyperlink"/>
                <w:rFonts w:eastAsia="Franklin Gothic Book" w:cs="Arial"/>
                <w:b/>
                <w:bCs/>
                <w:noProof/>
                <w:lang w:eastAsia="x-none"/>
              </w:rPr>
              <w:t>E.</w:t>
            </w:r>
            <w:r w:rsidR="006336B1">
              <w:rPr>
                <w:rFonts w:eastAsiaTheme="minorEastAsia" w:cstheme="minorBidi"/>
                <w:noProof/>
                <w:sz w:val="22"/>
              </w:rPr>
              <w:tab/>
            </w:r>
            <w:r w:rsidR="006336B1" w:rsidRPr="0086336F">
              <w:rPr>
                <w:rStyle w:val="Hyperlink"/>
                <w:rFonts w:eastAsia="Franklin Gothic Book" w:cs="Arial"/>
                <w:b/>
                <w:bCs/>
                <w:noProof/>
                <w:lang w:eastAsia="x-none"/>
              </w:rPr>
              <w:t>Market Analyses</w:t>
            </w:r>
            <w:r w:rsidR="006336B1">
              <w:rPr>
                <w:noProof/>
                <w:webHidden/>
              </w:rPr>
              <w:tab/>
            </w:r>
            <w:r w:rsidR="006336B1">
              <w:rPr>
                <w:noProof/>
                <w:webHidden/>
              </w:rPr>
              <w:fldChar w:fldCharType="begin"/>
            </w:r>
            <w:r w:rsidR="006336B1">
              <w:rPr>
                <w:noProof/>
                <w:webHidden/>
              </w:rPr>
              <w:instrText xml:space="preserve"> PAGEREF _Toc438191092 \h </w:instrText>
            </w:r>
            <w:r w:rsidR="006336B1">
              <w:rPr>
                <w:noProof/>
                <w:webHidden/>
              </w:rPr>
            </w:r>
            <w:r w:rsidR="006336B1">
              <w:rPr>
                <w:noProof/>
                <w:webHidden/>
              </w:rPr>
              <w:fldChar w:fldCharType="separate"/>
            </w:r>
            <w:r w:rsidR="006336B1">
              <w:rPr>
                <w:noProof/>
                <w:webHidden/>
              </w:rPr>
              <w:t>27</w:t>
            </w:r>
            <w:r w:rsidR="006336B1">
              <w:rPr>
                <w:noProof/>
                <w:webHidden/>
              </w:rPr>
              <w:fldChar w:fldCharType="end"/>
            </w:r>
          </w:hyperlink>
        </w:p>
        <w:p w14:paraId="15CDFECD" w14:textId="77777777" w:rsidR="006336B1" w:rsidRDefault="00C51BEF">
          <w:pPr>
            <w:pStyle w:val="TOC2"/>
            <w:tabs>
              <w:tab w:val="left" w:pos="660"/>
              <w:tab w:val="right" w:leader="dot" w:pos="9350"/>
            </w:tabs>
            <w:rPr>
              <w:rFonts w:eastAsiaTheme="minorEastAsia" w:cstheme="minorBidi"/>
              <w:noProof/>
              <w:sz w:val="22"/>
            </w:rPr>
          </w:pPr>
          <w:hyperlink w:anchor="_Toc438191093" w:history="1">
            <w:r w:rsidR="006336B1" w:rsidRPr="0086336F">
              <w:rPr>
                <w:rStyle w:val="Hyperlink"/>
                <w:rFonts w:eastAsia="Franklin Gothic Book" w:cs="Arial"/>
                <w:b/>
                <w:bCs/>
                <w:noProof/>
                <w:lang w:eastAsia="x-none"/>
              </w:rPr>
              <w:t>F.</w:t>
            </w:r>
            <w:r w:rsidR="006336B1">
              <w:rPr>
                <w:rFonts w:eastAsiaTheme="minorEastAsia" w:cstheme="minorBidi"/>
                <w:noProof/>
                <w:sz w:val="22"/>
              </w:rPr>
              <w:tab/>
            </w:r>
            <w:r w:rsidR="006336B1" w:rsidRPr="0086336F">
              <w:rPr>
                <w:rStyle w:val="Hyperlink"/>
                <w:rFonts w:eastAsia="Franklin Gothic Book" w:cs="Arial"/>
                <w:b/>
                <w:bCs/>
                <w:noProof/>
                <w:lang w:eastAsia="x-none"/>
              </w:rPr>
              <w:t>Structured Expert Judgment Approaches</w:t>
            </w:r>
            <w:r w:rsidR="006336B1">
              <w:rPr>
                <w:noProof/>
                <w:webHidden/>
              </w:rPr>
              <w:tab/>
            </w:r>
            <w:r w:rsidR="006336B1">
              <w:rPr>
                <w:noProof/>
                <w:webHidden/>
              </w:rPr>
              <w:fldChar w:fldCharType="begin"/>
            </w:r>
            <w:r w:rsidR="006336B1">
              <w:rPr>
                <w:noProof/>
                <w:webHidden/>
              </w:rPr>
              <w:instrText xml:space="preserve"> PAGEREF _Toc438191093 \h </w:instrText>
            </w:r>
            <w:r w:rsidR="006336B1">
              <w:rPr>
                <w:noProof/>
                <w:webHidden/>
              </w:rPr>
            </w:r>
            <w:r w:rsidR="006336B1">
              <w:rPr>
                <w:noProof/>
                <w:webHidden/>
              </w:rPr>
              <w:fldChar w:fldCharType="separate"/>
            </w:r>
            <w:r w:rsidR="006336B1">
              <w:rPr>
                <w:noProof/>
                <w:webHidden/>
              </w:rPr>
              <w:t>27</w:t>
            </w:r>
            <w:r w:rsidR="006336B1">
              <w:rPr>
                <w:noProof/>
                <w:webHidden/>
              </w:rPr>
              <w:fldChar w:fldCharType="end"/>
            </w:r>
          </w:hyperlink>
        </w:p>
        <w:p w14:paraId="1AB4B95E" w14:textId="77777777" w:rsidR="006336B1" w:rsidRDefault="00C51BEF">
          <w:pPr>
            <w:pStyle w:val="TOC2"/>
            <w:tabs>
              <w:tab w:val="left" w:pos="660"/>
              <w:tab w:val="right" w:leader="dot" w:pos="9350"/>
            </w:tabs>
            <w:rPr>
              <w:rFonts w:eastAsiaTheme="minorEastAsia" w:cstheme="minorBidi"/>
              <w:noProof/>
              <w:sz w:val="22"/>
            </w:rPr>
          </w:pPr>
          <w:hyperlink w:anchor="_Toc438191094" w:history="1">
            <w:r w:rsidR="006336B1" w:rsidRPr="0086336F">
              <w:rPr>
                <w:rStyle w:val="Hyperlink"/>
                <w:rFonts w:eastAsia="Franklin Gothic Book" w:cs="Arial"/>
                <w:b/>
                <w:bCs/>
                <w:noProof/>
                <w:lang w:eastAsia="x-none"/>
              </w:rPr>
              <w:t>G.</w:t>
            </w:r>
            <w:r w:rsidR="006336B1">
              <w:rPr>
                <w:rFonts w:eastAsiaTheme="minorEastAsia" w:cstheme="minorBidi"/>
                <w:noProof/>
                <w:sz w:val="22"/>
              </w:rPr>
              <w:tab/>
            </w:r>
            <w:r w:rsidR="006336B1" w:rsidRPr="0086336F">
              <w:rPr>
                <w:rStyle w:val="Hyperlink"/>
                <w:rFonts w:eastAsia="Franklin Gothic Book" w:cs="Arial"/>
                <w:b/>
                <w:bCs/>
                <w:noProof/>
                <w:lang w:eastAsia="x-none"/>
              </w:rPr>
              <w:t>Program Theory-Driven Approach</w:t>
            </w:r>
            <w:r w:rsidR="006336B1">
              <w:rPr>
                <w:noProof/>
                <w:webHidden/>
              </w:rPr>
              <w:tab/>
            </w:r>
            <w:r w:rsidR="006336B1">
              <w:rPr>
                <w:noProof/>
                <w:webHidden/>
              </w:rPr>
              <w:fldChar w:fldCharType="begin"/>
            </w:r>
            <w:r w:rsidR="006336B1">
              <w:rPr>
                <w:noProof/>
                <w:webHidden/>
              </w:rPr>
              <w:instrText xml:space="preserve"> PAGEREF _Toc438191094 \h </w:instrText>
            </w:r>
            <w:r w:rsidR="006336B1">
              <w:rPr>
                <w:noProof/>
                <w:webHidden/>
              </w:rPr>
            </w:r>
            <w:r w:rsidR="006336B1">
              <w:rPr>
                <w:noProof/>
                <w:webHidden/>
              </w:rPr>
              <w:fldChar w:fldCharType="separate"/>
            </w:r>
            <w:r w:rsidR="006336B1">
              <w:rPr>
                <w:noProof/>
                <w:webHidden/>
              </w:rPr>
              <w:t>28</w:t>
            </w:r>
            <w:r w:rsidR="006336B1">
              <w:rPr>
                <w:noProof/>
                <w:webHidden/>
              </w:rPr>
              <w:fldChar w:fldCharType="end"/>
            </w:r>
          </w:hyperlink>
        </w:p>
        <w:p w14:paraId="22381C26" w14:textId="77777777" w:rsidR="006336B1" w:rsidRDefault="00C51BEF">
          <w:pPr>
            <w:pStyle w:val="TOC2"/>
            <w:tabs>
              <w:tab w:val="left" w:pos="660"/>
              <w:tab w:val="right" w:leader="dot" w:pos="9350"/>
            </w:tabs>
            <w:rPr>
              <w:rFonts w:eastAsiaTheme="minorEastAsia" w:cstheme="minorBidi"/>
              <w:noProof/>
              <w:sz w:val="22"/>
            </w:rPr>
          </w:pPr>
          <w:hyperlink w:anchor="_Toc438191095" w:history="1">
            <w:r w:rsidR="006336B1" w:rsidRPr="0086336F">
              <w:rPr>
                <w:rStyle w:val="Hyperlink"/>
                <w:rFonts w:eastAsia="Franklin Gothic Book" w:cs="Arial"/>
                <w:b/>
                <w:bCs/>
                <w:noProof/>
                <w:lang w:eastAsia="x-none"/>
              </w:rPr>
              <w:t>H.</w:t>
            </w:r>
            <w:r w:rsidR="006336B1">
              <w:rPr>
                <w:rFonts w:eastAsiaTheme="minorEastAsia" w:cstheme="minorBidi"/>
                <w:noProof/>
                <w:sz w:val="22"/>
              </w:rPr>
              <w:tab/>
            </w:r>
            <w:r w:rsidR="006336B1" w:rsidRPr="0086336F">
              <w:rPr>
                <w:rStyle w:val="Hyperlink"/>
                <w:rFonts w:eastAsia="Franklin Gothic Book" w:cs="Arial"/>
                <w:b/>
                <w:bCs/>
                <w:noProof/>
                <w:lang w:eastAsia="x-none"/>
              </w:rPr>
              <w:t>Case Studies Design</w:t>
            </w:r>
            <w:r w:rsidR="006336B1">
              <w:rPr>
                <w:noProof/>
                <w:webHidden/>
              </w:rPr>
              <w:tab/>
            </w:r>
            <w:r w:rsidR="006336B1">
              <w:rPr>
                <w:noProof/>
                <w:webHidden/>
              </w:rPr>
              <w:fldChar w:fldCharType="begin"/>
            </w:r>
            <w:r w:rsidR="006336B1">
              <w:rPr>
                <w:noProof/>
                <w:webHidden/>
              </w:rPr>
              <w:instrText xml:space="preserve"> PAGEREF _Toc438191095 \h </w:instrText>
            </w:r>
            <w:r w:rsidR="006336B1">
              <w:rPr>
                <w:noProof/>
                <w:webHidden/>
              </w:rPr>
            </w:r>
            <w:r w:rsidR="006336B1">
              <w:rPr>
                <w:noProof/>
                <w:webHidden/>
              </w:rPr>
              <w:fldChar w:fldCharType="separate"/>
            </w:r>
            <w:r w:rsidR="006336B1">
              <w:rPr>
                <w:noProof/>
                <w:webHidden/>
              </w:rPr>
              <w:t>29</w:t>
            </w:r>
            <w:r w:rsidR="006336B1">
              <w:rPr>
                <w:noProof/>
                <w:webHidden/>
              </w:rPr>
              <w:fldChar w:fldCharType="end"/>
            </w:r>
          </w:hyperlink>
        </w:p>
        <w:p w14:paraId="5D9C9ED7" w14:textId="77777777" w:rsidR="006336B1" w:rsidRDefault="00C51BEF">
          <w:pPr>
            <w:pStyle w:val="TOC1"/>
            <w:tabs>
              <w:tab w:val="left" w:pos="660"/>
              <w:tab w:val="right" w:leader="dot" w:pos="9350"/>
            </w:tabs>
            <w:rPr>
              <w:rFonts w:eastAsiaTheme="minorEastAsia" w:cstheme="minorBidi"/>
              <w:noProof/>
              <w:sz w:val="22"/>
            </w:rPr>
          </w:pPr>
          <w:hyperlink w:anchor="_Toc438191096" w:history="1">
            <w:r w:rsidR="006336B1" w:rsidRPr="0086336F">
              <w:rPr>
                <w:rStyle w:val="Hyperlink"/>
                <w:rFonts w:eastAsia="Franklin Gothic Book" w:cs="Arial"/>
                <w:b/>
                <w:bCs/>
                <w:noProof/>
                <w:kern w:val="36"/>
                <w:lang w:eastAsia="x-none"/>
              </w:rPr>
              <w:t>VI.</w:t>
            </w:r>
            <w:r w:rsidR="006336B1">
              <w:rPr>
                <w:rFonts w:eastAsiaTheme="minorEastAsia" w:cstheme="minorBidi"/>
                <w:noProof/>
                <w:sz w:val="22"/>
              </w:rPr>
              <w:tab/>
            </w:r>
            <w:r w:rsidR="006336B1" w:rsidRPr="0086336F">
              <w:rPr>
                <w:rStyle w:val="Hyperlink"/>
                <w:rFonts w:eastAsia="Franklin Gothic Book" w:cs="Arial"/>
                <w:b/>
                <w:bCs/>
                <w:noProof/>
                <w:kern w:val="36"/>
                <w:lang w:eastAsia="x-none"/>
              </w:rPr>
              <w:t>Appendix B: References</w:t>
            </w:r>
            <w:r w:rsidR="006336B1">
              <w:rPr>
                <w:noProof/>
                <w:webHidden/>
              </w:rPr>
              <w:tab/>
            </w:r>
            <w:r w:rsidR="006336B1">
              <w:rPr>
                <w:noProof/>
                <w:webHidden/>
              </w:rPr>
              <w:fldChar w:fldCharType="begin"/>
            </w:r>
            <w:r w:rsidR="006336B1">
              <w:rPr>
                <w:noProof/>
                <w:webHidden/>
              </w:rPr>
              <w:instrText xml:space="preserve"> PAGEREF _Toc438191096 \h </w:instrText>
            </w:r>
            <w:r w:rsidR="006336B1">
              <w:rPr>
                <w:noProof/>
                <w:webHidden/>
              </w:rPr>
            </w:r>
            <w:r w:rsidR="006336B1">
              <w:rPr>
                <w:noProof/>
                <w:webHidden/>
              </w:rPr>
              <w:fldChar w:fldCharType="separate"/>
            </w:r>
            <w:r w:rsidR="006336B1">
              <w:rPr>
                <w:noProof/>
                <w:webHidden/>
              </w:rPr>
              <w:t>29</w:t>
            </w:r>
            <w:r w:rsidR="006336B1">
              <w:rPr>
                <w:noProof/>
                <w:webHidden/>
              </w:rPr>
              <w:fldChar w:fldCharType="end"/>
            </w:r>
          </w:hyperlink>
        </w:p>
        <w:p w14:paraId="5C86916B" w14:textId="77777777" w:rsidR="006336B1" w:rsidRDefault="00C51BEF">
          <w:pPr>
            <w:pStyle w:val="TOC1"/>
            <w:tabs>
              <w:tab w:val="right" w:leader="dot" w:pos="9350"/>
            </w:tabs>
            <w:rPr>
              <w:rFonts w:eastAsiaTheme="minorEastAsia" w:cstheme="minorBidi"/>
              <w:noProof/>
              <w:sz w:val="22"/>
            </w:rPr>
          </w:pPr>
          <w:hyperlink w:anchor="_Toc438191097" w:history="1">
            <w:r w:rsidR="006336B1" w:rsidRPr="0086336F">
              <w:rPr>
                <w:rStyle w:val="Hyperlink"/>
                <w:noProof/>
              </w:rPr>
              <w:t>Attachment B: Illinois Statewide Non Energy Benefits Methodologies</w:t>
            </w:r>
            <w:r w:rsidR="006336B1">
              <w:rPr>
                <w:noProof/>
                <w:webHidden/>
              </w:rPr>
              <w:tab/>
            </w:r>
            <w:r w:rsidR="006336B1">
              <w:rPr>
                <w:noProof/>
                <w:webHidden/>
              </w:rPr>
              <w:fldChar w:fldCharType="begin"/>
            </w:r>
            <w:r w:rsidR="006336B1">
              <w:rPr>
                <w:noProof/>
                <w:webHidden/>
              </w:rPr>
              <w:instrText xml:space="preserve"> PAGEREF _Toc438191097 \h </w:instrText>
            </w:r>
            <w:r w:rsidR="006336B1">
              <w:rPr>
                <w:noProof/>
                <w:webHidden/>
              </w:rPr>
            </w:r>
            <w:r w:rsidR="006336B1">
              <w:rPr>
                <w:noProof/>
                <w:webHidden/>
              </w:rPr>
              <w:fldChar w:fldCharType="separate"/>
            </w:r>
            <w:r w:rsidR="006336B1">
              <w:rPr>
                <w:noProof/>
                <w:webHidden/>
              </w:rPr>
              <w:t>31</w:t>
            </w:r>
            <w:r w:rsidR="006336B1">
              <w:rPr>
                <w:noProof/>
                <w:webHidden/>
              </w:rPr>
              <w:fldChar w:fldCharType="end"/>
            </w:r>
          </w:hyperlink>
        </w:p>
        <w:p w14:paraId="3185A49E" w14:textId="77777777" w:rsidR="006336B1" w:rsidRDefault="00C51BEF">
          <w:pPr>
            <w:pStyle w:val="TOC2"/>
            <w:tabs>
              <w:tab w:val="right" w:leader="dot" w:pos="9350"/>
            </w:tabs>
            <w:rPr>
              <w:rFonts w:eastAsiaTheme="minorEastAsia" w:cstheme="minorBidi"/>
              <w:noProof/>
              <w:sz w:val="22"/>
            </w:rPr>
          </w:pPr>
          <w:hyperlink w:anchor="_Toc438191098" w:history="1">
            <w:r w:rsidR="006336B1" w:rsidRPr="0086336F">
              <w:rPr>
                <w:rStyle w:val="Hyperlink"/>
                <w:rFonts w:eastAsia="Franklin Gothic Book"/>
                <w:noProof/>
              </w:rPr>
              <w:t>Residential Whole House Retrofit Non Energy Benefits</w:t>
            </w:r>
            <w:r w:rsidR="006336B1">
              <w:rPr>
                <w:noProof/>
                <w:webHidden/>
              </w:rPr>
              <w:tab/>
            </w:r>
            <w:r w:rsidR="006336B1">
              <w:rPr>
                <w:noProof/>
                <w:webHidden/>
              </w:rPr>
              <w:fldChar w:fldCharType="begin"/>
            </w:r>
            <w:r w:rsidR="006336B1">
              <w:rPr>
                <w:noProof/>
                <w:webHidden/>
              </w:rPr>
              <w:instrText xml:space="preserve"> PAGEREF _Toc438191098 \h </w:instrText>
            </w:r>
            <w:r w:rsidR="006336B1">
              <w:rPr>
                <w:noProof/>
                <w:webHidden/>
              </w:rPr>
            </w:r>
            <w:r w:rsidR="006336B1">
              <w:rPr>
                <w:noProof/>
                <w:webHidden/>
              </w:rPr>
              <w:fldChar w:fldCharType="separate"/>
            </w:r>
            <w:r w:rsidR="006336B1">
              <w:rPr>
                <w:noProof/>
                <w:webHidden/>
              </w:rPr>
              <w:t>31</w:t>
            </w:r>
            <w:r w:rsidR="006336B1">
              <w:rPr>
                <w:noProof/>
                <w:webHidden/>
              </w:rPr>
              <w:fldChar w:fldCharType="end"/>
            </w:r>
          </w:hyperlink>
        </w:p>
        <w:p w14:paraId="6F0906B4" w14:textId="77777777" w:rsidR="006336B1" w:rsidRDefault="00C51BEF">
          <w:pPr>
            <w:pStyle w:val="TOC2"/>
            <w:tabs>
              <w:tab w:val="right" w:leader="dot" w:pos="9350"/>
            </w:tabs>
            <w:rPr>
              <w:rFonts w:eastAsiaTheme="minorEastAsia" w:cstheme="minorBidi"/>
              <w:noProof/>
              <w:sz w:val="22"/>
            </w:rPr>
          </w:pPr>
          <w:hyperlink w:anchor="_Toc438191099" w:history="1">
            <w:r w:rsidR="006336B1" w:rsidRPr="0086336F">
              <w:rPr>
                <w:rStyle w:val="Hyperlink"/>
                <w:rFonts w:eastAsia="Franklin Gothic Book"/>
                <w:noProof/>
              </w:rPr>
              <w:t>Commercial Retrofit Non Energy Benefits</w:t>
            </w:r>
            <w:r w:rsidR="006336B1">
              <w:rPr>
                <w:noProof/>
                <w:webHidden/>
              </w:rPr>
              <w:tab/>
            </w:r>
            <w:r w:rsidR="006336B1">
              <w:rPr>
                <w:noProof/>
                <w:webHidden/>
              </w:rPr>
              <w:fldChar w:fldCharType="begin"/>
            </w:r>
            <w:r w:rsidR="006336B1">
              <w:rPr>
                <w:noProof/>
                <w:webHidden/>
              </w:rPr>
              <w:instrText xml:space="preserve"> PAGEREF _Toc438191099 \h </w:instrText>
            </w:r>
            <w:r w:rsidR="006336B1">
              <w:rPr>
                <w:noProof/>
                <w:webHidden/>
              </w:rPr>
            </w:r>
            <w:r w:rsidR="006336B1">
              <w:rPr>
                <w:noProof/>
                <w:webHidden/>
              </w:rPr>
              <w:fldChar w:fldCharType="separate"/>
            </w:r>
            <w:r w:rsidR="006336B1">
              <w:rPr>
                <w:noProof/>
                <w:webHidden/>
              </w:rPr>
              <w:t>33</w:t>
            </w:r>
            <w:r w:rsidR="006336B1">
              <w:rPr>
                <w:noProof/>
                <w:webHidden/>
              </w:rPr>
              <w:fldChar w:fldCharType="end"/>
            </w:r>
          </w:hyperlink>
        </w:p>
        <w:p w14:paraId="7A568CDF" w14:textId="77777777" w:rsidR="00CC2784" w:rsidRDefault="00CC2784">
          <w:r>
            <w:rPr>
              <w:b/>
              <w:bCs/>
              <w:noProof/>
            </w:rPr>
            <w:fldChar w:fldCharType="end"/>
          </w:r>
        </w:p>
      </w:sdtContent>
    </w:sdt>
    <w:p w14:paraId="65673DEC" w14:textId="77777777" w:rsidR="00D8783D" w:rsidRDefault="00D8783D" w:rsidP="009F45F0">
      <w:pPr>
        <w:keepNext/>
        <w:keepLines/>
        <w:widowControl/>
        <w:spacing w:before="120" w:after="160"/>
        <w:jc w:val="left"/>
        <w:outlineLvl w:val="0"/>
        <w:rPr>
          <w:rFonts w:eastAsia="Franklin Gothic Book" w:cs="Arial"/>
          <w:b/>
          <w:bCs/>
          <w:kern w:val="36"/>
          <w:sz w:val="24"/>
          <w:szCs w:val="24"/>
          <w:lang w:eastAsia="x-none"/>
        </w:rPr>
        <w:sectPr w:rsidR="00D8783D" w:rsidSect="00065C25">
          <w:headerReference w:type="default" r:id="rId10"/>
          <w:footerReference w:type="default" r:id="rId11"/>
          <w:pgSz w:w="12240" w:h="15840"/>
          <w:pgMar w:top="1440" w:right="1440" w:bottom="1440" w:left="1440" w:header="720" w:footer="720" w:gutter="0"/>
          <w:pgNumType w:fmt="lowerRoman" w:start="1"/>
          <w:cols w:space="720"/>
          <w:docGrid w:linePitch="360"/>
        </w:sectPr>
      </w:pPr>
    </w:p>
    <w:p w14:paraId="7C79A338" w14:textId="041E6E73" w:rsidR="00BE2808" w:rsidRPr="000B7BB6" w:rsidRDefault="001F3733" w:rsidP="00BE2808">
      <w:pPr>
        <w:pStyle w:val="Heading1"/>
        <w:rPr>
          <w:ins w:id="19" w:author="Stephanie Baer" w:date="2015-12-18T17:03:00Z"/>
        </w:rPr>
      </w:pPr>
      <w:bookmarkStart w:id="20" w:name="_Toc438191058"/>
      <w:r>
        <w:lastRenderedPageBreak/>
        <w:t>6</w:t>
      </w:r>
      <w:bookmarkEnd w:id="20"/>
      <w:ins w:id="21" w:author="Stephanie Baer" w:date="2015-12-18T17:03:00Z">
        <w:r w:rsidR="00BE2808" w:rsidRPr="00BE2808">
          <w:t xml:space="preserve"> </w:t>
        </w:r>
        <w:r w:rsidR="00BE2808">
          <w:tab/>
          <w:t>Cross Cutting Measures</w:t>
        </w:r>
      </w:ins>
    </w:p>
    <w:p w14:paraId="6177A6A2" w14:textId="77777777" w:rsidR="00BE2808" w:rsidRPr="001F3733" w:rsidRDefault="00BE2808" w:rsidP="00BE2808">
      <w:pPr>
        <w:pStyle w:val="Heading2"/>
        <w:rPr>
          <w:ins w:id="22" w:author="Stephanie Baer" w:date="2015-12-18T17:03:00Z"/>
        </w:rPr>
      </w:pPr>
      <w:bookmarkStart w:id="23" w:name="_Toc438191059"/>
      <w:ins w:id="24" w:author="Stephanie Baer" w:date="2015-12-18T17:03:00Z">
        <w:r w:rsidRPr="001F3733">
          <w:t>6.1</w:t>
        </w:r>
        <w:r w:rsidRPr="001F3733">
          <w:tab/>
        </w:r>
        <w:r>
          <w:t>Behavior</w:t>
        </w:r>
        <w:bookmarkEnd w:id="23"/>
      </w:ins>
    </w:p>
    <w:p w14:paraId="46408877" w14:textId="77777777" w:rsidR="00BE2808" w:rsidRPr="000B7BB6" w:rsidRDefault="00BE2808" w:rsidP="00BE2808">
      <w:pPr>
        <w:pStyle w:val="Heading3"/>
        <w:rPr>
          <w:ins w:id="25" w:author="Stephanie Baer" w:date="2015-12-18T17:03:00Z"/>
        </w:rPr>
      </w:pPr>
      <w:bookmarkStart w:id="26" w:name="_Toc438191060"/>
      <w:ins w:id="27" w:author="Stephanie Baer" w:date="2015-12-18T17:03:00Z">
        <w:r>
          <w:t>6.1.1</w:t>
        </w:r>
        <w:r>
          <w:tab/>
          <w:t xml:space="preserve">Adjustments to Behavior Savings </w:t>
        </w:r>
        <w:r w:rsidRPr="001F3733">
          <w:t>to</w:t>
        </w:r>
        <w:r>
          <w:t xml:space="preserve"> Account for Persistence</w:t>
        </w:r>
        <w:bookmarkEnd w:id="26"/>
      </w:ins>
    </w:p>
    <w:p w14:paraId="34C0217C" w14:textId="77777777" w:rsidR="00BE2808" w:rsidRPr="00152A43" w:rsidRDefault="00BE2808" w:rsidP="00BE2808">
      <w:pPr>
        <w:pStyle w:val="Style1"/>
        <w:rPr>
          <w:ins w:id="28" w:author="Stephanie Baer" w:date="2015-12-18T17:03:00Z"/>
        </w:rPr>
      </w:pPr>
      <w:ins w:id="29" w:author="Stephanie Baer" w:date="2015-12-18T17:03:00Z">
        <w:r w:rsidRPr="00152A43">
          <w:t>Description</w:t>
        </w:r>
      </w:ins>
    </w:p>
    <w:p w14:paraId="49D16D3C" w14:textId="77777777" w:rsidR="00BE2808" w:rsidRDefault="00BE2808" w:rsidP="00BE2808">
      <w:pPr>
        <w:rPr>
          <w:ins w:id="30" w:author="Stephanie Baer" w:date="2015-12-18T17:03:00Z"/>
          <w:rFonts w:cstheme="minorHAnsi"/>
        </w:rPr>
      </w:pPr>
      <w:ins w:id="31" w:author="Stephanie Baer" w:date="2015-12-18T17:03:00Z">
        <w:r>
          <w:rPr>
            <w:rFonts w:cstheme="minorHAnsi"/>
          </w:rPr>
          <w:t>Energy efficiency program administrators are increasingly including behavior programs as part of their portfolios. These programs are characterized by various kinds of outreach, education, and customer engagement designed to motivate increases in conservation and energy management behaviors, and most commonly include participant-specific energy usage information. Savings impacts are evaluated by ex-post billing analysis comparing consumption before and after (or with and without) program intervention, and require M&amp;V methods that include customer-specific energy usage regression analysis and random controlled trial experimental designs, among others. As such, calculation of savings is treated as a custom protocol</w:t>
        </w:r>
        <w:r>
          <w:rPr>
            <w:rStyle w:val="FootnoteReference"/>
          </w:rPr>
          <w:footnoteReference w:id="1"/>
        </w:r>
        <w:r>
          <w:rPr>
            <w:rFonts w:cstheme="minorHAnsi"/>
          </w:rPr>
          <w:t xml:space="preserve">. </w:t>
        </w:r>
      </w:ins>
    </w:p>
    <w:p w14:paraId="025872D0" w14:textId="77777777" w:rsidR="00BE2808" w:rsidRDefault="00BE2808" w:rsidP="00BE2808">
      <w:pPr>
        <w:widowControl/>
        <w:spacing w:after="0"/>
        <w:rPr>
          <w:ins w:id="34" w:author="Stephanie Baer" w:date="2015-12-18T17:03:00Z"/>
          <w:rFonts w:cstheme="minorHAnsi"/>
          <w:szCs w:val="20"/>
        </w:rPr>
      </w:pPr>
      <w:ins w:id="35" w:author="Stephanie Baer" w:date="2015-12-18T17:03:00Z">
        <w:r w:rsidRPr="00FC5CD9">
          <w:rPr>
            <w:rFonts w:cstheme="minorHAnsi"/>
            <w:szCs w:val="20"/>
          </w:rPr>
          <w:t>An important issue for many stakeholders is whether en</w:t>
        </w:r>
        <w:r>
          <w:rPr>
            <w:rFonts w:cstheme="minorHAnsi"/>
            <w:szCs w:val="20"/>
          </w:rPr>
          <w:t>ergy savings from behavior</w:t>
        </w:r>
        <w:r w:rsidRPr="00FC5CD9">
          <w:rPr>
            <w:rFonts w:cstheme="minorHAnsi"/>
            <w:szCs w:val="20"/>
          </w:rPr>
          <w:t xml:space="preserve"> programs continue over time (i.e., whether they persist beyond the initial program year). </w:t>
        </w:r>
        <w:r>
          <w:rPr>
            <w:rFonts w:cstheme="minorHAnsi"/>
            <w:szCs w:val="20"/>
          </w:rPr>
          <w:t>Behavior programs have now been delivered for a number of years in many jurisdictions. The weight of evaluation evidence indicates that the energy-saving behaviors influenced through these programs can persist beyond the initial period of program intervention, even without continued program participation</w:t>
        </w:r>
        <w:r>
          <w:rPr>
            <w:rStyle w:val="FootnoteReference"/>
            <w:szCs w:val="20"/>
          </w:rPr>
          <w:footnoteReference w:id="2"/>
        </w:r>
        <w:r>
          <w:rPr>
            <w:rFonts w:cstheme="minorHAnsi"/>
            <w:szCs w:val="20"/>
          </w:rPr>
          <w:t>. This post-treatment savings persistence has implications for calculations of first year savings, measure life, and cost-effectiveness testing. Accounting for persistence will yield savings and cost-effectiveness estimates that more accurately reflect the true benefits of these programs. Because</w:t>
        </w:r>
        <w:r w:rsidRPr="0056671B">
          <w:rPr>
            <w:rFonts w:cstheme="minorHAnsi"/>
            <w:szCs w:val="20"/>
          </w:rPr>
          <w:t xml:space="preserve"> annual goals </w:t>
        </w:r>
        <w:r>
          <w:rPr>
            <w:rFonts w:cstheme="minorHAnsi"/>
            <w:szCs w:val="20"/>
          </w:rPr>
          <w:t xml:space="preserve">are </w:t>
        </w:r>
        <w:r w:rsidRPr="0056671B">
          <w:rPr>
            <w:rFonts w:cstheme="minorHAnsi"/>
            <w:szCs w:val="20"/>
          </w:rPr>
          <w:t>based on first-</w:t>
        </w:r>
        <w:r>
          <w:rPr>
            <w:rFonts w:cstheme="minorHAnsi"/>
            <w:szCs w:val="20"/>
          </w:rPr>
          <w:t xml:space="preserve">year savings, programs should </w:t>
        </w:r>
        <w:r w:rsidRPr="0056671B">
          <w:rPr>
            <w:rFonts w:cstheme="minorHAnsi"/>
            <w:szCs w:val="20"/>
          </w:rPr>
          <w:t xml:space="preserve">only count savings attributable to first-year spending. </w:t>
        </w:r>
        <w:r>
          <w:rPr>
            <w:rFonts w:cstheme="minorHAnsi"/>
            <w:szCs w:val="20"/>
          </w:rPr>
          <w:t xml:space="preserve">The effect of persistence of savings beyond the first year should be included in lifetime savings calculations and cost-effectiveness testing. </w:t>
        </w:r>
      </w:ins>
    </w:p>
    <w:p w14:paraId="16394B24" w14:textId="77777777" w:rsidR="00BE2808" w:rsidRDefault="00BE2808" w:rsidP="00BE2808">
      <w:pPr>
        <w:widowControl/>
        <w:spacing w:after="0"/>
        <w:jc w:val="left"/>
        <w:rPr>
          <w:ins w:id="38" w:author="Stephanie Baer" w:date="2015-12-18T17:03:00Z"/>
          <w:rFonts w:cstheme="minorHAnsi"/>
          <w:szCs w:val="20"/>
        </w:rPr>
      </w:pPr>
    </w:p>
    <w:p w14:paraId="2F0452B0" w14:textId="77777777" w:rsidR="00BE2808" w:rsidRDefault="00BE2808" w:rsidP="00BE2808">
      <w:pPr>
        <w:widowControl/>
        <w:spacing w:after="0"/>
        <w:rPr>
          <w:ins w:id="39" w:author="Stephanie Baer" w:date="2015-12-18T17:03:00Z"/>
          <w:rFonts w:cstheme="minorHAnsi"/>
          <w:szCs w:val="20"/>
        </w:rPr>
      </w:pPr>
      <w:ins w:id="40" w:author="Stephanie Baer" w:date="2015-12-18T17:03:00Z">
        <w:r>
          <w:rPr>
            <w:rFonts w:cstheme="minorHAnsi"/>
            <w:szCs w:val="20"/>
          </w:rPr>
          <w:t xml:space="preserve">The protocol below was developed to outline the adjustments that should be made to account for the persistence of savings beyond the year of program delivery. This protocol is applicable to behavior programs of any type, delivered to residential or C&amp;I customers, that has evaluated evidence of program persistence. </w:t>
        </w:r>
      </w:ins>
    </w:p>
    <w:p w14:paraId="53E4F3AB" w14:textId="77777777" w:rsidR="00BE2808" w:rsidRDefault="00BE2808" w:rsidP="00BE2808">
      <w:pPr>
        <w:widowControl/>
        <w:spacing w:after="0"/>
        <w:rPr>
          <w:ins w:id="41" w:author="Stephanie Baer" w:date="2015-12-18T17:03:00Z"/>
          <w:rFonts w:cstheme="minorHAnsi"/>
          <w:szCs w:val="20"/>
        </w:rPr>
      </w:pPr>
      <w:ins w:id="42" w:author="Stephanie Baer" w:date="2015-12-18T17:03:00Z">
        <w:r>
          <w:rPr>
            <w:rFonts w:cstheme="minorHAnsi"/>
            <w:szCs w:val="20"/>
          </w:rPr>
          <w:t xml:space="preserve">  </w:t>
        </w:r>
      </w:ins>
    </w:p>
    <w:p w14:paraId="1164B6C6" w14:textId="77777777" w:rsidR="00BE2808" w:rsidRPr="000B7BB6" w:rsidRDefault="00BE2808" w:rsidP="00BE2808">
      <w:pPr>
        <w:widowControl/>
        <w:spacing w:after="0"/>
        <w:rPr>
          <w:ins w:id="43" w:author="Stephanie Baer" w:date="2015-12-18T17:03:00Z"/>
          <w:rFonts w:cstheme="minorHAnsi"/>
          <w:szCs w:val="20"/>
        </w:rPr>
      </w:pPr>
      <w:ins w:id="44" w:author="Stephanie Baer" w:date="2015-12-18T17:03:00Z">
        <w:r>
          <w:rPr>
            <w:rFonts w:cstheme="minorHAnsi"/>
            <w:szCs w:val="20"/>
          </w:rPr>
          <w:t>This general protocol should be used for any type of behavior program once supportable assumptions for persistence exist. The protocol will become effective for residential HERs-type programs as of June 1, 2017 - it is provided here for program planning purposes. Ongoing programs will undergo a “reset” upon institution of this protocol. Regardless of any previous history of behavior program delivery, the program year 2018 will be assumed to be Year 1 for the purpose of the incorporation of multiyear measure life/savings persistence into cost-effectiveness calculations and for the application of the adjustments to annual savings as outlined below. A</w:t>
        </w:r>
        <w:r w:rsidRPr="00BC2484">
          <w:rPr>
            <w:rFonts w:cstheme="minorHAnsi"/>
            <w:szCs w:val="20"/>
          </w:rPr>
          <w:t xml:space="preserve">ll </w:t>
        </w:r>
        <w:r>
          <w:rPr>
            <w:rFonts w:cstheme="minorHAnsi"/>
            <w:szCs w:val="20"/>
          </w:rPr>
          <w:t xml:space="preserve">residential HERs-type </w:t>
        </w:r>
        <w:r w:rsidRPr="00BC2484">
          <w:rPr>
            <w:rFonts w:cstheme="minorHAnsi"/>
            <w:szCs w:val="20"/>
          </w:rPr>
          <w:t xml:space="preserve">programs prior </w:t>
        </w:r>
        <w:r>
          <w:rPr>
            <w:rFonts w:cstheme="minorHAnsi"/>
            <w:szCs w:val="20"/>
          </w:rPr>
          <w:t>to June 1, 2017 will assume a 1-</w:t>
        </w:r>
        <w:r w:rsidRPr="00BC2484">
          <w:rPr>
            <w:rFonts w:cstheme="minorHAnsi"/>
            <w:szCs w:val="20"/>
          </w:rPr>
          <w:t>year measure life</w:t>
        </w:r>
        <w:r>
          <w:rPr>
            <w:rFonts w:cstheme="minorHAnsi"/>
            <w:szCs w:val="20"/>
          </w:rPr>
          <w:t>.</w:t>
        </w:r>
        <w:r w:rsidRPr="00BC2484">
          <w:rPr>
            <w:rFonts w:cstheme="minorHAnsi"/>
            <w:szCs w:val="20"/>
          </w:rPr>
          <w:t xml:space="preserve"> </w:t>
        </w:r>
        <w:r>
          <w:rPr>
            <w:rFonts w:cstheme="minorHAnsi"/>
            <w:szCs w:val="20"/>
          </w:rPr>
          <w:t>The assumptions and protocols outlined below</w:t>
        </w:r>
        <w:r w:rsidRPr="00BC2484">
          <w:rPr>
            <w:rFonts w:cstheme="minorHAnsi"/>
            <w:szCs w:val="20"/>
          </w:rPr>
          <w:t xml:space="preserve"> </w:t>
        </w:r>
        <w:r>
          <w:rPr>
            <w:rFonts w:cstheme="minorHAnsi"/>
            <w:szCs w:val="20"/>
          </w:rPr>
          <w:t>will not</w:t>
        </w:r>
        <w:r w:rsidRPr="00BC2484">
          <w:rPr>
            <w:rFonts w:cstheme="minorHAnsi"/>
            <w:szCs w:val="20"/>
          </w:rPr>
          <w:t xml:space="preserve"> be </w:t>
        </w:r>
        <w:r>
          <w:rPr>
            <w:rFonts w:cstheme="minorHAnsi"/>
            <w:szCs w:val="20"/>
          </w:rPr>
          <w:t>applied</w:t>
        </w:r>
        <w:r w:rsidRPr="00BC2484">
          <w:rPr>
            <w:rFonts w:cstheme="minorHAnsi"/>
            <w:szCs w:val="20"/>
          </w:rPr>
          <w:t xml:space="preserve"> retrospectively to any utility programs</w:t>
        </w:r>
        <w:r>
          <w:rPr>
            <w:rFonts w:cstheme="minorHAnsi"/>
            <w:szCs w:val="20"/>
          </w:rPr>
          <w:t>. All other types of behavior programs continue to use a 1-year measure life until supportable evidence exists for savings persistence.</w:t>
        </w:r>
      </w:ins>
    </w:p>
    <w:p w14:paraId="5FC480A0" w14:textId="77777777" w:rsidR="00BE2808" w:rsidRPr="000B7BB6" w:rsidRDefault="00BE2808" w:rsidP="00BE2808">
      <w:pPr>
        <w:pStyle w:val="Style1"/>
        <w:rPr>
          <w:ins w:id="45" w:author="Stephanie Baer" w:date="2015-12-18T17:03:00Z"/>
        </w:rPr>
      </w:pPr>
      <w:ins w:id="46" w:author="Stephanie Baer" w:date="2015-12-18T17:03:00Z">
        <w:del w:id="47" w:author="Cheryl Jenkins" w:date="2015-12-18T11:15:00Z">
          <w:r w:rsidRPr="00FC2B81" w:rsidDel="00D76FB4">
            <w:delText xml:space="preserve">Definition </w:delText>
          </w:r>
        </w:del>
        <w:r>
          <w:t>Determination</w:t>
        </w:r>
        <w:r w:rsidRPr="00FC2B81">
          <w:t xml:space="preserve"> of Efficient </w:t>
        </w:r>
        <w:del w:id="48" w:author="Cheryl Jenkins" w:date="2015-12-18T11:15:00Z">
          <w:r w:rsidRPr="00FC2B81" w:rsidDel="00D76FB4">
            <w:delText>Equipment</w:delText>
          </w:r>
        </w:del>
        <w:r>
          <w:t>Behavior</w:t>
        </w:r>
      </w:ins>
    </w:p>
    <w:p w14:paraId="10876AE5" w14:textId="77777777" w:rsidR="00BE2808" w:rsidRPr="00C44653" w:rsidRDefault="00BE2808" w:rsidP="00BE2808">
      <w:pPr>
        <w:rPr>
          <w:ins w:id="49" w:author="Stephanie Baer" w:date="2015-12-18T17:03:00Z"/>
          <w:rFonts w:cstheme="minorHAnsi"/>
        </w:rPr>
      </w:pPr>
      <w:ins w:id="50" w:author="Stephanie Baer" w:date="2015-12-18T17:03:00Z">
        <w:r w:rsidRPr="00C44653">
          <w:rPr>
            <w:rFonts w:cstheme="minorHAnsi"/>
          </w:rPr>
          <w:t>Behavior programs focus primarily on reducing electricity and natural gas consumption through behavioral changes; this reduction is generally measured through ex-post billing analysis after program intervention. Specific energy conservation and management behaviors are not usually directly observable. The specific definition of the efficient case is part of the design of behavioral programs and is included as part of the custom saving protocol.</w:t>
        </w:r>
      </w:ins>
    </w:p>
    <w:p w14:paraId="361C94D4" w14:textId="77777777" w:rsidR="00BE2808" w:rsidRPr="000B7BB6" w:rsidRDefault="00BE2808" w:rsidP="00BE2808">
      <w:pPr>
        <w:pStyle w:val="Style1"/>
        <w:rPr>
          <w:ins w:id="51" w:author="Stephanie Baer" w:date="2015-12-18T17:03:00Z"/>
        </w:rPr>
      </w:pPr>
      <w:ins w:id="52" w:author="Stephanie Baer" w:date="2015-12-18T17:03:00Z">
        <w:del w:id="53" w:author="Cheryl Jenkins" w:date="2015-12-18T11:15:00Z">
          <w:r w:rsidRPr="00FC2B81" w:rsidDel="00D76FB4">
            <w:lastRenderedPageBreak/>
            <w:delText xml:space="preserve">Definition </w:delText>
          </w:r>
        </w:del>
        <w:r>
          <w:t xml:space="preserve">Determination </w:t>
        </w:r>
        <w:r w:rsidRPr="00FC2B81">
          <w:t xml:space="preserve">of Baseline </w:t>
        </w:r>
        <w:del w:id="54" w:author="Cheryl Jenkins" w:date="2015-12-18T11:15:00Z">
          <w:r w:rsidRPr="00FC2B81" w:rsidDel="00D76FB4">
            <w:delText>Equipment</w:delText>
          </w:r>
        </w:del>
        <w:r>
          <w:t>Behavior</w:t>
        </w:r>
      </w:ins>
    </w:p>
    <w:p w14:paraId="0186675B" w14:textId="77777777" w:rsidR="00BE2808" w:rsidRPr="00152A43" w:rsidRDefault="00BE2808" w:rsidP="00BE2808">
      <w:pPr>
        <w:rPr>
          <w:ins w:id="55" w:author="Stephanie Baer" w:date="2015-12-18T17:03:00Z"/>
        </w:rPr>
      </w:pPr>
      <w:ins w:id="56" w:author="Stephanie Baer" w:date="2015-12-18T17:03:00Z">
        <w:r>
          <w:rPr>
            <w:rFonts w:cstheme="minorHAnsi"/>
          </w:rPr>
          <w:t xml:space="preserve">The ideal baseline for behavior programs is the energy usage without the program intervention. Various types of experimental, quasi-experimental, and regression-based EM&amp;V approaches are used to present statistically valid approximations to this without-program baseline. </w:t>
        </w:r>
        <w:r w:rsidRPr="000D19C4">
          <w:rPr>
            <w:rFonts w:cstheme="minorHAnsi"/>
          </w:rPr>
          <w:t xml:space="preserve">The specific definition of the </w:t>
        </w:r>
        <w:r>
          <w:rPr>
            <w:rFonts w:cstheme="minorHAnsi"/>
          </w:rPr>
          <w:t xml:space="preserve">baseline </w:t>
        </w:r>
        <w:r w:rsidRPr="000D19C4">
          <w:rPr>
            <w:rFonts w:cstheme="minorHAnsi"/>
          </w:rPr>
          <w:t xml:space="preserve">case is part of the design of behavioral programs and is included </w:t>
        </w:r>
        <w:r>
          <w:rPr>
            <w:rFonts w:cstheme="minorHAnsi"/>
          </w:rPr>
          <w:t>as part of</w:t>
        </w:r>
        <w:r w:rsidRPr="000D19C4">
          <w:rPr>
            <w:rFonts w:cstheme="minorHAnsi"/>
          </w:rPr>
          <w:t xml:space="preserve"> the custom saving protocol.</w:t>
        </w:r>
      </w:ins>
    </w:p>
    <w:p w14:paraId="1C37B579" w14:textId="77777777" w:rsidR="00BE2808" w:rsidRPr="000B7BB6" w:rsidRDefault="00BE2808" w:rsidP="00BE2808">
      <w:pPr>
        <w:pStyle w:val="Style1"/>
        <w:rPr>
          <w:ins w:id="57" w:author="Stephanie Baer" w:date="2015-12-18T17:03:00Z"/>
        </w:rPr>
      </w:pPr>
      <w:ins w:id="58" w:author="Stephanie Baer" w:date="2015-12-18T17:03:00Z">
        <w:r w:rsidRPr="000B7BB6">
          <w:t>Deemed Lifetime</w:t>
        </w:r>
        <w:r>
          <w:t>/Persistence</w:t>
        </w:r>
        <w:r w:rsidRPr="000B7BB6">
          <w:t xml:space="preserve"> of </w:t>
        </w:r>
        <w:r>
          <w:t>Savings</w:t>
        </w:r>
      </w:ins>
    </w:p>
    <w:p w14:paraId="2039AB44" w14:textId="77777777" w:rsidR="00BE2808" w:rsidRPr="000B7BB6" w:rsidRDefault="00BE2808" w:rsidP="00BE2808">
      <w:pPr>
        <w:rPr>
          <w:ins w:id="59" w:author="Stephanie Baer" w:date="2015-12-18T17:03:00Z"/>
          <w:rFonts w:cstheme="minorHAnsi"/>
        </w:rPr>
      </w:pPr>
      <w:ins w:id="60" w:author="Stephanie Baer" w:date="2015-12-18T17:03:00Z">
        <w:r w:rsidRPr="00C15C7A">
          <w:rPr>
            <w:rFonts w:cstheme="minorHAnsi"/>
            <w:noProof/>
          </w:rPr>
          <w:t xml:space="preserve">Evaluations in Illinois have shown that savings from </w:t>
        </w:r>
        <w:r>
          <w:rPr>
            <w:rFonts w:cstheme="minorHAnsi"/>
            <w:noProof/>
          </w:rPr>
          <w:t xml:space="preserve">residential HERs-type </w:t>
        </w:r>
        <w:r w:rsidRPr="00C15C7A">
          <w:rPr>
            <w:rFonts w:cstheme="minorHAnsi"/>
            <w:noProof/>
          </w:rPr>
          <w:t>behavior programs can persist into the year following program delivery</w:t>
        </w:r>
        <w:r w:rsidRPr="00C15C7A">
          <w:rPr>
            <w:rStyle w:val="FootnoteReference"/>
            <w:noProof/>
          </w:rPr>
          <w:footnoteReference w:id="3"/>
        </w:r>
        <w:r w:rsidRPr="00C15C7A">
          <w:rPr>
            <w:rFonts w:cstheme="minorHAnsi"/>
            <w:noProof/>
          </w:rPr>
          <w:t xml:space="preserve">, though savings levels decay in the second year. For </w:t>
        </w:r>
        <w:del w:id="63" w:author="Cheryl Jenkins" w:date="2015-12-18T16:01:00Z">
          <w:r w:rsidRPr="00C15C7A" w:rsidDel="00E10F33">
            <w:rPr>
              <w:rFonts w:cstheme="minorHAnsi"/>
              <w:noProof/>
            </w:rPr>
            <w:delText xml:space="preserve">the </w:delText>
          </w:r>
        </w:del>
        <w:r>
          <w:rPr>
            <w:rFonts w:cstheme="minorHAnsi"/>
            <w:noProof/>
          </w:rPr>
          <w:t>other</w:t>
        </w:r>
        <w:r w:rsidRPr="00C15C7A">
          <w:rPr>
            <w:rFonts w:cstheme="minorHAnsi"/>
            <w:noProof/>
          </w:rPr>
          <w:t xml:space="preserve"> behavior programs evaluated to date (residential RCT programs), savings have been shown to persist </w:t>
        </w:r>
        <w:del w:id="64" w:author="Cheryl Jenkins" w:date="2015-12-18T16:02:00Z">
          <w:r w:rsidRPr="00C15C7A" w:rsidDel="00E10F33">
            <w:rPr>
              <w:rFonts w:cstheme="minorHAnsi"/>
              <w:noProof/>
            </w:rPr>
            <w:delText>in the</w:delText>
          </w:r>
        </w:del>
        <w:r>
          <w:rPr>
            <w:rFonts w:cstheme="minorHAnsi"/>
            <w:noProof/>
          </w:rPr>
          <w:t>for up to 3 years</w:t>
        </w:r>
        <w:r w:rsidRPr="00C15C7A">
          <w:rPr>
            <w:rFonts w:cstheme="minorHAnsi"/>
            <w:noProof/>
          </w:rPr>
          <w:t xml:space="preserve"> year following program delivery</w:t>
        </w:r>
        <w:r>
          <w:rPr>
            <w:rStyle w:val="FootnoteReference"/>
            <w:noProof/>
          </w:rPr>
          <w:footnoteReference w:id="4"/>
        </w:r>
        <w:r>
          <w:rPr>
            <w:rFonts w:cstheme="minorHAnsi"/>
            <w:noProof/>
          </w:rPr>
          <w:t>, and industry expectations are that savings likely persist beyond that</w:t>
        </w:r>
        <w:r w:rsidRPr="00C15C7A">
          <w:rPr>
            <w:rFonts w:cstheme="minorHAnsi"/>
            <w:noProof/>
          </w:rPr>
          <w:t xml:space="preserve">. </w:t>
        </w:r>
        <w:del w:id="67" w:author="Cheryl Jenkins" w:date="2015-12-18T16:06:00Z">
          <w:r w:rsidRPr="00C15C7A" w:rsidDel="00057D5A">
            <w:rPr>
              <w:rFonts w:cstheme="minorHAnsi"/>
              <w:noProof/>
            </w:rPr>
            <w:delText>Measure life for these program is thus set</w:delText>
          </w:r>
        </w:del>
        <w:r>
          <w:rPr>
            <w:rFonts w:cstheme="minorHAnsi"/>
            <w:noProof/>
          </w:rPr>
          <w:t>We assume here that savings persist at some level</w:t>
        </w:r>
        <w:del w:id="68" w:author="Cheryl Jenkins" w:date="2015-12-18T16:06:00Z">
          <w:r w:rsidRPr="00C15C7A" w:rsidDel="00057D5A">
            <w:rPr>
              <w:rFonts w:cstheme="minorHAnsi"/>
              <w:noProof/>
            </w:rPr>
            <w:delText xml:space="preserve"> at</w:delText>
          </w:r>
        </w:del>
        <w:r>
          <w:rPr>
            <w:rFonts w:cstheme="minorHAnsi"/>
            <w:noProof/>
          </w:rPr>
          <w:t xml:space="preserve"> for</w:t>
        </w:r>
        <w:r w:rsidRPr="00C15C7A">
          <w:rPr>
            <w:rFonts w:cstheme="minorHAnsi"/>
            <w:noProof/>
          </w:rPr>
          <w:t xml:space="preserve"> </w:t>
        </w:r>
        <w:del w:id="69" w:author="Cheryl Jenkins" w:date="2015-12-18T15:57:00Z">
          <w:r w:rsidRPr="00C15C7A" w:rsidDel="00C15C7A">
            <w:rPr>
              <w:rFonts w:cstheme="minorHAnsi"/>
              <w:noProof/>
            </w:rPr>
            <w:delText xml:space="preserve">2 </w:delText>
          </w:r>
        </w:del>
        <w:r w:rsidRPr="00C15C7A">
          <w:rPr>
            <w:rFonts w:cstheme="minorHAnsi"/>
            <w:noProof/>
          </w:rPr>
          <w:t>5 years. Savings over those 5 years are not equal, however</w:t>
        </w:r>
        <w:del w:id="70" w:author="Cheryl Jenkins" w:date="2015-12-18T15:58:00Z">
          <w:r w:rsidRPr="00C15C7A" w:rsidDel="00C15C7A">
            <w:rPr>
              <w:rFonts w:cstheme="minorHAnsi"/>
              <w:noProof/>
            </w:rPr>
            <w:delText xml:space="preserve">; </w:delText>
          </w:r>
        </w:del>
        <w:r w:rsidRPr="00C15C7A">
          <w:rPr>
            <w:rFonts w:cstheme="minorHAnsi"/>
            <w:noProof/>
          </w:rPr>
          <w:t xml:space="preserve">; </w:t>
        </w:r>
        <w:r>
          <w:rPr>
            <w:rFonts w:cstheme="minorHAnsi"/>
            <w:noProof/>
          </w:rPr>
          <w:t xml:space="preserve">it is preferable that </w:t>
        </w:r>
        <w:r w:rsidRPr="00C15C7A">
          <w:rPr>
            <w:rFonts w:cstheme="minorHAnsi"/>
            <w:noProof/>
          </w:rPr>
          <w:t>actual levels of ongoing savings should be calculated as outlined below (see</w:t>
        </w:r>
        <w:del w:id="71" w:author="Cheryl Jenkins" w:date="2015-12-18T15:56:00Z">
          <w:r w:rsidRPr="00C15C7A" w:rsidDel="00C15C7A">
            <w:rPr>
              <w:rFonts w:cstheme="minorHAnsi"/>
              <w:noProof/>
            </w:rPr>
            <w:delText>a mid-life adjustment</w:delText>
          </w:r>
        </w:del>
        <w:del w:id="72" w:author="Cheryl Jenkins" w:date="2015-12-18T15:59:00Z">
          <w:r w:rsidRPr="00C15C7A" w:rsidDel="00C15C7A">
            <w:rPr>
              <w:rFonts w:cstheme="minorHAnsi"/>
              <w:noProof/>
            </w:rPr>
            <w:delText xml:space="preserve"> is required in the </w:delText>
          </w:r>
        </w:del>
        <w:del w:id="73" w:author="Cheryl Jenkins" w:date="2015-12-18T15:57:00Z">
          <w:r w:rsidRPr="00C15C7A" w:rsidDel="00C15C7A">
            <w:rPr>
              <w:rFonts w:cstheme="minorHAnsi"/>
              <w:noProof/>
            </w:rPr>
            <w:delText xml:space="preserve">second </w:delText>
          </w:r>
        </w:del>
        <w:del w:id="74" w:author="Cheryl Jenkins" w:date="2015-12-18T15:59:00Z">
          <w:r w:rsidRPr="00C15C7A" w:rsidDel="00C15C7A">
            <w:rPr>
              <w:rFonts w:cstheme="minorHAnsi"/>
              <w:noProof/>
            </w:rPr>
            <w:delText>year to appropriately record the reduction in savings seen in evaluations.</w:delText>
          </w:r>
        </w:del>
        <w:r>
          <w:rPr>
            <w:rFonts w:cstheme="minorHAnsi"/>
            <w:noProof/>
          </w:rPr>
          <w:t xml:space="preserve"> </w:t>
        </w:r>
        <w:r w:rsidRPr="00C15C7A">
          <w:rPr>
            <w:rFonts w:cstheme="minorHAnsi"/>
            <w:noProof/>
          </w:rPr>
          <w:t>Application of Persistence for Cost-effectiveness</w:t>
        </w:r>
        <w:r>
          <w:rPr>
            <w:rFonts w:cstheme="minorHAnsi"/>
            <w:noProof/>
          </w:rPr>
          <w:t>) and used in cost-effectiveness and lifetime savings calculations. Alternatively, an effective measure life can be calculated as Effective Measure Life = Total Lifetime Savings/ First Year Savings = 3.25 years. No persistence information is currently available for other behavior program types. Measure life is assumed = 1 year for such other programs.</w:t>
        </w:r>
      </w:ins>
    </w:p>
    <w:p w14:paraId="5F6C198B" w14:textId="77777777" w:rsidR="00BE2808" w:rsidRPr="000B7BB6" w:rsidRDefault="00BE2808" w:rsidP="00BE2808">
      <w:pPr>
        <w:pStyle w:val="Style1"/>
        <w:rPr>
          <w:ins w:id="75" w:author="Stephanie Baer" w:date="2015-12-18T17:03:00Z"/>
        </w:rPr>
      </w:pPr>
      <w:ins w:id="76" w:author="Stephanie Baer" w:date="2015-12-18T17:03:00Z">
        <w:r w:rsidRPr="000B7BB6">
          <w:t xml:space="preserve">Deemed Measure Cost </w:t>
        </w:r>
      </w:ins>
    </w:p>
    <w:p w14:paraId="511CD6C7" w14:textId="77777777" w:rsidR="00BE2808" w:rsidRPr="000B7BB6" w:rsidRDefault="00BE2808" w:rsidP="00BE2808">
      <w:pPr>
        <w:rPr>
          <w:ins w:id="77" w:author="Stephanie Baer" w:date="2015-12-18T17:03:00Z"/>
          <w:rFonts w:cstheme="minorHAnsi"/>
        </w:rPr>
      </w:pPr>
      <w:ins w:id="78" w:author="Stephanie Baer" w:date="2015-12-18T17:03:00Z">
        <w:r>
          <w:t xml:space="preserve">It is assumed that  most behavior changes in residential settings can be accomplished with homeowner labor only and without investment in new equipment; measure costs in such programs may be defined as $0. Costs for C&amp;I programs may include additional staffing, software purchases, etc. </w:t>
        </w:r>
        <w:r>
          <w:rPr>
            <w:rFonts w:cstheme="minorHAnsi"/>
          </w:rPr>
          <w:t>Cost is therefore program specific and is determined on a custom basis.</w:t>
        </w:r>
      </w:ins>
    </w:p>
    <w:p w14:paraId="5A687A64" w14:textId="77777777" w:rsidR="00BE2808" w:rsidRDefault="00BE2808" w:rsidP="00BE2808">
      <w:pPr>
        <w:pStyle w:val="Style1"/>
        <w:rPr>
          <w:ins w:id="79" w:author="Stephanie Baer" w:date="2015-12-18T17:03:00Z"/>
        </w:rPr>
      </w:pPr>
      <w:ins w:id="80" w:author="Stephanie Baer" w:date="2015-12-18T17:03:00Z">
        <w:r w:rsidRPr="000B7BB6">
          <w:t>Loadshape</w:t>
        </w:r>
        <w:r>
          <w:t xml:space="preserve"> and Coincidence Factor</w:t>
        </w:r>
      </w:ins>
    </w:p>
    <w:p w14:paraId="752C2FF5" w14:textId="77777777" w:rsidR="00BE2808" w:rsidRDefault="00BE2808" w:rsidP="00BE2808">
      <w:pPr>
        <w:rPr>
          <w:ins w:id="81" w:author="Stephanie Baer" w:date="2015-12-18T17:03:00Z"/>
          <w:b/>
          <w:smallCaps/>
        </w:rPr>
      </w:pPr>
      <w:ins w:id="82" w:author="Stephanie Baer" w:date="2015-12-18T17:03:00Z">
        <w:r>
          <w:t xml:space="preserve">There is evidence from analysis of AMI data that the usage loadshape for </w:t>
        </w:r>
        <w:del w:id="83" w:author="Cheryl Jenkins" w:date="2015-12-18T11:47:00Z">
          <w:r w:rsidDel="00330A8E">
            <w:delText>E</w:delText>
          </w:r>
        </w:del>
        <w:del w:id="84" w:author="Cheryl Jenkins" w:date="2015-12-18T12:12:00Z">
          <w:r w:rsidRPr="00152A43" w:rsidDel="00B23AD6">
            <w:delText xml:space="preserve">lectric savings </w:delText>
          </w:r>
          <w:r w:rsidDel="00B23AD6">
            <w:delText xml:space="preserve">for </w:delText>
          </w:r>
        </w:del>
        <w:r>
          <w:t xml:space="preserve">residential HERs-type programs mirrors  the whole-house electric energy load pattern, which indicates a </w:t>
        </w:r>
        <w:r w:rsidRPr="009527A7">
          <w:t>flat savings loadshape</w:t>
        </w:r>
        <w:r>
          <w:t xml:space="preserve"> and a coincidence factor of 1.0.</w:t>
        </w:r>
        <w:del w:id="85" w:author="Cheryl Jenkins" w:date="2015-12-18T12:14:00Z">
          <w:r w:rsidRPr="00152A43" w:rsidDel="00B23AD6">
            <w:delText xml:space="preserve">are </w:delText>
          </w:r>
          <w:r w:rsidDel="00B23AD6">
            <w:delText xml:space="preserve">assumed to be </w:delText>
          </w:r>
          <w:r w:rsidRPr="00152A43" w:rsidDel="00B23AD6">
            <w:delText>domina</w:delText>
          </w:r>
          <w:r w:rsidDel="00B23AD6">
            <w:delText xml:space="preserve">ted by indoor lighting savings </w:delText>
          </w:r>
          <w:r w:rsidRPr="00152A43" w:rsidDel="00B23AD6">
            <w:delText>–</w:delText>
          </w:r>
        </w:del>
        <w:r>
          <w:t xml:space="preserve"> </w:t>
        </w:r>
        <w:del w:id="86" w:author="Cheryl Jenkins" w:date="2015-12-18T12:19:00Z">
          <w:r w:rsidRPr="00152A43" w:rsidDel="00B23AD6">
            <w:delText>Loadshape R06 – Residential Indoor Lighting is applied</w:delText>
          </w:r>
          <w:r w:rsidDel="00B23AD6">
            <w:delText xml:space="preserve"> to those programs</w:delText>
          </w:r>
          <w:r w:rsidRPr="00152A43" w:rsidDel="00B23AD6">
            <w:delText>.</w:delText>
          </w:r>
          <w:r w:rsidDel="00B23AD6">
            <w:delText xml:space="preserve"> </w:delText>
          </w:r>
        </w:del>
      </w:ins>
    </w:p>
    <w:p w14:paraId="3B38BDD8" w14:textId="77777777" w:rsidR="00BE2808" w:rsidRPr="000B7BB6" w:rsidDel="002D5F9F" w:rsidRDefault="00BE2808" w:rsidP="00BE2808">
      <w:pPr>
        <w:pStyle w:val="Heading6"/>
        <w:keepNext w:val="0"/>
        <w:keepLines w:val="0"/>
        <w:rPr>
          <w:ins w:id="87" w:author="Stephanie Baer" w:date="2015-12-18T17:03:00Z"/>
          <w:del w:id="88" w:author="Cheryl Jenkins" w:date="2015-12-18T12:29:00Z"/>
        </w:rPr>
      </w:pPr>
      <w:ins w:id="89" w:author="Stephanie Baer" w:date="2015-12-18T17:03:00Z">
        <w:del w:id="90" w:author="Cheryl Jenkins" w:date="2015-12-18T12:29:00Z">
          <w:r w:rsidRPr="00FC2B81" w:rsidDel="002D5F9F">
            <w:delText>Coincidence Factor</w:delText>
          </w:r>
        </w:del>
      </w:ins>
    </w:p>
    <w:p w14:paraId="0AD7DA6B" w14:textId="77777777" w:rsidR="00BE2808" w:rsidRPr="00E42E58" w:rsidDel="002D5F9F" w:rsidRDefault="00BE2808" w:rsidP="00BE2808">
      <w:pPr>
        <w:rPr>
          <w:ins w:id="91" w:author="Stephanie Baer" w:date="2015-12-18T17:03:00Z"/>
          <w:del w:id="92" w:author="Cheryl Jenkins" w:date="2015-12-18T12:29:00Z"/>
          <w:rFonts w:ascii="Calibri" w:hAnsi="Calibri"/>
        </w:rPr>
      </w:pPr>
      <w:ins w:id="93" w:author="Stephanie Baer" w:date="2015-12-18T17:03:00Z">
        <w:del w:id="94" w:author="Cheryl Jenkins" w:date="2015-12-18T12:29:00Z">
          <w:r w:rsidRPr="00E42E58" w:rsidDel="002D5F9F">
            <w:rPr>
              <w:rFonts w:ascii="Calibri" w:hAnsi="Calibri"/>
            </w:rPr>
            <w:delText>Consistent with the coincidence factor for TOS residential CFL measures</w:delText>
          </w:r>
          <w:r w:rsidDel="002D5F9F">
            <w:rPr>
              <w:rFonts w:ascii="Calibri" w:hAnsi="Calibri"/>
            </w:rPr>
            <w:delText xml:space="preserve"> in unknown location</w:delText>
          </w:r>
          <w:r w:rsidRPr="00E42E58" w:rsidDel="002D5F9F">
            <w:rPr>
              <w:rFonts w:ascii="Calibri" w:hAnsi="Calibri"/>
            </w:rPr>
            <w:delText>, coincidence fac</w:delText>
          </w:r>
          <w:r w:rsidDel="002D5F9F">
            <w:rPr>
              <w:rFonts w:ascii="Calibri" w:hAnsi="Calibri"/>
            </w:rPr>
            <w:delText>tor</w:delText>
          </w:r>
          <w:r w:rsidRPr="00E42E58" w:rsidDel="002D5F9F">
            <w:rPr>
              <w:rFonts w:ascii="Calibri" w:hAnsi="Calibri"/>
            </w:rPr>
            <w:delText xml:space="preserve"> </w:delText>
          </w:r>
          <w:r w:rsidDel="002D5F9F">
            <w:rPr>
              <w:rFonts w:ascii="Calibri" w:hAnsi="Calibri"/>
            </w:rPr>
            <w:delText>is</w:delText>
          </w:r>
          <w:r w:rsidRPr="00E42E58" w:rsidDel="002D5F9F">
            <w:rPr>
              <w:rFonts w:ascii="Calibri" w:hAnsi="Calibri"/>
            </w:rPr>
            <w:delText xml:space="preserve"> 8.1%</w:delText>
          </w:r>
          <w:r w:rsidRPr="00E42E58" w:rsidDel="002D5F9F">
            <w:rPr>
              <w:rFonts w:ascii="Arial" w:hAnsi="Arial"/>
              <w:vertAlign w:val="superscript"/>
            </w:rPr>
            <w:footnoteReference w:id="5"/>
          </w:r>
          <w:r w:rsidRPr="00E42E58" w:rsidDel="002D5F9F">
            <w:rPr>
              <w:rFonts w:ascii="Calibri" w:hAnsi="Calibri"/>
            </w:rPr>
            <w:delText>.</w:delText>
          </w:r>
        </w:del>
      </w:ins>
    </w:p>
    <w:p w14:paraId="15E2F146" w14:textId="77777777" w:rsidR="00BE2808" w:rsidRPr="000B7BB6" w:rsidRDefault="00BE2808" w:rsidP="00BE2808">
      <w:pPr>
        <w:rPr>
          <w:ins w:id="99" w:author="Stephanie Baer" w:date="2015-12-18T17:03:00Z"/>
          <w:rFonts w:cstheme="minorHAnsi"/>
        </w:rPr>
      </w:pPr>
    </w:p>
    <w:p w14:paraId="3E4EB8F6" w14:textId="77777777" w:rsidR="00BE2808" w:rsidRPr="00A05FC2" w:rsidRDefault="00BE2808" w:rsidP="00BE2808">
      <w:pPr>
        <w:pStyle w:val="AlgorithmHeading"/>
        <w:rPr>
          <w:ins w:id="100" w:author="Stephanie Baer" w:date="2015-12-18T17:03:00Z"/>
        </w:rPr>
      </w:pPr>
      <w:ins w:id="101" w:author="Stephanie Baer" w:date="2015-12-18T17:03:00Z">
        <w:r w:rsidRPr="00A05FC2">
          <w:t>Algorithm</w:t>
        </w:r>
      </w:ins>
    </w:p>
    <w:p w14:paraId="6D1A877C" w14:textId="77777777" w:rsidR="00BE2808" w:rsidRDefault="00BE2808" w:rsidP="00BE2808">
      <w:pPr>
        <w:pStyle w:val="Style1"/>
        <w:rPr>
          <w:ins w:id="102" w:author="Stephanie Baer" w:date="2015-12-18T17:03:00Z"/>
        </w:rPr>
      </w:pPr>
      <w:ins w:id="103" w:author="Stephanie Baer" w:date="2015-12-18T17:03:00Z">
        <w:r w:rsidRPr="00B41203">
          <w:t xml:space="preserve">Calculation of Savings </w:t>
        </w:r>
      </w:ins>
    </w:p>
    <w:p w14:paraId="2DCCA33F" w14:textId="77777777" w:rsidR="00BE2808" w:rsidRPr="007E3747" w:rsidRDefault="00BE2808">
      <w:pPr>
        <w:rPr>
          <w:ins w:id="104" w:author="Stephanie Baer" w:date="2015-12-18T17:03:00Z"/>
        </w:rPr>
        <w:pPrChange w:id="105" w:author="Cheryl Jenkins" w:date="2015-12-18T13:12:00Z">
          <w:pPr>
            <w:pStyle w:val="Heading6"/>
          </w:pPr>
        </w:pPrChange>
      </w:pPr>
      <w:ins w:id="106" w:author="Stephanie Baer" w:date="2015-12-18T17:03:00Z">
        <w:r w:rsidRPr="00F00147">
          <w:rPr>
            <w:b/>
            <w:rPrChange w:id="107" w:author="Cheryl Jenkins" w:date="2015-12-18T13:12:00Z">
              <w:rPr>
                <w:b/>
                <w:smallCaps/>
                <w:sz w:val="22"/>
              </w:rPr>
            </w:rPrChange>
          </w:rPr>
          <w:t>Throughout these protocols, Year T refers to the current reporting year.</w:t>
        </w:r>
      </w:ins>
    </w:p>
    <w:p w14:paraId="1E9F83D3" w14:textId="77777777" w:rsidR="00BE2808" w:rsidRDefault="00BE2808" w:rsidP="00BE2808">
      <w:pPr>
        <w:pStyle w:val="Style1"/>
        <w:rPr>
          <w:ins w:id="108" w:author="Stephanie Baer" w:date="2015-12-18T17:03:00Z"/>
        </w:rPr>
      </w:pPr>
      <w:ins w:id="109" w:author="Stephanie Baer" w:date="2015-12-18T17:03:00Z">
        <w:r w:rsidRPr="000B7BB6">
          <w:lastRenderedPageBreak/>
          <w:t>Electric Energy Savings</w:t>
        </w:r>
      </w:ins>
    </w:p>
    <w:p w14:paraId="68910A9E" w14:textId="77777777" w:rsidR="00BE2808" w:rsidRPr="00BA0183" w:rsidRDefault="00BE2808" w:rsidP="00BE2808">
      <w:pPr>
        <w:rPr>
          <w:ins w:id="110" w:author="Stephanie Baer" w:date="2015-12-18T17:03:00Z"/>
        </w:rPr>
      </w:pPr>
      <w:ins w:id="111" w:author="Stephanie Baer" w:date="2015-12-18T17:03:00Z">
        <w:r w:rsidRPr="00BA0183">
          <w:rPr>
            <w:rFonts w:ascii="Calibri" w:hAnsi="Calibri"/>
            <w:szCs w:val="20"/>
          </w:rPr>
          <w:t xml:space="preserve">The algorithm </w:t>
        </w:r>
        <w:r>
          <w:rPr>
            <w:rFonts w:ascii="Calibri" w:hAnsi="Calibri"/>
            <w:szCs w:val="20"/>
          </w:rPr>
          <w:t xml:space="preserve">shown below </w:t>
        </w:r>
        <w:r w:rsidRPr="00BA0183">
          <w:rPr>
            <w:rFonts w:ascii="Calibri" w:hAnsi="Calibri"/>
            <w:szCs w:val="20"/>
          </w:rPr>
          <w:t xml:space="preserve">for this measure was developed </w:t>
        </w:r>
        <w:r>
          <w:rPr>
            <w:rFonts w:ascii="Calibri" w:hAnsi="Calibri"/>
            <w:szCs w:val="20"/>
          </w:rPr>
          <w:t xml:space="preserve">to calculate the annual electric savings in to be reported in year T after adjustment to account for the proportion of the measured savings for that program year that actually reflects persistent savings from </w:t>
        </w:r>
        <w:del w:id="112" w:author="Cheryl Jenkins" w:date="2015-12-18T13:13:00Z">
          <w:r w:rsidDel="00F00147">
            <w:rPr>
              <w:rFonts w:ascii="Calibri" w:hAnsi="Calibri"/>
              <w:szCs w:val="20"/>
            </w:rPr>
            <w:delText xml:space="preserve">the </w:delText>
          </w:r>
        </w:del>
        <w:r>
          <w:rPr>
            <w:rFonts w:ascii="Calibri" w:hAnsi="Calibri"/>
            <w:szCs w:val="20"/>
          </w:rPr>
          <w:t>prior years’</w:t>
        </w:r>
        <w:del w:id="113" w:author="Cheryl Jenkins" w:date="2015-12-18T12:41:00Z">
          <w:r w:rsidDel="00253F34">
            <w:rPr>
              <w:rFonts w:ascii="Calibri" w:hAnsi="Calibri"/>
              <w:szCs w:val="20"/>
            </w:rPr>
            <w:delText>’s</w:delText>
          </w:r>
        </w:del>
        <w:r>
          <w:rPr>
            <w:rFonts w:ascii="Calibri" w:hAnsi="Calibri"/>
            <w:szCs w:val="20"/>
          </w:rPr>
          <w:t xml:space="preserve"> </w:t>
        </w:r>
        <w:del w:id="114" w:author="Cheryl Jenkins" w:date="2015-12-18T12:41:00Z">
          <w:r w:rsidDel="00253F34">
            <w:rPr>
              <w:rFonts w:ascii="Calibri" w:hAnsi="Calibri"/>
              <w:szCs w:val="20"/>
            </w:rPr>
            <w:delText xml:space="preserve">(T-1) </w:delText>
          </w:r>
        </w:del>
        <w:r>
          <w:rPr>
            <w:rFonts w:ascii="Calibri" w:hAnsi="Calibri"/>
            <w:szCs w:val="20"/>
          </w:rPr>
          <w:t xml:space="preserve">program activities. </w:t>
        </w:r>
      </w:ins>
    </w:p>
    <w:p w14:paraId="1F514EDB" w14:textId="77777777" w:rsidR="00BE2808" w:rsidRDefault="00BE2808" w:rsidP="00BE2808">
      <w:pPr>
        <w:spacing w:after="0"/>
        <w:ind w:left="1440" w:hanging="720"/>
        <w:rPr>
          <w:ins w:id="115" w:author="Stephanie Baer" w:date="2015-12-18T17:03:00Z"/>
          <w:rFonts w:ascii="Calibri" w:hAnsi="Calibri" w:cs="Calibri"/>
          <w:noProof/>
        </w:rPr>
      </w:pPr>
      <w:ins w:id="116" w:author="Stephanie Baer" w:date="2015-12-18T17:03:00Z">
        <w:r w:rsidRPr="006F2DB3">
          <w:rPr>
            <w:rFonts w:ascii="Calibri" w:hAnsi="Calibri" w:cs="Calibri"/>
            <w:noProof/>
          </w:rPr>
          <w:t>ΔkWh</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ΔkWh</w:t>
        </w:r>
        <w:r w:rsidRPr="006F2DB3">
          <w:rPr>
            <w:rFonts w:ascii="Calibri" w:hAnsi="Calibri" w:cs="Calibri"/>
            <w:noProof/>
            <w:vertAlign w:val="subscript"/>
          </w:rPr>
          <w:t>T Measured</w:t>
        </w:r>
        <w:r w:rsidRPr="006F2DB3">
          <w:rPr>
            <w:rFonts w:ascii="Calibri" w:hAnsi="Calibri" w:cs="Calibri"/>
            <w:noProof/>
          </w:rPr>
          <w:t xml:space="preserve"> – (ΔkWh</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(ΔkWh</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14:paraId="0D4AD9EA" w14:textId="77777777" w:rsidR="00BE2808" w:rsidRPr="006F2DB3" w:rsidRDefault="00BE2808" w:rsidP="00BE2808">
      <w:pPr>
        <w:ind w:left="1980"/>
        <w:rPr>
          <w:ins w:id="117" w:author="Stephanie Baer" w:date="2015-12-18T17:03:00Z"/>
          <w:rFonts w:ascii="Calibri" w:hAnsi="Calibri" w:cs="Calibri"/>
          <w:noProof/>
        </w:rPr>
      </w:pPr>
      <w:ins w:id="118" w:author="Stephanie Baer" w:date="2015-12-18T17:03:00Z">
        <w:r w:rsidRPr="006F2DB3">
          <w:rPr>
            <w:rFonts w:ascii="Calibri" w:hAnsi="Calibri" w:cs="Calibri"/>
            <w:noProof/>
          </w:rPr>
          <w:t>– (ΔkWh</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(ΔkWh</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ins>
    </w:p>
    <w:p w14:paraId="0B969BE3" w14:textId="77777777" w:rsidR="00BE2808" w:rsidRPr="00B506AB" w:rsidDel="006F2DB3" w:rsidRDefault="00BE2808" w:rsidP="00BE2808">
      <w:pPr>
        <w:ind w:left="2160" w:hanging="1440"/>
        <w:rPr>
          <w:ins w:id="119" w:author="Stephanie Baer" w:date="2015-12-18T17:03:00Z"/>
          <w:del w:id="120" w:author="Cheryl Jenkins" w:date="2015-12-18T16:27:00Z"/>
          <w:rFonts w:cstheme="minorHAnsi"/>
          <w:noProof/>
        </w:rPr>
      </w:pPr>
      <w:ins w:id="121" w:author="Stephanie Baer" w:date="2015-12-18T17:03:00Z">
        <w:del w:id="122" w:author="Cheryl Jenkins" w:date="2015-12-18T16:27:00Z">
          <w:r w:rsidRPr="000B7BB6" w:rsidDel="006F2DB3">
            <w:rPr>
              <w:rFonts w:cstheme="minorHAnsi"/>
              <w:noProof/>
            </w:rPr>
            <w:delText>ΔkWh</w:delText>
          </w:r>
          <w:r w:rsidRPr="00B506AB" w:rsidDel="006F2DB3">
            <w:rPr>
              <w:rFonts w:cstheme="minorHAnsi"/>
              <w:noProof/>
              <w:vertAlign w:val="subscript"/>
            </w:rPr>
            <w:delText>T</w:delText>
          </w:r>
          <w:r w:rsidDel="006F2DB3">
            <w:delText xml:space="preserve"> </w:delText>
          </w:r>
          <w:r w:rsidDel="006F2DB3">
            <w:rPr>
              <w:rFonts w:cstheme="minorHAnsi"/>
              <w:noProof/>
            </w:rPr>
            <w:delText>= (</w:delText>
          </w:r>
          <w:r w:rsidRPr="000B7BB6" w:rsidDel="006F2DB3">
            <w:rPr>
              <w:rFonts w:cstheme="minorHAnsi"/>
              <w:noProof/>
            </w:rPr>
            <w:delText>ΔkWh</w:delText>
          </w:r>
          <w:r w:rsidDel="006F2DB3">
            <w:rPr>
              <w:rFonts w:cstheme="minorHAnsi"/>
              <w:noProof/>
              <w:vertAlign w:val="subscript"/>
            </w:rPr>
            <w:delText xml:space="preserve">Avg, </w:delText>
          </w:r>
          <w:r w:rsidRPr="00AB48F4" w:rsidDel="006F2DB3">
            <w:rPr>
              <w:rFonts w:cstheme="minorHAnsi"/>
              <w:noProof/>
              <w:vertAlign w:val="subscript"/>
            </w:rPr>
            <w:delText>T</w:delText>
          </w:r>
          <w:r w:rsidRPr="00C445A4" w:rsidDel="006F2DB3">
            <w:rPr>
              <w:rFonts w:cstheme="minorHAnsi"/>
              <w:noProof/>
            </w:rPr>
            <w:delText xml:space="preserve"> </w:delText>
          </w:r>
          <w:r w:rsidDel="006F2DB3">
            <w:rPr>
              <w:rFonts w:cstheme="minorHAnsi"/>
              <w:noProof/>
            </w:rPr>
            <w:delText>* #Part</w:delText>
          </w:r>
          <w:r w:rsidRPr="00B506AB" w:rsidDel="006F2DB3">
            <w:rPr>
              <w:rFonts w:cstheme="minorHAnsi"/>
              <w:noProof/>
              <w:vertAlign w:val="subscript"/>
            </w:rPr>
            <w:delText>T</w:delText>
          </w:r>
          <w:r w:rsidDel="006F2DB3">
            <w:rPr>
              <w:rFonts w:cstheme="minorHAnsi"/>
              <w:noProof/>
            </w:rPr>
            <w:delText>) – [</w:delText>
          </w:r>
          <w:r w:rsidRPr="000B7BB6" w:rsidDel="006F2DB3">
            <w:rPr>
              <w:rFonts w:cstheme="minorHAnsi"/>
              <w:noProof/>
            </w:rPr>
            <w:delText>ΔkWh</w:delText>
          </w:r>
          <w:r w:rsidRPr="00AB48F4" w:rsidDel="006F2DB3">
            <w:rPr>
              <w:rFonts w:cstheme="minorHAnsi"/>
              <w:noProof/>
              <w:vertAlign w:val="subscript"/>
            </w:rPr>
            <w:delText>Avg</w:delText>
          </w:r>
          <w:r w:rsidDel="006F2DB3">
            <w:rPr>
              <w:rFonts w:cstheme="minorHAnsi"/>
              <w:noProof/>
            </w:rPr>
            <w:delText xml:space="preserve">, </w:delText>
          </w:r>
          <w:r w:rsidDel="006F2DB3">
            <w:rPr>
              <w:rFonts w:cstheme="minorHAnsi"/>
              <w:noProof/>
              <w:vertAlign w:val="subscript"/>
            </w:rPr>
            <w:delText>T-1</w:delText>
          </w:r>
          <w:r w:rsidRPr="00C445A4" w:rsidDel="006F2DB3">
            <w:rPr>
              <w:rFonts w:cstheme="minorHAnsi"/>
              <w:noProof/>
            </w:rPr>
            <w:delText xml:space="preserve"> </w:delText>
          </w:r>
          <w:r w:rsidDel="006F2DB3">
            <w:rPr>
              <w:rFonts w:cstheme="minorHAnsi"/>
              <w:noProof/>
            </w:rPr>
            <w:delText>* (#Part</w:delText>
          </w:r>
          <w:r w:rsidRPr="00B506AB" w:rsidDel="006F2DB3">
            <w:rPr>
              <w:rFonts w:cstheme="minorHAnsi"/>
              <w:noProof/>
              <w:vertAlign w:val="subscript"/>
            </w:rPr>
            <w:delText>T</w:delText>
          </w:r>
          <w:r w:rsidDel="006F2DB3">
            <w:rPr>
              <w:rFonts w:cstheme="minorHAnsi"/>
              <w:noProof/>
              <w:vertAlign w:val="subscript"/>
            </w:rPr>
            <w:delText>-1</w:delText>
          </w:r>
          <w:r w:rsidDel="006F2DB3">
            <w:rPr>
              <w:rFonts w:cstheme="minorHAnsi"/>
              <w:noProof/>
            </w:rPr>
            <w:delText xml:space="preserve"> * RR</w:delText>
          </w:r>
          <w:r w:rsidRPr="00B506AB" w:rsidDel="006F2DB3">
            <w:rPr>
              <w:rFonts w:cstheme="minorHAnsi"/>
              <w:noProof/>
              <w:vertAlign w:val="subscript"/>
            </w:rPr>
            <w:delText>T</w:delText>
          </w:r>
          <w:r w:rsidDel="006F2DB3">
            <w:rPr>
              <w:rFonts w:cstheme="minorHAnsi"/>
              <w:noProof/>
            </w:rPr>
            <w:delText>) * PF]</w:delText>
          </w:r>
        </w:del>
      </w:ins>
    </w:p>
    <w:p w14:paraId="2BE6F795" w14:textId="77777777" w:rsidR="00BE2808" w:rsidRPr="000B7BB6" w:rsidRDefault="00BE2808" w:rsidP="00BE2808">
      <w:pPr>
        <w:ind w:left="1440" w:hanging="720"/>
        <w:rPr>
          <w:ins w:id="123" w:author="Stephanie Baer" w:date="2015-12-18T17:03:00Z"/>
          <w:rFonts w:cstheme="minorHAnsi"/>
          <w:noProof/>
        </w:rPr>
      </w:pPr>
      <w:ins w:id="124" w:author="Stephanie Baer" w:date="2015-12-18T17:03:00Z">
        <w:r w:rsidRPr="00B41203">
          <w:rPr>
            <w:rFonts w:cstheme="minorHAnsi"/>
            <w:noProof/>
          </w:rPr>
          <w:t>Where:</w:t>
        </w:r>
      </w:ins>
    </w:p>
    <w:p w14:paraId="56B4D7BC" w14:textId="77777777" w:rsidR="00BE2808" w:rsidRDefault="00BE2808" w:rsidP="00BE2808">
      <w:pPr>
        <w:ind w:left="1440"/>
        <w:rPr>
          <w:ins w:id="125" w:author="Stephanie Baer" w:date="2015-12-18T17:03:00Z"/>
          <w:rFonts w:cstheme="minorHAnsi"/>
          <w:szCs w:val="20"/>
        </w:rPr>
      </w:pPr>
      <w:ins w:id="126" w:author="Stephanie Baer" w:date="2015-12-18T17:03:00Z">
        <w:r w:rsidRPr="000B7BB6">
          <w:rPr>
            <w:rFonts w:cstheme="minorHAnsi"/>
            <w:noProof/>
          </w:rPr>
          <w:t>ΔkWh</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ins>
    </w:p>
    <w:p w14:paraId="72C52182" w14:textId="77777777" w:rsidR="00BE2808" w:rsidRDefault="00BE2808" w:rsidP="00BE2808">
      <w:pPr>
        <w:ind w:left="1440"/>
        <w:rPr>
          <w:ins w:id="127" w:author="Stephanie Baer" w:date="2015-12-18T17:03:00Z"/>
          <w:rFonts w:cstheme="minorHAnsi"/>
          <w:szCs w:val="20"/>
        </w:rPr>
      </w:pPr>
      <w:ins w:id="128" w:author="Stephanie Baer" w:date="2015-12-18T17:03:00Z">
        <w:r w:rsidRPr="000B7BB6">
          <w:rPr>
            <w:rFonts w:cstheme="minorHAnsi"/>
            <w:noProof/>
          </w:rPr>
          <w:t>ΔkWh</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 value)</w:t>
        </w:r>
      </w:ins>
    </w:p>
    <w:p w14:paraId="0FA36CBE" w14:textId="77777777" w:rsidR="00BE2808" w:rsidRDefault="00BE2808" w:rsidP="00BE2808">
      <w:pPr>
        <w:tabs>
          <w:tab w:val="left" w:pos="2160"/>
        </w:tabs>
        <w:ind w:left="1440"/>
        <w:rPr>
          <w:ins w:id="129" w:author="Stephanie Baer" w:date="2015-12-18T17:03:00Z"/>
          <w:rFonts w:cstheme="minorHAnsi"/>
          <w:szCs w:val="20"/>
        </w:rPr>
      </w:pPr>
      <w:ins w:id="130" w:author="Stephanie Baer" w:date="2015-12-18T17:03:00Z">
        <w:r>
          <w:rPr>
            <w:rFonts w:cstheme="minorHAnsi"/>
            <w:szCs w:val="20"/>
          </w:rPr>
          <w:t>RR</w:t>
        </w:r>
        <w:r>
          <w:rPr>
            <w:rFonts w:cstheme="minorHAnsi"/>
            <w:szCs w:val="20"/>
            <w:vertAlign w:val="subscript"/>
          </w:rPr>
          <w:t>X</w:t>
        </w:r>
        <w:r>
          <w:rPr>
            <w:rFonts w:cstheme="minorHAnsi"/>
            <w:szCs w:val="20"/>
          </w:rPr>
          <w:tab/>
          <w:t xml:space="preserve"> = Program retention rate in year X (input value)</w:t>
        </w:r>
      </w:ins>
    </w:p>
    <w:p w14:paraId="0B8F79E3" w14:textId="77777777" w:rsidR="00BE2808" w:rsidRDefault="00BE2808" w:rsidP="00BE2808">
      <w:pPr>
        <w:ind w:left="1440"/>
        <w:rPr>
          <w:ins w:id="131" w:author="Stephanie Baer" w:date="2015-12-18T17:03:00Z"/>
          <w:rFonts w:cstheme="minorHAnsi"/>
          <w:szCs w:val="20"/>
        </w:rPr>
      </w:pPr>
      <w:ins w:id="132" w:author="Stephanie Baer" w:date="2015-12-18T17:03:00Z">
        <w:r>
          <w:rPr>
            <w:rFonts w:cstheme="minorHAnsi"/>
            <w:szCs w:val="20"/>
          </w:rPr>
          <w:tab/>
          <w:t xml:space="preserve"> = % of program participants in year X that are still in program in current year</w:t>
        </w:r>
      </w:ins>
    </w:p>
    <w:p w14:paraId="1A43AA2C" w14:textId="77777777" w:rsidR="00BE2808" w:rsidRDefault="00BE2808" w:rsidP="00BE2808">
      <w:pPr>
        <w:ind w:left="1440"/>
        <w:rPr>
          <w:ins w:id="133" w:author="Stephanie Baer" w:date="2015-12-18T17:03:00Z"/>
          <w:rFonts w:cstheme="minorHAnsi"/>
          <w:szCs w:val="20"/>
        </w:rPr>
      </w:pPr>
      <w:ins w:id="134" w:author="Stephanie Baer" w:date="2015-12-18T17:03:00Z">
        <w:r>
          <w:rPr>
            <w:rFonts w:cstheme="minorHAnsi"/>
            <w:szCs w:val="20"/>
          </w:rPr>
          <w:t>PF</w:t>
        </w:r>
        <w:r>
          <w:rPr>
            <w:rFonts w:cstheme="minorHAnsi"/>
            <w:szCs w:val="20"/>
            <w:vertAlign w:val="subscript"/>
          </w:rPr>
          <w:t>Y</w:t>
        </w:r>
        <w:r>
          <w:rPr>
            <w:rFonts w:cstheme="minorHAnsi"/>
            <w:szCs w:val="20"/>
          </w:rPr>
          <w:tab/>
          <w:t xml:space="preserve"> = Persistence factor (deemed value)</w:t>
        </w:r>
      </w:ins>
    </w:p>
    <w:p w14:paraId="30E41002" w14:textId="77777777" w:rsidR="00BE2808" w:rsidRPr="00C3735C" w:rsidRDefault="00BE2808" w:rsidP="00BE2808">
      <w:pPr>
        <w:ind w:left="1440"/>
        <w:rPr>
          <w:ins w:id="135" w:author="Stephanie Baer" w:date="2015-12-18T17:03:00Z"/>
          <w:rFonts w:cstheme="minorHAnsi"/>
          <w:szCs w:val="20"/>
        </w:rPr>
      </w:pPr>
      <w:ins w:id="136" w:author="Stephanie Baer" w:date="2015-12-18T17:03:00Z">
        <w:r>
          <w:rPr>
            <w:rFonts w:cstheme="minorHAnsi"/>
            <w:szCs w:val="20"/>
          </w:rPr>
          <w:tab/>
          <w:t xml:space="preserve"> = % savings </w:t>
        </w:r>
        <w:del w:id="137" w:author="Cheryl Jenkins" w:date="2015-12-18T15:40:00Z">
          <w:r w:rsidDel="00407FBA">
            <w:rPr>
              <w:rFonts w:cstheme="minorHAnsi"/>
              <w:szCs w:val="20"/>
            </w:rPr>
            <w:delText>from year X that continue into year X+</w:delText>
          </w:r>
        </w:del>
        <w:del w:id="138" w:author="Cheryl Jenkins" w:date="2015-12-18T15:38:00Z">
          <w:r w:rsidDel="00407FBA">
            <w:rPr>
              <w:rFonts w:cstheme="minorHAnsi"/>
              <w:szCs w:val="20"/>
            </w:rPr>
            <w:delText>1</w:delText>
          </w:r>
        </w:del>
        <w:r>
          <w:rPr>
            <w:rFonts w:cstheme="minorHAnsi"/>
            <w:szCs w:val="20"/>
          </w:rPr>
          <w:t xml:space="preserve">that persist Y years afterwards </w:t>
        </w:r>
      </w:ins>
    </w:p>
    <w:p w14:paraId="3846F525" w14:textId="77777777" w:rsidR="00BE2808" w:rsidRDefault="00BE2808" w:rsidP="00BE2808">
      <w:pPr>
        <w:ind w:left="1440" w:firstLine="720"/>
        <w:jc w:val="left"/>
        <w:rPr>
          <w:ins w:id="139" w:author="Stephanie Baer" w:date="2015-12-18T17:03:00Z"/>
          <w:rFonts w:cstheme="minorHAnsi"/>
          <w:szCs w:val="20"/>
        </w:rPr>
      </w:pPr>
      <w:ins w:id="140" w:author="Stephanie Baer" w:date="2015-12-18T17:03:00Z">
        <w:r>
          <w:rPr>
            <w:rFonts w:cstheme="minorHAnsi"/>
            <w:szCs w:val="20"/>
          </w:rPr>
          <w:t xml:space="preserve"> </w:t>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ins>
    </w:p>
    <w:p w14:paraId="15374CCF" w14:textId="77777777" w:rsidR="00BE2808" w:rsidRPr="00CF05D0" w:rsidRDefault="00BE2808">
      <w:pPr>
        <w:ind w:left="187"/>
        <w:jc w:val="left"/>
        <w:rPr>
          <w:ins w:id="141" w:author="Stephanie Baer" w:date="2015-12-18T17:03:00Z"/>
          <w:rFonts w:cstheme="minorHAnsi"/>
          <w:b/>
          <w:szCs w:val="20"/>
          <w:rPrChange w:id="142" w:author="Cheryl Jenkins" w:date="2015-12-18T15:44:00Z">
            <w:rPr>
              <w:ins w:id="143" w:author="Stephanie Baer" w:date="2015-12-18T17:03:00Z"/>
              <w:rFonts w:cstheme="minorHAnsi"/>
              <w:szCs w:val="20"/>
            </w:rPr>
          </w:rPrChange>
        </w:rPr>
        <w:pPrChange w:id="144" w:author="Cheryl Jenkins" w:date="2015-12-18T15:44:00Z">
          <w:pPr>
            <w:ind w:left="1440" w:firstLine="720"/>
            <w:jc w:val="left"/>
          </w:pPr>
        </w:pPrChange>
      </w:pPr>
      <w:ins w:id="145" w:author="Stephanie Baer" w:date="2015-12-18T17:03:00Z">
        <w:r w:rsidRPr="00CF05D0">
          <w:rPr>
            <w:rFonts w:cstheme="minorHAnsi"/>
            <w:b/>
            <w:szCs w:val="20"/>
            <w:rPrChange w:id="146" w:author="Cheryl Jenkins" w:date="2015-12-18T15:44:00Z">
              <w:rPr>
                <w:rFonts w:cstheme="minorHAnsi"/>
                <w:szCs w:val="20"/>
              </w:rPr>
            </w:rPrChange>
          </w:rPr>
          <w:t>Electric Persistence Factors</w:t>
        </w:r>
      </w:ins>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E2808" w:rsidRPr="00407FBA" w14:paraId="2B3A1F75" w14:textId="77777777" w:rsidTr="00943770">
        <w:trPr>
          <w:ins w:id="147" w:author="Stephanie Baer" w:date="2015-12-18T17:03:00Z"/>
        </w:trPr>
        <w:tc>
          <w:tcPr>
            <w:tcW w:w="1596" w:type="dxa"/>
            <w:shd w:val="clear" w:color="auto" w:fill="7F7F7F" w:themeFill="text1" w:themeFillTint="80"/>
            <w:vAlign w:val="center"/>
          </w:tcPr>
          <w:p w14:paraId="058A55CE" w14:textId="77777777" w:rsidR="00BE2808" w:rsidRPr="00407FBA" w:rsidRDefault="00BE2808" w:rsidP="00943770">
            <w:pPr>
              <w:widowControl/>
              <w:spacing w:after="0"/>
              <w:jc w:val="center"/>
              <w:rPr>
                <w:ins w:id="148" w:author="Stephanie Baer" w:date="2015-12-18T17:03:00Z"/>
                <w:rFonts w:ascii="Calibri" w:eastAsia="Calibri" w:hAnsi="Calibri"/>
                <w:b/>
                <w:color w:val="FFFFFF"/>
                <w:szCs w:val="20"/>
              </w:rPr>
            </w:pPr>
            <w:ins w:id="149" w:author="Stephanie Baer" w:date="2015-12-18T17:03:00Z">
              <w:r w:rsidRPr="00407FBA">
                <w:rPr>
                  <w:rFonts w:ascii="Calibri" w:eastAsia="Calibri" w:hAnsi="Calibri"/>
                  <w:b/>
                  <w:color w:val="FFFFFF"/>
                  <w:szCs w:val="20"/>
                </w:rPr>
                <w:t>Program Type</w:t>
              </w:r>
            </w:ins>
          </w:p>
        </w:tc>
        <w:tc>
          <w:tcPr>
            <w:tcW w:w="1596" w:type="dxa"/>
            <w:shd w:val="clear" w:color="auto" w:fill="7F7F7F" w:themeFill="text1" w:themeFillTint="80"/>
            <w:vAlign w:val="bottom"/>
          </w:tcPr>
          <w:p w14:paraId="270A6095" w14:textId="77777777" w:rsidR="00BE2808" w:rsidRPr="00407FBA" w:rsidRDefault="00BE2808" w:rsidP="00943770">
            <w:pPr>
              <w:widowControl/>
              <w:spacing w:after="0"/>
              <w:jc w:val="center"/>
              <w:rPr>
                <w:ins w:id="150" w:author="Stephanie Baer" w:date="2015-12-18T17:03:00Z"/>
                <w:rFonts w:ascii="Calibri" w:eastAsia="Calibri" w:hAnsi="Calibri"/>
                <w:b/>
                <w:color w:val="FFFFFF"/>
                <w:szCs w:val="20"/>
              </w:rPr>
            </w:pPr>
            <w:ins w:id="151" w:author="Stephanie Baer" w:date="2015-12-18T17:03:00Z">
              <w:r w:rsidRPr="00407FBA">
                <w:rPr>
                  <w:rFonts w:ascii="Calibri" w:eastAsia="Calibri" w:hAnsi="Calibri"/>
                  <w:b/>
                  <w:color w:val="FFFFFF"/>
                  <w:szCs w:val="20"/>
                </w:rPr>
                <w:t>Program Year T - record 100% of calculated savings (</w:t>
              </w:r>
              <w:r w:rsidRPr="00407FBA">
                <w:rPr>
                  <w:rFonts w:ascii="Calibri" w:hAnsi="Calibri" w:cs="Calibri"/>
                  <w:b/>
                  <w:noProof/>
                  <w:color w:val="FFFFFF"/>
                </w:rPr>
                <w:t>ΔkWh</w:t>
              </w:r>
              <w:r w:rsidRPr="00407FBA">
                <w:rPr>
                  <w:rFonts w:ascii="Calibri" w:hAnsi="Calibri" w:cs="Calibri"/>
                  <w:b/>
                  <w:noProof/>
                  <w:color w:val="FFFFFF"/>
                  <w:vertAlign w:val="subscript"/>
                </w:rPr>
                <w:t>T</w:t>
              </w:r>
              <w:r w:rsidRPr="00407FBA">
                <w:rPr>
                  <w:rFonts w:ascii="Calibri" w:eastAsia="Calibri" w:hAnsi="Calibri"/>
                  <w:b/>
                  <w:color w:val="FFFFFF"/>
                  <w:szCs w:val="20"/>
                </w:rPr>
                <w:t xml:space="preserve"> above)</w:t>
              </w:r>
            </w:ins>
          </w:p>
        </w:tc>
        <w:tc>
          <w:tcPr>
            <w:tcW w:w="1596" w:type="dxa"/>
            <w:shd w:val="clear" w:color="auto" w:fill="7F7F7F" w:themeFill="text1" w:themeFillTint="80"/>
            <w:vAlign w:val="bottom"/>
          </w:tcPr>
          <w:p w14:paraId="5427F611" w14:textId="77777777" w:rsidR="00BE2808" w:rsidRPr="00407FBA" w:rsidRDefault="00BE2808" w:rsidP="00943770">
            <w:pPr>
              <w:widowControl/>
              <w:spacing w:after="0"/>
              <w:jc w:val="center"/>
              <w:rPr>
                <w:ins w:id="152" w:author="Stephanie Baer" w:date="2015-12-18T17:03:00Z"/>
                <w:rFonts w:ascii="Calibri" w:eastAsia="Calibri" w:hAnsi="Calibri"/>
                <w:b/>
                <w:color w:val="FFFFFF"/>
                <w:szCs w:val="20"/>
              </w:rPr>
            </w:pPr>
            <w:ins w:id="153" w:author="Stephanie Baer" w:date="2015-12-18T17:03:00Z">
              <w:r w:rsidRPr="00407FBA">
                <w:rPr>
                  <w:rFonts w:ascii="Calibri" w:eastAsia="Calibri" w:hAnsi="Calibri"/>
                  <w:b/>
                  <w:color w:val="FFFFFF"/>
                  <w:szCs w:val="20"/>
                </w:rPr>
                <w:t>Percent savings from Year T activities that persist 1 year after year T</w:t>
              </w:r>
            </w:ins>
          </w:p>
        </w:tc>
        <w:tc>
          <w:tcPr>
            <w:tcW w:w="1596" w:type="dxa"/>
            <w:shd w:val="clear" w:color="auto" w:fill="7F7F7F" w:themeFill="text1" w:themeFillTint="80"/>
            <w:vAlign w:val="bottom"/>
          </w:tcPr>
          <w:p w14:paraId="1C17BE06" w14:textId="77777777" w:rsidR="00BE2808" w:rsidRPr="00407FBA" w:rsidRDefault="00BE2808" w:rsidP="00943770">
            <w:pPr>
              <w:widowControl/>
              <w:spacing w:after="0"/>
              <w:jc w:val="center"/>
              <w:rPr>
                <w:ins w:id="154" w:author="Stephanie Baer" w:date="2015-12-18T17:03:00Z"/>
                <w:rFonts w:ascii="Calibri" w:eastAsia="Calibri" w:hAnsi="Calibri"/>
                <w:b/>
                <w:color w:val="FFFFFF"/>
                <w:szCs w:val="20"/>
              </w:rPr>
            </w:pPr>
            <w:ins w:id="155" w:author="Stephanie Baer" w:date="2015-12-18T17:03:00Z">
              <w:r w:rsidRPr="00407FBA">
                <w:rPr>
                  <w:rFonts w:ascii="Calibri" w:eastAsia="Calibri" w:hAnsi="Calibri"/>
                  <w:b/>
                  <w:color w:val="FFFFFF"/>
                  <w:szCs w:val="20"/>
                </w:rPr>
                <w:t>Percent savings from Year T activities that persist 2 years after year T</w:t>
              </w:r>
            </w:ins>
          </w:p>
        </w:tc>
        <w:tc>
          <w:tcPr>
            <w:tcW w:w="1596" w:type="dxa"/>
            <w:shd w:val="clear" w:color="auto" w:fill="7F7F7F" w:themeFill="text1" w:themeFillTint="80"/>
            <w:vAlign w:val="bottom"/>
          </w:tcPr>
          <w:p w14:paraId="55E1A978" w14:textId="77777777" w:rsidR="00BE2808" w:rsidRPr="00407FBA" w:rsidRDefault="00BE2808" w:rsidP="00943770">
            <w:pPr>
              <w:widowControl/>
              <w:spacing w:after="0"/>
              <w:jc w:val="center"/>
              <w:rPr>
                <w:ins w:id="156" w:author="Stephanie Baer" w:date="2015-12-18T17:03:00Z"/>
                <w:rFonts w:ascii="Calibri" w:eastAsia="Calibri" w:hAnsi="Calibri"/>
                <w:b/>
                <w:color w:val="FFFFFF"/>
                <w:szCs w:val="20"/>
              </w:rPr>
            </w:pPr>
            <w:ins w:id="157" w:author="Stephanie Baer" w:date="2015-12-18T17:03:00Z">
              <w:r w:rsidRPr="00407FBA">
                <w:rPr>
                  <w:rFonts w:ascii="Calibri" w:eastAsia="Calibri" w:hAnsi="Calibri"/>
                  <w:b/>
                  <w:color w:val="FFFFFF"/>
                  <w:szCs w:val="20"/>
                </w:rPr>
                <w:t>Percent savings from Year T activities that persist 3 years after year T</w:t>
              </w:r>
            </w:ins>
          </w:p>
        </w:tc>
        <w:tc>
          <w:tcPr>
            <w:tcW w:w="1596" w:type="dxa"/>
            <w:shd w:val="clear" w:color="auto" w:fill="7F7F7F" w:themeFill="text1" w:themeFillTint="80"/>
            <w:vAlign w:val="bottom"/>
          </w:tcPr>
          <w:p w14:paraId="4D2F50C3" w14:textId="77777777" w:rsidR="00BE2808" w:rsidRPr="00407FBA" w:rsidRDefault="00BE2808" w:rsidP="00943770">
            <w:pPr>
              <w:widowControl/>
              <w:spacing w:after="0"/>
              <w:jc w:val="center"/>
              <w:rPr>
                <w:ins w:id="158" w:author="Stephanie Baer" w:date="2015-12-18T17:03:00Z"/>
                <w:rFonts w:ascii="Calibri" w:eastAsia="Calibri" w:hAnsi="Calibri"/>
                <w:b/>
                <w:color w:val="FFFFFF"/>
                <w:szCs w:val="20"/>
              </w:rPr>
            </w:pPr>
            <w:ins w:id="159" w:author="Stephanie Baer" w:date="2015-12-18T17:03:00Z">
              <w:r w:rsidRPr="00407FBA">
                <w:rPr>
                  <w:rFonts w:ascii="Calibri" w:eastAsia="Calibri" w:hAnsi="Calibri"/>
                  <w:b/>
                  <w:color w:val="FFFFFF"/>
                  <w:szCs w:val="20"/>
                </w:rPr>
                <w:t>Percent savings from Year T activities that persist 4 years after year T</w:t>
              </w:r>
            </w:ins>
          </w:p>
        </w:tc>
      </w:tr>
      <w:tr w:rsidR="00BE2808" w:rsidRPr="00407FBA" w14:paraId="0054AAEE" w14:textId="77777777" w:rsidTr="00943770">
        <w:trPr>
          <w:trHeight w:val="359"/>
          <w:ins w:id="160" w:author="Stephanie Baer" w:date="2015-12-18T17:03:00Z"/>
        </w:trPr>
        <w:tc>
          <w:tcPr>
            <w:tcW w:w="1596" w:type="dxa"/>
            <w:vAlign w:val="center"/>
          </w:tcPr>
          <w:p w14:paraId="6FD5A471" w14:textId="77777777" w:rsidR="00BE2808" w:rsidRPr="00407FBA" w:rsidRDefault="00BE2808" w:rsidP="00943770">
            <w:pPr>
              <w:widowControl/>
              <w:spacing w:after="0"/>
              <w:jc w:val="center"/>
              <w:rPr>
                <w:ins w:id="161" w:author="Stephanie Baer" w:date="2015-12-18T17:03:00Z"/>
                <w:rFonts w:ascii="Calibri" w:eastAsia="Calibri" w:hAnsi="Calibri"/>
                <w:szCs w:val="20"/>
              </w:rPr>
            </w:pPr>
          </w:p>
        </w:tc>
        <w:tc>
          <w:tcPr>
            <w:tcW w:w="1596" w:type="dxa"/>
            <w:vAlign w:val="center"/>
          </w:tcPr>
          <w:p w14:paraId="72127431" w14:textId="77777777" w:rsidR="00BE2808" w:rsidRPr="00407FBA" w:rsidRDefault="00BE2808" w:rsidP="00943770">
            <w:pPr>
              <w:widowControl/>
              <w:spacing w:after="0"/>
              <w:jc w:val="center"/>
              <w:rPr>
                <w:ins w:id="162" w:author="Stephanie Baer" w:date="2015-12-18T17:03:00Z"/>
                <w:rFonts w:ascii="Calibri" w:eastAsia="Calibri" w:hAnsi="Calibri"/>
                <w:szCs w:val="20"/>
              </w:rPr>
            </w:pPr>
          </w:p>
        </w:tc>
        <w:tc>
          <w:tcPr>
            <w:tcW w:w="1596" w:type="dxa"/>
            <w:vAlign w:val="center"/>
          </w:tcPr>
          <w:p w14:paraId="4900606E" w14:textId="77777777" w:rsidR="00BE2808" w:rsidRPr="00407FBA" w:rsidRDefault="00BE2808" w:rsidP="00943770">
            <w:pPr>
              <w:widowControl/>
              <w:spacing w:after="0"/>
              <w:jc w:val="center"/>
              <w:rPr>
                <w:ins w:id="163" w:author="Stephanie Baer" w:date="2015-12-18T17:03:00Z"/>
                <w:rFonts w:ascii="Calibri" w:eastAsia="Calibri" w:hAnsi="Calibri"/>
                <w:szCs w:val="20"/>
              </w:rPr>
            </w:pPr>
            <w:ins w:id="164" w:author="Stephanie Baer" w:date="2015-12-18T17:03:00Z">
              <w:r w:rsidRPr="00407FBA">
                <w:rPr>
                  <w:rFonts w:ascii="Calibri" w:eastAsia="Calibri" w:hAnsi="Calibri"/>
                  <w:szCs w:val="20"/>
                </w:rPr>
                <w:t>PF</w:t>
              </w:r>
              <w:r w:rsidRPr="00407FBA">
                <w:rPr>
                  <w:rFonts w:ascii="Calibri" w:eastAsia="Calibri" w:hAnsi="Calibri"/>
                  <w:szCs w:val="20"/>
                  <w:vertAlign w:val="subscript"/>
                </w:rPr>
                <w:t>1</w:t>
              </w:r>
            </w:ins>
          </w:p>
        </w:tc>
        <w:tc>
          <w:tcPr>
            <w:tcW w:w="1596" w:type="dxa"/>
            <w:vAlign w:val="center"/>
          </w:tcPr>
          <w:p w14:paraId="2E8033B4" w14:textId="77777777" w:rsidR="00BE2808" w:rsidRPr="00407FBA" w:rsidRDefault="00BE2808" w:rsidP="00943770">
            <w:pPr>
              <w:widowControl/>
              <w:spacing w:after="0"/>
              <w:jc w:val="center"/>
              <w:rPr>
                <w:ins w:id="165" w:author="Stephanie Baer" w:date="2015-12-18T17:03:00Z"/>
                <w:rFonts w:ascii="Calibri" w:eastAsia="Calibri" w:hAnsi="Calibri"/>
                <w:szCs w:val="20"/>
              </w:rPr>
            </w:pPr>
            <w:ins w:id="166" w:author="Stephanie Baer" w:date="2015-12-18T17:03:00Z">
              <w:r w:rsidRPr="00407FBA">
                <w:rPr>
                  <w:rFonts w:ascii="Calibri" w:eastAsia="Calibri" w:hAnsi="Calibri"/>
                  <w:szCs w:val="20"/>
                </w:rPr>
                <w:t>PF</w:t>
              </w:r>
              <w:r w:rsidRPr="00407FBA">
                <w:rPr>
                  <w:rFonts w:ascii="Calibri" w:eastAsia="Calibri" w:hAnsi="Calibri"/>
                  <w:szCs w:val="20"/>
                  <w:vertAlign w:val="subscript"/>
                </w:rPr>
                <w:t>2</w:t>
              </w:r>
            </w:ins>
          </w:p>
        </w:tc>
        <w:tc>
          <w:tcPr>
            <w:tcW w:w="1596" w:type="dxa"/>
            <w:vAlign w:val="center"/>
          </w:tcPr>
          <w:p w14:paraId="074C4EC5" w14:textId="77777777" w:rsidR="00BE2808" w:rsidRPr="00407FBA" w:rsidRDefault="00BE2808" w:rsidP="00943770">
            <w:pPr>
              <w:widowControl/>
              <w:spacing w:after="0"/>
              <w:jc w:val="center"/>
              <w:rPr>
                <w:ins w:id="167" w:author="Stephanie Baer" w:date="2015-12-18T17:03:00Z"/>
                <w:rFonts w:ascii="Calibri" w:eastAsia="Calibri" w:hAnsi="Calibri"/>
                <w:szCs w:val="20"/>
              </w:rPr>
            </w:pPr>
            <w:ins w:id="168" w:author="Stephanie Baer" w:date="2015-12-18T17:03:00Z">
              <w:r w:rsidRPr="00407FBA">
                <w:rPr>
                  <w:rFonts w:ascii="Calibri" w:eastAsia="Calibri" w:hAnsi="Calibri"/>
                  <w:szCs w:val="20"/>
                </w:rPr>
                <w:t>PF</w:t>
              </w:r>
              <w:r w:rsidRPr="00407FBA">
                <w:rPr>
                  <w:rFonts w:ascii="Calibri" w:eastAsia="Calibri" w:hAnsi="Calibri"/>
                  <w:szCs w:val="20"/>
                  <w:vertAlign w:val="subscript"/>
                </w:rPr>
                <w:t>3</w:t>
              </w:r>
            </w:ins>
          </w:p>
        </w:tc>
        <w:tc>
          <w:tcPr>
            <w:tcW w:w="1596" w:type="dxa"/>
            <w:vAlign w:val="center"/>
          </w:tcPr>
          <w:p w14:paraId="15768EE5" w14:textId="77777777" w:rsidR="00BE2808" w:rsidRPr="00407FBA" w:rsidRDefault="00BE2808" w:rsidP="00943770">
            <w:pPr>
              <w:widowControl/>
              <w:spacing w:after="0"/>
              <w:jc w:val="center"/>
              <w:rPr>
                <w:ins w:id="169" w:author="Stephanie Baer" w:date="2015-12-18T17:03:00Z"/>
                <w:rFonts w:ascii="Calibri" w:eastAsia="Calibri" w:hAnsi="Calibri"/>
                <w:szCs w:val="20"/>
              </w:rPr>
            </w:pPr>
            <w:ins w:id="170" w:author="Stephanie Baer" w:date="2015-12-18T17:03:00Z">
              <w:r w:rsidRPr="00407FBA">
                <w:rPr>
                  <w:rFonts w:ascii="Calibri" w:eastAsia="Calibri" w:hAnsi="Calibri"/>
                  <w:szCs w:val="20"/>
                </w:rPr>
                <w:t>PF</w:t>
              </w:r>
              <w:r w:rsidRPr="00407FBA">
                <w:rPr>
                  <w:rFonts w:ascii="Calibri" w:eastAsia="Calibri" w:hAnsi="Calibri"/>
                  <w:szCs w:val="20"/>
                  <w:vertAlign w:val="subscript"/>
                </w:rPr>
                <w:t>4</w:t>
              </w:r>
            </w:ins>
          </w:p>
        </w:tc>
      </w:tr>
      <w:tr w:rsidR="00BE2808" w:rsidRPr="00407FBA" w14:paraId="4E06BDBE" w14:textId="77777777" w:rsidTr="00943770">
        <w:trPr>
          <w:ins w:id="171" w:author="Stephanie Baer" w:date="2015-12-18T17:03:00Z"/>
        </w:trPr>
        <w:tc>
          <w:tcPr>
            <w:tcW w:w="1596" w:type="dxa"/>
          </w:tcPr>
          <w:p w14:paraId="4B2E27BB" w14:textId="77777777" w:rsidR="00BE2808" w:rsidRPr="00407FBA" w:rsidRDefault="00BE2808" w:rsidP="00943770">
            <w:pPr>
              <w:widowControl/>
              <w:spacing w:after="0"/>
              <w:jc w:val="center"/>
              <w:rPr>
                <w:ins w:id="172" w:author="Stephanie Baer" w:date="2015-12-18T17:03:00Z"/>
                <w:rFonts w:ascii="Calibri" w:eastAsia="Calibri" w:hAnsi="Calibri"/>
                <w:szCs w:val="20"/>
              </w:rPr>
            </w:pPr>
            <w:ins w:id="173" w:author="Stephanie Baer" w:date="2015-12-18T17:03:00Z">
              <w:r w:rsidRPr="00407FBA">
                <w:rPr>
                  <w:rFonts w:ascii="Calibri" w:eastAsia="Calibri" w:hAnsi="Calibri"/>
                  <w:szCs w:val="20"/>
                </w:rPr>
                <w:t>Residential HERs-type (RCT)</w:t>
              </w:r>
            </w:ins>
          </w:p>
        </w:tc>
        <w:tc>
          <w:tcPr>
            <w:tcW w:w="1596" w:type="dxa"/>
            <w:vAlign w:val="center"/>
          </w:tcPr>
          <w:p w14:paraId="44B6FE69" w14:textId="77777777" w:rsidR="00BE2808" w:rsidRPr="00407FBA" w:rsidRDefault="00BE2808" w:rsidP="00943770">
            <w:pPr>
              <w:widowControl/>
              <w:spacing w:after="0"/>
              <w:jc w:val="center"/>
              <w:rPr>
                <w:ins w:id="174" w:author="Stephanie Baer" w:date="2015-12-18T17:03:00Z"/>
                <w:rFonts w:ascii="Calibri" w:eastAsia="Calibri" w:hAnsi="Calibri"/>
                <w:szCs w:val="20"/>
              </w:rPr>
            </w:pPr>
            <w:ins w:id="175" w:author="Stephanie Baer" w:date="2015-12-18T17:03:00Z">
              <w:r w:rsidRPr="00407FBA">
                <w:rPr>
                  <w:rFonts w:ascii="Calibri" w:eastAsia="Calibri" w:hAnsi="Calibri"/>
                  <w:szCs w:val="20"/>
                </w:rPr>
                <w:t>100%</w:t>
              </w:r>
            </w:ins>
          </w:p>
        </w:tc>
        <w:tc>
          <w:tcPr>
            <w:tcW w:w="1596" w:type="dxa"/>
            <w:vAlign w:val="center"/>
          </w:tcPr>
          <w:p w14:paraId="3B4AE354" w14:textId="77777777" w:rsidR="00BE2808" w:rsidRPr="00407FBA" w:rsidRDefault="00BE2808" w:rsidP="00943770">
            <w:pPr>
              <w:widowControl/>
              <w:spacing w:after="0"/>
              <w:jc w:val="center"/>
              <w:rPr>
                <w:ins w:id="176" w:author="Stephanie Baer" w:date="2015-12-18T17:03:00Z"/>
                <w:rFonts w:ascii="Calibri" w:eastAsia="Calibri" w:hAnsi="Calibri"/>
                <w:szCs w:val="20"/>
              </w:rPr>
            </w:pPr>
            <w:ins w:id="177" w:author="Stephanie Baer" w:date="2015-12-18T17:03:00Z">
              <w:r w:rsidRPr="00407FBA">
                <w:rPr>
                  <w:rFonts w:ascii="Calibri" w:eastAsia="Calibri" w:hAnsi="Calibri"/>
                  <w:szCs w:val="20"/>
                </w:rPr>
                <w:t>78%</w:t>
              </w:r>
            </w:ins>
          </w:p>
        </w:tc>
        <w:tc>
          <w:tcPr>
            <w:tcW w:w="1596" w:type="dxa"/>
            <w:vAlign w:val="center"/>
          </w:tcPr>
          <w:p w14:paraId="42FFD78C" w14:textId="77777777" w:rsidR="00BE2808" w:rsidRPr="00407FBA" w:rsidRDefault="00BE2808" w:rsidP="00943770">
            <w:pPr>
              <w:widowControl/>
              <w:spacing w:after="0"/>
              <w:jc w:val="center"/>
              <w:rPr>
                <w:ins w:id="178" w:author="Stephanie Baer" w:date="2015-12-18T17:03:00Z"/>
                <w:rFonts w:ascii="Calibri" w:eastAsia="Calibri" w:hAnsi="Calibri"/>
                <w:szCs w:val="20"/>
              </w:rPr>
            </w:pPr>
            <w:ins w:id="179" w:author="Stephanie Baer" w:date="2015-12-18T17:03:00Z">
              <w:r w:rsidRPr="00407FBA">
                <w:rPr>
                  <w:rFonts w:ascii="Calibri" w:eastAsia="Calibri" w:hAnsi="Calibri"/>
                  <w:szCs w:val="20"/>
                </w:rPr>
                <w:t>61%</w:t>
              </w:r>
            </w:ins>
          </w:p>
        </w:tc>
        <w:tc>
          <w:tcPr>
            <w:tcW w:w="1596" w:type="dxa"/>
            <w:vAlign w:val="center"/>
          </w:tcPr>
          <w:p w14:paraId="6BFCDB04" w14:textId="77777777" w:rsidR="00BE2808" w:rsidRPr="00407FBA" w:rsidRDefault="00BE2808" w:rsidP="00943770">
            <w:pPr>
              <w:widowControl/>
              <w:spacing w:after="0"/>
              <w:jc w:val="center"/>
              <w:rPr>
                <w:ins w:id="180" w:author="Stephanie Baer" w:date="2015-12-18T17:03:00Z"/>
                <w:rFonts w:ascii="Calibri" w:eastAsia="Calibri" w:hAnsi="Calibri"/>
                <w:szCs w:val="20"/>
              </w:rPr>
            </w:pPr>
            <w:ins w:id="181" w:author="Stephanie Baer" w:date="2015-12-18T17:03:00Z">
              <w:r w:rsidRPr="00407FBA">
                <w:rPr>
                  <w:rFonts w:ascii="Calibri" w:eastAsia="Calibri" w:hAnsi="Calibri"/>
                  <w:szCs w:val="20"/>
                </w:rPr>
                <w:t>48%</w:t>
              </w:r>
            </w:ins>
          </w:p>
        </w:tc>
        <w:tc>
          <w:tcPr>
            <w:tcW w:w="1596" w:type="dxa"/>
            <w:vAlign w:val="center"/>
          </w:tcPr>
          <w:p w14:paraId="5E6B1B64" w14:textId="77777777" w:rsidR="00BE2808" w:rsidRPr="00407FBA" w:rsidRDefault="00BE2808" w:rsidP="00943770">
            <w:pPr>
              <w:widowControl/>
              <w:spacing w:after="0"/>
              <w:jc w:val="center"/>
              <w:rPr>
                <w:ins w:id="182" w:author="Stephanie Baer" w:date="2015-12-18T17:03:00Z"/>
                <w:rFonts w:ascii="Calibri" w:eastAsia="Calibri" w:hAnsi="Calibri"/>
                <w:szCs w:val="20"/>
              </w:rPr>
            </w:pPr>
            <w:ins w:id="183" w:author="Stephanie Baer" w:date="2015-12-18T17:03:00Z">
              <w:r w:rsidRPr="00407FBA">
                <w:rPr>
                  <w:rFonts w:ascii="Calibri" w:eastAsia="Calibri" w:hAnsi="Calibri"/>
                  <w:szCs w:val="20"/>
                </w:rPr>
                <w:t>38%</w:t>
              </w:r>
            </w:ins>
          </w:p>
        </w:tc>
      </w:tr>
    </w:tbl>
    <w:p w14:paraId="73AA09DF" w14:textId="77777777" w:rsidR="00BE2808" w:rsidRDefault="00BE2808" w:rsidP="00BE2808">
      <w:pPr>
        <w:rPr>
          <w:ins w:id="184" w:author="Stephanie Baer" w:date="2015-12-18T17:03:00Z"/>
          <w:rFonts w:cstheme="minorHAnsi"/>
          <w:b/>
          <w:i/>
          <w:szCs w:val="20"/>
        </w:rPr>
      </w:pPr>
    </w:p>
    <w:p w14:paraId="5D49A6C6" w14:textId="77777777" w:rsidR="00BE2808" w:rsidDel="00271123" w:rsidRDefault="00BE2808" w:rsidP="00BE2808">
      <w:pPr>
        <w:pStyle w:val="Heading6"/>
        <w:rPr>
          <w:ins w:id="185" w:author="Stephanie Baer" w:date="2015-12-18T17:03:00Z"/>
          <w:del w:id="186" w:author="Cheryl Jenkins" w:date="2015-12-18T16:43:00Z"/>
        </w:rPr>
      </w:pPr>
      <w:ins w:id="187" w:author="Stephanie Baer" w:date="2015-12-18T17:03:00Z">
        <w:r w:rsidRPr="00D80906">
          <w:rPr>
            <w:rFonts w:ascii="Calibri" w:hAnsi="Calibri"/>
            <w:noProof/>
            <w:rPrChange w:id="188">
              <w:rPr>
                <w:noProof/>
              </w:rPr>
            </w:rPrChange>
          </w:rPr>
          <mc:AlternateContent>
            <mc:Choice Requires="wps">
              <w:drawing>
                <wp:inline distT="0" distB="0" distL="0" distR="0" wp14:anchorId="3DB83913" wp14:editId="5F72657E">
                  <wp:extent cx="5841365" cy="1685677"/>
                  <wp:effectExtent l="0" t="0" r="26035" b="10160"/>
                  <wp:docPr id="479"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65" cy="1685677"/>
                          </a:xfrm>
                          <a:prstGeom prst="rect">
                            <a:avLst/>
                          </a:prstGeom>
                          <a:solidFill>
                            <a:srgbClr val="FFFFFF"/>
                          </a:solidFill>
                          <a:ln w="9525">
                            <a:solidFill>
                              <a:srgbClr val="000000"/>
                            </a:solidFill>
                            <a:miter lim="800000"/>
                            <a:headEnd/>
                            <a:tailEnd/>
                          </a:ln>
                        </wps:spPr>
                        <wps:txbx>
                          <w:txbxContent>
                            <w:p w14:paraId="13673960" w14:textId="77777777" w:rsidR="00BE2808" w:rsidRDefault="00BE2808" w:rsidP="00BE2808">
                              <w:pPr>
                                <w:rPr>
                                  <w:rFonts w:cstheme="minorHAnsi"/>
                                </w:rPr>
                              </w:pPr>
                              <w:r>
                                <w:rPr>
                                  <w:rFonts w:cstheme="minorHAnsi"/>
                                </w:rPr>
                                <w:t>For example, a Home Energy Reports program with 60,000 participants in year T-1 and 55,000 returning and 8,000 new participants in year T records savings of 3,500 MWh in year T-1 and 4,000 MWh in year T:</w:t>
                              </w:r>
                            </w:p>
                            <w:p w14:paraId="7A10CD85" w14:textId="77777777" w:rsidR="00BE2808" w:rsidRDefault="00BE2808" w:rsidP="00BE2808">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14:paraId="71A9699D" w14:textId="77777777" w:rsidR="00BE2808" w:rsidRDefault="00BE2808" w:rsidP="00BE2808">
                              <w:pPr>
                                <w:ind w:firstLine="720"/>
                                <w:rPr>
                                  <w:rFonts w:cstheme="minorHAnsi"/>
                                  <w:noProof/>
                                </w:rPr>
                              </w:pPr>
                              <w:r>
                                <w:rPr>
                                  <w:rFonts w:cstheme="minorHAnsi"/>
                                  <w:noProof/>
                                </w:rPr>
                                <w:tab/>
                                <w:t>= 4,000,000 – [3,208,333 * 0.89]</w:t>
                              </w:r>
                            </w:p>
                            <w:p w14:paraId="0B45A772" w14:textId="77777777" w:rsidR="00BE2808" w:rsidRDefault="00BE2808" w:rsidP="00BE2808">
                              <w:pPr>
                                <w:rPr>
                                  <w:rFonts w:cstheme="minorHAnsi"/>
                                </w:rPr>
                              </w:pPr>
                              <w:r>
                                <w:rPr>
                                  <w:rFonts w:cstheme="minorHAnsi"/>
                                </w:rPr>
                                <w:tab/>
                              </w:r>
                              <w:r>
                                <w:rPr>
                                  <w:rFonts w:cstheme="minorHAnsi"/>
                                </w:rPr>
                                <w:tab/>
                                <w:t>= 4,000,000 – 2,859,417</w:t>
                              </w:r>
                            </w:p>
                            <w:p w14:paraId="0A357A30" w14:textId="77777777" w:rsidR="00BE2808" w:rsidRDefault="00BE2808" w:rsidP="00BE2808">
                              <w:pPr>
                                <w:rPr>
                                  <w:rFonts w:cstheme="minorHAnsi"/>
                                </w:rPr>
                              </w:pPr>
                              <w:r>
                                <w:rPr>
                                  <w:rFonts w:cstheme="minorHAnsi"/>
                                </w:rPr>
                                <w:tab/>
                              </w:r>
                              <w:r>
                                <w:rPr>
                                  <w:rFonts w:cstheme="minorHAnsi"/>
                                </w:rPr>
                                <w:tab/>
                                <w:t>= 1,144,583 kWh</w:t>
                              </w:r>
                            </w:p>
                            <w:p w14:paraId="409D38A3" w14:textId="77777777" w:rsidR="00BE2808" w:rsidRDefault="00BE2808" w:rsidP="00BE2808">
                              <w:pPr>
                                <w:rPr>
                                  <w:rFonts w:cstheme="minorHAnsi"/>
                                </w:rPr>
                              </w:pPr>
                            </w:p>
                            <w:p w14:paraId="6A929DB4" w14:textId="77777777" w:rsidR="00BE2808" w:rsidRDefault="00BE2808" w:rsidP="00BE2808">
                              <w:pPr>
                                <w:rPr>
                                  <w:rFonts w:cstheme="minorHAnsi"/>
                                </w:rPr>
                              </w:pPr>
                            </w:p>
                            <w:p w14:paraId="15B8F017" w14:textId="77777777" w:rsidR="00BE2808" w:rsidRDefault="00BE2808" w:rsidP="00BE2808">
                              <w:pPr>
                                <w:rPr>
                                  <w:rFonts w:cstheme="minorHAnsi"/>
                                </w:rPr>
                              </w:pPr>
                              <w:r>
                                <w:rPr>
                                  <w:rFonts w:cstheme="minorHAnsi"/>
                                </w:rPr>
                                <w:t xml:space="preserve">Second and third year install savings should be calculated using the appropriate ISR and the delta watts and hours from the install year. </w:t>
                              </w:r>
                            </w:p>
                            <w:p w14:paraId="72DF52D5" w14:textId="77777777" w:rsidR="00BE2808" w:rsidRDefault="00BE2808" w:rsidP="00BE2808"/>
                          </w:txbxContent>
                        </wps:txbx>
                        <wps:bodyPr rot="0" vert="horz" wrap="square" lIns="91440" tIns="45720" rIns="91440" bIns="45720" anchor="t" anchorCtr="0">
                          <a:noAutofit/>
                        </wps:bodyPr>
                      </wps:wsp>
                    </a:graphicData>
                  </a:graphic>
                </wp:inline>
              </w:drawing>
            </mc:Choice>
            <mc:Fallback xmlns:w15="http://schemas.microsoft.com/office/word/2012/wordml">
              <w:pict>
                <v:shapetype w14:anchorId="3DB83913" id="_x0000_t202" coordsize="21600,21600" o:spt="202" path="m,l,21600r21600,l21600,xe">
                  <v:stroke joinstyle="miter"/>
                  <v:path gradientshapeok="t" o:connecttype="rect"/>
                </v:shapetype>
                <v:shape id="Text Box 479" o:spid="_x0000_s1026" type="#_x0000_t202" style="width:459.95pt;height:13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">
                  <v:textbox>
                    <w:txbxContent>
                      <w:p w14:paraId="13673960" w14:textId="77777777" w:rsidR="00BE2808" w:rsidRDefault="00BE2808" w:rsidP="00BE2808">
                        <w:pPr>
                          <w:rPr>
                            <w:rFonts w:cstheme="minorHAnsi"/>
                          </w:rPr>
                        </w:pPr>
                        <w:r>
                          <w:rPr>
                            <w:rFonts w:cstheme="minorHAnsi"/>
                          </w:rPr>
                          <w:t>For example, a Home Energy Reports program with 60,000 participants in year T-1 and 55,000 returning and 8,000 new participants in year T records savings of 3,500 MWh in year T-1 and 4,000 MWh in year T:</w:t>
                        </w:r>
                      </w:p>
                      <w:p w14:paraId="7A10CD85" w14:textId="77777777" w:rsidR="00BE2808" w:rsidRDefault="00BE2808" w:rsidP="00BE2808">
                        <w:pPr>
                          <w:ind w:firstLine="720"/>
                          <w:rPr>
                            <w:rFonts w:cstheme="minorHAnsi"/>
                            <w:noProof/>
                          </w:rPr>
                        </w:pPr>
                        <w:r w:rsidRPr="000B7BB6">
                          <w:rPr>
                            <w:rFonts w:cstheme="minorHAnsi"/>
                            <w:noProof/>
                          </w:rPr>
                          <w:t>ΔkWh</w:t>
                        </w:r>
                        <w:r w:rsidRPr="00B506AB">
                          <w:rPr>
                            <w:rFonts w:cstheme="minorHAnsi"/>
                            <w:noProof/>
                            <w:vertAlign w:val="subscript"/>
                          </w:rPr>
                          <w:t>T</w:t>
                        </w:r>
                        <w:r>
                          <w:t xml:space="preserve"> </w:t>
                        </w:r>
                        <w:r>
                          <w:tab/>
                        </w:r>
                        <w:r>
                          <w:rPr>
                            <w:rFonts w:cstheme="minorHAnsi"/>
                            <w:noProof/>
                          </w:rPr>
                          <w:t>= (63.49</w:t>
                        </w:r>
                        <w:r w:rsidRPr="00C445A4">
                          <w:rPr>
                            <w:rFonts w:cstheme="minorHAnsi"/>
                            <w:noProof/>
                          </w:rPr>
                          <w:t xml:space="preserve"> </w:t>
                        </w:r>
                        <w:r>
                          <w:rPr>
                            <w:rFonts w:cstheme="minorHAnsi"/>
                            <w:noProof/>
                          </w:rPr>
                          <w:t>* 63,000) – [58.33</w:t>
                        </w:r>
                        <w:r w:rsidRPr="00C445A4">
                          <w:rPr>
                            <w:rFonts w:cstheme="minorHAnsi"/>
                            <w:noProof/>
                          </w:rPr>
                          <w:t xml:space="preserve"> </w:t>
                        </w:r>
                        <w:r>
                          <w:rPr>
                            <w:rFonts w:cstheme="minorHAnsi"/>
                            <w:noProof/>
                          </w:rPr>
                          <w:t>* (60,000 * 0.917) * 0.89]</w:t>
                        </w:r>
                      </w:p>
                      <w:p w14:paraId="71A9699D" w14:textId="77777777" w:rsidR="00BE2808" w:rsidRDefault="00BE2808" w:rsidP="00BE2808">
                        <w:pPr>
                          <w:ind w:firstLine="720"/>
                          <w:rPr>
                            <w:rFonts w:cstheme="minorHAnsi"/>
                            <w:noProof/>
                          </w:rPr>
                        </w:pPr>
                        <w:r>
                          <w:rPr>
                            <w:rFonts w:cstheme="minorHAnsi"/>
                            <w:noProof/>
                          </w:rPr>
                          <w:tab/>
                          <w:t>= 4,000,000 – [3,208,333 * 0.89]</w:t>
                        </w:r>
                      </w:p>
                      <w:p w14:paraId="0B45A772" w14:textId="77777777" w:rsidR="00BE2808" w:rsidRDefault="00BE2808" w:rsidP="00BE2808">
                        <w:pPr>
                          <w:rPr>
                            <w:rFonts w:cstheme="minorHAnsi"/>
                          </w:rPr>
                        </w:pPr>
                        <w:r>
                          <w:rPr>
                            <w:rFonts w:cstheme="minorHAnsi"/>
                          </w:rPr>
                          <w:tab/>
                        </w:r>
                        <w:r>
                          <w:rPr>
                            <w:rFonts w:cstheme="minorHAnsi"/>
                          </w:rPr>
                          <w:tab/>
                          <w:t>= 4,000,000 – 2,859,417</w:t>
                        </w:r>
                      </w:p>
                      <w:p w14:paraId="0A357A30" w14:textId="77777777" w:rsidR="00BE2808" w:rsidRDefault="00BE2808" w:rsidP="00BE2808">
                        <w:pPr>
                          <w:rPr>
                            <w:rFonts w:cstheme="minorHAnsi"/>
                          </w:rPr>
                        </w:pPr>
                        <w:r>
                          <w:rPr>
                            <w:rFonts w:cstheme="minorHAnsi"/>
                          </w:rPr>
                          <w:tab/>
                        </w:r>
                        <w:r>
                          <w:rPr>
                            <w:rFonts w:cstheme="minorHAnsi"/>
                          </w:rPr>
                          <w:tab/>
                          <w:t>= 1,144,583 kWh</w:t>
                        </w:r>
                      </w:p>
                      <w:p w14:paraId="409D38A3" w14:textId="77777777" w:rsidR="00BE2808" w:rsidRDefault="00BE2808" w:rsidP="00BE2808">
                        <w:pPr>
                          <w:rPr>
                            <w:rFonts w:cstheme="minorHAnsi"/>
                          </w:rPr>
                        </w:pPr>
                      </w:p>
                      <w:p w14:paraId="6A929DB4" w14:textId="77777777" w:rsidR="00BE2808" w:rsidRDefault="00BE2808" w:rsidP="00BE2808">
                        <w:pPr>
                          <w:rPr>
                            <w:rFonts w:cstheme="minorHAnsi"/>
                          </w:rPr>
                        </w:pPr>
                      </w:p>
                      <w:p w14:paraId="15B8F017" w14:textId="77777777" w:rsidR="00BE2808" w:rsidRDefault="00BE2808" w:rsidP="00BE2808">
                        <w:pPr>
                          <w:rPr>
                            <w:rFonts w:cstheme="minorHAnsi"/>
                          </w:rPr>
                        </w:pPr>
                        <w:r>
                          <w:rPr>
                            <w:rFonts w:cstheme="minorHAnsi"/>
                          </w:rPr>
                          <w:t xml:space="preserve">Second and third year install savings should be calculated using the appropriate ISR and the delta watts and hours from the install year. </w:t>
                        </w:r>
                      </w:p>
                      <w:p w14:paraId="72DF52D5" w14:textId="77777777" w:rsidR="00BE2808" w:rsidRDefault="00BE2808" w:rsidP="00BE2808"/>
                    </w:txbxContent>
                  </v:textbox>
                  <w10:anchorlock/>
                </v:shape>
              </w:pict>
            </mc:Fallback>
          </mc:AlternateContent>
        </w:r>
      </w:ins>
    </w:p>
    <w:p w14:paraId="6D8FD005" w14:textId="77777777" w:rsidR="00BE2808" w:rsidRDefault="00BE2808" w:rsidP="00BE2808">
      <w:pPr>
        <w:rPr>
          <w:ins w:id="189" w:author="Stephanie Baer" w:date="2015-12-18T17:03:00Z"/>
        </w:rPr>
      </w:pPr>
    </w:p>
    <w:p w14:paraId="412C44B4" w14:textId="77777777" w:rsidR="00BE2808" w:rsidRDefault="00BE2808" w:rsidP="00BE2808">
      <w:pPr>
        <w:pStyle w:val="Style1"/>
        <w:rPr>
          <w:ins w:id="190" w:author="Stephanie Baer" w:date="2015-12-18T17:03:00Z"/>
        </w:rPr>
      </w:pPr>
      <w:ins w:id="191" w:author="Stephanie Baer" w:date="2015-12-18T17:03:00Z">
        <w:r w:rsidRPr="000B7BB6">
          <w:t>Summer Coincident Peak Demand Savings</w:t>
        </w:r>
      </w:ins>
    </w:p>
    <w:p w14:paraId="5A549504" w14:textId="77777777" w:rsidR="00BE2808" w:rsidRDefault="00BE2808" w:rsidP="00BE2808">
      <w:pPr>
        <w:rPr>
          <w:ins w:id="192" w:author="Stephanie Baer" w:date="2015-12-18T17:03:00Z"/>
          <w:rFonts w:ascii="Calibri" w:hAnsi="Calibri"/>
          <w:szCs w:val="20"/>
        </w:rPr>
      </w:pPr>
      <w:ins w:id="193" w:author="Stephanie Baer" w:date="2015-12-18T17:03:00Z">
        <w:r>
          <w:rPr>
            <w:rFonts w:ascii="Calibri" w:hAnsi="Calibri"/>
            <w:szCs w:val="20"/>
          </w:rPr>
          <w:t xml:space="preserve">Coincident peak demand savings in year T should also be adjusted to account for persistence from year T-1 using a similar algorithm. </w:t>
        </w:r>
      </w:ins>
    </w:p>
    <w:p w14:paraId="79E59C4E" w14:textId="77777777" w:rsidR="00BE2808" w:rsidRPr="00A34100" w:rsidRDefault="00BE2808" w:rsidP="00BE2808">
      <w:pPr>
        <w:rPr>
          <w:ins w:id="194" w:author="Stephanie Baer" w:date="2015-12-18T17:03:00Z"/>
          <w:b/>
          <w:i/>
        </w:rPr>
      </w:pPr>
      <w:ins w:id="195" w:author="Stephanie Baer" w:date="2015-12-18T17:03:00Z">
        <w:r w:rsidRPr="00A34100">
          <w:rPr>
            <w:rFonts w:ascii="Calibri" w:hAnsi="Calibri"/>
            <w:b/>
            <w:i/>
            <w:szCs w:val="20"/>
          </w:rPr>
          <w:lastRenderedPageBreak/>
          <w:t>If peak demand is measured directly by the custom savings analysis:</w:t>
        </w:r>
      </w:ins>
    </w:p>
    <w:p w14:paraId="78AA6514" w14:textId="77777777" w:rsidR="00BE2808" w:rsidRDefault="00BE2808" w:rsidP="00BE2808">
      <w:pPr>
        <w:spacing w:after="0"/>
        <w:ind w:left="1440" w:hanging="720"/>
        <w:rPr>
          <w:ins w:id="196" w:author="Stephanie Baer" w:date="2015-12-18T17:03:00Z"/>
          <w:rFonts w:ascii="Calibri" w:hAnsi="Calibri" w:cs="Calibri"/>
          <w:noProof/>
        </w:rPr>
      </w:pPr>
      <w:ins w:id="197" w:author="Stephanie Baer" w:date="2015-12-18T17:03:00Z">
        <w:r w:rsidRPr="006F2DB3">
          <w:rPr>
            <w:rFonts w:ascii="Calibri" w:hAnsi="Calibri" w:cs="Calibri"/>
            <w:noProof/>
          </w:rPr>
          <w:t>ΔkW</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ΔkW</w:t>
        </w:r>
        <w:r w:rsidRPr="006F2DB3">
          <w:rPr>
            <w:rFonts w:ascii="Calibri" w:hAnsi="Calibri" w:cs="Calibri"/>
            <w:noProof/>
            <w:vertAlign w:val="subscript"/>
          </w:rPr>
          <w:t>T Measured</w:t>
        </w:r>
        <w:r w:rsidRPr="006F2DB3">
          <w:rPr>
            <w:rFonts w:ascii="Calibri" w:hAnsi="Calibri" w:cs="Calibri"/>
            <w:noProof/>
          </w:rPr>
          <w:t xml:space="preserve"> – (ΔkW</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(ΔkW</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14:paraId="3BF49D23" w14:textId="77777777" w:rsidR="00BE2808" w:rsidRPr="006955F4" w:rsidRDefault="00BE2808" w:rsidP="00BE2808">
      <w:pPr>
        <w:ind w:left="1980"/>
        <w:rPr>
          <w:ins w:id="198" w:author="Stephanie Baer" w:date="2015-12-18T17:03:00Z"/>
          <w:rFonts w:ascii="Calibri" w:hAnsi="Calibri" w:cs="Calibri"/>
          <w:noProof/>
        </w:rPr>
      </w:pPr>
      <w:ins w:id="199" w:author="Stephanie Baer" w:date="2015-12-18T17:03:00Z">
        <w:r w:rsidRPr="006F2DB3">
          <w:rPr>
            <w:rFonts w:ascii="Calibri" w:hAnsi="Calibri" w:cs="Calibri"/>
            <w:noProof/>
          </w:rPr>
          <w:t>– (ΔkW</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(ΔkW</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del w:id="200" w:author="Cheryl Jenkins" w:date="2015-12-18T12:30:00Z">
          <w:r w:rsidRPr="00663BF3" w:rsidDel="00E70A33">
            <w:rPr>
              <w:rFonts w:cstheme="minorHAnsi"/>
              <w:szCs w:val="20"/>
            </w:rPr>
            <w:delText xml:space="preserve"> * CF</w:delText>
          </w:r>
        </w:del>
      </w:ins>
    </w:p>
    <w:p w14:paraId="323D1EB5" w14:textId="77777777" w:rsidR="00BE2808" w:rsidRDefault="00BE2808" w:rsidP="00BE2808">
      <w:pPr>
        <w:ind w:left="2160" w:hanging="1440"/>
        <w:rPr>
          <w:ins w:id="201" w:author="Stephanie Baer" w:date="2015-12-18T17:03:00Z"/>
          <w:rFonts w:cstheme="minorHAnsi"/>
          <w:szCs w:val="20"/>
        </w:rPr>
      </w:pPr>
      <w:ins w:id="202" w:author="Stephanie Baer" w:date="2015-12-18T17:03:00Z">
        <w:r>
          <w:rPr>
            <w:rFonts w:cstheme="minorHAnsi"/>
            <w:szCs w:val="20"/>
          </w:rPr>
          <w:t>Where:</w:t>
        </w:r>
      </w:ins>
    </w:p>
    <w:p w14:paraId="6DCFDB2B" w14:textId="77777777" w:rsidR="00BE2808" w:rsidRDefault="00BE2808" w:rsidP="00BE2808">
      <w:pPr>
        <w:ind w:left="1440"/>
        <w:rPr>
          <w:ins w:id="203" w:author="Stephanie Baer" w:date="2015-12-18T17:03:00Z"/>
          <w:rFonts w:cstheme="minorHAnsi"/>
          <w:szCs w:val="20"/>
        </w:rPr>
      </w:pPr>
      <w:ins w:id="204" w:author="Stephanie Baer" w:date="2015-12-18T17:03:00Z">
        <w:r>
          <w:rPr>
            <w:rFonts w:cstheme="minorHAnsi"/>
            <w:noProof/>
          </w:rPr>
          <w:t>ΔkW</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demand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ins>
    </w:p>
    <w:p w14:paraId="5A180385" w14:textId="77777777" w:rsidR="00BE2808" w:rsidRDefault="00BE2808" w:rsidP="00BE2808">
      <w:pPr>
        <w:ind w:left="1440"/>
        <w:rPr>
          <w:ins w:id="205" w:author="Stephanie Baer" w:date="2015-12-18T17:03:00Z"/>
          <w:rFonts w:cstheme="minorHAnsi"/>
          <w:szCs w:val="20"/>
        </w:rPr>
      </w:pPr>
      <w:ins w:id="206" w:author="Stephanie Baer" w:date="2015-12-18T17:03:00Z">
        <w:r>
          <w:rPr>
            <w:rFonts w:cstheme="minorHAnsi"/>
            <w:noProof/>
          </w:rPr>
          <w:t>ΔkW</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demand savings for year X after adjustments to account for persistence (calculated value)</w:t>
        </w:r>
      </w:ins>
    </w:p>
    <w:p w14:paraId="664BEBBE" w14:textId="77777777" w:rsidR="00BE2808" w:rsidDel="00E70A33" w:rsidRDefault="00BE2808" w:rsidP="00BE2808">
      <w:pPr>
        <w:ind w:left="2160" w:hanging="720"/>
        <w:rPr>
          <w:ins w:id="207" w:author="Stephanie Baer" w:date="2015-12-18T17:03:00Z"/>
          <w:del w:id="208" w:author="Cheryl Jenkins" w:date="2015-12-18T12:31:00Z"/>
          <w:rFonts w:cstheme="minorHAnsi"/>
          <w:noProof/>
        </w:rPr>
      </w:pPr>
      <w:ins w:id="209" w:author="Stephanie Baer" w:date="2015-12-18T17:03:00Z">
        <w:del w:id="210" w:author="Cheryl Jenkins" w:date="2015-12-18T12:31:00Z">
          <w:r w:rsidDel="00E70A33">
            <w:rPr>
              <w:rFonts w:cstheme="minorHAnsi"/>
              <w:noProof/>
            </w:rPr>
            <w:delText xml:space="preserve">CF  </w:delText>
          </w:r>
          <w:r w:rsidDel="00E70A33">
            <w:rPr>
              <w:rFonts w:cstheme="minorHAnsi"/>
              <w:noProof/>
            </w:rPr>
            <w:tab/>
            <w:delText xml:space="preserve"> = Summer Peak Coincidence Factor for measure</w:delText>
          </w:r>
        </w:del>
      </w:ins>
    </w:p>
    <w:p w14:paraId="099FBD7B" w14:textId="77777777" w:rsidR="00BE2808" w:rsidDel="00E70A33" w:rsidRDefault="00BE2808" w:rsidP="00BE2808">
      <w:pPr>
        <w:ind w:left="2160" w:hanging="720"/>
        <w:rPr>
          <w:ins w:id="211" w:author="Stephanie Baer" w:date="2015-12-18T17:03:00Z"/>
          <w:del w:id="212" w:author="Cheryl Jenkins" w:date="2015-12-18T12:31:00Z"/>
          <w:rFonts w:cstheme="minorHAnsi"/>
          <w:noProof/>
        </w:rPr>
      </w:pPr>
      <w:ins w:id="213" w:author="Stephanie Baer" w:date="2015-12-18T17:03:00Z">
        <w:del w:id="214" w:author="Cheryl Jenkins" w:date="2015-12-18T12:31:00Z">
          <w:r w:rsidDel="00E70A33">
            <w:rPr>
              <w:rFonts w:cstheme="minorHAnsi"/>
              <w:noProof/>
            </w:rPr>
            <w:tab/>
            <w:delText xml:space="preserve"> = 0.081</w:delText>
          </w:r>
          <w:r w:rsidDel="00E70A33">
            <w:rPr>
              <w:rStyle w:val="FootnoteReference"/>
              <w:noProof/>
            </w:rPr>
            <w:footnoteReference w:id="6"/>
          </w:r>
        </w:del>
      </w:ins>
    </w:p>
    <w:p w14:paraId="5034C8E9" w14:textId="77777777" w:rsidR="00BE2808" w:rsidRDefault="00BE2808" w:rsidP="00BE2808">
      <w:pPr>
        <w:ind w:left="2160" w:hanging="720"/>
        <w:rPr>
          <w:ins w:id="219" w:author="Stephanie Baer" w:date="2015-12-18T17:03:00Z"/>
          <w:rFonts w:cstheme="minorHAnsi"/>
          <w:szCs w:val="20"/>
        </w:rPr>
      </w:pPr>
      <w:ins w:id="220" w:author="Stephanie Baer" w:date="2015-12-18T17:03:00Z">
        <w:r>
          <w:rPr>
            <w:rFonts w:cstheme="minorHAnsi"/>
            <w:szCs w:val="20"/>
          </w:rPr>
          <w:t>Other variables as defined above</w:t>
        </w:r>
      </w:ins>
    </w:p>
    <w:p w14:paraId="140C7973" w14:textId="77777777" w:rsidR="00BE2808" w:rsidRDefault="00BE2808" w:rsidP="00BE2808">
      <w:pPr>
        <w:ind w:left="810" w:hanging="720"/>
        <w:rPr>
          <w:ins w:id="221" w:author="Stephanie Baer" w:date="2015-12-18T17:03:00Z"/>
          <w:rFonts w:ascii="Calibri" w:hAnsi="Calibri"/>
          <w:b/>
          <w:i/>
          <w:szCs w:val="20"/>
        </w:rPr>
      </w:pPr>
      <w:ins w:id="222" w:author="Stephanie Baer" w:date="2015-12-18T17:03:00Z">
        <w:r w:rsidRPr="00057EF6">
          <w:rPr>
            <w:rFonts w:ascii="Calibri" w:hAnsi="Calibri"/>
            <w:b/>
            <w:i/>
            <w:szCs w:val="20"/>
          </w:rPr>
          <w:t xml:space="preserve">If peak demand is </w:t>
        </w:r>
        <w:r>
          <w:rPr>
            <w:rFonts w:ascii="Calibri" w:hAnsi="Calibri"/>
            <w:b/>
            <w:i/>
            <w:szCs w:val="20"/>
          </w:rPr>
          <w:t xml:space="preserve">not </w:t>
        </w:r>
        <w:r w:rsidRPr="00057EF6">
          <w:rPr>
            <w:rFonts w:ascii="Calibri" w:hAnsi="Calibri"/>
            <w:b/>
            <w:i/>
            <w:szCs w:val="20"/>
          </w:rPr>
          <w:t>measured directly by the custom savings analysis:</w:t>
        </w:r>
      </w:ins>
    </w:p>
    <w:p w14:paraId="3D9BEC59" w14:textId="77777777" w:rsidR="00BE2808" w:rsidRDefault="00BE2808" w:rsidP="00BE2808">
      <w:pPr>
        <w:ind w:left="1440" w:hanging="720"/>
        <w:rPr>
          <w:ins w:id="223" w:author="Stephanie Baer" w:date="2015-12-18T17:03:00Z"/>
          <w:rFonts w:cstheme="minorHAnsi"/>
          <w:noProof/>
        </w:rPr>
      </w:pPr>
      <w:ins w:id="224" w:author="Stephanie Baer" w:date="2015-12-18T17:03:00Z">
        <w:r w:rsidRPr="006F2DB3">
          <w:rPr>
            <w:rFonts w:ascii="Calibri" w:hAnsi="Calibri" w:cs="Calibri"/>
            <w:noProof/>
          </w:rPr>
          <w:t>ΔkW</w:t>
        </w:r>
        <w:r w:rsidRPr="006F2DB3">
          <w:rPr>
            <w:rFonts w:ascii="Calibri" w:hAnsi="Calibri" w:cs="Calibri"/>
            <w:noProof/>
            <w:vertAlign w:val="subscript"/>
          </w:rPr>
          <w:t>T Adjusted</w:t>
        </w:r>
        <w:r w:rsidRPr="00663BF3">
          <w:rPr>
            <w:rFonts w:cstheme="minorHAnsi"/>
            <w:szCs w:val="20"/>
          </w:rPr>
          <w:t xml:space="preserve"> = </w:t>
        </w:r>
        <w:r w:rsidRPr="006F2DB3">
          <w:rPr>
            <w:rFonts w:ascii="Calibri" w:hAnsi="Calibri" w:cs="Calibri"/>
            <w:noProof/>
          </w:rPr>
          <w:t>ΔkWh</w:t>
        </w:r>
        <w:r w:rsidRPr="006F2DB3">
          <w:rPr>
            <w:rFonts w:ascii="Calibri" w:hAnsi="Calibri" w:cs="Calibri"/>
            <w:noProof/>
            <w:vertAlign w:val="subscript"/>
          </w:rPr>
          <w:t>T Adjusted</w:t>
        </w:r>
        <w:r>
          <w:rPr>
            <w:rFonts w:cstheme="minorHAnsi"/>
            <w:noProof/>
          </w:rPr>
          <w:t xml:space="preserve"> / 8760</w:t>
        </w:r>
      </w:ins>
    </w:p>
    <w:p w14:paraId="21C6D552" w14:textId="77777777" w:rsidR="00BE2808" w:rsidRDefault="00BE2808" w:rsidP="00BE2808">
      <w:pPr>
        <w:ind w:left="2160" w:hanging="1440"/>
        <w:rPr>
          <w:ins w:id="225" w:author="Stephanie Baer" w:date="2015-12-18T17:03:00Z"/>
          <w:rFonts w:cstheme="minorHAnsi"/>
          <w:szCs w:val="20"/>
        </w:rPr>
      </w:pPr>
      <w:ins w:id="226" w:author="Stephanie Baer" w:date="2015-12-18T17:03:00Z">
        <w:r>
          <w:rPr>
            <w:rFonts w:cstheme="minorHAnsi"/>
            <w:szCs w:val="20"/>
          </w:rPr>
          <w:t>Where:</w:t>
        </w:r>
      </w:ins>
    </w:p>
    <w:p w14:paraId="63F26D19" w14:textId="77777777" w:rsidR="00BE2808" w:rsidRDefault="00BE2808" w:rsidP="00BE2808">
      <w:pPr>
        <w:ind w:left="1440"/>
        <w:rPr>
          <w:ins w:id="227" w:author="Stephanie Baer" w:date="2015-12-18T17:03:00Z"/>
          <w:rFonts w:cstheme="minorHAnsi"/>
          <w:szCs w:val="20"/>
        </w:rPr>
      </w:pPr>
      <w:ins w:id="228" w:author="Stephanie Baer" w:date="2015-12-18T17:03:00Z">
        <w:r w:rsidRPr="006F2DB3">
          <w:rPr>
            <w:rFonts w:ascii="Calibri" w:hAnsi="Calibri" w:cs="Calibri"/>
            <w:noProof/>
          </w:rPr>
          <w:t>ΔkWh</w:t>
        </w:r>
        <w:r w:rsidRPr="006F2DB3">
          <w:rPr>
            <w:rFonts w:ascii="Calibri" w:hAnsi="Calibri" w:cs="Calibri"/>
            <w:noProof/>
            <w:vertAlign w:val="subscript"/>
          </w:rPr>
          <w:t>T Adjusted</w:t>
        </w:r>
        <w:r>
          <w:rPr>
            <w:rFonts w:cstheme="minorHAnsi"/>
            <w:szCs w:val="20"/>
          </w:rPr>
          <w:t xml:space="preserve"> </w:t>
        </w:r>
        <w:r w:rsidRPr="000B7BB6">
          <w:rPr>
            <w:rFonts w:cstheme="minorHAnsi"/>
            <w:szCs w:val="20"/>
          </w:rPr>
          <w:t xml:space="preserve">= </w:t>
        </w:r>
        <w:r>
          <w:rPr>
            <w:rFonts w:cstheme="minorHAnsi"/>
            <w:szCs w:val="20"/>
          </w:rPr>
          <w:t>electric energy savings calculated above</w:t>
        </w:r>
      </w:ins>
    </w:p>
    <w:p w14:paraId="66504EC4" w14:textId="77777777" w:rsidR="00BE2808" w:rsidRDefault="00BE2808" w:rsidP="00BE2808">
      <w:pPr>
        <w:ind w:left="1440"/>
        <w:rPr>
          <w:ins w:id="229" w:author="Stephanie Baer" w:date="2015-12-18T17:03:00Z"/>
          <w:rFonts w:cstheme="minorHAnsi"/>
          <w:szCs w:val="20"/>
        </w:rPr>
      </w:pPr>
      <w:ins w:id="230" w:author="Stephanie Baer" w:date="2015-12-18T17:03:00Z">
        <w:r>
          <w:rPr>
            <w:rFonts w:cstheme="minorHAnsi"/>
            <w:szCs w:val="20"/>
          </w:rPr>
          <w:t>8760</w:t>
        </w:r>
        <w:r>
          <w:rPr>
            <w:rFonts w:cstheme="minorHAnsi"/>
            <w:szCs w:val="20"/>
          </w:rPr>
          <w:tab/>
          <w:t xml:space="preserve">        = Hours per year</w:t>
        </w:r>
        <w:r w:rsidRPr="00B506AB">
          <w:rPr>
            <w:rFonts w:cstheme="minorHAnsi"/>
            <w:szCs w:val="20"/>
          </w:rPr>
          <w:t xml:space="preserve"> </w:t>
        </w:r>
      </w:ins>
    </w:p>
    <w:p w14:paraId="31EAAA9E" w14:textId="77777777" w:rsidR="00BE2808" w:rsidRPr="00DC36C9" w:rsidRDefault="00BE2808" w:rsidP="00BE2808">
      <w:pPr>
        <w:ind w:left="1440" w:hanging="720"/>
        <w:rPr>
          <w:ins w:id="231" w:author="Stephanie Baer" w:date="2015-12-18T17:03:00Z"/>
          <w:rFonts w:cstheme="minorHAnsi"/>
          <w:szCs w:val="20"/>
        </w:rPr>
      </w:pPr>
    </w:p>
    <w:p w14:paraId="12A03B14" w14:textId="77777777" w:rsidR="00BE2808" w:rsidRPr="000B7BB6" w:rsidRDefault="00BE2808" w:rsidP="00BE2808">
      <w:pPr>
        <w:pStyle w:val="Style1"/>
        <w:rPr>
          <w:ins w:id="232" w:author="Stephanie Baer" w:date="2015-12-18T17:03:00Z"/>
        </w:rPr>
      </w:pPr>
      <w:ins w:id="233" w:author="Stephanie Baer" w:date="2015-12-18T17:03:00Z">
        <w:r>
          <w:t>Natural Gas</w:t>
        </w:r>
        <w:r w:rsidRPr="000B7BB6">
          <w:t xml:space="preserve"> Energy Savings</w:t>
        </w:r>
      </w:ins>
    </w:p>
    <w:p w14:paraId="28073347" w14:textId="77777777" w:rsidR="00BE2808" w:rsidRPr="00BA0183" w:rsidRDefault="00BE2808" w:rsidP="00BE2808">
      <w:pPr>
        <w:rPr>
          <w:ins w:id="234" w:author="Stephanie Baer" w:date="2015-12-18T17:03:00Z"/>
        </w:rPr>
      </w:pPr>
      <w:ins w:id="235" w:author="Stephanie Baer" w:date="2015-12-18T17:03:00Z">
        <w:r w:rsidRPr="00BA0183">
          <w:rPr>
            <w:rFonts w:ascii="Calibri" w:hAnsi="Calibri"/>
            <w:szCs w:val="20"/>
          </w:rPr>
          <w:t xml:space="preserve">The algorithm </w:t>
        </w:r>
        <w:r>
          <w:rPr>
            <w:rFonts w:ascii="Calibri" w:hAnsi="Calibri"/>
            <w:szCs w:val="20"/>
          </w:rPr>
          <w:t xml:space="preserve">shown below </w:t>
        </w:r>
        <w:r w:rsidRPr="00BA0183">
          <w:rPr>
            <w:rFonts w:ascii="Calibri" w:hAnsi="Calibri"/>
            <w:szCs w:val="20"/>
          </w:rPr>
          <w:t xml:space="preserve">for this measure was developed </w:t>
        </w:r>
        <w:r>
          <w:rPr>
            <w:rFonts w:ascii="Calibri" w:hAnsi="Calibri"/>
            <w:szCs w:val="20"/>
          </w:rPr>
          <w:t xml:space="preserve">to calculate the annual Therm savings in year T after adjustment to account for the proportion of the measured savings for that program year that reflects persistent savings from the prior year’s program activities. </w:t>
        </w:r>
      </w:ins>
    </w:p>
    <w:p w14:paraId="3746E96F" w14:textId="77777777" w:rsidR="00BE2808" w:rsidRDefault="00BE2808" w:rsidP="00BE2808">
      <w:pPr>
        <w:spacing w:after="0"/>
        <w:ind w:left="1440" w:hanging="720"/>
        <w:rPr>
          <w:ins w:id="236" w:author="Stephanie Baer" w:date="2015-12-18T17:03:00Z"/>
          <w:rFonts w:ascii="Calibri" w:hAnsi="Calibri" w:cs="Calibri"/>
          <w:noProof/>
        </w:rPr>
      </w:pPr>
      <w:ins w:id="237" w:author="Stephanie Baer" w:date="2015-12-18T17:03:00Z">
        <w:r w:rsidRPr="006F2DB3">
          <w:rPr>
            <w:rFonts w:ascii="Calibri" w:hAnsi="Calibri" w:cs="Calibri"/>
            <w:noProof/>
          </w:rPr>
          <w:t>Δ</w:t>
        </w:r>
        <w:r>
          <w:rPr>
            <w:rFonts w:ascii="Calibri" w:hAnsi="Calibri" w:cs="Calibri"/>
            <w:noProof/>
          </w:rPr>
          <w:t>Therms</w:t>
        </w:r>
        <w:r w:rsidRPr="006F2DB3">
          <w:rPr>
            <w:rFonts w:ascii="Calibri" w:hAnsi="Calibri" w:cs="Calibri"/>
            <w:noProof/>
            <w:vertAlign w:val="subscript"/>
          </w:rPr>
          <w:t>T Adjusted</w:t>
        </w:r>
        <w:r w:rsidRPr="006F2DB3">
          <w:rPr>
            <w:rFonts w:ascii="Calibri" w:hAnsi="Calibri"/>
          </w:rPr>
          <w:t xml:space="preserve"> </w:t>
        </w:r>
        <w:r w:rsidRPr="006F2DB3">
          <w:rPr>
            <w:rFonts w:ascii="Calibri" w:hAnsi="Calibri" w:cs="Calibri"/>
            <w:noProof/>
          </w:rPr>
          <w:t>= Δ</w:t>
        </w:r>
        <w:r>
          <w:rPr>
            <w:rFonts w:ascii="Calibri" w:hAnsi="Calibri" w:cs="Calibri"/>
            <w:noProof/>
          </w:rPr>
          <w:t>Therms</w:t>
        </w:r>
        <w:r w:rsidRPr="006F2DB3">
          <w:rPr>
            <w:rFonts w:ascii="Calibri" w:hAnsi="Calibri" w:cs="Calibri"/>
            <w:noProof/>
            <w:vertAlign w:val="subscript"/>
          </w:rPr>
          <w:t>T Measured</w:t>
        </w:r>
        <w:r w:rsidRPr="006F2DB3">
          <w:rPr>
            <w:rFonts w:ascii="Calibri" w:hAnsi="Calibri" w:cs="Calibri"/>
            <w:noProof/>
          </w:rPr>
          <w:t xml:space="preserve"> – (Δ</w:t>
        </w:r>
        <w:r>
          <w:rPr>
            <w:rFonts w:ascii="Calibri" w:hAnsi="Calibri" w:cs="Calibri"/>
            <w:noProof/>
          </w:rPr>
          <w:t>Therms</w:t>
        </w:r>
        <w:r w:rsidRPr="006F2DB3">
          <w:rPr>
            <w:rFonts w:ascii="Calibri" w:hAnsi="Calibri" w:cs="Calibri"/>
            <w:noProof/>
            <w:vertAlign w:val="subscript"/>
          </w:rPr>
          <w:t>T-1 Adjusted</w:t>
        </w:r>
        <w:r w:rsidRPr="006F2DB3">
          <w:rPr>
            <w:rFonts w:ascii="Calibri" w:hAnsi="Calibri" w:cs="Calibri"/>
            <w:noProof/>
          </w:rPr>
          <w:t xml:space="preserve"> * RR</w:t>
        </w:r>
        <w:r w:rsidRPr="006F2DB3">
          <w:rPr>
            <w:rFonts w:ascii="Calibri" w:hAnsi="Calibri" w:cs="Calibri"/>
            <w:noProof/>
            <w:vertAlign w:val="subscript"/>
          </w:rPr>
          <w:t>T-1</w:t>
        </w:r>
        <w:r w:rsidRPr="006F2DB3">
          <w:rPr>
            <w:rFonts w:ascii="Calibri" w:hAnsi="Calibri" w:cs="Calibri"/>
            <w:noProof/>
          </w:rPr>
          <w:t xml:space="preserve"> * PF</w:t>
        </w:r>
        <w:r w:rsidRPr="006F2DB3">
          <w:rPr>
            <w:rFonts w:ascii="Calibri" w:hAnsi="Calibri" w:cs="Calibri"/>
            <w:noProof/>
            <w:vertAlign w:val="subscript"/>
          </w:rPr>
          <w:t>1</w:t>
        </w:r>
        <w:r w:rsidRPr="006F2DB3">
          <w:rPr>
            <w:rFonts w:ascii="Calibri" w:hAnsi="Calibri" w:cs="Calibri"/>
            <w:noProof/>
          </w:rPr>
          <w:t>) – (Δ</w:t>
        </w:r>
        <w:r>
          <w:rPr>
            <w:rFonts w:ascii="Calibri" w:hAnsi="Calibri" w:cs="Calibri"/>
            <w:noProof/>
          </w:rPr>
          <w:t>Therms</w:t>
        </w:r>
        <w:r w:rsidRPr="006F2DB3">
          <w:rPr>
            <w:rFonts w:ascii="Calibri" w:hAnsi="Calibri" w:cs="Calibri"/>
            <w:noProof/>
            <w:vertAlign w:val="subscript"/>
          </w:rPr>
          <w:t>T-2 Adjusted</w:t>
        </w:r>
        <w:r w:rsidRPr="006F2DB3">
          <w:rPr>
            <w:rFonts w:ascii="Calibri" w:hAnsi="Calibri" w:cs="Calibri"/>
            <w:noProof/>
          </w:rPr>
          <w:t xml:space="preserve"> * RR</w:t>
        </w:r>
        <w:r w:rsidRPr="006F2DB3">
          <w:rPr>
            <w:rFonts w:ascii="Calibri" w:hAnsi="Calibri" w:cs="Calibri"/>
            <w:noProof/>
            <w:vertAlign w:val="subscript"/>
          </w:rPr>
          <w:t>T-2</w:t>
        </w:r>
        <w:r w:rsidRPr="006F2DB3">
          <w:rPr>
            <w:rFonts w:ascii="Calibri" w:hAnsi="Calibri" w:cs="Calibri"/>
            <w:noProof/>
          </w:rPr>
          <w:t xml:space="preserve"> * PF</w:t>
        </w:r>
        <w:r w:rsidRPr="006F2DB3">
          <w:rPr>
            <w:rFonts w:ascii="Calibri" w:hAnsi="Calibri" w:cs="Calibri"/>
            <w:noProof/>
            <w:vertAlign w:val="subscript"/>
          </w:rPr>
          <w:t>2</w:t>
        </w:r>
        <w:r w:rsidRPr="006F2DB3">
          <w:rPr>
            <w:rFonts w:ascii="Calibri" w:hAnsi="Calibri" w:cs="Calibri"/>
            <w:noProof/>
          </w:rPr>
          <w:t xml:space="preserve">) </w:t>
        </w:r>
      </w:ins>
    </w:p>
    <w:p w14:paraId="36761B78" w14:textId="77777777" w:rsidR="00BE2808" w:rsidRPr="00B506AB" w:rsidRDefault="00BE2808" w:rsidP="00BE2808">
      <w:pPr>
        <w:ind w:left="2160" w:hanging="1440"/>
        <w:rPr>
          <w:ins w:id="238" w:author="Stephanie Baer" w:date="2015-12-18T17:03:00Z"/>
          <w:rFonts w:cstheme="minorHAnsi"/>
          <w:noProof/>
        </w:rPr>
      </w:pPr>
      <w:ins w:id="239" w:author="Stephanie Baer" w:date="2015-12-18T17:03:00Z">
        <w:r w:rsidRPr="006F2DB3">
          <w:rPr>
            <w:rFonts w:ascii="Calibri" w:hAnsi="Calibri" w:cs="Calibri"/>
            <w:noProof/>
          </w:rPr>
          <w:t>– (Δ</w:t>
        </w:r>
        <w:r>
          <w:rPr>
            <w:rFonts w:ascii="Calibri" w:hAnsi="Calibri" w:cs="Calibri"/>
            <w:noProof/>
          </w:rPr>
          <w:t>Therms</w:t>
        </w:r>
        <w:r w:rsidRPr="006F2DB3">
          <w:rPr>
            <w:rFonts w:ascii="Calibri" w:hAnsi="Calibri" w:cs="Calibri"/>
            <w:noProof/>
            <w:vertAlign w:val="subscript"/>
          </w:rPr>
          <w:t>T-3</w:t>
        </w:r>
        <w:r>
          <w:rPr>
            <w:rFonts w:ascii="Calibri" w:hAnsi="Calibri" w:cs="Calibri"/>
            <w:noProof/>
            <w:vertAlign w:val="subscript"/>
          </w:rPr>
          <w:t xml:space="preserve"> </w:t>
        </w:r>
        <w:r w:rsidRPr="006F2DB3">
          <w:rPr>
            <w:rFonts w:ascii="Calibri" w:hAnsi="Calibri" w:cs="Calibri"/>
            <w:noProof/>
            <w:vertAlign w:val="subscript"/>
          </w:rPr>
          <w:t>Adjusted</w:t>
        </w:r>
        <w:r w:rsidRPr="006F2DB3">
          <w:rPr>
            <w:rFonts w:ascii="Calibri" w:hAnsi="Calibri" w:cs="Calibri"/>
            <w:noProof/>
          </w:rPr>
          <w:t xml:space="preserve"> * RR</w:t>
        </w:r>
        <w:r w:rsidRPr="006F2DB3">
          <w:rPr>
            <w:rFonts w:ascii="Calibri" w:hAnsi="Calibri" w:cs="Calibri"/>
            <w:noProof/>
            <w:vertAlign w:val="subscript"/>
          </w:rPr>
          <w:t>T-3</w:t>
        </w:r>
        <w:r w:rsidRPr="006F2DB3">
          <w:rPr>
            <w:rFonts w:ascii="Calibri" w:hAnsi="Calibri" w:cs="Calibri"/>
            <w:noProof/>
          </w:rPr>
          <w:t xml:space="preserve"> * PF</w:t>
        </w:r>
        <w:r w:rsidRPr="006F2DB3">
          <w:rPr>
            <w:rFonts w:ascii="Calibri" w:hAnsi="Calibri" w:cs="Calibri"/>
            <w:noProof/>
            <w:vertAlign w:val="subscript"/>
          </w:rPr>
          <w:t>3</w:t>
        </w:r>
        <w:r w:rsidRPr="006F2DB3">
          <w:rPr>
            <w:rFonts w:ascii="Calibri" w:hAnsi="Calibri" w:cs="Calibri"/>
            <w:noProof/>
          </w:rPr>
          <w:t>) – (Δ</w:t>
        </w:r>
        <w:r>
          <w:rPr>
            <w:rFonts w:ascii="Calibri" w:hAnsi="Calibri" w:cs="Calibri"/>
            <w:noProof/>
          </w:rPr>
          <w:t>Therms</w:t>
        </w:r>
        <w:r w:rsidRPr="006F2DB3">
          <w:rPr>
            <w:rFonts w:ascii="Calibri" w:hAnsi="Calibri" w:cs="Calibri"/>
            <w:noProof/>
            <w:vertAlign w:val="subscript"/>
          </w:rPr>
          <w:t>T-4 Adjusted</w:t>
        </w:r>
        <w:r w:rsidRPr="006F2DB3">
          <w:rPr>
            <w:rFonts w:ascii="Calibri" w:hAnsi="Calibri" w:cs="Calibri"/>
            <w:noProof/>
          </w:rPr>
          <w:t xml:space="preserve"> * RR</w:t>
        </w:r>
        <w:r w:rsidRPr="006F2DB3">
          <w:rPr>
            <w:rFonts w:ascii="Calibri" w:hAnsi="Calibri" w:cs="Calibri"/>
            <w:noProof/>
            <w:vertAlign w:val="subscript"/>
          </w:rPr>
          <w:t>T-4</w:t>
        </w:r>
        <w:r w:rsidRPr="006F2DB3">
          <w:rPr>
            <w:rFonts w:ascii="Calibri" w:hAnsi="Calibri" w:cs="Calibri"/>
            <w:noProof/>
          </w:rPr>
          <w:t xml:space="preserve"> * PF</w:t>
        </w:r>
        <w:r w:rsidRPr="006F2DB3">
          <w:rPr>
            <w:rFonts w:ascii="Calibri" w:hAnsi="Calibri" w:cs="Calibri"/>
            <w:noProof/>
            <w:vertAlign w:val="subscript"/>
          </w:rPr>
          <w:t>4</w:t>
        </w:r>
        <w:r w:rsidRPr="006F2DB3">
          <w:rPr>
            <w:rFonts w:ascii="Calibri" w:hAnsi="Calibri" w:cs="Calibri"/>
            <w:noProof/>
          </w:rPr>
          <w:t>)</w:t>
        </w:r>
      </w:ins>
    </w:p>
    <w:p w14:paraId="6C08A3C2" w14:textId="77777777" w:rsidR="00BE2808" w:rsidRPr="000B7BB6" w:rsidRDefault="00BE2808" w:rsidP="00BE2808">
      <w:pPr>
        <w:ind w:left="1440" w:hanging="720"/>
        <w:rPr>
          <w:ins w:id="240" w:author="Stephanie Baer" w:date="2015-12-18T17:03:00Z"/>
          <w:rFonts w:cstheme="minorHAnsi"/>
          <w:noProof/>
        </w:rPr>
      </w:pPr>
      <w:ins w:id="241" w:author="Stephanie Baer" w:date="2015-12-18T17:03:00Z">
        <w:r w:rsidRPr="00B41203">
          <w:rPr>
            <w:rFonts w:cstheme="minorHAnsi"/>
            <w:noProof/>
          </w:rPr>
          <w:t>Where:</w:t>
        </w:r>
      </w:ins>
    </w:p>
    <w:p w14:paraId="227F292A" w14:textId="77777777" w:rsidR="00BE2808" w:rsidRDefault="00BE2808" w:rsidP="00BE2808">
      <w:pPr>
        <w:ind w:left="1440"/>
        <w:rPr>
          <w:ins w:id="242" w:author="Stephanie Baer" w:date="2015-12-18T17:03:00Z"/>
          <w:rFonts w:cstheme="minorHAnsi"/>
          <w:szCs w:val="20"/>
        </w:rPr>
      </w:pPr>
      <w:ins w:id="243" w:author="Stephanie Baer" w:date="2015-12-18T17:03:00Z">
        <w:r w:rsidRPr="000B7BB6">
          <w:rPr>
            <w:rFonts w:cstheme="minorHAnsi"/>
            <w:noProof/>
          </w:rPr>
          <w:t>Δ</w:t>
        </w:r>
        <w:r>
          <w:rPr>
            <w:rFonts w:cstheme="minorHAnsi"/>
            <w:noProof/>
          </w:rPr>
          <w:t>Therms</w:t>
        </w:r>
        <w:r>
          <w:rPr>
            <w:rFonts w:cstheme="minorHAnsi"/>
            <w:noProof/>
            <w:vertAlign w:val="subscript"/>
          </w:rPr>
          <w:t xml:space="preserve">x </w:t>
        </w:r>
        <w:r w:rsidRPr="006F2DB3">
          <w:rPr>
            <w:rFonts w:cstheme="minorHAnsi"/>
            <w:szCs w:val="20"/>
            <w:vertAlign w:val="subscript"/>
          </w:rPr>
          <w:t>Measured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as determined from c</w:t>
        </w:r>
        <w:r w:rsidRPr="00B506AB">
          <w:rPr>
            <w:rFonts w:cstheme="minorHAnsi"/>
            <w:szCs w:val="20"/>
          </w:rPr>
          <w:t xml:space="preserve">ustom </w:t>
        </w:r>
        <w:r>
          <w:rPr>
            <w:rFonts w:cstheme="minorHAnsi"/>
            <w:szCs w:val="20"/>
          </w:rPr>
          <w:t>calculation/</w:t>
        </w:r>
        <w:r w:rsidRPr="00B506AB">
          <w:rPr>
            <w:rFonts w:cstheme="minorHAnsi"/>
            <w:szCs w:val="20"/>
          </w:rPr>
          <w:t xml:space="preserve">billing analysis of participants in </w:t>
        </w:r>
        <w:r>
          <w:rPr>
            <w:rFonts w:cstheme="minorHAnsi"/>
            <w:szCs w:val="20"/>
          </w:rPr>
          <w:t>program during year X (input value)</w:t>
        </w:r>
      </w:ins>
    </w:p>
    <w:p w14:paraId="035AE217" w14:textId="77777777" w:rsidR="00BE2808" w:rsidRDefault="00BE2808" w:rsidP="00BE2808">
      <w:pPr>
        <w:ind w:left="1440"/>
        <w:rPr>
          <w:ins w:id="244" w:author="Stephanie Baer" w:date="2015-12-18T17:03:00Z"/>
          <w:rFonts w:cstheme="minorHAnsi"/>
          <w:szCs w:val="20"/>
        </w:rPr>
      </w:pPr>
      <w:ins w:id="245" w:author="Stephanie Baer" w:date="2015-12-18T17:03:00Z">
        <w:r>
          <w:rPr>
            <w:rFonts w:cstheme="minorHAnsi"/>
            <w:noProof/>
          </w:rPr>
          <w:t>ΔTherms</w:t>
        </w:r>
        <w:r>
          <w:rPr>
            <w:rFonts w:cstheme="minorHAnsi"/>
            <w:noProof/>
            <w:vertAlign w:val="subscript"/>
          </w:rPr>
          <w:t xml:space="preserve">x </w:t>
        </w:r>
        <w:r>
          <w:rPr>
            <w:rFonts w:cstheme="minorHAnsi"/>
            <w:szCs w:val="20"/>
            <w:vertAlign w:val="subscript"/>
          </w:rPr>
          <w:t>Adjusted</w:t>
        </w:r>
        <w:r>
          <w:rPr>
            <w:rFonts w:cstheme="minorHAnsi"/>
            <w:szCs w:val="20"/>
          </w:rPr>
          <w:t xml:space="preserve"> </w:t>
        </w:r>
        <w:r>
          <w:rPr>
            <w:rFonts w:cstheme="minorHAnsi"/>
            <w:szCs w:val="20"/>
          </w:rPr>
          <w:tab/>
        </w:r>
        <w:r w:rsidRPr="000B7BB6">
          <w:rPr>
            <w:rFonts w:cstheme="minorHAnsi"/>
            <w:szCs w:val="20"/>
          </w:rPr>
          <w:t xml:space="preserve">= </w:t>
        </w:r>
        <w:r>
          <w:rPr>
            <w:rFonts w:cstheme="minorHAnsi"/>
            <w:szCs w:val="20"/>
          </w:rPr>
          <w:t>total program savings for year X after adjustments to account for persistence (calculated value)</w:t>
        </w:r>
      </w:ins>
    </w:p>
    <w:p w14:paraId="50A037D0" w14:textId="77777777" w:rsidR="00BE2808" w:rsidRDefault="00BE2808" w:rsidP="00BE2808">
      <w:pPr>
        <w:ind w:left="1440"/>
        <w:rPr>
          <w:ins w:id="246" w:author="Stephanie Baer" w:date="2015-12-18T17:03:00Z"/>
          <w:rFonts w:cstheme="minorHAnsi"/>
          <w:szCs w:val="20"/>
        </w:rPr>
      </w:pPr>
      <w:ins w:id="247" w:author="Stephanie Baer" w:date="2015-12-18T17:03:00Z">
        <w:r>
          <w:rPr>
            <w:rFonts w:cstheme="minorHAnsi"/>
            <w:szCs w:val="20"/>
          </w:rPr>
          <w:t>PF</w:t>
        </w:r>
        <w:r w:rsidRPr="00CF05D0">
          <w:rPr>
            <w:rFonts w:cstheme="minorHAnsi"/>
            <w:szCs w:val="20"/>
            <w:vertAlign w:val="subscript"/>
            <w:rPrChange w:id="248" w:author="Cheryl Jenkins" w:date="2015-12-18T15:42:00Z">
              <w:rPr>
                <w:rFonts w:cstheme="minorHAnsi"/>
                <w:szCs w:val="20"/>
              </w:rPr>
            </w:rPrChange>
          </w:rPr>
          <w:t>Y</w:t>
        </w:r>
        <w:r>
          <w:rPr>
            <w:rFonts w:cstheme="minorHAnsi"/>
            <w:szCs w:val="20"/>
          </w:rPr>
          <w:tab/>
          <w:t xml:space="preserve"> = Persistence factor (deemed value)</w:t>
        </w:r>
      </w:ins>
    </w:p>
    <w:p w14:paraId="2D8A0DE4" w14:textId="77777777" w:rsidR="00BE2808" w:rsidRPr="00C3735C" w:rsidRDefault="00BE2808" w:rsidP="00BE2808">
      <w:pPr>
        <w:ind w:left="1440"/>
        <w:rPr>
          <w:ins w:id="249" w:author="Stephanie Baer" w:date="2015-12-18T17:03:00Z"/>
          <w:rFonts w:cstheme="minorHAnsi"/>
          <w:szCs w:val="20"/>
        </w:rPr>
      </w:pPr>
      <w:ins w:id="250" w:author="Stephanie Baer" w:date="2015-12-18T17:03:00Z">
        <w:r>
          <w:rPr>
            <w:rFonts w:cstheme="minorHAnsi"/>
            <w:szCs w:val="20"/>
          </w:rPr>
          <w:tab/>
        </w:r>
        <w:del w:id="251" w:author="Cheryl Jenkins" w:date="2015-12-18T15:42:00Z">
          <w:r w:rsidDel="00CF05D0">
            <w:rPr>
              <w:rFonts w:cstheme="minorHAnsi"/>
              <w:szCs w:val="20"/>
            </w:rPr>
            <w:tab/>
          </w:r>
          <w:r w:rsidDel="00CF05D0">
            <w:rPr>
              <w:rFonts w:cstheme="minorHAnsi"/>
              <w:szCs w:val="20"/>
            </w:rPr>
            <w:tab/>
          </w:r>
        </w:del>
        <w:r>
          <w:rPr>
            <w:rFonts w:cstheme="minorHAnsi"/>
            <w:szCs w:val="20"/>
          </w:rPr>
          <w:t xml:space="preserve"> = % savings that persist Y years afterwards </w:t>
        </w:r>
      </w:ins>
    </w:p>
    <w:p w14:paraId="2443A9D0" w14:textId="77777777" w:rsidR="00BE2808" w:rsidRDefault="00BE2808" w:rsidP="00BE2808">
      <w:pPr>
        <w:rPr>
          <w:ins w:id="252" w:author="Stephanie Baer" w:date="2015-12-18T17:03:00Z"/>
          <w:rFonts w:cstheme="minorHAnsi"/>
          <w:szCs w:val="20"/>
        </w:rPr>
      </w:pPr>
      <w:ins w:id="253" w:author="Stephanie Baer" w:date="2015-12-18T17:03:00Z">
        <w:r>
          <w:rPr>
            <w:rFonts w:cstheme="minorHAnsi"/>
            <w:szCs w:val="20"/>
          </w:rPr>
          <w:t xml:space="preserve"> </w:t>
        </w:r>
        <w:r>
          <w:rPr>
            <w:rFonts w:cstheme="minorHAnsi"/>
            <w:szCs w:val="20"/>
          </w:rPr>
          <w:tab/>
        </w:r>
        <w:r>
          <w:rPr>
            <w:rFonts w:cstheme="minorHAnsi"/>
            <w:szCs w:val="20"/>
          </w:rPr>
          <w:tab/>
        </w:r>
        <w:r>
          <w:rPr>
            <w:rFonts w:cstheme="minorHAnsi"/>
            <w:szCs w:val="20"/>
          </w:rPr>
          <w:tab/>
        </w:r>
        <w:r w:rsidRPr="00F4248B">
          <w:rPr>
            <w:rFonts w:cstheme="minorHAnsi"/>
            <w:szCs w:val="20"/>
          </w:rPr>
          <w:t xml:space="preserve">= use table below to select </w:t>
        </w:r>
        <w:r>
          <w:rPr>
            <w:rFonts w:cstheme="minorHAnsi"/>
            <w:szCs w:val="20"/>
          </w:rPr>
          <w:t>the</w:t>
        </w:r>
        <w:r w:rsidRPr="00F4248B">
          <w:rPr>
            <w:rFonts w:cstheme="minorHAnsi"/>
            <w:szCs w:val="20"/>
          </w:rPr>
          <w:t xml:space="preserve"> appropriate value</w:t>
        </w:r>
      </w:ins>
    </w:p>
    <w:p w14:paraId="52D65D10" w14:textId="77777777" w:rsidR="00BE2808" w:rsidRDefault="00BE2808" w:rsidP="00BE2808">
      <w:pPr>
        <w:ind w:left="2160" w:hanging="720"/>
        <w:rPr>
          <w:ins w:id="254" w:author="Stephanie Baer" w:date="2015-12-18T17:03:00Z"/>
          <w:rFonts w:cstheme="minorHAnsi"/>
          <w:szCs w:val="20"/>
        </w:rPr>
      </w:pPr>
      <w:ins w:id="255" w:author="Stephanie Baer" w:date="2015-12-18T17:03:00Z">
        <w:r>
          <w:rPr>
            <w:rFonts w:cstheme="minorHAnsi"/>
            <w:szCs w:val="20"/>
          </w:rPr>
          <w:t>Other variables as defined above</w:t>
        </w:r>
      </w:ins>
    </w:p>
    <w:p w14:paraId="04BD1A1D" w14:textId="77777777" w:rsidR="00BE2808" w:rsidRPr="00B41203" w:rsidRDefault="00BE2808">
      <w:pPr>
        <w:keepNext/>
        <w:ind w:left="187"/>
        <w:jc w:val="left"/>
        <w:rPr>
          <w:ins w:id="256" w:author="Stephanie Baer" w:date="2015-12-18T17:03:00Z"/>
          <w:rFonts w:cstheme="minorHAnsi"/>
        </w:rPr>
        <w:pPrChange w:id="257" w:author="Cheryl Jenkins" w:date="2015-12-18T15:45:00Z">
          <w:pPr/>
        </w:pPrChange>
      </w:pPr>
      <w:ins w:id="258" w:author="Stephanie Baer" w:date="2015-12-18T17:03:00Z">
        <w:r>
          <w:rPr>
            <w:rFonts w:cstheme="minorHAnsi"/>
            <w:b/>
            <w:szCs w:val="20"/>
          </w:rPr>
          <w:lastRenderedPageBreak/>
          <w:t>Gas</w:t>
        </w:r>
        <w:r w:rsidRPr="00057EF6">
          <w:rPr>
            <w:rFonts w:cstheme="minorHAnsi"/>
            <w:b/>
            <w:szCs w:val="20"/>
          </w:rPr>
          <w:t xml:space="preserve"> Persistence Factors</w:t>
        </w:r>
        <w:del w:id="259" w:author="Cheryl Jenkins" w:date="2015-12-18T15:42:00Z">
          <w:r w:rsidDel="00CF05D0">
            <w:rPr>
              <w:rFonts w:cstheme="minorHAnsi"/>
              <w:szCs w:val="20"/>
            </w:rPr>
            <w:delText>= % savings from year X that continue into year X+1</w:delText>
          </w:r>
        </w:del>
      </w:ins>
    </w:p>
    <w:tbl>
      <w:tblPr>
        <w:tblStyle w:val="TableGrid1"/>
        <w:tblW w:w="0" w:type="auto"/>
        <w:tblLook w:val="04A0" w:firstRow="1" w:lastRow="0" w:firstColumn="1" w:lastColumn="0" w:noHBand="0" w:noVBand="1"/>
      </w:tblPr>
      <w:tblGrid>
        <w:gridCol w:w="1596"/>
        <w:gridCol w:w="1596"/>
        <w:gridCol w:w="1596"/>
        <w:gridCol w:w="1596"/>
        <w:gridCol w:w="1596"/>
        <w:gridCol w:w="1596"/>
      </w:tblGrid>
      <w:tr w:rsidR="00BE2808" w:rsidRPr="00CF05D0" w14:paraId="76E1CF2F" w14:textId="77777777" w:rsidTr="00943770">
        <w:trPr>
          <w:tblHeader/>
          <w:ins w:id="260" w:author="Stephanie Baer" w:date="2015-12-18T17:03:00Z"/>
        </w:trPr>
        <w:tc>
          <w:tcPr>
            <w:tcW w:w="1596" w:type="dxa"/>
            <w:shd w:val="clear" w:color="auto" w:fill="7F7F7F" w:themeFill="text1" w:themeFillTint="80"/>
            <w:vAlign w:val="center"/>
          </w:tcPr>
          <w:p w14:paraId="659F8234" w14:textId="77777777" w:rsidR="00BE2808" w:rsidRPr="00CF05D0" w:rsidRDefault="00BE2808" w:rsidP="00943770">
            <w:pPr>
              <w:widowControl/>
              <w:spacing w:after="0"/>
              <w:jc w:val="center"/>
              <w:rPr>
                <w:ins w:id="261" w:author="Stephanie Baer" w:date="2015-12-18T17:03:00Z"/>
                <w:rFonts w:ascii="Calibri" w:eastAsia="Calibri" w:hAnsi="Calibri"/>
                <w:b/>
                <w:color w:val="FFFFFF"/>
                <w:szCs w:val="20"/>
              </w:rPr>
            </w:pPr>
            <w:ins w:id="262" w:author="Stephanie Baer" w:date="2015-12-18T17:03:00Z">
              <w:r w:rsidRPr="00CF05D0">
                <w:rPr>
                  <w:rFonts w:ascii="Calibri" w:eastAsia="Calibri" w:hAnsi="Calibri"/>
                  <w:b/>
                  <w:color w:val="FFFFFF"/>
                  <w:szCs w:val="20"/>
                </w:rPr>
                <w:t>Program Type</w:t>
              </w:r>
            </w:ins>
          </w:p>
        </w:tc>
        <w:tc>
          <w:tcPr>
            <w:tcW w:w="1596" w:type="dxa"/>
            <w:shd w:val="clear" w:color="auto" w:fill="7F7F7F" w:themeFill="text1" w:themeFillTint="80"/>
            <w:vAlign w:val="bottom"/>
          </w:tcPr>
          <w:p w14:paraId="33530385" w14:textId="77777777" w:rsidR="00BE2808" w:rsidRPr="00CF05D0" w:rsidRDefault="00BE2808" w:rsidP="00943770">
            <w:pPr>
              <w:widowControl/>
              <w:spacing w:after="0"/>
              <w:jc w:val="center"/>
              <w:rPr>
                <w:ins w:id="263" w:author="Stephanie Baer" w:date="2015-12-18T17:03:00Z"/>
                <w:rFonts w:ascii="Calibri" w:eastAsia="Calibri" w:hAnsi="Calibri"/>
                <w:b/>
                <w:color w:val="FFFFFF"/>
                <w:szCs w:val="20"/>
              </w:rPr>
            </w:pPr>
            <w:ins w:id="264" w:author="Stephanie Baer" w:date="2015-12-18T17:03:00Z">
              <w:r w:rsidRPr="00CF05D0">
                <w:rPr>
                  <w:rFonts w:ascii="Calibri" w:eastAsia="Calibri" w:hAnsi="Calibri"/>
                  <w:b/>
                  <w:color w:val="FFFFFF"/>
                  <w:szCs w:val="20"/>
                </w:rPr>
                <w:t>Program Year T - record 100% of calculated savings (</w:t>
              </w:r>
              <w:r w:rsidRPr="00CF05D0">
                <w:rPr>
                  <w:rFonts w:ascii="Calibri" w:hAnsi="Calibri" w:cs="Calibri"/>
                  <w:b/>
                  <w:noProof/>
                  <w:color w:val="FFFFFF"/>
                </w:rPr>
                <w:t>ΔkWh</w:t>
              </w:r>
              <w:r w:rsidRPr="00CF05D0">
                <w:rPr>
                  <w:rFonts w:ascii="Calibri" w:hAnsi="Calibri" w:cs="Calibri"/>
                  <w:b/>
                  <w:noProof/>
                  <w:color w:val="FFFFFF"/>
                  <w:vertAlign w:val="subscript"/>
                </w:rPr>
                <w:t>T</w:t>
              </w:r>
              <w:r w:rsidRPr="00CF05D0">
                <w:rPr>
                  <w:rFonts w:ascii="Calibri" w:eastAsia="Calibri" w:hAnsi="Calibri"/>
                  <w:b/>
                  <w:color w:val="FFFFFF"/>
                  <w:szCs w:val="20"/>
                </w:rPr>
                <w:t xml:space="preserve"> above)</w:t>
              </w:r>
            </w:ins>
          </w:p>
        </w:tc>
        <w:tc>
          <w:tcPr>
            <w:tcW w:w="1596" w:type="dxa"/>
            <w:shd w:val="clear" w:color="auto" w:fill="7F7F7F" w:themeFill="text1" w:themeFillTint="80"/>
            <w:vAlign w:val="bottom"/>
          </w:tcPr>
          <w:p w14:paraId="12BADE1C" w14:textId="77777777" w:rsidR="00BE2808" w:rsidRPr="00CF05D0" w:rsidRDefault="00BE2808" w:rsidP="00943770">
            <w:pPr>
              <w:widowControl/>
              <w:spacing w:after="0"/>
              <w:jc w:val="center"/>
              <w:rPr>
                <w:ins w:id="265" w:author="Stephanie Baer" w:date="2015-12-18T17:03:00Z"/>
                <w:rFonts w:ascii="Calibri" w:eastAsia="Calibri" w:hAnsi="Calibri"/>
                <w:b/>
                <w:color w:val="FFFFFF"/>
                <w:szCs w:val="20"/>
              </w:rPr>
            </w:pPr>
            <w:ins w:id="266" w:author="Stephanie Baer" w:date="2015-12-18T17:03:00Z">
              <w:r w:rsidRPr="00CF05D0">
                <w:rPr>
                  <w:rFonts w:ascii="Calibri" w:eastAsia="Calibri" w:hAnsi="Calibri"/>
                  <w:b/>
                  <w:color w:val="FFFFFF"/>
                  <w:szCs w:val="20"/>
                </w:rPr>
                <w:t>Percent savings from Year T activities that persist 1 year after year T</w:t>
              </w:r>
            </w:ins>
          </w:p>
        </w:tc>
        <w:tc>
          <w:tcPr>
            <w:tcW w:w="1596" w:type="dxa"/>
            <w:shd w:val="clear" w:color="auto" w:fill="7F7F7F" w:themeFill="text1" w:themeFillTint="80"/>
            <w:vAlign w:val="bottom"/>
          </w:tcPr>
          <w:p w14:paraId="25E79504" w14:textId="77777777" w:rsidR="00BE2808" w:rsidRPr="00CF05D0" w:rsidRDefault="00BE2808" w:rsidP="00943770">
            <w:pPr>
              <w:widowControl/>
              <w:spacing w:after="0"/>
              <w:jc w:val="center"/>
              <w:rPr>
                <w:ins w:id="267" w:author="Stephanie Baer" w:date="2015-12-18T17:03:00Z"/>
                <w:rFonts w:ascii="Calibri" w:eastAsia="Calibri" w:hAnsi="Calibri"/>
                <w:b/>
                <w:color w:val="FFFFFF"/>
                <w:szCs w:val="20"/>
              </w:rPr>
            </w:pPr>
            <w:ins w:id="268" w:author="Stephanie Baer" w:date="2015-12-18T17:03:00Z">
              <w:r w:rsidRPr="00CF05D0">
                <w:rPr>
                  <w:rFonts w:ascii="Calibri" w:eastAsia="Calibri" w:hAnsi="Calibri"/>
                  <w:b/>
                  <w:color w:val="FFFFFF"/>
                  <w:szCs w:val="20"/>
                </w:rPr>
                <w:t>Percent savings from Year T activities that persist 2 years after year T</w:t>
              </w:r>
            </w:ins>
          </w:p>
        </w:tc>
        <w:tc>
          <w:tcPr>
            <w:tcW w:w="1596" w:type="dxa"/>
            <w:shd w:val="clear" w:color="auto" w:fill="7F7F7F" w:themeFill="text1" w:themeFillTint="80"/>
            <w:vAlign w:val="bottom"/>
          </w:tcPr>
          <w:p w14:paraId="404C80D0" w14:textId="77777777" w:rsidR="00BE2808" w:rsidRPr="00CF05D0" w:rsidRDefault="00BE2808" w:rsidP="00943770">
            <w:pPr>
              <w:widowControl/>
              <w:spacing w:after="0"/>
              <w:jc w:val="center"/>
              <w:rPr>
                <w:ins w:id="269" w:author="Stephanie Baer" w:date="2015-12-18T17:03:00Z"/>
                <w:rFonts w:ascii="Calibri" w:eastAsia="Calibri" w:hAnsi="Calibri"/>
                <w:b/>
                <w:color w:val="FFFFFF"/>
                <w:szCs w:val="20"/>
              </w:rPr>
            </w:pPr>
            <w:ins w:id="270" w:author="Stephanie Baer" w:date="2015-12-18T17:03:00Z">
              <w:r w:rsidRPr="00CF05D0">
                <w:rPr>
                  <w:rFonts w:ascii="Calibri" w:eastAsia="Calibri" w:hAnsi="Calibri"/>
                  <w:b/>
                  <w:color w:val="FFFFFF"/>
                  <w:szCs w:val="20"/>
                </w:rPr>
                <w:t>Percent savings from Year T activities that persist 3 years after year T</w:t>
              </w:r>
            </w:ins>
          </w:p>
        </w:tc>
        <w:tc>
          <w:tcPr>
            <w:tcW w:w="1596" w:type="dxa"/>
            <w:shd w:val="clear" w:color="auto" w:fill="7F7F7F" w:themeFill="text1" w:themeFillTint="80"/>
            <w:vAlign w:val="bottom"/>
          </w:tcPr>
          <w:p w14:paraId="51F6748B" w14:textId="77777777" w:rsidR="00BE2808" w:rsidRPr="00CF05D0" w:rsidRDefault="00BE2808" w:rsidP="00943770">
            <w:pPr>
              <w:widowControl/>
              <w:spacing w:after="0"/>
              <w:jc w:val="center"/>
              <w:rPr>
                <w:ins w:id="271" w:author="Stephanie Baer" w:date="2015-12-18T17:03:00Z"/>
                <w:rFonts w:ascii="Calibri" w:eastAsia="Calibri" w:hAnsi="Calibri"/>
                <w:b/>
                <w:color w:val="FFFFFF"/>
                <w:szCs w:val="20"/>
              </w:rPr>
            </w:pPr>
            <w:ins w:id="272" w:author="Stephanie Baer" w:date="2015-12-18T17:03:00Z">
              <w:r w:rsidRPr="00CF05D0">
                <w:rPr>
                  <w:rFonts w:ascii="Calibri" w:eastAsia="Calibri" w:hAnsi="Calibri"/>
                  <w:b/>
                  <w:color w:val="FFFFFF"/>
                  <w:szCs w:val="20"/>
                </w:rPr>
                <w:t>Percent savings from Year T activities that persist 4 years after year T</w:t>
              </w:r>
            </w:ins>
          </w:p>
        </w:tc>
      </w:tr>
      <w:tr w:rsidR="00BE2808" w:rsidRPr="00CF05D0" w14:paraId="5915E373" w14:textId="77777777" w:rsidTr="00943770">
        <w:trPr>
          <w:trHeight w:val="359"/>
          <w:ins w:id="273" w:author="Stephanie Baer" w:date="2015-12-18T17:03:00Z"/>
        </w:trPr>
        <w:tc>
          <w:tcPr>
            <w:tcW w:w="1596" w:type="dxa"/>
            <w:vAlign w:val="center"/>
          </w:tcPr>
          <w:p w14:paraId="4FD64458" w14:textId="77777777" w:rsidR="00BE2808" w:rsidRPr="00CF05D0" w:rsidRDefault="00BE2808" w:rsidP="00943770">
            <w:pPr>
              <w:widowControl/>
              <w:spacing w:after="0"/>
              <w:jc w:val="center"/>
              <w:rPr>
                <w:ins w:id="274" w:author="Stephanie Baer" w:date="2015-12-18T17:03:00Z"/>
                <w:rFonts w:ascii="Calibri" w:eastAsia="Calibri" w:hAnsi="Calibri"/>
                <w:szCs w:val="20"/>
              </w:rPr>
            </w:pPr>
          </w:p>
        </w:tc>
        <w:tc>
          <w:tcPr>
            <w:tcW w:w="1596" w:type="dxa"/>
            <w:vAlign w:val="center"/>
          </w:tcPr>
          <w:p w14:paraId="6A08D0FD" w14:textId="77777777" w:rsidR="00BE2808" w:rsidRPr="00CF05D0" w:rsidRDefault="00BE2808" w:rsidP="00943770">
            <w:pPr>
              <w:widowControl/>
              <w:spacing w:after="0"/>
              <w:jc w:val="center"/>
              <w:rPr>
                <w:ins w:id="275" w:author="Stephanie Baer" w:date="2015-12-18T17:03:00Z"/>
                <w:rFonts w:ascii="Calibri" w:eastAsia="Calibri" w:hAnsi="Calibri"/>
                <w:szCs w:val="20"/>
              </w:rPr>
            </w:pPr>
          </w:p>
        </w:tc>
        <w:tc>
          <w:tcPr>
            <w:tcW w:w="1596" w:type="dxa"/>
            <w:vAlign w:val="center"/>
          </w:tcPr>
          <w:p w14:paraId="6F465EC3" w14:textId="77777777" w:rsidR="00BE2808" w:rsidRPr="00CF05D0" w:rsidRDefault="00BE2808" w:rsidP="00943770">
            <w:pPr>
              <w:widowControl/>
              <w:spacing w:after="0"/>
              <w:jc w:val="center"/>
              <w:rPr>
                <w:ins w:id="276" w:author="Stephanie Baer" w:date="2015-12-18T17:03:00Z"/>
                <w:rFonts w:ascii="Calibri" w:eastAsia="Calibri" w:hAnsi="Calibri"/>
                <w:szCs w:val="20"/>
              </w:rPr>
            </w:pPr>
            <w:ins w:id="277" w:author="Stephanie Baer" w:date="2015-12-18T17:03:00Z">
              <w:r w:rsidRPr="00CF05D0">
                <w:rPr>
                  <w:rFonts w:ascii="Calibri" w:eastAsia="Calibri" w:hAnsi="Calibri"/>
                  <w:szCs w:val="20"/>
                </w:rPr>
                <w:t>PF</w:t>
              </w:r>
              <w:r w:rsidRPr="00CF05D0">
                <w:rPr>
                  <w:rFonts w:ascii="Calibri" w:eastAsia="Calibri" w:hAnsi="Calibri"/>
                  <w:szCs w:val="20"/>
                  <w:vertAlign w:val="subscript"/>
                </w:rPr>
                <w:t>1</w:t>
              </w:r>
            </w:ins>
          </w:p>
        </w:tc>
        <w:tc>
          <w:tcPr>
            <w:tcW w:w="1596" w:type="dxa"/>
            <w:vAlign w:val="center"/>
          </w:tcPr>
          <w:p w14:paraId="79AE4B68" w14:textId="77777777" w:rsidR="00BE2808" w:rsidRPr="00CF05D0" w:rsidRDefault="00BE2808" w:rsidP="00943770">
            <w:pPr>
              <w:widowControl/>
              <w:spacing w:after="0"/>
              <w:jc w:val="center"/>
              <w:rPr>
                <w:ins w:id="278" w:author="Stephanie Baer" w:date="2015-12-18T17:03:00Z"/>
                <w:rFonts w:ascii="Calibri" w:eastAsia="Calibri" w:hAnsi="Calibri"/>
                <w:szCs w:val="20"/>
              </w:rPr>
            </w:pPr>
            <w:ins w:id="279" w:author="Stephanie Baer" w:date="2015-12-18T17:03:00Z">
              <w:r w:rsidRPr="00CF05D0">
                <w:rPr>
                  <w:rFonts w:ascii="Calibri" w:eastAsia="Calibri" w:hAnsi="Calibri"/>
                  <w:szCs w:val="20"/>
                </w:rPr>
                <w:t>PF</w:t>
              </w:r>
              <w:r w:rsidRPr="00CF05D0">
                <w:rPr>
                  <w:rFonts w:ascii="Calibri" w:eastAsia="Calibri" w:hAnsi="Calibri"/>
                  <w:szCs w:val="20"/>
                  <w:vertAlign w:val="subscript"/>
                </w:rPr>
                <w:t>2</w:t>
              </w:r>
            </w:ins>
          </w:p>
        </w:tc>
        <w:tc>
          <w:tcPr>
            <w:tcW w:w="1596" w:type="dxa"/>
            <w:vAlign w:val="center"/>
          </w:tcPr>
          <w:p w14:paraId="2E8FDCA1" w14:textId="77777777" w:rsidR="00BE2808" w:rsidRPr="00CF05D0" w:rsidRDefault="00BE2808" w:rsidP="00943770">
            <w:pPr>
              <w:widowControl/>
              <w:spacing w:after="0"/>
              <w:jc w:val="center"/>
              <w:rPr>
                <w:ins w:id="280" w:author="Stephanie Baer" w:date="2015-12-18T17:03:00Z"/>
                <w:rFonts w:ascii="Calibri" w:eastAsia="Calibri" w:hAnsi="Calibri"/>
                <w:szCs w:val="20"/>
              </w:rPr>
            </w:pPr>
            <w:ins w:id="281" w:author="Stephanie Baer" w:date="2015-12-18T17:03:00Z">
              <w:r w:rsidRPr="00CF05D0">
                <w:rPr>
                  <w:rFonts w:ascii="Calibri" w:eastAsia="Calibri" w:hAnsi="Calibri"/>
                  <w:szCs w:val="20"/>
                </w:rPr>
                <w:t>PF</w:t>
              </w:r>
              <w:r w:rsidRPr="00CF05D0">
                <w:rPr>
                  <w:rFonts w:ascii="Calibri" w:eastAsia="Calibri" w:hAnsi="Calibri"/>
                  <w:szCs w:val="20"/>
                  <w:vertAlign w:val="subscript"/>
                </w:rPr>
                <w:t>3</w:t>
              </w:r>
            </w:ins>
          </w:p>
        </w:tc>
        <w:tc>
          <w:tcPr>
            <w:tcW w:w="1596" w:type="dxa"/>
            <w:vAlign w:val="center"/>
          </w:tcPr>
          <w:p w14:paraId="600FCC1A" w14:textId="77777777" w:rsidR="00BE2808" w:rsidRPr="00CF05D0" w:rsidRDefault="00BE2808" w:rsidP="00943770">
            <w:pPr>
              <w:widowControl/>
              <w:spacing w:after="0"/>
              <w:jc w:val="center"/>
              <w:rPr>
                <w:ins w:id="282" w:author="Stephanie Baer" w:date="2015-12-18T17:03:00Z"/>
                <w:rFonts w:ascii="Calibri" w:eastAsia="Calibri" w:hAnsi="Calibri"/>
                <w:szCs w:val="20"/>
              </w:rPr>
            </w:pPr>
            <w:ins w:id="283" w:author="Stephanie Baer" w:date="2015-12-18T17:03:00Z">
              <w:r w:rsidRPr="00CF05D0">
                <w:rPr>
                  <w:rFonts w:ascii="Calibri" w:eastAsia="Calibri" w:hAnsi="Calibri"/>
                  <w:szCs w:val="20"/>
                </w:rPr>
                <w:t>PF</w:t>
              </w:r>
              <w:r w:rsidRPr="00CF05D0">
                <w:rPr>
                  <w:rFonts w:ascii="Calibri" w:eastAsia="Calibri" w:hAnsi="Calibri"/>
                  <w:szCs w:val="20"/>
                  <w:vertAlign w:val="subscript"/>
                </w:rPr>
                <w:t>4</w:t>
              </w:r>
            </w:ins>
          </w:p>
        </w:tc>
      </w:tr>
      <w:tr w:rsidR="00BE2808" w:rsidRPr="00CF05D0" w14:paraId="32935203" w14:textId="77777777" w:rsidTr="00943770">
        <w:trPr>
          <w:ins w:id="284" w:author="Stephanie Baer" w:date="2015-12-18T17:03:00Z"/>
        </w:trPr>
        <w:tc>
          <w:tcPr>
            <w:tcW w:w="1596" w:type="dxa"/>
          </w:tcPr>
          <w:p w14:paraId="37C3A318" w14:textId="77777777" w:rsidR="00BE2808" w:rsidRPr="00CF05D0" w:rsidRDefault="00BE2808" w:rsidP="00943770">
            <w:pPr>
              <w:widowControl/>
              <w:spacing w:after="0"/>
              <w:jc w:val="center"/>
              <w:rPr>
                <w:ins w:id="285" w:author="Stephanie Baer" w:date="2015-12-18T17:03:00Z"/>
                <w:rFonts w:ascii="Calibri" w:eastAsia="Calibri" w:hAnsi="Calibri"/>
                <w:szCs w:val="20"/>
              </w:rPr>
            </w:pPr>
            <w:ins w:id="286" w:author="Stephanie Baer" w:date="2015-12-18T17:03:00Z">
              <w:r w:rsidRPr="00CF05D0">
                <w:rPr>
                  <w:rFonts w:ascii="Calibri" w:eastAsia="Calibri" w:hAnsi="Calibri"/>
                  <w:szCs w:val="20"/>
                </w:rPr>
                <w:t>Residential HERs-type (RCT)</w:t>
              </w:r>
            </w:ins>
          </w:p>
        </w:tc>
        <w:tc>
          <w:tcPr>
            <w:tcW w:w="1596" w:type="dxa"/>
            <w:vAlign w:val="center"/>
          </w:tcPr>
          <w:p w14:paraId="6754B445" w14:textId="77777777" w:rsidR="00BE2808" w:rsidRPr="00CF05D0" w:rsidRDefault="00BE2808" w:rsidP="00943770">
            <w:pPr>
              <w:widowControl/>
              <w:spacing w:after="0"/>
              <w:jc w:val="center"/>
              <w:rPr>
                <w:ins w:id="287" w:author="Stephanie Baer" w:date="2015-12-18T17:03:00Z"/>
                <w:rFonts w:ascii="Calibri" w:eastAsia="Calibri" w:hAnsi="Calibri"/>
                <w:szCs w:val="20"/>
              </w:rPr>
            </w:pPr>
            <w:ins w:id="288" w:author="Stephanie Baer" w:date="2015-12-18T17:03:00Z">
              <w:r w:rsidRPr="00CF05D0">
                <w:rPr>
                  <w:rFonts w:ascii="Calibri" w:eastAsia="Calibri" w:hAnsi="Calibri"/>
                  <w:szCs w:val="20"/>
                </w:rPr>
                <w:t>100%</w:t>
              </w:r>
            </w:ins>
          </w:p>
        </w:tc>
        <w:tc>
          <w:tcPr>
            <w:tcW w:w="1596" w:type="dxa"/>
            <w:vAlign w:val="center"/>
          </w:tcPr>
          <w:p w14:paraId="3794B221" w14:textId="77777777" w:rsidR="00BE2808" w:rsidRPr="00CF05D0" w:rsidRDefault="00BE2808" w:rsidP="00943770">
            <w:pPr>
              <w:widowControl/>
              <w:spacing w:after="0"/>
              <w:jc w:val="center"/>
              <w:rPr>
                <w:ins w:id="289" w:author="Stephanie Baer" w:date="2015-12-18T17:03:00Z"/>
                <w:rFonts w:ascii="Calibri" w:eastAsia="Calibri" w:hAnsi="Calibri"/>
                <w:szCs w:val="20"/>
              </w:rPr>
            </w:pPr>
            <w:ins w:id="290" w:author="Stephanie Baer" w:date="2015-12-18T17:03:00Z">
              <w:r w:rsidRPr="00CF05D0">
                <w:rPr>
                  <w:rFonts w:ascii="Calibri" w:eastAsia="Calibri" w:hAnsi="Calibri"/>
                  <w:szCs w:val="20"/>
                </w:rPr>
                <w:t>43%</w:t>
              </w:r>
            </w:ins>
          </w:p>
        </w:tc>
        <w:tc>
          <w:tcPr>
            <w:tcW w:w="1596" w:type="dxa"/>
            <w:vAlign w:val="center"/>
          </w:tcPr>
          <w:p w14:paraId="5E826784" w14:textId="77777777" w:rsidR="00BE2808" w:rsidRPr="00CF05D0" w:rsidRDefault="00BE2808" w:rsidP="00943770">
            <w:pPr>
              <w:widowControl/>
              <w:spacing w:after="0"/>
              <w:jc w:val="center"/>
              <w:rPr>
                <w:ins w:id="291" w:author="Stephanie Baer" w:date="2015-12-18T17:03:00Z"/>
                <w:rFonts w:ascii="Calibri" w:eastAsia="Calibri" w:hAnsi="Calibri"/>
                <w:szCs w:val="20"/>
              </w:rPr>
            </w:pPr>
            <w:ins w:id="292" w:author="Stephanie Baer" w:date="2015-12-18T17:03:00Z">
              <w:r w:rsidRPr="00CF05D0">
                <w:rPr>
                  <w:rFonts w:ascii="Calibri" w:eastAsia="Calibri" w:hAnsi="Calibri"/>
                  <w:szCs w:val="20"/>
                </w:rPr>
                <w:t>18%</w:t>
              </w:r>
            </w:ins>
          </w:p>
        </w:tc>
        <w:tc>
          <w:tcPr>
            <w:tcW w:w="1596" w:type="dxa"/>
            <w:vAlign w:val="center"/>
          </w:tcPr>
          <w:p w14:paraId="4BCA1063" w14:textId="77777777" w:rsidR="00BE2808" w:rsidRPr="00CF05D0" w:rsidRDefault="00BE2808" w:rsidP="00943770">
            <w:pPr>
              <w:widowControl/>
              <w:spacing w:after="0"/>
              <w:jc w:val="center"/>
              <w:rPr>
                <w:ins w:id="293" w:author="Stephanie Baer" w:date="2015-12-18T17:03:00Z"/>
                <w:rFonts w:ascii="Calibri" w:eastAsia="Calibri" w:hAnsi="Calibri"/>
                <w:szCs w:val="20"/>
              </w:rPr>
            </w:pPr>
            <w:ins w:id="294" w:author="Stephanie Baer" w:date="2015-12-18T17:03:00Z">
              <w:r w:rsidRPr="00CF05D0">
                <w:rPr>
                  <w:rFonts w:ascii="Calibri" w:eastAsia="Calibri" w:hAnsi="Calibri"/>
                  <w:szCs w:val="20"/>
                </w:rPr>
                <w:t>8%</w:t>
              </w:r>
            </w:ins>
          </w:p>
        </w:tc>
        <w:tc>
          <w:tcPr>
            <w:tcW w:w="1596" w:type="dxa"/>
            <w:vAlign w:val="center"/>
          </w:tcPr>
          <w:p w14:paraId="21E39336" w14:textId="77777777" w:rsidR="00BE2808" w:rsidRPr="00CF05D0" w:rsidRDefault="00BE2808" w:rsidP="00943770">
            <w:pPr>
              <w:widowControl/>
              <w:spacing w:after="0"/>
              <w:jc w:val="center"/>
              <w:rPr>
                <w:ins w:id="295" w:author="Stephanie Baer" w:date="2015-12-18T17:03:00Z"/>
                <w:rFonts w:ascii="Calibri" w:eastAsia="Calibri" w:hAnsi="Calibri"/>
                <w:szCs w:val="20"/>
              </w:rPr>
            </w:pPr>
            <w:ins w:id="296" w:author="Stephanie Baer" w:date="2015-12-18T17:03:00Z">
              <w:r w:rsidRPr="00CF05D0">
                <w:rPr>
                  <w:rFonts w:ascii="Calibri" w:eastAsia="Calibri" w:hAnsi="Calibri"/>
                  <w:szCs w:val="20"/>
                </w:rPr>
                <w:t>3%</w:t>
              </w:r>
            </w:ins>
          </w:p>
        </w:tc>
      </w:tr>
    </w:tbl>
    <w:p w14:paraId="58BE1D4C" w14:textId="77777777" w:rsidR="00BE2808" w:rsidRDefault="00BE2808" w:rsidP="00BE2808">
      <w:pPr>
        <w:ind w:left="2160" w:hanging="720"/>
        <w:rPr>
          <w:ins w:id="297" w:author="Stephanie Baer" w:date="2015-12-18T17:03:00Z"/>
          <w:rFonts w:cstheme="minorHAnsi"/>
          <w:szCs w:val="20"/>
        </w:rPr>
      </w:pPr>
    </w:p>
    <w:p w14:paraId="1076CF25" w14:textId="77777777" w:rsidR="00BE2808" w:rsidRPr="00085EBE" w:rsidDel="00271123" w:rsidRDefault="00BE2808" w:rsidP="00BE2808">
      <w:pPr>
        <w:ind w:left="2160" w:hanging="720"/>
        <w:rPr>
          <w:ins w:id="298" w:author="Stephanie Baer" w:date="2015-12-18T17:03:00Z"/>
          <w:del w:id="299" w:author="Cheryl Jenkins" w:date="2015-12-18T16:44:00Z"/>
          <w:rFonts w:cstheme="minorHAnsi"/>
          <w:szCs w:val="20"/>
        </w:rPr>
      </w:pPr>
      <w:ins w:id="300" w:author="Stephanie Baer" w:date="2015-12-18T17:03:00Z">
        <w:del w:id="301" w:author="Cheryl Jenkins" w:date="2015-12-18T16:44:00Z">
          <w:r w:rsidDel="00271123">
            <w:rPr>
              <w:rFonts w:cstheme="minorHAnsi"/>
              <w:szCs w:val="20"/>
            </w:rPr>
            <w:delText>Other variables as defined above</w:delText>
          </w:r>
        </w:del>
      </w:ins>
    </w:p>
    <w:p w14:paraId="38F56C73" w14:textId="77777777" w:rsidR="00BE2808" w:rsidRPr="00253F34" w:rsidRDefault="00BE2808" w:rsidP="00BE2808">
      <w:pPr>
        <w:pStyle w:val="Heading6"/>
        <w:rPr>
          <w:ins w:id="302" w:author="Stephanie Baer" w:date="2015-12-18T17:03:00Z"/>
        </w:rPr>
      </w:pPr>
      <w:ins w:id="303" w:author="Stephanie Baer" w:date="2015-12-18T17:03:00Z">
        <w:del w:id="304" w:author="Cheryl Jenkins" w:date="2015-12-18T15:46:00Z">
          <w:r w:rsidRPr="00253F34" w:rsidDel="008D63E6">
            <w:delText>Mid-life Adjustments</w:delText>
          </w:r>
        </w:del>
        <w:r>
          <w:t>Application of Persistence for Cost-effectiveness</w:t>
        </w:r>
      </w:ins>
    </w:p>
    <w:p w14:paraId="3A4E3F7C" w14:textId="77777777" w:rsidR="00BE2808" w:rsidRDefault="00BE2808" w:rsidP="00BE2808">
      <w:pPr>
        <w:tabs>
          <w:tab w:val="left" w:pos="3600"/>
        </w:tabs>
        <w:rPr>
          <w:ins w:id="305" w:author="Stephanie Baer" w:date="2015-12-18T17:03:00Z"/>
          <w:rFonts w:ascii="Calibri" w:hAnsi="Calibri"/>
          <w:szCs w:val="20"/>
        </w:rPr>
      </w:pPr>
      <w:ins w:id="306" w:author="Stephanie Baer" w:date="2015-12-18T17:03:00Z">
        <w:r>
          <w:rPr>
            <w:rFonts w:ascii="Calibri" w:hAnsi="Calibri"/>
            <w:szCs w:val="20"/>
          </w:rPr>
          <w:t xml:space="preserve">The following savings should be recorded for this measure as savings for the years following program delivery </w:t>
        </w:r>
        <w:del w:id="307" w:author="Cheryl Jenkins" w:date="2015-12-18T15:49:00Z">
          <w:r w:rsidDel="008D63E6">
            <w:rPr>
              <w:rFonts w:ascii="Calibri" w:hAnsi="Calibri"/>
              <w:szCs w:val="20"/>
            </w:rPr>
            <w:delText xml:space="preserve">For </w:delText>
          </w:r>
        </w:del>
        <w:r>
          <w:rPr>
            <w:rFonts w:ascii="Calibri" w:hAnsi="Calibri"/>
            <w:szCs w:val="20"/>
          </w:rPr>
          <w:t>when calculating</w:t>
        </w:r>
        <w:del w:id="308" w:author="Cheryl Jenkins" w:date="2015-12-18T15:49:00Z">
          <w:r w:rsidDel="008D63E6">
            <w:rPr>
              <w:rFonts w:ascii="Calibri" w:hAnsi="Calibri"/>
              <w:szCs w:val="20"/>
            </w:rPr>
            <w:delText>ion of</w:delText>
          </w:r>
        </w:del>
        <w:r>
          <w:rPr>
            <w:rFonts w:ascii="Calibri" w:hAnsi="Calibri"/>
            <w:szCs w:val="20"/>
          </w:rPr>
          <w:t xml:space="preserve"> lifetime savings and cost-effectiveness for year T</w:t>
        </w:r>
        <w:del w:id="309" w:author="Cheryl Jenkins" w:date="2015-12-18T15:55:00Z">
          <w:r w:rsidDel="008D63E6">
            <w:rPr>
              <w:rFonts w:ascii="Calibri" w:hAnsi="Calibri"/>
              <w:szCs w:val="20"/>
            </w:rPr>
            <w:delText>,</w:delText>
          </w:r>
        </w:del>
        <w:del w:id="310" w:author="Cheryl Jenkins" w:date="2015-12-18T15:49:00Z">
          <w:r w:rsidDel="008D63E6">
            <w:rPr>
              <w:rFonts w:ascii="Calibri" w:hAnsi="Calibri"/>
              <w:szCs w:val="20"/>
            </w:rPr>
            <w:delText xml:space="preserve"> the following savings should be recorded for this measure for the year following program delivery</w:delText>
          </w:r>
        </w:del>
        <w:r>
          <w:rPr>
            <w:rFonts w:ascii="Calibri" w:hAnsi="Calibri"/>
            <w:szCs w:val="20"/>
          </w:rPr>
          <w:t>:</w:t>
        </w:r>
      </w:ins>
    </w:p>
    <w:tbl>
      <w:tblPr>
        <w:tblStyle w:val="TableGrid2"/>
        <w:tblW w:w="5000" w:type="pct"/>
        <w:tblLook w:val="04A0" w:firstRow="1" w:lastRow="0" w:firstColumn="1" w:lastColumn="0" w:noHBand="0" w:noVBand="1"/>
      </w:tblPr>
      <w:tblGrid>
        <w:gridCol w:w="1916"/>
        <w:gridCol w:w="1915"/>
        <w:gridCol w:w="1915"/>
        <w:gridCol w:w="1915"/>
        <w:gridCol w:w="1915"/>
      </w:tblGrid>
      <w:tr w:rsidR="00BE2808" w:rsidRPr="008D63E6" w14:paraId="7541BB4B" w14:textId="77777777" w:rsidTr="00943770">
        <w:trPr>
          <w:ins w:id="311" w:author="Stephanie Baer" w:date="2015-12-18T17:03:00Z"/>
        </w:trPr>
        <w:tc>
          <w:tcPr>
            <w:tcW w:w="1000" w:type="pct"/>
            <w:shd w:val="clear" w:color="auto" w:fill="7F7F7F" w:themeFill="text1" w:themeFillTint="80"/>
            <w:vAlign w:val="bottom"/>
          </w:tcPr>
          <w:p w14:paraId="66E64B5D" w14:textId="77777777" w:rsidR="00BE2808" w:rsidRPr="008D63E6" w:rsidRDefault="00BE2808" w:rsidP="00943770">
            <w:pPr>
              <w:widowControl/>
              <w:spacing w:after="0"/>
              <w:jc w:val="center"/>
              <w:rPr>
                <w:ins w:id="312" w:author="Stephanie Baer" w:date="2015-12-18T17:03:00Z"/>
                <w:rFonts w:ascii="Calibri" w:eastAsia="Calibri" w:hAnsi="Calibri"/>
                <w:b/>
                <w:color w:val="FFFFFF"/>
                <w:szCs w:val="20"/>
              </w:rPr>
            </w:pPr>
            <w:ins w:id="313" w:author="Stephanie Baer" w:date="2015-12-18T17:03:00Z">
              <w:r w:rsidRPr="008D63E6">
                <w:rPr>
                  <w:rFonts w:ascii="Calibri" w:eastAsia="Calibri" w:hAnsi="Calibri"/>
                  <w:b/>
                  <w:color w:val="FFFFFF"/>
                  <w:szCs w:val="20"/>
                </w:rPr>
                <w:t xml:space="preserve">Program Year T - record 100% of calculated savings </w:t>
              </w:r>
            </w:ins>
          </w:p>
        </w:tc>
        <w:tc>
          <w:tcPr>
            <w:tcW w:w="1000" w:type="pct"/>
            <w:shd w:val="clear" w:color="auto" w:fill="7F7F7F" w:themeFill="text1" w:themeFillTint="80"/>
            <w:vAlign w:val="bottom"/>
          </w:tcPr>
          <w:p w14:paraId="2BE62E64" w14:textId="77777777" w:rsidR="00BE2808" w:rsidRPr="008D63E6" w:rsidRDefault="00BE2808" w:rsidP="00943770">
            <w:pPr>
              <w:widowControl/>
              <w:spacing w:after="0"/>
              <w:jc w:val="center"/>
              <w:rPr>
                <w:ins w:id="314" w:author="Stephanie Baer" w:date="2015-12-18T17:03:00Z"/>
                <w:rFonts w:ascii="Calibri" w:eastAsia="Calibri" w:hAnsi="Calibri"/>
                <w:b/>
                <w:color w:val="FFFFFF"/>
                <w:szCs w:val="20"/>
              </w:rPr>
            </w:pPr>
            <w:ins w:id="315" w:author="Stephanie Baer" w:date="2015-12-18T17:03:00Z">
              <w:r w:rsidRPr="008D63E6">
                <w:rPr>
                  <w:rFonts w:ascii="Calibri" w:eastAsia="Calibri" w:hAnsi="Calibri"/>
                  <w:b/>
                  <w:color w:val="FFFFFF"/>
                  <w:szCs w:val="20"/>
                </w:rPr>
                <w:t>Percent savings from Year T activities that persist 1 year after year T</w:t>
              </w:r>
            </w:ins>
          </w:p>
        </w:tc>
        <w:tc>
          <w:tcPr>
            <w:tcW w:w="1000" w:type="pct"/>
            <w:shd w:val="clear" w:color="auto" w:fill="7F7F7F" w:themeFill="text1" w:themeFillTint="80"/>
            <w:vAlign w:val="bottom"/>
          </w:tcPr>
          <w:p w14:paraId="388E729E" w14:textId="77777777" w:rsidR="00BE2808" w:rsidRPr="008D63E6" w:rsidRDefault="00BE2808" w:rsidP="00943770">
            <w:pPr>
              <w:widowControl/>
              <w:spacing w:after="0"/>
              <w:jc w:val="center"/>
              <w:rPr>
                <w:ins w:id="316" w:author="Stephanie Baer" w:date="2015-12-18T17:03:00Z"/>
                <w:rFonts w:ascii="Calibri" w:eastAsia="Calibri" w:hAnsi="Calibri"/>
                <w:b/>
                <w:color w:val="FFFFFF"/>
                <w:szCs w:val="20"/>
              </w:rPr>
            </w:pPr>
            <w:ins w:id="317" w:author="Stephanie Baer" w:date="2015-12-18T17:03:00Z">
              <w:r w:rsidRPr="008D63E6">
                <w:rPr>
                  <w:rFonts w:ascii="Calibri" w:eastAsia="Calibri" w:hAnsi="Calibri"/>
                  <w:b/>
                  <w:color w:val="FFFFFF"/>
                  <w:szCs w:val="20"/>
                </w:rPr>
                <w:t>Percent savings from Year T activities that persist 2 years after year T</w:t>
              </w:r>
            </w:ins>
          </w:p>
        </w:tc>
        <w:tc>
          <w:tcPr>
            <w:tcW w:w="1000" w:type="pct"/>
            <w:shd w:val="clear" w:color="auto" w:fill="7F7F7F" w:themeFill="text1" w:themeFillTint="80"/>
            <w:vAlign w:val="bottom"/>
          </w:tcPr>
          <w:p w14:paraId="4BCFEB65" w14:textId="77777777" w:rsidR="00BE2808" w:rsidRPr="008D63E6" w:rsidRDefault="00BE2808" w:rsidP="00943770">
            <w:pPr>
              <w:widowControl/>
              <w:spacing w:after="0"/>
              <w:jc w:val="center"/>
              <w:rPr>
                <w:ins w:id="318" w:author="Stephanie Baer" w:date="2015-12-18T17:03:00Z"/>
                <w:rFonts w:ascii="Calibri" w:eastAsia="Calibri" w:hAnsi="Calibri"/>
                <w:b/>
                <w:color w:val="FFFFFF"/>
                <w:szCs w:val="20"/>
              </w:rPr>
            </w:pPr>
            <w:ins w:id="319" w:author="Stephanie Baer" w:date="2015-12-18T17:03:00Z">
              <w:r w:rsidRPr="008D63E6">
                <w:rPr>
                  <w:rFonts w:ascii="Calibri" w:eastAsia="Calibri" w:hAnsi="Calibri"/>
                  <w:b/>
                  <w:color w:val="FFFFFF"/>
                  <w:szCs w:val="20"/>
                </w:rPr>
                <w:t>Percent savings from Year T activities that persist 3 years after year T</w:t>
              </w:r>
            </w:ins>
          </w:p>
        </w:tc>
        <w:tc>
          <w:tcPr>
            <w:tcW w:w="1000" w:type="pct"/>
            <w:shd w:val="clear" w:color="auto" w:fill="7F7F7F" w:themeFill="text1" w:themeFillTint="80"/>
            <w:vAlign w:val="bottom"/>
          </w:tcPr>
          <w:p w14:paraId="02864CEC" w14:textId="77777777" w:rsidR="00BE2808" w:rsidRPr="008D63E6" w:rsidRDefault="00BE2808" w:rsidP="00943770">
            <w:pPr>
              <w:widowControl/>
              <w:spacing w:after="0"/>
              <w:jc w:val="center"/>
              <w:rPr>
                <w:ins w:id="320" w:author="Stephanie Baer" w:date="2015-12-18T17:03:00Z"/>
                <w:rFonts w:ascii="Calibri" w:eastAsia="Calibri" w:hAnsi="Calibri"/>
                <w:b/>
                <w:color w:val="FFFFFF"/>
                <w:szCs w:val="20"/>
              </w:rPr>
            </w:pPr>
            <w:ins w:id="321" w:author="Stephanie Baer" w:date="2015-12-18T17:03:00Z">
              <w:r w:rsidRPr="008D63E6">
                <w:rPr>
                  <w:rFonts w:ascii="Calibri" w:eastAsia="Calibri" w:hAnsi="Calibri"/>
                  <w:b/>
                  <w:color w:val="FFFFFF"/>
                  <w:szCs w:val="20"/>
                </w:rPr>
                <w:t>Percent savings from Year T activities that persist 4 years after year T</w:t>
              </w:r>
            </w:ins>
          </w:p>
        </w:tc>
      </w:tr>
      <w:tr w:rsidR="00BE2808" w:rsidRPr="008D63E6" w14:paraId="0E4C9FE6" w14:textId="77777777" w:rsidTr="00943770">
        <w:trPr>
          <w:trHeight w:val="359"/>
          <w:ins w:id="322" w:author="Stephanie Baer" w:date="2015-12-18T17:03:00Z"/>
        </w:trPr>
        <w:tc>
          <w:tcPr>
            <w:tcW w:w="1000" w:type="pct"/>
            <w:vAlign w:val="center"/>
          </w:tcPr>
          <w:p w14:paraId="75BB29FA" w14:textId="77777777" w:rsidR="00BE2808" w:rsidRPr="008D63E6" w:rsidRDefault="00BE2808" w:rsidP="00943770">
            <w:pPr>
              <w:widowControl/>
              <w:spacing w:after="0"/>
              <w:jc w:val="center"/>
              <w:rPr>
                <w:ins w:id="323" w:author="Stephanie Baer" w:date="2015-12-18T17:03:00Z"/>
                <w:rFonts w:ascii="Calibri" w:eastAsia="Calibri" w:hAnsi="Calibri"/>
                <w:sz w:val="18"/>
                <w:szCs w:val="18"/>
              </w:rPr>
            </w:pPr>
            <w:ins w:id="324"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ins>
          </w:p>
          <w:p w14:paraId="284644CC" w14:textId="77777777" w:rsidR="00BE2808" w:rsidRPr="008D63E6" w:rsidRDefault="00BE2808" w:rsidP="00943770">
            <w:pPr>
              <w:widowControl/>
              <w:spacing w:after="0"/>
              <w:jc w:val="center"/>
              <w:rPr>
                <w:ins w:id="325" w:author="Stephanie Baer" w:date="2015-12-18T17:03:00Z"/>
                <w:rFonts w:ascii="Calibri" w:eastAsia="Calibri" w:hAnsi="Calibri"/>
                <w:sz w:val="18"/>
                <w:szCs w:val="18"/>
              </w:rPr>
            </w:pPr>
            <w:ins w:id="326"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ins>
          </w:p>
          <w:p w14:paraId="2ACA0C05" w14:textId="77777777" w:rsidR="00BE2808" w:rsidRPr="008D63E6" w:rsidRDefault="00BE2808" w:rsidP="00943770">
            <w:pPr>
              <w:widowControl/>
              <w:spacing w:after="0"/>
              <w:jc w:val="center"/>
              <w:rPr>
                <w:ins w:id="327" w:author="Stephanie Baer" w:date="2015-12-18T17:03:00Z"/>
                <w:rFonts w:ascii="Calibri" w:eastAsia="Calibri" w:hAnsi="Calibri"/>
                <w:szCs w:val="20"/>
              </w:rPr>
            </w:pPr>
            <w:ins w:id="328"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ins>
          </w:p>
        </w:tc>
        <w:tc>
          <w:tcPr>
            <w:tcW w:w="1000" w:type="pct"/>
            <w:vAlign w:val="center"/>
          </w:tcPr>
          <w:p w14:paraId="243BE15A" w14:textId="77777777" w:rsidR="00BE2808" w:rsidRPr="008D63E6" w:rsidRDefault="00BE2808" w:rsidP="00943770">
            <w:pPr>
              <w:widowControl/>
              <w:spacing w:after="0"/>
              <w:jc w:val="center"/>
              <w:rPr>
                <w:ins w:id="329" w:author="Stephanie Baer" w:date="2015-12-18T17:03:00Z"/>
                <w:rFonts w:ascii="Calibri" w:eastAsia="Calibri" w:hAnsi="Calibri"/>
                <w:sz w:val="18"/>
                <w:szCs w:val="18"/>
              </w:rPr>
            </w:pPr>
            <w:ins w:id="330"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p w14:paraId="284102C1" w14:textId="77777777" w:rsidR="00BE2808" w:rsidRPr="008D63E6" w:rsidRDefault="00BE2808" w:rsidP="00943770">
            <w:pPr>
              <w:widowControl/>
              <w:spacing w:after="0"/>
              <w:jc w:val="center"/>
              <w:rPr>
                <w:ins w:id="331" w:author="Stephanie Baer" w:date="2015-12-18T17:03:00Z"/>
                <w:rFonts w:ascii="Calibri" w:eastAsia="Calibri" w:hAnsi="Calibri"/>
                <w:sz w:val="18"/>
                <w:szCs w:val="18"/>
              </w:rPr>
            </w:pPr>
            <w:ins w:id="332"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p w14:paraId="61135D69" w14:textId="77777777" w:rsidR="00BE2808" w:rsidRPr="008D63E6" w:rsidRDefault="00BE2808" w:rsidP="00943770">
            <w:pPr>
              <w:widowControl/>
              <w:spacing w:after="0"/>
              <w:jc w:val="center"/>
              <w:rPr>
                <w:ins w:id="333" w:author="Stephanie Baer" w:date="2015-12-18T17:03:00Z"/>
                <w:rFonts w:ascii="Calibri" w:eastAsia="Calibri" w:hAnsi="Calibri"/>
                <w:szCs w:val="20"/>
              </w:rPr>
            </w:pPr>
            <w:ins w:id="334"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1</w:t>
              </w:r>
            </w:ins>
          </w:p>
        </w:tc>
        <w:tc>
          <w:tcPr>
            <w:tcW w:w="1000" w:type="pct"/>
            <w:vAlign w:val="center"/>
          </w:tcPr>
          <w:p w14:paraId="3EF360EF" w14:textId="77777777" w:rsidR="00BE2808" w:rsidRPr="008D63E6" w:rsidRDefault="00BE2808" w:rsidP="00943770">
            <w:pPr>
              <w:widowControl/>
              <w:spacing w:after="0"/>
              <w:jc w:val="center"/>
              <w:rPr>
                <w:ins w:id="335" w:author="Stephanie Baer" w:date="2015-12-18T17:03:00Z"/>
                <w:rFonts w:ascii="Calibri" w:eastAsia="Calibri" w:hAnsi="Calibri"/>
                <w:sz w:val="18"/>
                <w:szCs w:val="18"/>
              </w:rPr>
            </w:pPr>
            <w:ins w:id="336"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2</w:t>
              </w:r>
            </w:ins>
          </w:p>
          <w:p w14:paraId="19DA77DC" w14:textId="77777777" w:rsidR="00BE2808" w:rsidRPr="008D63E6" w:rsidRDefault="00BE2808" w:rsidP="00943770">
            <w:pPr>
              <w:widowControl/>
              <w:spacing w:after="0"/>
              <w:jc w:val="center"/>
              <w:rPr>
                <w:ins w:id="337" w:author="Stephanie Baer" w:date="2015-12-18T17:03:00Z"/>
                <w:rFonts w:ascii="Calibri" w:eastAsia="Calibri" w:hAnsi="Calibri"/>
                <w:sz w:val="18"/>
                <w:szCs w:val="18"/>
              </w:rPr>
            </w:pPr>
            <w:ins w:id="338"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r w:rsidRPr="008D63E6">
                <w:rPr>
                  <w:rFonts w:ascii="Calibri" w:eastAsia="Calibri" w:hAnsi="Calibri"/>
                  <w:sz w:val="18"/>
                  <w:szCs w:val="18"/>
                </w:rPr>
                <w:t xml:space="preserve"> * P2</w:t>
              </w:r>
              <w:r w:rsidRPr="008D63E6">
                <w:rPr>
                  <w:rFonts w:ascii="Calibri" w:eastAsia="Calibri" w:hAnsi="Calibri"/>
                  <w:sz w:val="18"/>
                  <w:szCs w:val="18"/>
                  <w:vertAlign w:val="subscript"/>
                </w:rPr>
                <w:t>1</w:t>
              </w:r>
            </w:ins>
          </w:p>
          <w:p w14:paraId="6D34EDE3" w14:textId="77777777" w:rsidR="00BE2808" w:rsidRPr="008D63E6" w:rsidRDefault="00BE2808" w:rsidP="00943770">
            <w:pPr>
              <w:widowControl/>
              <w:spacing w:after="0"/>
              <w:jc w:val="center"/>
              <w:rPr>
                <w:ins w:id="339" w:author="Stephanie Baer" w:date="2015-12-18T17:03:00Z"/>
                <w:rFonts w:ascii="Calibri" w:eastAsia="Calibri" w:hAnsi="Calibri"/>
                <w:szCs w:val="20"/>
              </w:rPr>
            </w:pPr>
            <w:ins w:id="340"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2</w:t>
              </w:r>
            </w:ins>
          </w:p>
        </w:tc>
        <w:tc>
          <w:tcPr>
            <w:tcW w:w="1000" w:type="pct"/>
            <w:vAlign w:val="center"/>
          </w:tcPr>
          <w:p w14:paraId="22971BCC" w14:textId="77777777" w:rsidR="00BE2808" w:rsidRPr="008D63E6" w:rsidRDefault="00BE2808" w:rsidP="00943770">
            <w:pPr>
              <w:widowControl/>
              <w:spacing w:after="0"/>
              <w:jc w:val="center"/>
              <w:rPr>
                <w:ins w:id="341" w:author="Stephanie Baer" w:date="2015-12-18T17:03:00Z"/>
                <w:rFonts w:ascii="Calibri" w:eastAsia="Calibri" w:hAnsi="Calibri"/>
                <w:sz w:val="18"/>
                <w:szCs w:val="18"/>
              </w:rPr>
            </w:pPr>
            <w:ins w:id="342"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p w14:paraId="1A121E2E" w14:textId="77777777" w:rsidR="00BE2808" w:rsidRPr="008D63E6" w:rsidRDefault="00BE2808" w:rsidP="00943770">
            <w:pPr>
              <w:widowControl/>
              <w:spacing w:after="0"/>
              <w:jc w:val="center"/>
              <w:rPr>
                <w:ins w:id="343" w:author="Stephanie Baer" w:date="2015-12-18T17:03:00Z"/>
                <w:rFonts w:ascii="Calibri" w:eastAsia="Calibri" w:hAnsi="Calibri"/>
                <w:sz w:val="18"/>
                <w:szCs w:val="18"/>
              </w:rPr>
            </w:pPr>
            <w:ins w:id="344"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p w14:paraId="441C7F9C" w14:textId="77777777" w:rsidR="00BE2808" w:rsidRPr="008D63E6" w:rsidRDefault="00BE2808" w:rsidP="00943770">
            <w:pPr>
              <w:widowControl/>
              <w:spacing w:after="0"/>
              <w:jc w:val="center"/>
              <w:rPr>
                <w:ins w:id="345" w:author="Stephanie Baer" w:date="2015-12-18T17:03:00Z"/>
                <w:rFonts w:ascii="Calibri" w:eastAsia="Calibri" w:hAnsi="Calibri"/>
                <w:szCs w:val="20"/>
              </w:rPr>
            </w:pPr>
            <w:ins w:id="346"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3</w:t>
              </w:r>
            </w:ins>
          </w:p>
        </w:tc>
        <w:tc>
          <w:tcPr>
            <w:tcW w:w="1000" w:type="pct"/>
            <w:vAlign w:val="center"/>
          </w:tcPr>
          <w:p w14:paraId="145866A8" w14:textId="77777777" w:rsidR="00BE2808" w:rsidRPr="008D63E6" w:rsidRDefault="00BE2808" w:rsidP="00943770">
            <w:pPr>
              <w:widowControl/>
              <w:spacing w:after="0"/>
              <w:jc w:val="center"/>
              <w:rPr>
                <w:ins w:id="347" w:author="Stephanie Baer" w:date="2015-12-18T17:03:00Z"/>
                <w:rFonts w:ascii="Calibri" w:eastAsia="Calibri" w:hAnsi="Calibri"/>
                <w:sz w:val="18"/>
                <w:szCs w:val="18"/>
              </w:rPr>
            </w:pPr>
            <w:ins w:id="348" w:author="Stephanie Baer" w:date="2015-12-18T17:03:00Z">
              <w:r w:rsidRPr="008D63E6">
                <w:rPr>
                  <w:rFonts w:ascii="Calibri" w:eastAsia="Calibri" w:hAnsi="Calibri"/>
                  <w:sz w:val="18"/>
                  <w:szCs w:val="18"/>
                </w:rPr>
                <w:t>ΔkWh</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p w14:paraId="1E66EC7C" w14:textId="77777777" w:rsidR="00BE2808" w:rsidRPr="008D63E6" w:rsidRDefault="00BE2808" w:rsidP="00943770">
            <w:pPr>
              <w:widowControl/>
              <w:spacing w:after="0"/>
              <w:jc w:val="center"/>
              <w:rPr>
                <w:ins w:id="349" w:author="Stephanie Baer" w:date="2015-12-18T17:03:00Z"/>
                <w:rFonts w:ascii="Calibri" w:eastAsia="Calibri" w:hAnsi="Calibri"/>
                <w:sz w:val="18"/>
                <w:szCs w:val="18"/>
              </w:rPr>
            </w:pPr>
            <w:ins w:id="350" w:author="Stephanie Baer" w:date="2015-12-18T17:03:00Z">
              <w:r w:rsidRPr="008D63E6">
                <w:rPr>
                  <w:rFonts w:ascii="Calibri" w:eastAsia="Calibri" w:hAnsi="Calibri"/>
                  <w:sz w:val="18"/>
                  <w:szCs w:val="18"/>
                </w:rPr>
                <w:t>ΔkW</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p w14:paraId="6D8B2663" w14:textId="77777777" w:rsidR="00BE2808" w:rsidRPr="008D63E6" w:rsidRDefault="00BE2808" w:rsidP="00943770">
            <w:pPr>
              <w:widowControl/>
              <w:spacing w:after="0"/>
              <w:jc w:val="center"/>
              <w:rPr>
                <w:ins w:id="351" w:author="Stephanie Baer" w:date="2015-12-18T17:03:00Z"/>
                <w:rFonts w:ascii="Calibri" w:eastAsia="Calibri" w:hAnsi="Calibri"/>
                <w:szCs w:val="20"/>
              </w:rPr>
            </w:pPr>
            <w:ins w:id="352" w:author="Stephanie Baer" w:date="2015-12-18T17:03:00Z">
              <w:r w:rsidRPr="008D63E6">
                <w:rPr>
                  <w:rFonts w:ascii="Calibri" w:eastAsia="Calibri" w:hAnsi="Calibri"/>
                  <w:sz w:val="18"/>
                  <w:szCs w:val="18"/>
                </w:rPr>
                <w:t>ΔTherms</w:t>
              </w:r>
              <w:r w:rsidRPr="008D63E6">
                <w:rPr>
                  <w:rFonts w:ascii="Calibri" w:eastAsia="Calibri" w:hAnsi="Calibri"/>
                  <w:sz w:val="18"/>
                  <w:szCs w:val="18"/>
                  <w:vertAlign w:val="subscript"/>
                </w:rPr>
                <w:t>T</w:t>
              </w:r>
              <w:r w:rsidRPr="008D63E6">
                <w:rPr>
                  <w:rFonts w:ascii="Calibri" w:eastAsia="Calibri" w:hAnsi="Calibri"/>
                  <w:sz w:val="18"/>
                  <w:szCs w:val="18"/>
                </w:rPr>
                <w:t xml:space="preserve"> * PF</w:t>
              </w:r>
              <w:r w:rsidRPr="008D63E6">
                <w:rPr>
                  <w:rFonts w:ascii="Calibri" w:eastAsia="Calibri" w:hAnsi="Calibri"/>
                  <w:sz w:val="18"/>
                  <w:szCs w:val="18"/>
                  <w:vertAlign w:val="subscript"/>
                </w:rPr>
                <w:t>4</w:t>
              </w:r>
            </w:ins>
          </w:p>
        </w:tc>
      </w:tr>
    </w:tbl>
    <w:p w14:paraId="2C9EFED1" w14:textId="77777777" w:rsidR="00BE2808" w:rsidRPr="00B506AB" w:rsidDel="008D63E6" w:rsidRDefault="00BE2808" w:rsidP="00BE2808">
      <w:pPr>
        <w:ind w:left="2160" w:hanging="1440"/>
        <w:rPr>
          <w:ins w:id="353" w:author="Stephanie Baer" w:date="2015-12-18T17:03:00Z"/>
          <w:del w:id="354" w:author="Cheryl Jenkins" w:date="2015-12-18T15:54:00Z"/>
          <w:rFonts w:cstheme="minorHAnsi"/>
          <w:noProof/>
        </w:rPr>
      </w:pPr>
      <w:ins w:id="355" w:author="Stephanie Baer" w:date="2015-12-18T17:03:00Z">
        <w:del w:id="356" w:author="Cheryl Jenkins" w:date="2015-12-18T15:54:00Z">
          <w:r w:rsidRPr="000B7BB6" w:rsidDel="008D63E6">
            <w:rPr>
              <w:rFonts w:cstheme="minorHAnsi"/>
              <w:noProof/>
            </w:rPr>
            <w:delText>ΔkWh</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xml:space="preserve">= </w:delText>
          </w:r>
          <w:r w:rsidRPr="000B7BB6" w:rsidDel="008D63E6">
            <w:rPr>
              <w:rFonts w:cstheme="minorHAnsi"/>
              <w:noProof/>
            </w:rPr>
            <w:delText>ΔkWh</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6AA25D9B" w14:textId="77777777" w:rsidR="00BE2808" w:rsidRPr="00B506AB" w:rsidDel="008D63E6" w:rsidRDefault="00BE2808" w:rsidP="00BE2808">
      <w:pPr>
        <w:ind w:left="2160" w:hanging="1440"/>
        <w:rPr>
          <w:ins w:id="357" w:author="Stephanie Baer" w:date="2015-12-18T17:03:00Z"/>
          <w:del w:id="358" w:author="Cheryl Jenkins" w:date="2015-12-18T15:54:00Z"/>
          <w:rFonts w:cstheme="minorHAnsi"/>
          <w:noProof/>
        </w:rPr>
      </w:pPr>
      <w:ins w:id="359" w:author="Stephanie Baer" w:date="2015-12-18T17:03:00Z">
        <w:del w:id="360" w:author="Cheryl Jenkins" w:date="2015-12-18T15:54:00Z">
          <w:r w:rsidDel="008D63E6">
            <w:rPr>
              <w:rFonts w:cstheme="minorHAnsi"/>
              <w:noProof/>
            </w:rPr>
            <w:delText>ΔkW</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ΔkW</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71EE00A9" w14:textId="77777777" w:rsidR="00BE2808" w:rsidRPr="00B506AB" w:rsidDel="008D63E6" w:rsidRDefault="00BE2808" w:rsidP="00BE2808">
      <w:pPr>
        <w:ind w:left="2160" w:hanging="1440"/>
        <w:rPr>
          <w:ins w:id="361" w:author="Stephanie Baer" w:date="2015-12-18T17:03:00Z"/>
          <w:del w:id="362" w:author="Cheryl Jenkins" w:date="2015-12-18T15:54:00Z"/>
          <w:rFonts w:cstheme="minorHAnsi"/>
          <w:noProof/>
        </w:rPr>
      </w:pPr>
      <w:ins w:id="363" w:author="Stephanie Baer" w:date="2015-12-18T17:03:00Z">
        <w:del w:id="364" w:author="Cheryl Jenkins" w:date="2015-12-18T15:54:00Z">
          <w:r w:rsidDel="008D63E6">
            <w:rPr>
              <w:rFonts w:cstheme="minorHAnsi"/>
              <w:noProof/>
            </w:rPr>
            <w:delText>ΔTherms</w:delText>
          </w:r>
          <w:r w:rsidRPr="00B506AB" w:rsidDel="008D63E6">
            <w:rPr>
              <w:rFonts w:cstheme="minorHAnsi"/>
              <w:noProof/>
              <w:vertAlign w:val="subscript"/>
            </w:rPr>
            <w:delText>T</w:delText>
          </w:r>
          <w:r w:rsidDel="008D63E6">
            <w:rPr>
              <w:rFonts w:cstheme="minorHAnsi"/>
              <w:noProof/>
              <w:vertAlign w:val="subscript"/>
            </w:rPr>
            <w:delText>+1</w:delText>
          </w:r>
          <w:r w:rsidDel="008D63E6">
            <w:delText xml:space="preserve"> </w:delText>
          </w:r>
          <w:r w:rsidDel="008D63E6">
            <w:rPr>
              <w:rFonts w:cstheme="minorHAnsi"/>
              <w:noProof/>
            </w:rPr>
            <w:delText>= ΔTherms</w:delText>
          </w:r>
          <w:r w:rsidRPr="00AB48F4" w:rsidDel="008D63E6">
            <w:rPr>
              <w:rFonts w:cstheme="minorHAnsi"/>
              <w:noProof/>
              <w:vertAlign w:val="subscript"/>
            </w:rPr>
            <w:delText>T</w:delText>
          </w:r>
          <w:r w:rsidRPr="00C445A4" w:rsidDel="008D63E6">
            <w:rPr>
              <w:rFonts w:cstheme="minorHAnsi"/>
              <w:noProof/>
            </w:rPr>
            <w:delText xml:space="preserve"> </w:delText>
          </w:r>
          <w:r w:rsidDel="008D63E6">
            <w:rPr>
              <w:rFonts w:cstheme="minorHAnsi"/>
              <w:noProof/>
            </w:rPr>
            <w:delText>* PF</w:delText>
          </w:r>
        </w:del>
      </w:ins>
    </w:p>
    <w:p w14:paraId="529C4F2D" w14:textId="77777777" w:rsidR="00BE2808" w:rsidRDefault="00BE2808" w:rsidP="00BE2808">
      <w:pPr>
        <w:rPr>
          <w:ins w:id="365" w:author="Stephanie Baer" w:date="2015-12-18T17:03:00Z"/>
        </w:rPr>
      </w:pPr>
    </w:p>
    <w:p w14:paraId="51964DE2" w14:textId="77777777" w:rsidR="00BE2808" w:rsidRPr="000B7BB6" w:rsidRDefault="00BE2808" w:rsidP="00BE2808">
      <w:pPr>
        <w:pStyle w:val="Style1"/>
        <w:rPr>
          <w:ins w:id="366" w:author="Stephanie Baer" w:date="2015-12-18T17:03:00Z"/>
        </w:rPr>
      </w:pPr>
      <w:ins w:id="367" w:author="Stephanie Baer" w:date="2015-12-18T17:03:00Z">
        <w:r w:rsidRPr="000B7BB6">
          <w:t xml:space="preserve">Water Impact Descriptions and Calculation  </w:t>
        </w:r>
      </w:ins>
    </w:p>
    <w:p w14:paraId="0E36BD75" w14:textId="77777777" w:rsidR="00BE2808" w:rsidRPr="000B7BB6" w:rsidRDefault="00BE2808" w:rsidP="00BE2808">
      <w:pPr>
        <w:rPr>
          <w:ins w:id="368" w:author="Stephanie Baer" w:date="2015-12-18T17:03:00Z"/>
          <w:rFonts w:cstheme="minorHAnsi"/>
        </w:rPr>
      </w:pPr>
      <w:ins w:id="369" w:author="Stephanie Baer" w:date="2015-12-18T17:03:00Z">
        <w:r w:rsidRPr="000B7BB6">
          <w:rPr>
            <w:rFonts w:cstheme="minorHAnsi"/>
          </w:rPr>
          <w:t>N/A</w:t>
        </w:r>
      </w:ins>
    </w:p>
    <w:p w14:paraId="650EE9A0" w14:textId="77777777" w:rsidR="00BE2808" w:rsidRPr="000B7BB6" w:rsidRDefault="00BE2808" w:rsidP="00BE2808">
      <w:pPr>
        <w:pStyle w:val="Style1"/>
        <w:rPr>
          <w:ins w:id="370" w:author="Stephanie Baer" w:date="2015-12-18T17:03:00Z"/>
        </w:rPr>
      </w:pPr>
      <w:ins w:id="371" w:author="Stephanie Baer" w:date="2015-12-18T17:03:00Z">
        <w:r w:rsidRPr="000B7BB6">
          <w:t>Deemed O&amp;M Cost Adjustment Calculation</w:t>
        </w:r>
      </w:ins>
    </w:p>
    <w:p w14:paraId="08257AD7" w14:textId="77777777" w:rsidR="00BE2808" w:rsidRPr="000B7BB6" w:rsidRDefault="00BE2808" w:rsidP="00BE2808">
      <w:pPr>
        <w:rPr>
          <w:ins w:id="372" w:author="Stephanie Baer" w:date="2015-12-18T17:03:00Z"/>
          <w:rFonts w:cstheme="minorHAnsi"/>
        </w:rPr>
      </w:pPr>
      <w:ins w:id="373" w:author="Stephanie Baer" w:date="2015-12-18T17:03:00Z">
        <w:r w:rsidRPr="000B7BB6">
          <w:rPr>
            <w:rFonts w:cstheme="minorHAnsi"/>
          </w:rPr>
          <w:t>N/A</w:t>
        </w:r>
      </w:ins>
    </w:p>
    <w:p w14:paraId="20E64A2C" w14:textId="77777777" w:rsidR="00BE2808" w:rsidRDefault="00BE2808" w:rsidP="00BE2808">
      <w:pPr>
        <w:pStyle w:val="Style1"/>
        <w:rPr>
          <w:ins w:id="374" w:author="Stephanie Baer" w:date="2015-12-18T17:03:00Z"/>
        </w:rPr>
      </w:pPr>
      <w:ins w:id="375" w:author="Stephanie Baer" w:date="2015-12-18T17:03:00Z">
        <w:r>
          <w:t>Measure Code: CU</w:t>
        </w:r>
        <w:r w:rsidRPr="0069549D">
          <w:t>-</w:t>
        </w:r>
        <w:r>
          <w:t>BEH</w:t>
        </w:r>
        <w:r w:rsidRPr="0069549D">
          <w:t>-</w:t>
        </w:r>
        <w:r>
          <w:t>XXXX</w:t>
        </w:r>
        <w:r w:rsidRPr="0069549D">
          <w:t>-V0</w:t>
        </w:r>
        <w:r>
          <w:t>1</w:t>
        </w:r>
        <w:r w:rsidRPr="0069549D">
          <w:t>-</w:t>
        </w:r>
        <w:r>
          <w:t>170601</w:t>
        </w:r>
      </w:ins>
    </w:p>
    <w:p w14:paraId="2DEA004E" w14:textId="3619B5FB" w:rsidR="009857AA" w:rsidRDefault="009857AA">
      <w:pPr>
        <w:pPrChange w:id="376" w:author="Stephanie Baer" w:date="2015-12-18T17:03:00Z">
          <w:pPr>
            <w:pStyle w:val="Heading1"/>
          </w:pPr>
        </w:pPrChange>
      </w:pPr>
    </w:p>
    <w:p w14:paraId="498832C5" w14:textId="77777777" w:rsidR="001F3733" w:rsidRDefault="001F3733" w:rsidP="001F3733"/>
    <w:p w14:paraId="091080DE" w14:textId="77777777" w:rsidR="009F45F0" w:rsidRDefault="009F45F0" w:rsidP="001F3733">
      <w:pPr>
        <w:rPr>
          <w:rFonts w:eastAsia="Franklin Gothic Book"/>
        </w:rPr>
      </w:pPr>
    </w:p>
    <w:p w14:paraId="592C7B32" w14:textId="77777777" w:rsidR="00065C25" w:rsidRDefault="00065C25">
      <w:pPr>
        <w:widowControl/>
        <w:spacing w:after="160" w:line="259" w:lineRule="auto"/>
        <w:jc w:val="left"/>
        <w:rPr>
          <w:rFonts w:eastAsia="Franklin Gothic Book" w:cs="Arial"/>
          <w:b/>
          <w:bCs/>
          <w:kern w:val="36"/>
          <w:sz w:val="24"/>
          <w:szCs w:val="24"/>
          <w:lang w:eastAsia="x-none"/>
        </w:rPr>
        <w:sectPr w:rsidR="00065C25" w:rsidSect="004D12DD">
          <w:headerReference w:type="default" r:id="rId12"/>
          <w:footerReference w:type="default" r:id="rId13"/>
          <w:pgSz w:w="12240" w:h="15840"/>
          <w:pgMar w:top="1440" w:right="1440" w:bottom="1440" w:left="1440" w:header="720" w:footer="720" w:gutter="0"/>
          <w:pgNumType w:start="1"/>
          <w:cols w:space="720"/>
          <w:docGrid w:linePitch="360"/>
        </w:sectPr>
      </w:pPr>
    </w:p>
    <w:p w14:paraId="1A7F0FFF" w14:textId="77777777" w:rsidR="009F45F0" w:rsidRPr="009C362B" w:rsidRDefault="00AA4E13" w:rsidP="009F45F0">
      <w:pPr>
        <w:keepNext/>
        <w:keepLines/>
        <w:widowControl/>
        <w:spacing w:before="120" w:after="160"/>
        <w:jc w:val="left"/>
        <w:outlineLvl w:val="0"/>
        <w:rPr>
          <w:rFonts w:eastAsia="Franklin Gothic Book" w:cs="Arial"/>
          <w:b/>
          <w:bCs/>
          <w:kern w:val="36"/>
          <w:sz w:val="24"/>
          <w:szCs w:val="24"/>
          <w:lang w:eastAsia="x-none"/>
        </w:rPr>
      </w:pPr>
      <w:bookmarkStart w:id="377" w:name="_Toc437261822"/>
      <w:bookmarkStart w:id="378" w:name="_Toc438191061"/>
      <w:r>
        <w:rPr>
          <w:rFonts w:eastAsia="Franklin Gothic Book" w:cs="Arial"/>
          <w:b/>
          <w:bCs/>
          <w:kern w:val="36"/>
          <w:sz w:val="24"/>
          <w:szCs w:val="24"/>
          <w:lang w:eastAsia="x-none"/>
        </w:rPr>
        <w:lastRenderedPageBreak/>
        <w:t xml:space="preserve">Attachment A: </w:t>
      </w:r>
      <w:r w:rsidR="009F45F0" w:rsidRPr="009C362B">
        <w:rPr>
          <w:rFonts w:eastAsia="Franklin Gothic Book" w:cs="Arial"/>
          <w:b/>
          <w:bCs/>
          <w:kern w:val="36"/>
          <w:sz w:val="24"/>
          <w:szCs w:val="24"/>
          <w:lang w:eastAsia="x-none"/>
        </w:rPr>
        <w:t>Illinois Statewide Net-to-Gross Methodologies</w:t>
      </w:r>
      <w:bookmarkEnd w:id="0"/>
      <w:bookmarkEnd w:id="1"/>
      <w:bookmarkEnd w:id="377"/>
      <w:bookmarkEnd w:id="378"/>
    </w:p>
    <w:p w14:paraId="17957385"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79" w:name="_Toc409070229"/>
      <w:bookmarkStart w:id="380" w:name="_Toc437261823"/>
      <w:bookmarkStart w:id="381" w:name="_Toc438191062"/>
      <w:r w:rsidRPr="009C362B">
        <w:rPr>
          <w:rFonts w:eastAsia="Franklin Gothic Book" w:cs="Arial"/>
          <w:b/>
          <w:bCs/>
          <w:sz w:val="24"/>
          <w:szCs w:val="20"/>
          <w:lang w:eastAsia="x-none"/>
        </w:rPr>
        <w:t>Policy Context for this Information</w:t>
      </w:r>
      <w:bookmarkEnd w:id="379"/>
      <w:bookmarkEnd w:id="380"/>
      <w:bookmarkEnd w:id="381"/>
    </w:p>
    <w:p w14:paraId="5B7D6C8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Illinois Evaluation Teams (Opinion Dynamics, Cadmus Group, Navigant Consulting, Itron, and ADM Associates) are working with the Illinois Stakeholder Advisory Group (SAG) to create an Illinois Statewide Net-to-Gross (NTG) Methodologies document (IL-NTG Methods). The IL-NTG Methods document is included as an attachment to the Illinois Statewide Technical Reference Manual for Energy Efficiency (IL-TRM). Through five different dockets, the Illinois Commerce Commission (ICC) has directed the Evaluation Teams to compile and formalize standard NTG methods for use in Illinois energy-efficiency (EE) evaluation, measurement and verification (EM&amp;V) work. The ICC EE dockets are shown in the following table.</w:t>
      </w:r>
    </w:p>
    <w:p w14:paraId="75B9BEF3" w14:textId="77777777" w:rsidR="009F45F0" w:rsidRPr="009C362B" w:rsidRDefault="009F45F0" w:rsidP="009F45F0">
      <w:pPr>
        <w:widowControl/>
        <w:spacing w:after="0"/>
        <w:jc w:val="left"/>
        <w:rPr>
          <w:rFonts w:eastAsia="Franklin Gothic Book"/>
          <w:sz w:val="22"/>
        </w:rPr>
      </w:pPr>
    </w:p>
    <w:p w14:paraId="71DF61CA" w14:textId="77777777" w:rsidR="009F45F0" w:rsidRPr="009C362B" w:rsidRDefault="009F45F0" w:rsidP="009F45F0">
      <w:pPr>
        <w:widowControl/>
        <w:spacing w:after="0"/>
        <w:jc w:val="center"/>
        <w:rPr>
          <w:rFonts w:eastAsia="Franklin Gothic Book"/>
          <w:b/>
          <w:iCs/>
          <w:sz w:val="22"/>
        </w:rPr>
      </w:pPr>
      <w:bookmarkStart w:id="382" w:name="_Toc411599467"/>
      <w:r w:rsidRPr="009C362B">
        <w:rPr>
          <w:rFonts w:eastAsia="Franklin Gothic Book"/>
          <w:b/>
          <w:iCs/>
          <w:sz w:val="22"/>
        </w:rPr>
        <w:t xml:space="preserve">Table </w:t>
      </w:r>
      <w:r>
        <w:rPr>
          <w:rFonts w:eastAsia="Franklin Gothic Book"/>
          <w:b/>
          <w:iCs/>
          <w:sz w:val="22"/>
        </w:rPr>
        <w:t>1</w:t>
      </w:r>
      <w:r w:rsidRPr="009C362B">
        <w:rPr>
          <w:rFonts w:eastAsia="Franklin Gothic Book"/>
          <w:b/>
          <w:iCs/>
          <w:sz w:val="22"/>
        </w:rPr>
        <w:t>. ICC Energy Efficiency Dockets</w:t>
      </w:r>
      <w:bookmarkEnd w:id="382"/>
    </w:p>
    <w:tbl>
      <w:tblPr>
        <w:tblStyle w:val="GridTable1Light2"/>
        <w:tblW w:w="0" w:type="auto"/>
        <w:jc w:val="center"/>
        <w:tblLook w:val="04A0" w:firstRow="1" w:lastRow="0" w:firstColumn="1" w:lastColumn="0" w:noHBand="0" w:noVBand="1"/>
      </w:tblPr>
      <w:tblGrid>
        <w:gridCol w:w="1940"/>
        <w:gridCol w:w="3568"/>
        <w:gridCol w:w="1800"/>
        <w:gridCol w:w="2268"/>
      </w:tblGrid>
      <w:tr w:rsidR="009F45F0" w:rsidRPr="00FF0879" w14:paraId="2A0D58CA" w14:textId="77777777" w:rsidTr="004F73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21B789C8"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ICC Order Docket No. and Date</w:t>
            </w:r>
          </w:p>
        </w:tc>
        <w:tc>
          <w:tcPr>
            <w:tcW w:w="3568"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192D79D4"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Program Administrator</w:t>
            </w:r>
          </w:p>
        </w:tc>
        <w:tc>
          <w:tcPr>
            <w:tcW w:w="1800"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00A76807"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NTG Discussion – Order Pages</w:t>
            </w:r>
          </w:p>
        </w:tc>
        <w:tc>
          <w:tcPr>
            <w:tcW w:w="2268" w:type="dxa"/>
            <w:tcBorders>
              <w:top w:val="single" w:sz="4" w:space="0" w:color="999999" w:themeColor="text1" w:themeTint="66"/>
              <w:left w:val="single" w:sz="4" w:space="0" w:color="999999" w:themeColor="text1" w:themeTint="66"/>
              <w:right w:val="single" w:sz="4" w:space="0" w:color="999999" w:themeColor="text1" w:themeTint="66"/>
            </w:tcBorders>
            <w:vAlign w:val="center"/>
            <w:hideMark/>
          </w:tcPr>
          <w:p w14:paraId="314E75E3"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ICC Link</w:t>
            </w:r>
          </w:p>
        </w:tc>
      </w:tr>
      <w:tr w:rsidR="009F45F0" w:rsidRPr="00FF0879" w14:paraId="23B45F77"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D13FBC2"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13-0495</w:t>
            </w:r>
          </w:p>
          <w:p w14:paraId="62AE36C6"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07844A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Commonwealth Edison Company (ComEd)</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0EEF57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129-130</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A4BA98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13-0495</w:t>
            </w:r>
          </w:p>
        </w:tc>
      </w:tr>
      <w:tr w:rsidR="009F45F0" w:rsidRPr="00FF0879" w14:paraId="0627689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9BF188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13-0498</w:t>
            </w:r>
          </w:p>
          <w:p w14:paraId="131C7A50"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68D1A4A"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Ameren Illinois Company (Ameren)</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E3670C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167, 171</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928C90"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13-0498</w:t>
            </w:r>
          </w:p>
        </w:tc>
      </w:tr>
      <w:tr w:rsidR="009F45F0" w:rsidRPr="00FF0879" w14:paraId="477AF7B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0E39769"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13-0499</w:t>
            </w:r>
          </w:p>
          <w:p w14:paraId="26345FFA"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(1/28/14)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252C29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Illinois Department of Commerce and Economic Opportunity (DCEO)</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BFF698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20, 23, 49</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081327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13-0499</w:t>
            </w:r>
          </w:p>
        </w:tc>
      </w:tr>
      <w:tr w:rsidR="009F45F0" w:rsidRPr="00FF0879" w14:paraId="419489E7"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37F2A69"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13-0549</w:t>
            </w:r>
          </w:p>
          <w:p w14:paraId="508AD7A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(5/20/14)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8130BC"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Nicor Gas Company (Nicor)</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C37862B"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41-42, 78</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92312CA"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13-0549</w:t>
            </w:r>
          </w:p>
        </w:tc>
      </w:tr>
      <w:tr w:rsidR="009F45F0" w:rsidRPr="00FF0879" w14:paraId="3EDD6E7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9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A7B376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13-0550</w:t>
            </w:r>
          </w:p>
          <w:p w14:paraId="640A9954"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(5/20/14)</w:t>
            </w:r>
          </w:p>
        </w:tc>
        <w:tc>
          <w:tcPr>
            <w:tcW w:w="35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5A91D0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North Shore Gas Company (North Shore Gas) and The Peoples Gas Light and Coke Company (Peoples Gas) (collectively, PG&amp;NSG or Integrys)</w:t>
            </w:r>
          </w:p>
        </w:tc>
        <w:tc>
          <w:tcPr>
            <w:tcW w:w="180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3CB9CDD"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54-55, 66</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4DA5C5"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color w:val="0563C1"/>
                <w:sz w:val="22"/>
                <w:u w:val="single"/>
              </w:rPr>
              <w:t>ICC Order Docket No. 13-0550</w:t>
            </w:r>
          </w:p>
        </w:tc>
      </w:tr>
    </w:tbl>
    <w:p w14:paraId="4FE32398" w14:textId="77777777" w:rsidR="009F45F0" w:rsidRPr="009C362B" w:rsidRDefault="009F45F0" w:rsidP="009F45F0">
      <w:pPr>
        <w:widowControl/>
        <w:spacing w:after="160"/>
        <w:jc w:val="left"/>
        <w:rPr>
          <w:rFonts w:eastAsia="Franklin Gothic Book"/>
          <w:sz w:val="22"/>
        </w:rPr>
      </w:pPr>
    </w:p>
    <w:p w14:paraId="57D954A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provide clarity to the ICC directives, the relevant section on IL-NTG Methods is shown in its entirety from the Nicor Gas Order (Docket No. 13-0549). The Nicor Gas Order provides the most detail on the ICC NTG directive in comparison to the other EE orders. The Nicor language is as follows:</w:t>
      </w:r>
    </w:p>
    <w:p w14:paraId="4792AEF1"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 xml:space="preserve">The Commission believes that Staff’s recommendations concerning Commission adoption of consistent statewide net-to-gross methodologies (“IL-NTG Methods”) for use by the evaluators are reasonable and will aid in future evaluation of the energy efficiency programs. To help ensure the independence of the evaluators, to improve efficiency in the evaluation process, and to ensure programs across the state as delivered by the various program administrators can be meaningfully and consistently evaluated, the Commission hereby adopts Staff’s recommendation that consistent IL-NTG Methods be established for use in the evaluations of comparable energy efficiency programs offered by different Illinois program administrators. The Commission notes that Section 8-104(k) of the Act encourages statewide coordination and consistency between the gas and electric energy efficiency programs and Staff’s proposal would help ensure consistency in the evaluation of program performance. The Commission notes that this directive is not to create entirely “new” NTG methodologies for every energy efficiency program, but rather to assess NTG methodologies and survey instruments that have been used to evaluate energy efficiency programs offered in Illinois, and to compile the most </w:t>
      </w:r>
      <w:r w:rsidRPr="009C362B">
        <w:rPr>
          <w:rFonts w:eastAsia="Franklin Gothic Book"/>
          <w:sz w:val="22"/>
        </w:rPr>
        <w:lastRenderedPageBreak/>
        <w:t xml:space="preserve">justifiable and well-vetted methodologies (or potentially combine certain components from the existing approaches to better represent the most justifiable and well-vetted method consistent with best practices) in an attachment to the Updated IL-TRM that would get submitted to the Commission for approval. The Commission notes that the IL-NTG Methods will be flexible and adaptable to multiple program designs and budgets and tailored to appropriately assess the specifics of each of the program administrators’ energy efficiency programs, consistent with standard NTG methodologies adopted in other states that were filed in this proceeding. The Commission agrees with Staff that in the interest of efficiency, the current program evaluators should take the lead in compiling and formalizing standard methodologies for NTG in Illinois taking into consideration SAG input. Because the existing Plan 1 evaluators are under contract with the Company for the evaluation of the program year three energy efficiency programs, it is appropriate for these existing evaluators to work on and complete the compilation of the IL-NTG Methods over the next year. The Commission recognizes that each year considerable time may be spent vetting NTG methodologies for each program evaluation separately for each utility under the existing evaluation plan review practices; adoption of IL-NTG Methods would save on these limited evaluation resources by having a common reference document for the evaluators to use in estimating net savings for Illinois. </w:t>
      </w:r>
    </w:p>
    <w:p w14:paraId="614E2692"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The Commission hereby directs the Company to require its evaluators to collaborate with the other Illinois evaluators and the SAG to use best efforts to reach consensus on the approaches used in assessing NTG in particular markets for both residential and non-residential energy efficiency programs in a manner consistent with the direction described herein. (Pages 41-42)</w:t>
      </w:r>
    </w:p>
    <w:p w14:paraId="0E2A92C6"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(16)</w:t>
      </w:r>
      <w:r w:rsidRPr="009C362B">
        <w:rPr>
          <w:rFonts w:eastAsia="Franklin Gothic Book"/>
          <w:sz w:val="22"/>
        </w:rPr>
        <w:tab/>
        <w:t>Northern Illinois Gas Company shall require its evaluators to collaborate with the other Illinois evaluators and the SAG to reach consensus on the most defensible and well-vetted methodologies for assessing net-to-gross ratios in particular markets for both residential and non-residential energy efficiency programs in a manner consistent with the direction provided herein;</w:t>
      </w:r>
    </w:p>
    <w:p w14:paraId="124D6058" w14:textId="77777777" w:rsidR="009F45F0" w:rsidRPr="009C362B" w:rsidRDefault="009F45F0" w:rsidP="009F45F0">
      <w:pPr>
        <w:widowControl/>
        <w:spacing w:after="160"/>
        <w:ind w:left="450" w:right="360"/>
        <w:jc w:val="left"/>
        <w:rPr>
          <w:rFonts w:eastAsia="Franklin Gothic Book"/>
          <w:sz w:val="22"/>
        </w:rPr>
      </w:pPr>
      <w:r w:rsidRPr="009C362B">
        <w:rPr>
          <w:rFonts w:eastAsia="Franklin Gothic Book"/>
          <w:sz w:val="22"/>
        </w:rPr>
        <w:t>(17)</w:t>
      </w:r>
      <w:r w:rsidRPr="009C362B">
        <w:rPr>
          <w:rFonts w:eastAsia="Franklin Gothic Book"/>
          <w:sz w:val="22"/>
        </w:rPr>
        <w:tab/>
        <w:t>ICC Staff shall file the agreed-upon consensus statewide NTG methodologies with the Commission as an attachment to the Updated IL-TRM, and if consensus is not reached on a certain component of the statewide NTG methodologies, that particular non-consensus component should be submitted in a manner consistent with the approach used for non-consensus IL-TRM Updates; (Page 78)</w:t>
      </w:r>
    </w:p>
    <w:p w14:paraId="3D75BC1A"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83" w:name="_Toc409070230"/>
      <w:bookmarkStart w:id="384" w:name="_Toc437261824"/>
      <w:bookmarkStart w:id="385" w:name="_Toc438191063"/>
      <w:r w:rsidRPr="009C362B">
        <w:rPr>
          <w:rFonts w:eastAsia="Franklin Gothic Book" w:cs="Arial"/>
          <w:b/>
          <w:bCs/>
          <w:sz w:val="24"/>
          <w:szCs w:val="20"/>
          <w:lang w:eastAsia="x-none"/>
        </w:rPr>
        <w:t>Programs Currently Covered in this Document</w:t>
      </w:r>
      <w:bookmarkEnd w:id="383"/>
      <w:bookmarkEnd w:id="384"/>
      <w:bookmarkEnd w:id="385"/>
    </w:p>
    <w:p w14:paraId="68BE0AC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document will be updated over time to cover a range of programs. To facilitate completion of part of the IL-NTG Methods sections prior to March 1, 2015, this document includes methods specific for three program types: 1) Commercial, Industrial, and Public Sector Standard/Prescriptive and Custom programs, 2) Appliance Recycling programs, and 3) Residential Upstream Lighting programs. All NTG data collection and analysis activities </w:t>
      </w:r>
      <w:r>
        <w:rPr>
          <w:rFonts w:eastAsia="Franklin Gothic Book"/>
          <w:sz w:val="22"/>
        </w:rPr>
        <w:t>for the program types covered by this document that start</w:t>
      </w:r>
      <w:r w:rsidRPr="009C362B">
        <w:rPr>
          <w:rFonts w:eastAsia="Franklin Gothic Book"/>
          <w:sz w:val="22"/>
        </w:rPr>
        <w:t xml:space="preserve"> after the effective date, June 1, 2015, shall conform to the NTG methods set forth herein. </w:t>
      </w:r>
    </w:p>
    <w:p w14:paraId="5DAFA218"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86" w:name="_Toc409070231"/>
      <w:bookmarkStart w:id="387" w:name="_Toc437261825"/>
      <w:bookmarkStart w:id="388" w:name="_Toc438191064"/>
      <w:r w:rsidRPr="009C362B">
        <w:rPr>
          <w:rFonts w:eastAsia="Franklin Gothic Book" w:cs="Arial"/>
          <w:b/>
          <w:bCs/>
          <w:sz w:val="24"/>
          <w:szCs w:val="20"/>
          <w:lang w:eastAsia="x-none"/>
        </w:rPr>
        <w:t>Updating the IL-NTG Methods</w:t>
      </w:r>
      <w:bookmarkEnd w:id="386"/>
      <w:bookmarkEnd w:id="387"/>
      <w:bookmarkEnd w:id="388"/>
      <w:r w:rsidRPr="009C362B">
        <w:rPr>
          <w:rFonts w:eastAsia="Franklin Gothic Book" w:cs="Arial"/>
          <w:b/>
          <w:bCs/>
          <w:sz w:val="24"/>
          <w:szCs w:val="20"/>
          <w:lang w:eastAsia="x-none"/>
        </w:rPr>
        <w:t xml:space="preserve"> </w:t>
      </w:r>
    </w:p>
    <w:p w14:paraId="35EA68F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This attachment is part of the IL-TRM and follows the timeline for updating of the IL-TRM as specified in the IL-TRM Policy Document.</w:t>
      </w:r>
      <w:r w:rsidRPr="009C362B">
        <w:rPr>
          <w:rFonts w:eastAsia="Franklin Gothic Book"/>
          <w:sz w:val="22"/>
          <w:vertAlign w:val="superscript"/>
        </w:rPr>
        <w:footnoteReference w:id="7"/>
      </w:r>
      <w:r w:rsidRPr="009C362B">
        <w:rPr>
          <w:rFonts w:eastAsia="Franklin Gothic Book"/>
          <w:sz w:val="22"/>
        </w:rPr>
        <w:t xml:space="preserve"> In general, the following will take place:</w:t>
      </w:r>
    </w:p>
    <w:p w14:paraId="7CC94A9A"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lastRenderedPageBreak/>
        <w:t>Updates will occur annually.</w:t>
      </w:r>
    </w:p>
    <w:p w14:paraId="514000B6"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t>Any changes to the IL-NTG Methods document will be circulated to the full SAG and SAG participants will have a ten business day review process.</w:t>
      </w:r>
    </w:p>
    <w:p w14:paraId="1F682F3E" w14:textId="77777777" w:rsidR="009F45F0" w:rsidRPr="009C362B" w:rsidRDefault="009F45F0" w:rsidP="009F45F0">
      <w:pPr>
        <w:widowControl/>
        <w:numPr>
          <w:ilvl w:val="0"/>
          <w:numId w:val="3"/>
        </w:numPr>
        <w:spacing w:after="160"/>
        <w:ind w:left="360" w:hanging="180"/>
        <w:jc w:val="left"/>
        <w:rPr>
          <w:rFonts w:eastAsia="Franklin Gothic Book" w:cs="Calibri"/>
          <w:szCs w:val="20"/>
        </w:rPr>
      </w:pPr>
      <w:r w:rsidRPr="009C362B">
        <w:rPr>
          <w:rFonts w:eastAsia="Franklin Gothic Book"/>
          <w:sz w:val="22"/>
        </w:rPr>
        <w:t>Updates will be discussed within the SAG and completed by March 1</w:t>
      </w:r>
      <w:r w:rsidRPr="009C362B">
        <w:rPr>
          <w:rFonts w:eastAsia="Franklin Gothic Book"/>
          <w:sz w:val="22"/>
          <w:vertAlign w:val="superscript"/>
        </w:rPr>
        <w:t>st</w:t>
      </w:r>
      <w:r w:rsidRPr="009C362B">
        <w:rPr>
          <w:rFonts w:eastAsia="Franklin Gothic Book"/>
          <w:sz w:val="22"/>
        </w:rPr>
        <w:t xml:space="preserve">. </w:t>
      </w:r>
    </w:p>
    <w:p w14:paraId="7AE9314A" w14:textId="77777777" w:rsidR="009F45F0" w:rsidRPr="009C362B" w:rsidRDefault="009F45F0" w:rsidP="009F45F0">
      <w:pPr>
        <w:widowControl/>
        <w:numPr>
          <w:ilvl w:val="0"/>
          <w:numId w:val="3"/>
        </w:numPr>
        <w:spacing w:after="160"/>
        <w:ind w:left="360" w:hanging="180"/>
        <w:jc w:val="left"/>
        <w:rPr>
          <w:rFonts w:eastAsia="Franklin Gothic Book"/>
          <w:sz w:val="22"/>
        </w:rPr>
      </w:pPr>
      <w:r w:rsidRPr="009C362B">
        <w:rPr>
          <w:rFonts w:eastAsia="Franklin Gothic Book"/>
          <w:sz w:val="22"/>
        </w:rPr>
        <w:t>The ICC Staff will then submit a Staff Report (with the consensus Updated TRM attached) to the Commission with a request for expedited review and approval.</w:t>
      </w:r>
    </w:p>
    <w:p w14:paraId="5F14E6EE"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89" w:name="_Toc437261826"/>
      <w:bookmarkStart w:id="390" w:name="_Toc438191065"/>
      <w:r w:rsidRPr="009C362B">
        <w:rPr>
          <w:rFonts w:eastAsia="Franklin Gothic Book" w:cs="Arial"/>
          <w:b/>
          <w:bCs/>
          <w:sz w:val="24"/>
          <w:szCs w:val="20"/>
          <w:lang w:eastAsia="x-none"/>
        </w:rPr>
        <w:t>Diverging from the IL-N</w:t>
      </w:r>
      <w:bookmarkStart w:id="391" w:name="x"/>
      <w:bookmarkEnd w:id="391"/>
      <w:r w:rsidRPr="009C362B">
        <w:rPr>
          <w:rFonts w:eastAsia="Franklin Gothic Book" w:cs="Arial"/>
          <w:b/>
          <w:bCs/>
          <w:sz w:val="24"/>
          <w:szCs w:val="20"/>
          <w:lang w:eastAsia="x-none"/>
        </w:rPr>
        <w:t>TG Methods</w:t>
      </w:r>
      <w:bookmarkEnd w:id="389"/>
      <w:bookmarkEnd w:id="390"/>
    </w:p>
    <w:p w14:paraId="3FEC2CD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NTG methods for the programs outlined in this document are partially binding. The criteria for deviating from the IL-NTG Methods document are set forth below. In all cases, the evaluators (or any interested stakeholder) submits the proposed deviation to the full SAG for a ten business day SAG review and comment period. In the event of an objection by a SAG participant, efforts may be made to see if consensus can be reached on the proposed deviation in a subsequent monthly SAG meeting. In this case, a final opportunity for SAG review and comment to the proposed deviation will be provided following the SAG meeting. </w:t>
      </w:r>
    </w:p>
    <w:p w14:paraId="628077D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Evaluators may modify the approaches described in this document if the following three conditions have been satisfied: </w:t>
      </w:r>
    </w:p>
    <w:p w14:paraId="7583319F" w14:textId="77777777" w:rsidR="009F45F0" w:rsidRPr="009C362B" w:rsidRDefault="009F45F0" w:rsidP="009F45F0">
      <w:pPr>
        <w:widowControl/>
        <w:numPr>
          <w:ilvl w:val="0"/>
          <w:numId w:val="17"/>
        </w:numPr>
        <w:spacing w:after="160" w:line="259" w:lineRule="auto"/>
        <w:ind w:left="540" w:right="720"/>
        <w:contextualSpacing/>
        <w:jc w:val="left"/>
        <w:rPr>
          <w:rFonts w:eastAsia="Franklin Gothic Book"/>
          <w:sz w:val="22"/>
        </w:rPr>
      </w:pPr>
      <w:r w:rsidRPr="009C362B">
        <w:rPr>
          <w:rFonts w:eastAsia="Franklin Gothic Book"/>
          <w:sz w:val="22"/>
        </w:rPr>
        <w:t>Evaluators must explicate within the annual evaluation research plan (or other document) how specific items in the proposed modified NTG method will diverge from what is written in this document. Evaluators must justify why the divergence is appropriate.</w:t>
      </w:r>
    </w:p>
    <w:p w14:paraId="4513A6E2" w14:textId="77777777" w:rsidR="009F45F0" w:rsidRPr="009C362B" w:rsidRDefault="009F45F0" w:rsidP="009F45F0">
      <w:pPr>
        <w:widowControl/>
        <w:numPr>
          <w:ilvl w:val="0"/>
          <w:numId w:val="17"/>
        </w:numPr>
        <w:tabs>
          <w:tab w:val="left" w:pos="1080"/>
        </w:tabs>
        <w:spacing w:after="160" w:line="256" w:lineRule="auto"/>
        <w:ind w:left="540" w:right="720"/>
        <w:contextualSpacing/>
        <w:jc w:val="left"/>
        <w:rPr>
          <w:rFonts w:eastAsia="Franklin Gothic Book"/>
          <w:sz w:val="22"/>
        </w:rPr>
      </w:pPr>
      <w:r w:rsidRPr="009C362B">
        <w:rPr>
          <w:rFonts w:eastAsia="Franklin Gothic Book"/>
          <w:sz w:val="22"/>
        </w:rPr>
        <w:t>Prior to the use of the modified NTG method for a particular program, evaluation teams must be in agreement on the use and execution of the modified NTG method.</w:t>
      </w:r>
    </w:p>
    <w:p w14:paraId="1DF60B56" w14:textId="77777777" w:rsidR="009F45F0" w:rsidRPr="009C362B" w:rsidRDefault="009F45F0" w:rsidP="009F45F0">
      <w:pPr>
        <w:widowControl/>
        <w:numPr>
          <w:ilvl w:val="0"/>
          <w:numId w:val="17"/>
        </w:numPr>
        <w:spacing w:after="160" w:line="259" w:lineRule="auto"/>
        <w:ind w:left="540" w:right="720"/>
        <w:contextualSpacing/>
        <w:jc w:val="left"/>
        <w:rPr>
          <w:rFonts w:eastAsia="Franklin Gothic Book"/>
          <w:sz w:val="22"/>
        </w:rPr>
      </w:pPr>
      <w:r w:rsidRPr="009C362B">
        <w:rPr>
          <w:rFonts w:eastAsia="Franklin Gothic Book"/>
          <w:sz w:val="22"/>
        </w:rPr>
        <w:t xml:space="preserve">No objection from SAG participants is received regarding the proposed modified NTG method within a ten business day SAG review and comment period. </w:t>
      </w:r>
    </w:p>
    <w:p w14:paraId="031DB6E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Evaluators may test alternative methods of estimating NTG for a particular program (either in lieu of the NTG methods outlined in this document or in addition to the NTG methods outlined in this document), if the following three conditions have been satisfied: </w:t>
      </w:r>
    </w:p>
    <w:p w14:paraId="25FEEC3A"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Evaluators must explicate within the annual evaluation research plan (or other document) the proposed alternative NTG method. Evaluators must explain why the proposed alternative NTG method might be superior to the NTG methods outlined in this document for the particular program. Evaluators must discuss the foundation for expecting that the proposed alternative NTG method is likely to produce meaningful results.</w:t>
      </w:r>
    </w:p>
    <w:p w14:paraId="3FB92FE9"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Prior to the use of the alternative NTG method for a particular program, evaluation teams must be in agreement on the key details of the approach for implementing the alternative NTG method.</w:t>
      </w:r>
    </w:p>
    <w:p w14:paraId="3E6FC906" w14:textId="77777777" w:rsidR="009F45F0" w:rsidRPr="009C362B" w:rsidRDefault="009F45F0" w:rsidP="009F45F0">
      <w:pPr>
        <w:widowControl/>
        <w:numPr>
          <w:ilvl w:val="0"/>
          <w:numId w:val="18"/>
        </w:numPr>
        <w:spacing w:after="160" w:line="259" w:lineRule="auto"/>
        <w:ind w:left="540" w:right="720"/>
        <w:contextualSpacing/>
        <w:jc w:val="left"/>
        <w:rPr>
          <w:rFonts w:eastAsia="Franklin Gothic Book"/>
          <w:sz w:val="22"/>
        </w:rPr>
      </w:pPr>
      <w:r w:rsidRPr="009C362B">
        <w:rPr>
          <w:rFonts w:eastAsia="Franklin Gothic Book"/>
          <w:sz w:val="22"/>
        </w:rPr>
        <w:t xml:space="preserve">No objection from SAG participants is received regarding the proposed alternative NTG method for the particular program within a ten business day SAG review and comment period. </w:t>
      </w:r>
    </w:p>
    <w:p w14:paraId="617FBAA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When performing alternative NTG methods for a particular program, the choice of methods may vary across the state. For example, if ComEd’s evaluator chooses to test Methods 1 and 2 for a particular </w:t>
      </w:r>
      <w:r w:rsidRPr="009C362B">
        <w:rPr>
          <w:rFonts w:eastAsia="Franklin Gothic Book"/>
          <w:sz w:val="22"/>
        </w:rPr>
        <w:lastRenderedPageBreak/>
        <w:t xml:space="preserve">program, Ameren’s and DCEO’s evaluators do not also have to perform Methods 1 and 2 for a similar program. </w:t>
      </w:r>
    </w:p>
    <w:p w14:paraId="7C297455"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92" w:name="_Toc437261827"/>
      <w:bookmarkStart w:id="393" w:name="_Toc438191066"/>
      <w:r w:rsidRPr="009C362B">
        <w:rPr>
          <w:rFonts w:eastAsia="Franklin Gothic Book" w:cs="Arial"/>
          <w:b/>
          <w:bCs/>
          <w:sz w:val="24"/>
          <w:szCs w:val="20"/>
          <w:lang w:eastAsia="x-none"/>
        </w:rPr>
        <w:t>Procedure for Non-Consensus Items</w:t>
      </w:r>
      <w:bookmarkEnd w:id="392"/>
      <w:bookmarkEnd w:id="393"/>
      <w:r w:rsidRPr="009C362B">
        <w:rPr>
          <w:rFonts w:eastAsia="Franklin Gothic Book" w:cs="Arial"/>
          <w:b/>
          <w:bCs/>
          <w:sz w:val="24"/>
          <w:szCs w:val="20"/>
          <w:lang w:eastAsia="x-none"/>
        </w:rPr>
        <w:t xml:space="preserve"> </w:t>
      </w:r>
    </w:p>
    <w:p w14:paraId="5D60D9E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Non-consensus items that arise during the development and updating of the IL-NTG Methods document will be handled in substantially the same way as non-consensus IL-TRM Updates are addressed. The approach to be used is as follows. </w:t>
      </w:r>
    </w:p>
    <w:p w14:paraId="6793C0CA"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Once the Illinois NTG Working Group</w:t>
      </w:r>
      <w:r w:rsidRPr="009C362B">
        <w:rPr>
          <w:rFonts w:eastAsia="Franklin Gothic Book"/>
          <w:sz w:val="22"/>
          <w:vertAlign w:val="superscript"/>
        </w:rPr>
        <w:footnoteReference w:id="8"/>
      </w:r>
      <w:r w:rsidRPr="009C362B">
        <w:rPr>
          <w:rFonts w:eastAsia="Franklin Gothic Book"/>
          <w:sz w:val="22"/>
        </w:rPr>
        <w:t xml:space="preserve"> has progressed as far as they can on the methodology, and it has been found that there is non-consensus on a specific Net-to-Gross Methods topic or procedure, the Illinois NTG Working Group shall submit to the ICC Staff and the Stakeholder Advisory Group’s (SAG) Technical Advisory Committee (TAC) a Comparison Exhibit of Non-Consensus Net-to-Gross Methods topics/procedures </w:t>
      </w:r>
      <w:r w:rsidRPr="009C362B">
        <w:rPr>
          <w:rFonts w:eastAsia="Franklin Gothic Book"/>
          <w:i/>
          <w:sz w:val="22"/>
        </w:rPr>
        <w:t xml:space="preserve">within 1 week </w:t>
      </w:r>
      <w:r w:rsidRPr="009C362B">
        <w:rPr>
          <w:rFonts w:eastAsia="Franklin Gothic Book"/>
          <w:sz w:val="22"/>
        </w:rPr>
        <w:t xml:space="preserve">after the Illinois NTG Working Group has failed to reach consensus. The TAC will then deliberate on the issue with a goal of reaching consensus. </w:t>
      </w:r>
    </w:p>
    <w:p w14:paraId="2A57F1BB"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If consensus does not emerge in the TAC regarding a particular Net-to-Gross Methods topic or procedure, the Comparison Exhibit of Non-Consensus NTG Methods topics/procedures is then sent to the full SAG for their deliberations and input. The SAG provides a forum where experts on all sides of the contested issue can present their expert opinions in an effort to inform parties of the contested issue and to also facilitate consensus.</w:t>
      </w:r>
    </w:p>
    <w:p w14:paraId="0AE15F70" w14:textId="77777777" w:rsidR="009F45F0" w:rsidRPr="009C362B" w:rsidRDefault="009F45F0" w:rsidP="009F45F0">
      <w:pPr>
        <w:widowControl/>
        <w:numPr>
          <w:ilvl w:val="0"/>
          <w:numId w:val="16"/>
        </w:numPr>
        <w:spacing w:after="160"/>
        <w:ind w:left="360" w:hanging="180"/>
        <w:jc w:val="left"/>
        <w:rPr>
          <w:rFonts w:eastAsia="Franklin Gothic Book"/>
          <w:sz w:val="22"/>
        </w:rPr>
      </w:pPr>
      <w:r w:rsidRPr="009C362B">
        <w:rPr>
          <w:rFonts w:eastAsia="Franklin Gothic Book"/>
          <w:sz w:val="22"/>
        </w:rPr>
        <w:t xml:space="preserve">If the full SAG is unable to reach consensus, the non-consensus item will be referred to the ICC for resolution at the time of the IL-TRM Update proceeding. After receipt of the Comparison Exhibit of Non-Consensus Net-to-Gross Methods topics/procedures, the ICC Staff will submit a Staff Report to the Commission to initiate a proceeding separate from the consensus IL-TRM Update proceeding to resolve the non-consensus Net-to-Gross Methods topics/procedures. </w:t>
      </w:r>
    </w:p>
    <w:p w14:paraId="031710A0" w14:textId="77777777" w:rsidR="009F45F0" w:rsidRPr="009C362B" w:rsidRDefault="009F45F0" w:rsidP="009F45F0">
      <w:pPr>
        <w:keepNext/>
        <w:keepLines/>
        <w:widowControl/>
        <w:numPr>
          <w:ilvl w:val="0"/>
          <w:numId w:val="1"/>
        </w:numPr>
        <w:spacing w:before="120" w:after="160"/>
        <w:jc w:val="left"/>
        <w:outlineLvl w:val="0"/>
        <w:rPr>
          <w:rFonts w:eastAsia="Franklin Gothic Book" w:cs="Arial"/>
          <w:b/>
          <w:bCs/>
          <w:kern w:val="36"/>
          <w:sz w:val="24"/>
          <w:szCs w:val="24"/>
          <w:lang w:eastAsia="x-none"/>
        </w:rPr>
      </w:pPr>
      <w:bookmarkStart w:id="394" w:name="_Toc437261828"/>
      <w:bookmarkStart w:id="395" w:name="_Toc438191067"/>
      <w:r w:rsidRPr="009C362B">
        <w:rPr>
          <w:rFonts w:eastAsia="Franklin Gothic Book" w:cs="Arial"/>
          <w:b/>
          <w:bCs/>
          <w:kern w:val="36"/>
          <w:sz w:val="24"/>
          <w:szCs w:val="24"/>
          <w:lang w:eastAsia="x-none"/>
        </w:rPr>
        <w:lastRenderedPageBreak/>
        <w:t>Attribution in Energy Efficiency Programs in General</w:t>
      </w:r>
      <w:bookmarkEnd w:id="394"/>
      <w:bookmarkEnd w:id="395"/>
    </w:p>
    <w:p w14:paraId="26E581CC" w14:textId="77777777" w:rsidR="009F45F0" w:rsidRPr="009C362B" w:rsidRDefault="009F45F0" w:rsidP="009F45F0">
      <w:pPr>
        <w:keepNext/>
        <w:keepLines/>
        <w:widowControl/>
        <w:spacing w:after="160"/>
        <w:jc w:val="left"/>
        <w:rPr>
          <w:rFonts w:eastAsia="Franklin Gothic Book"/>
          <w:sz w:val="22"/>
        </w:rPr>
      </w:pPr>
      <w:r w:rsidRPr="009C362B">
        <w:rPr>
          <w:rFonts w:eastAsia="Franklin Gothic Book"/>
          <w:sz w:val="22"/>
        </w:rPr>
        <w:t>One of the most difficult aspects of evaluation, and not just within evaluation of energy efficiency programs, is attributing results to a program. Attribution provides credible evidence that there is a causal link between the program activities and the outcomes achieved by the program. Attribution research estimates the difference between the outcomes and those that would have occurred absent the program (i.e., the counterfactual). Put in research terms, evaluators must reject the null hypothesis of no causality through probabilistic statements (e.g., “strong evidence”, “high probability”). As such, it is important to realize that the concept of the counterfactual cannot be proven with certainty. So even though the NTG ratio is a single value, conceptually it is a probabilistic statement</w:t>
      </w:r>
      <w:r w:rsidRPr="009C362B">
        <w:rPr>
          <w:rFonts w:eastAsia="Franklin Gothic Book"/>
          <w:sz w:val="22"/>
          <w:vertAlign w:val="superscript"/>
        </w:rPr>
        <w:footnoteReference w:id="9"/>
      </w:r>
      <w:r w:rsidRPr="009C362B">
        <w:rPr>
          <w:rFonts w:eastAsia="Franklin Gothic Book"/>
          <w:sz w:val="22"/>
        </w:rPr>
        <w:t>. One of the main academics within evaluation stated that there is a “…total and inevitable absence of certain knowledge [arising] from the methods social scientists use” when assessing the counterfactual. (Shadish, et al., 2002) This statement is not about poor methods, but about the counterfactual itself. Because programs work with people and are not a laboratory experiment that can be replicated over and over, to find out what actions people would have taken absent an intervention, one would need a time machine to take people back in time and not provide the program. Since time machines do not exist, evaluators have developed methods that approximate the counterfactual to the best of their ability.</w:t>
      </w:r>
    </w:p>
    <w:p w14:paraId="4DB1476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For energy efficiency programs, evaluators differentiate between savings at a “gross” and “net” level as described below in the short set of relevant definitions. These definitions are not all encompassing or meant to restrict evaluation in any way, but to provide context before additional detail is provided in later sections. Research to determine attribution occurs to allow for a better understanding of the net level of savings.</w:t>
      </w:r>
    </w:p>
    <w:p w14:paraId="250C1DAC" w14:textId="77777777" w:rsidR="009F45F0" w:rsidRPr="009C362B" w:rsidRDefault="009F45F0" w:rsidP="009F45F0">
      <w:pPr>
        <w:widowControl/>
        <w:spacing w:after="0"/>
        <w:jc w:val="left"/>
        <w:rPr>
          <w:rFonts w:eastAsia="Franklin Gothic Book"/>
          <w:sz w:val="22"/>
        </w:rPr>
      </w:pPr>
    </w:p>
    <w:p w14:paraId="5CDB0342" w14:textId="77777777" w:rsidR="009F45F0" w:rsidRPr="009C362B" w:rsidRDefault="009F45F0" w:rsidP="009F45F0">
      <w:pPr>
        <w:widowControl/>
        <w:spacing w:after="160"/>
        <w:jc w:val="left"/>
        <w:rPr>
          <w:rFonts w:eastAsia="Franklin Gothic Book"/>
          <w:b/>
          <w:bCs/>
          <w:sz w:val="22"/>
        </w:rPr>
      </w:pPr>
      <w:r w:rsidRPr="009C362B">
        <w:rPr>
          <w:rFonts w:eastAsia="Franklin Gothic Book"/>
          <w:b/>
          <w:bCs/>
          <w:sz w:val="22"/>
        </w:rPr>
        <w:t>Relevant Definitions:</w:t>
      </w:r>
    </w:p>
    <w:tbl>
      <w:tblPr>
        <w:tblStyle w:val="GridTable1Light1"/>
        <w:tblW w:w="9065" w:type="dxa"/>
        <w:jc w:val="center"/>
        <w:tblLook w:val="04A0" w:firstRow="1" w:lastRow="0" w:firstColumn="1" w:lastColumn="0" w:noHBand="0" w:noVBand="1"/>
      </w:tblPr>
      <w:tblGrid>
        <w:gridCol w:w="1345"/>
        <w:gridCol w:w="1844"/>
        <w:gridCol w:w="5876"/>
      </w:tblGrid>
      <w:tr w:rsidR="009F45F0" w:rsidRPr="00FF0879" w14:paraId="11961103" w14:textId="77777777" w:rsidTr="004F7320">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5918E88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Concept</w:t>
            </w:r>
          </w:p>
        </w:tc>
        <w:tc>
          <w:tcPr>
            <w:tcW w:w="1844" w:type="dxa"/>
          </w:tcPr>
          <w:p w14:paraId="2B9D2596"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Term</w:t>
            </w:r>
          </w:p>
        </w:tc>
        <w:tc>
          <w:tcPr>
            <w:tcW w:w="5876" w:type="dxa"/>
          </w:tcPr>
          <w:p w14:paraId="46B7BB37" w14:textId="77777777" w:rsidR="009F45F0" w:rsidRPr="009C362B" w:rsidRDefault="009F45F0" w:rsidP="00CC2784">
            <w:pPr>
              <w:widowControl/>
              <w:spacing w:after="0"/>
              <w:jc w:val="left"/>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Definition </w:t>
            </w:r>
          </w:p>
        </w:tc>
      </w:tr>
      <w:tr w:rsidR="009F45F0" w:rsidRPr="00FF0879" w14:paraId="5140C853"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4517665F"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Consumers</w:t>
            </w:r>
          </w:p>
        </w:tc>
        <w:tc>
          <w:tcPr>
            <w:tcW w:w="1844" w:type="dxa"/>
            <w:vAlign w:val="center"/>
          </w:tcPr>
          <w:p w14:paraId="2DBF32E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Nonparticipant</w:t>
            </w:r>
          </w:p>
        </w:tc>
        <w:tc>
          <w:tcPr>
            <w:tcW w:w="5876" w:type="dxa"/>
          </w:tcPr>
          <w:p w14:paraId="1B100948"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Any consumer who was eligible but did not participate in the subject efficiency program, in a given program year.</w:t>
            </w:r>
          </w:p>
        </w:tc>
      </w:tr>
      <w:tr w:rsidR="009F45F0" w:rsidRPr="00FF0879" w14:paraId="51825300"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3D5208B2" w14:textId="77777777" w:rsidR="009F45F0" w:rsidRPr="009C362B" w:rsidRDefault="009F45F0" w:rsidP="00CC2784">
            <w:pPr>
              <w:widowControl/>
              <w:spacing w:after="0"/>
              <w:jc w:val="left"/>
              <w:rPr>
                <w:rFonts w:eastAsia="Franklin Gothic Book"/>
                <w:sz w:val="22"/>
              </w:rPr>
            </w:pPr>
          </w:p>
        </w:tc>
        <w:tc>
          <w:tcPr>
            <w:tcW w:w="1844" w:type="dxa"/>
            <w:vAlign w:val="center"/>
          </w:tcPr>
          <w:p w14:paraId="0F2467C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Participant</w:t>
            </w:r>
          </w:p>
        </w:tc>
        <w:tc>
          <w:tcPr>
            <w:tcW w:w="5876" w:type="dxa"/>
          </w:tcPr>
          <w:p w14:paraId="02AD682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A consumer that received a service offered through the subject efficiency program, in a given program year; also called </w:t>
            </w:r>
            <w:r w:rsidRPr="009C362B">
              <w:rPr>
                <w:rFonts w:eastAsia="Franklin Gothic Book"/>
                <w:i/>
                <w:iCs/>
                <w:sz w:val="22"/>
              </w:rPr>
              <w:t>program participant</w:t>
            </w:r>
            <w:r w:rsidRPr="009C362B">
              <w:rPr>
                <w:rFonts w:eastAsia="Franklin Gothic Book"/>
                <w:sz w:val="22"/>
              </w:rPr>
              <w:t>. The term “service” is used in this definition to suggest that the service can be a wide variety of inducements, including financial rebates, technical assistance, product installations, training, energy efficiency information or other services, items, or conditions. Each evaluation plan should define “participant” as it applies to the specific evaluation.</w:t>
            </w:r>
          </w:p>
        </w:tc>
      </w:tr>
      <w:tr w:rsidR="009F45F0" w:rsidRPr="00FF0879" w14:paraId="6E551173"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0FB6F9E0"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Impacts</w:t>
            </w:r>
          </w:p>
        </w:tc>
        <w:tc>
          <w:tcPr>
            <w:tcW w:w="1844" w:type="dxa"/>
            <w:vAlign w:val="center"/>
          </w:tcPr>
          <w:p w14:paraId="799CCCC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Gross Impacts</w:t>
            </w:r>
          </w:p>
        </w:tc>
        <w:tc>
          <w:tcPr>
            <w:tcW w:w="5876" w:type="dxa"/>
          </w:tcPr>
          <w:p w14:paraId="0F69F12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The change in energy consumption and/or demand that results directly from program-related actions taken by participants in an energy efficiency program, regardless of why they participated.</w:t>
            </w:r>
          </w:p>
        </w:tc>
      </w:tr>
      <w:tr w:rsidR="009F45F0" w:rsidRPr="00FF0879" w14:paraId="3013E0C4"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508B5007"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lastRenderedPageBreak/>
              <w:t>Attribution of Impacts</w:t>
            </w:r>
          </w:p>
        </w:tc>
        <w:tc>
          <w:tcPr>
            <w:tcW w:w="1844" w:type="dxa"/>
            <w:vAlign w:val="center"/>
          </w:tcPr>
          <w:p w14:paraId="0B8A0213"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Net Impacts </w:t>
            </w:r>
          </w:p>
        </w:tc>
        <w:tc>
          <w:tcPr>
            <w:tcW w:w="5876" w:type="dxa"/>
          </w:tcPr>
          <w:p w14:paraId="487E4B1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The change in energy consumption and/or demand that is attributable to a particular energy efficiency program. This change in energy use and/or demand may include, implicitly or explicitly, consideration of factors such as free ridership, participant and nonparticipant spillover, and induced market effects. These factors may be considered in how a baseline is defined (e.g., common practice) and/or in adjustments to gross savings values.</w:t>
            </w:r>
          </w:p>
        </w:tc>
      </w:tr>
      <w:tr w:rsidR="009F45F0" w:rsidRPr="00FF0879" w14:paraId="7E0ACFE8"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ign w:val="center"/>
          </w:tcPr>
          <w:p w14:paraId="05A27B26" w14:textId="77777777" w:rsidR="009F45F0" w:rsidRPr="009C362B" w:rsidRDefault="009F45F0" w:rsidP="00CC2784">
            <w:pPr>
              <w:widowControl/>
              <w:spacing w:after="0"/>
              <w:jc w:val="left"/>
              <w:rPr>
                <w:rFonts w:eastAsia="Franklin Gothic Book"/>
                <w:sz w:val="22"/>
              </w:rPr>
            </w:pPr>
          </w:p>
        </w:tc>
        <w:tc>
          <w:tcPr>
            <w:tcW w:w="1844" w:type="dxa"/>
            <w:vAlign w:val="center"/>
          </w:tcPr>
          <w:p w14:paraId="455B2045"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Net-to-Gross Ratio</w:t>
            </w:r>
          </w:p>
        </w:tc>
        <w:tc>
          <w:tcPr>
            <w:tcW w:w="5876" w:type="dxa"/>
          </w:tcPr>
          <w:p w14:paraId="53F1CB2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A factor representing net program savings divided by gross program savings that is applied to gross program impacts to convert them into net program impacts. The factor itself may be made up of a variety of factors that create differences between gross and net savings, commonly including free riders and spillover. The factor can be estimated and applied separately to either energy or demand savings.</w:t>
            </w:r>
          </w:p>
        </w:tc>
      </w:tr>
      <w:tr w:rsidR="009F45F0" w:rsidRPr="00FF0879" w14:paraId="48957BE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ign w:val="center"/>
          </w:tcPr>
          <w:p w14:paraId="7FD70172" w14:textId="77777777" w:rsidR="009F45F0" w:rsidRPr="009C362B" w:rsidRDefault="009F45F0" w:rsidP="00CC2784">
            <w:pPr>
              <w:widowControl/>
              <w:spacing w:after="0"/>
              <w:jc w:val="left"/>
              <w:rPr>
                <w:rFonts w:eastAsia="Franklin Gothic Book"/>
                <w:sz w:val="22"/>
              </w:rPr>
            </w:pPr>
          </w:p>
        </w:tc>
        <w:tc>
          <w:tcPr>
            <w:tcW w:w="1844" w:type="dxa"/>
            <w:vAlign w:val="center"/>
          </w:tcPr>
          <w:p w14:paraId="765F7084"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Free Rider </w:t>
            </w:r>
          </w:p>
        </w:tc>
        <w:tc>
          <w:tcPr>
            <w:tcW w:w="5876" w:type="dxa"/>
          </w:tcPr>
          <w:p w14:paraId="466C6CC4"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A program participant who would have implemented the program’s measure(s) or practice(s) in the absence of the program. Free riders can be (1) total, in which the participant’s activity would have completely replicated the program measure; (2) partial, in which the participant’s activity would have partially replicated the program measure; or (3) deferred, in which the participant’s activity would have partially or completely replicated the program measure, but at a future time.</w:t>
            </w:r>
          </w:p>
        </w:tc>
      </w:tr>
      <w:tr w:rsidR="009F45F0" w:rsidRPr="00FF0879" w14:paraId="151DAFA1"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29C06CC6" w14:textId="77777777" w:rsidR="009F45F0" w:rsidRPr="009C362B" w:rsidRDefault="009F45F0" w:rsidP="00CC2784">
            <w:pPr>
              <w:widowControl/>
              <w:spacing w:after="0"/>
              <w:jc w:val="left"/>
              <w:rPr>
                <w:rFonts w:eastAsia="Franklin Gothic Book"/>
                <w:sz w:val="22"/>
              </w:rPr>
            </w:pPr>
          </w:p>
        </w:tc>
        <w:tc>
          <w:tcPr>
            <w:tcW w:w="1844" w:type="dxa"/>
            <w:vAlign w:val="center"/>
          </w:tcPr>
          <w:p w14:paraId="56199F7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Spillover</w:t>
            </w:r>
          </w:p>
        </w:tc>
        <w:tc>
          <w:tcPr>
            <w:tcW w:w="5876" w:type="dxa"/>
          </w:tcPr>
          <w:p w14:paraId="3006EF79"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 xml:space="preserve">Reductions in energy consumption and/or demand caused by the presence of an energy efficiency program, beyond the program-claimed gross savings of the participants. There can be participant and/or nonparticipant spillover. </w:t>
            </w:r>
            <w:r w:rsidRPr="009C362B">
              <w:rPr>
                <w:rFonts w:eastAsia="Franklin Gothic Book"/>
                <w:i/>
                <w:iCs/>
                <w:sz w:val="22"/>
              </w:rPr>
              <w:t xml:space="preserve">Participant spillover </w:t>
            </w:r>
            <w:r w:rsidRPr="009C362B">
              <w:rPr>
                <w:rFonts w:eastAsia="Franklin Gothic Book"/>
                <w:sz w:val="22"/>
              </w:rPr>
              <w:t xml:space="preserve">is the additional energy savings that occur as a result of the program’s influence when a program participant independently installs incremental energy efficiency measures or applies energy-saving practices after having participated in the energy efficiency program. </w:t>
            </w:r>
            <w:r w:rsidRPr="009C362B">
              <w:rPr>
                <w:rFonts w:eastAsia="Franklin Gothic Book"/>
                <w:i/>
                <w:iCs/>
                <w:sz w:val="22"/>
              </w:rPr>
              <w:t xml:space="preserve">Nonparticipant spillover </w:t>
            </w:r>
            <w:r w:rsidRPr="009C362B">
              <w:rPr>
                <w:rFonts w:eastAsia="Franklin Gothic Book"/>
                <w:sz w:val="22"/>
              </w:rPr>
              <w:t>refers to energy savings that occur when a program nonparticipant installs energy efficiency measures or applies energy savings practices as a result of a program’s influence.</w:t>
            </w:r>
          </w:p>
        </w:tc>
      </w:tr>
      <w:tr w:rsidR="009F45F0" w:rsidRPr="00FF0879" w14:paraId="76003DBD"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val="restart"/>
            <w:vAlign w:val="center"/>
          </w:tcPr>
          <w:p w14:paraId="2EE76F95" w14:textId="77777777" w:rsidR="009F45F0" w:rsidRPr="009C362B" w:rsidRDefault="009F45F0" w:rsidP="00CC2784">
            <w:pPr>
              <w:widowControl/>
              <w:spacing w:after="0"/>
              <w:jc w:val="left"/>
              <w:rPr>
                <w:rFonts w:eastAsia="Franklin Gothic Book"/>
                <w:sz w:val="22"/>
              </w:rPr>
            </w:pPr>
            <w:r w:rsidRPr="009C362B">
              <w:rPr>
                <w:rFonts w:eastAsia="Franklin Gothic Book"/>
                <w:sz w:val="22"/>
              </w:rPr>
              <w:t>Markets</w:t>
            </w:r>
          </w:p>
        </w:tc>
        <w:tc>
          <w:tcPr>
            <w:tcW w:w="1844" w:type="dxa"/>
            <w:vAlign w:val="center"/>
          </w:tcPr>
          <w:p w14:paraId="7FB07487"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w:t>
            </w:r>
          </w:p>
        </w:tc>
        <w:tc>
          <w:tcPr>
            <w:tcW w:w="5876" w:type="dxa"/>
          </w:tcPr>
          <w:p w14:paraId="2F73513C"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The commercial activity (e.g., manufacturing, distributing, buying, and selling) associated with products and services that affect energy use.</w:t>
            </w:r>
          </w:p>
        </w:tc>
      </w:tr>
      <w:tr w:rsidR="009F45F0" w:rsidRPr="00FF0879" w14:paraId="3AC971AF" w14:textId="77777777" w:rsidTr="004F7320">
        <w:trPr>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024D7ECA" w14:textId="77777777" w:rsidR="009F45F0" w:rsidRPr="009C362B" w:rsidRDefault="009F45F0" w:rsidP="00CC2784">
            <w:pPr>
              <w:widowControl/>
              <w:spacing w:after="0"/>
              <w:jc w:val="left"/>
              <w:rPr>
                <w:rFonts w:eastAsia="Franklin Gothic Book"/>
                <w:sz w:val="22"/>
              </w:rPr>
            </w:pPr>
          </w:p>
        </w:tc>
        <w:tc>
          <w:tcPr>
            <w:tcW w:w="1844" w:type="dxa"/>
            <w:vAlign w:val="center"/>
          </w:tcPr>
          <w:p w14:paraId="7205BA0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 Effects</w:t>
            </w:r>
          </w:p>
        </w:tc>
        <w:tc>
          <w:tcPr>
            <w:tcW w:w="5876" w:type="dxa"/>
          </w:tcPr>
          <w:p w14:paraId="60BFD7DF"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i/>
                <w:sz w:val="22"/>
              </w:rPr>
            </w:pPr>
            <w:r w:rsidRPr="009C362B">
              <w:rPr>
                <w:rFonts w:eastAsia="Franklin Gothic Book"/>
                <w:sz w:val="22"/>
              </w:rPr>
              <w:t xml:space="preserve">A change in the structure of a market or the behavior of participants in a market that is reflective of an increase (or decrease) in the adoption of energy efficient products, services, or practices and is causally related to market interventions (e.g., programs). Examples of market effects include increased levels of awareness of energy efficient technologies among customers and suppliers, increased </w:t>
            </w:r>
            <w:r w:rsidRPr="009C362B">
              <w:rPr>
                <w:rFonts w:eastAsia="Franklin Gothic Book"/>
                <w:sz w:val="22"/>
              </w:rPr>
              <w:lastRenderedPageBreak/>
              <w:t>availability of energy efficient technologies through retail channels, reduced prices for energy efficient models, build out of energy efficient model lines, and—the end goal— increased market share for energy efficient goods, services, and design practices.</w:t>
            </w:r>
          </w:p>
        </w:tc>
      </w:tr>
      <w:tr w:rsidR="009F45F0" w:rsidRPr="00FF0879" w14:paraId="26147FA6" w14:textId="77777777" w:rsidTr="004F7320">
        <w:trPr>
          <w:trHeight w:val="3032"/>
          <w:jc w:val="center"/>
        </w:trPr>
        <w:tc>
          <w:tcPr>
            <w:cnfStyle w:val="001000000000" w:firstRow="0" w:lastRow="0" w:firstColumn="1" w:lastColumn="0" w:oddVBand="0" w:evenVBand="0" w:oddHBand="0" w:evenHBand="0" w:firstRowFirstColumn="0" w:firstRowLastColumn="0" w:lastRowFirstColumn="0" w:lastRowLastColumn="0"/>
            <w:tcW w:w="1345" w:type="dxa"/>
            <w:vMerge/>
          </w:tcPr>
          <w:p w14:paraId="5D1B2116" w14:textId="77777777" w:rsidR="009F45F0" w:rsidRPr="009C362B" w:rsidRDefault="009F45F0" w:rsidP="00CC2784">
            <w:pPr>
              <w:widowControl/>
              <w:spacing w:after="0"/>
              <w:jc w:val="left"/>
              <w:rPr>
                <w:rFonts w:eastAsia="Franklin Gothic Book"/>
                <w:sz w:val="22"/>
              </w:rPr>
            </w:pPr>
          </w:p>
        </w:tc>
        <w:tc>
          <w:tcPr>
            <w:tcW w:w="1844" w:type="dxa"/>
            <w:vAlign w:val="center"/>
          </w:tcPr>
          <w:p w14:paraId="74D13303"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Market Assessment</w:t>
            </w:r>
          </w:p>
        </w:tc>
        <w:tc>
          <w:tcPr>
            <w:tcW w:w="5876" w:type="dxa"/>
            <w:vAlign w:val="center"/>
          </w:tcPr>
          <w:p w14:paraId="189EFB1E" w14:textId="77777777" w:rsidR="009F45F0" w:rsidRPr="009C362B" w:rsidRDefault="009F45F0" w:rsidP="00CC2784">
            <w:pPr>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An analysis that provides an assessment of how and how well a specific market or market segment is functioning with respect to the definition of well-functioning markets or with respect to other specific policy objectives. A market assessment generally includes a characterization or description of the specific market or market segments, including a description of the types and number of buyers and sellers in the market, the key actors that influence the market, the type and number of transactions that occur on an annual basis, and the extent to which market participants consider energy efficiency an important part of these transactions. This analysis may also include an assessment of whether a market has been sufficiently transformed to justify a reduction or elimination of specific program interventions. Market assessment can be blended with strategic planning analysis to produce recommended program designs or budgets. One particular kind of market assess</w:t>
            </w:r>
            <w:r w:rsidRPr="009C362B">
              <w:rPr>
                <w:rFonts w:eastAsia="Franklin Gothic Book"/>
                <w:sz w:val="22"/>
              </w:rPr>
              <w:softHyphen/>
              <w:t>ment effort is a baseline study, or the characterization of a market before the commencement of a specific intervention in the market for the purpose of guiding the intervention and/or assessing its effectiveness later.</w:t>
            </w:r>
          </w:p>
        </w:tc>
      </w:tr>
    </w:tbl>
    <w:p w14:paraId="7B71BD4C" w14:textId="77777777" w:rsidR="009F45F0" w:rsidRPr="009C362B" w:rsidRDefault="009F45F0" w:rsidP="009F45F0">
      <w:pPr>
        <w:widowControl/>
        <w:spacing w:after="160"/>
        <w:jc w:val="left"/>
        <w:rPr>
          <w:rFonts w:eastAsia="Franklin Gothic Book"/>
          <w:i/>
          <w:szCs w:val="20"/>
        </w:rPr>
      </w:pPr>
      <w:r w:rsidRPr="009C362B">
        <w:rPr>
          <w:rFonts w:eastAsia="Franklin Gothic Book"/>
          <w:i/>
          <w:szCs w:val="20"/>
        </w:rPr>
        <w:t xml:space="preserve">Source: </w:t>
      </w:r>
      <w:r w:rsidRPr="009C362B">
        <w:rPr>
          <w:rFonts w:eastAsia="Franklin Gothic Book"/>
          <w:szCs w:val="20"/>
        </w:rPr>
        <w:t xml:space="preserve">Derived from State and Local Energy Efficiency Action Network. 2012. </w:t>
      </w:r>
      <w:r w:rsidRPr="009C362B">
        <w:rPr>
          <w:rFonts w:eastAsia="Franklin Gothic Book"/>
          <w:i/>
          <w:iCs/>
          <w:szCs w:val="20"/>
        </w:rPr>
        <w:t>Energy Efficiency Program Impact Evaluation Guide</w:t>
      </w:r>
      <w:r w:rsidRPr="009C362B">
        <w:rPr>
          <w:rFonts w:eastAsia="Franklin Gothic Book"/>
          <w:szCs w:val="20"/>
        </w:rPr>
        <w:t>. Prepared by Steven R. Schiller, Schiller Consulting, Inc., www.seeaction.energy.gov.</w:t>
      </w:r>
    </w:p>
    <w:p w14:paraId="5577FD13" w14:textId="77777777" w:rsidR="009F45F0" w:rsidRPr="009C362B" w:rsidRDefault="009F45F0" w:rsidP="009F45F0">
      <w:pPr>
        <w:keepNext/>
        <w:widowControl/>
        <w:spacing w:after="100" w:line="276" w:lineRule="auto"/>
        <w:jc w:val="left"/>
        <w:rPr>
          <w:rFonts w:eastAsia="Franklin Gothic Book"/>
          <w:sz w:val="22"/>
        </w:rPr>
      </w:pPr>
      <w:r w:rsidRPr="009C362B">
        <w:rPr>
          <w:rFonts w:eastAsia="Franklin Gothic Book"/>
          <w:sz w:val="22"/>
        </w:rPr>
        <w:br w:type="page"/>
      </w:r>
    </w:p>
    <w:p w14:paraId="7734B477" w14:textId="77777777" w:rsidR="009F45F0" w:rsidRPr="009C362B" w:rsidRDefault="009F45F0" w:rsidP="009F45F0">
      <w:pPr>
        <w:keepNext/>
        <w:widowControl/>
        <w:numPr>
          <w:ilvl w:val="0"/>
          <w:numId w:val="19"/>
        </w:numPr>
        <w:spacing w:before="120" w:after="160"/>
        <w:jc w:val="left"/>
        <w:outlineLvl w:val="0"/>
        <w:rPr>
          <w:rFonts w:eastAsia="Franklin Gothic Book" w:cs="Arial"/>
          <w:b/>
          <w:bCs/>
          <w:kern w:val="36"/>
          <w:sz w:val="24"/>
          <w:szCs w:val="24"/>
          <w:lang w:eastAsia="x-none"/>
        </w:rPr>
      </w:pPr>
      <w:bookmarkStart w:id="396" w:name="_Toc437261829"/>
      <w:bookmarkStart w:id="397" w:name="_Toc438191068"/>
      <w:r w:rsidRPr="009C362B">
        <w:rPr>
          <w:rFonts w:eastAsia="Franklin Gothic Book" w:cs="Arial"/>
          <w:b/>
          <w:bCs/>
          <w:kern w:val="36"/>
          <w:sz w:val="24"/>
          <w:szCs w:val="24"/>
          <w:lang w:eastAsia="x-none"/>
        </w:rPr>
        <w:lastRenderedPageBreak/>
        <w:t>Attribution within the Commercial, Industrial, and Public Sectors</w:t>
      </w:r>
      <w:bookmarkEnd w:id="396"/>
      <w:bookmarkEnd w:id="397"/>
    </w:p>
    <w:p w14:paraId="3BFC2F0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Over thirty programs across a number of types of Commercial, Industrial, or Public Sector programs are expected to be offered in Illinois in electric program year 8 (EPY8) and gas program year 5 (GPY5) (i.e., June 2015 – May 2016). The evaluation team has worked partially through the NTG method for the Commercial &amp; Industrial (C&amp;I) and Public Sector Standard/Prescriptive and Custom programs. Future updates to this document will include a full NTG method for these programs as well as other programs. </w:t>
      </w:r>
    </w:p>
    <w:p w14:paraId="54A49AF9"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398" w:name="_Toc437261830"/>
      <w:bookmarkStart w:id="399" w:name="_Toc438191069"/>
      <w:r w:rsidRPr="009C362B">
        <w:rPr>
          <w:rFonts w:eastAsia="Franklin Gothic Book" w:cs="Arial"/>
          <w:b/>
          <w:bCs/>
          <w:sz w:val="24"/>
          <w:szCs w:val="20"/>
          <w:lang w:eastAsia="x-none"/>
        </w:rPr>
        <w:t>Standard/Prescriptive and Custom Programs</w:t>
      </w:r>
      <w:bookmarkEnd w:id="398"/>
      <w:bookmarkEnd w:id="399"/>
    </w:p>
    <w:p w14:paraId="49DA193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All C&amp;I and Public Sector Standard/Prescriptive and Custom programs offered in Illinois in GPY5/EPY8 are similar enough in scope and implementation to fall under the consistent methods outlined in this section. The detail drafted below documents agreements reached by the evaluation teams through approximately 10 hours of discussion spread out over five meetings which began in October 2014 and continued through early January 2015. Additionally, evaluators spent considerable amount of time prior to official meetings delving into NTG details. Consensus reached so far pertains to the self-report approach and is documented below. </w:t>
      </w:r>
    </w:p>
    <w:p w14:paraId="4F068695" w14:textId="77777777" w:rsidR="009F45F0" w:rsidRPr="009C362B" w:rsidRDefault="009F45F0" w:rsidP="009F45F0">
      <w:pPr>
        <w:widowControl/>
        <w:numPr>
          <w:ilvl w:val="2"/>
          <w:numId w:val="1"/>
        </w:numPr>
        <w:spacing w:before="120" w:after="160"/>
        <w:jc w:val="left"/>
        <w:outlineLvl w:val="2"/>
        <w:rPr>
          <w:rFonts w:eastAsia="Franklin Gothic Book" w:cs="Arial"/>
          <w:b/>
          <w:bCs/>
          <w:sz w:val="24"/>
          <w:szCs w:val="24"/>
          <w:lang w:eastAsia="x-none"/>
        </w:rPr>
      </w:pPr>
      <w:bookmarkStart w:id="400" w:name="_Toc437261831"/>
      <w:bookmarkStart w:id="401" w:name="_Toc438191070"/>
      <w:r w:rsidRPr="009C362B">
        <w:rPr>
          <w:rFonts w:eastAsia="Franklin Gothic Book" w:cs="Arial"/>
          <w:b/>
          <w:bCs/>
          <w:sz w:val="24"/>
          <w:szCs w:val="24"/>
          <w:lang w:eastAsia="x-none"/>
        </w:rPr>
        <w:t>Free Ridership</w:t>
      </w:r>
      <w:bookmarkEnd w:id="400"/>
      <w:bookmarkEnd w:id="401"/>
    </w:p>
    <w:p w14:paraId="4865EB0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There have been several core agreements reached by the evaluation teams. These agreements should reduce potential methodological differences employed by different evaluation contractors. Each is bulleted below.</w:t>
      </w:r>
    </w:p>
    <w:p w14:paraId="08F650C6"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cs="Arial"/>
          <w:b/>
          <w:bCs/>
          <w:sz w:val="22"/>
          <w:szCs w:val="20"/>
          <w:u w:val="single"/>
          <w:lang w:eastAsia="x-none"/>
        </w:rPr>
        <w:t>Multiple Questions</w:t>
      </w:r>
      <w:r w:rsidRPr="009C362B">
        <w:rPr>
          <w:rFonts w:eastAsia="Franklin Gothic Book" w:cs="Arial"/>
          <w:b/>
          <w:bCs/>
          <w:sz w:val="22"/>
          <w:szCs w:val="20"/>
          <w:lang w:eastAsia="x-none"/>
        </w:rPr>
        <w:t xml:space="preserve">: </w:t>
      </w:r>
      <w:r w:rsidRPr="009C362B">
        <w:rPr>
          <w:rFonts w:eastAsia="Franklin Gothic Book"/>
          <w:sz w:val="22"/>
        </w:rPr>
        <w:t>Evaluators will use program participant responses to multiple survey questions as inputs to the free ridership calculation algorithm. Evaluators will not use the response to a single question to establish a survey respondent as either a complete free rider or a complete non-free rider.</w:t>
      </w:r>
    </w:p>
    <w:p w14:paraId="6C857E9D"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Program and Non-Program Factors</w:t>
      </w:r>
      <w:r w:rsidRPr="009C362B">
        <w:rPr>
          <w:rFonts w:eastAsia="Franklin Gothic Book"/>
          <w:b/>
          <w:sz w:val="22"/>
        </w:rPr>
        <w:t xml:space="preserve">: </w:t>
      </w:r>
      <w:r w:rsidRPr="009C362B">
        <w:rPr>
          <w:rFonts w:eastAsia="Franklin Gothic Book"/>
          <w:sz w:val="22"/>
        </w:rPr>
        <w:t>Evaluators will administer survey questions to obtain respondent ratings on a numeric scale of the impact, influence, or importance on the decision to implement energy efficiency measures or take energy efficiency actions. A series of questions will focus on factors that the evaluator determines are a function of the program. Such program factors may, for instance, include availability of the program incentive, technical assistance from program staff, program staff recommendations, program-administrator marketing materials, and endorsement or recommendation by utility account manager or program partner staff. Previous experience with the program is not a program factor for purposes of obtaining respondent ratings of program impact, influence, or importance on the decision to implement energy efficiency measures. Evaluators will also administer a series of questions to obtain respondent ratings on a numeric scale of the impact, influence, or importance on the decision to implement energy efficiency measures or factors that the evaluator determines are not a function of the program. Such non-program factors may include, for example, age or condition of existing equipment, previous experience with the measure, standard business or industry practice, and organizational policy or guidelines.</w:t>
      </w:r>
    </w:p>
    <w:p w14:paraId="58574033"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Mediation of Numeric Scales</w:t>
      </w:r>
      <w:r w:rsidRPr="009C362B">
        <w:rPr>
          <w:rFonts w:eastAsia="Franklin Gothic Book"/>
          <w:b/>
          <w:sz w:val="22"/>
        </w:rPr>
        <w:t xml:space="preserve">: </w:t>
      </w:r>
      <w:r w:rsidRPr="009C362B">
        <w:rPr>
          <w:rFonts w:eastAsia="Franklin Gothic Book"/>
          <w:sz w:val="22"/>
        </w:rPr>
        <w:t xml:space="preserve">Evaluators will administer survey questions referencing numeric scoring scales for the purpose of quantifying free ridership. The numeric scales shall be based upon 11 points ranging from 0 to 10. Survey respondent numeric scores obtained from the administration of these questions will serve as inputs to the applied free ridership calculation algorithm. In calculating free ridership, survey respondent numeric scores may be mediated by other algorithmic components. </w:t>
      </w:r>
    </w:p>
    <w:p w14:paraId="2646C569"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lastRenderedPageBreak/>
        <w:t>Vendor Recommendations</w:t>
      </w:r>
      <w:r w:rsidRPr="009C362B">
        <w:rPr>
          <w:rFonts w:eastAsia="Franklin Gothic Book"/>
          <w:b/>
          <w:sz w:val="22"/>
        </w:rPr>
        <w:t>:</w:t>
      </w:r>
      <w:r w:rsidRPr="009C362B">
        <w:rPr>
          <w:rFonts w:eastAsia="Franklin Gothic Book"/>
          <w:sz w:val="22"/>
        </w:rPr>
        <w:t xml:space="preserve"> Equipment vendor or contractor recommendations may also be a program factor to the extent that such recommendation is a function of the program. The evaluator may administer survey questions to vendors or contractors to verify their involvement with participant projects and to obtain respondent ratings – on a numeric scale – of the impact, influence, or importance of the program on the decision to recommend the energy efficiency measure(s) to the program participant.</w:t>
      </w:r>
    </w:p>
    <w:p w14:paraId="041021AB"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Counterposing Program and Non-Program Factors</w:t>
      </w:r>
      <w:r w:rsidRPr="009C362B">
        <w:rPr>
          <w:rFonts w:eastAsia="Franklin Gothic Book"/>
          <w:b/>
          <w:sz w:val="22"/>
        </w:rPr>
        <w:t>:</w:t>
      </w:r>
      <w:r w:rsidRPr="009C362B">
        <w:rPr>
          <w:rFonts w:eastAsia="Franklin Gothic Book"/>
          <w:sz w:val="22"/>
        </w:rPr>
        <w:t xml:space="preserve"> Evaluators will administer a survey question that asks respondents to quantify the impact, influence, or importance on the decision to implement energy efficiency measures of factors that the evaluator determines are a function of the program relative to factors that the evaluator determines are not a function of the program. </w:t>
      </w:r>
    </w:p>
    <w:p w14:paraId="79E84C66"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Likelihood to Implement</w:t>
      </w:r>
      <w:r w:rsidRPr="009C362B">
        <w:rPr>
          <w:rFonts w:eastAsia="Franklin Gothic Book"/>
          <w:b/>
          <w:sz w:val="22"/>
        </w:rPr>
        <w:t>:</w:t>
      </w:r>
      <w:r w:rsidRPr="009C362B">
        <w:rPr>
          <w:rFonts w:eastAsia="Franklin Gothic Book"/>
          <w:sz w:val="22"/>
        </w:rPr>
        <w:t xml:space="preserve"> Evaluators will administer a survey question to obtain respondent ratings on a numeric scale of the likelihood of the respondent, in the absence of the program, to implement specified energy efficiency measures. The evaluator may administer questions to collect respondent self-report data regarding the respondent course of action, in the absence of the program, relating to the likelihood and timing of implementation, project scope, and measure characteristics.</w:t>
      </w:r>
    </w:p>
    <w:p w14:paraId="5FC7D67F" w14:textId="77777777" w:rsidR="009F45F0" w:rsidRPr="009C362B" w:rsidRDefault="009F45F0" w:rsidP="009F45F0">
      <w:pPr>
        <w:widowControl/>
        <w:numPr>
          <w:ilvl w:val="0"/>
          <w:numId w:val="6"/>
        </w:numPr>
        <w:spacing w:after="160"/>
        <w:ind w:left="360" w:hanging="180"/>
        <w:jc w:val="left"/>
        <w:rPr>
          <w:rFonts w:eastAsia="Franklin Gothic Book"/>
          <w:sz w:val="22"/>
        </w:rPr>
      </w:pPr>
      <w:r w:rsidRPr="009C362B">
        <w:rPr>
          <w:rFonts w:eastAsia="Franklin Gothic Book"/>
          <w:b/>
          <w:sz w:val="22"/>
          <w:u w:val="single"/>
        </w:rPr>
        <w:t>Consistency Checks</w:t>
      </w:r>
      <w:r w:rsidRPr="009C362B">
        <w:rPr>
          <w:rFonts w:eastAsia="Franklin Gothic Book"/>
          <w:b/>
          <w:sz w:val="22"/>
        </w:rPr>
        <w:t>:</w:t>
      </w:r>
      <w:r w:rsidRPr="009C362B">
        <w:rPr>
          <w:rFonts w:eastAsia="Franklin Gothic Book"/>
          <w:sz w:val="22"/>
        </w:rPr>
        <w:t xml:space="preserve"> Evaluators should administer survey questions as checks on the consistency of responses associated with a core free ridership assessment methodology. Evaluators may also reference available data, including consistency check data, to perform documented modifications to individual free ridership estimates resulting from the application of a core free ridership assessment methodology.</w:t>
      </w:r>
    </w:p>
    <w:p w14:paraId="107CA04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survey questions referenced above constitute basic guidelines for evaluators to use in the development and application of a core free ridership assessment methodology – these survey questions are not all encompassing and other survey questions may be asked by evaluators. </w:t>
      </w:r>
    </w:p>
    <w:p w14:paraId="181D8AFA"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 w:val="22"/>
          <w:szCs w:val="20"/>
          <w:lang w:eastAsia="x-none"/>
        </w:rPr>
      </w:pPr>
      <w:r w:rsidRPr="009C362B">
        <w:rPr>
          <w:rFonts w:eastAsia="Franklin Gothic Book" w:cs="Arial"/>
          <w:b/>
          <w:bCs/>
          <w:sz w:val="22"/>
          <w:szCs w:val="20"/>
          <w:lang w:eastAsia="x-none"/>
        </w:rPr>
        <w:t>Scoring Algorithm</w:t>
      </w:r>
    </w:p>
    <w:p w14:paraId="406961B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evaluation teams have not yet reached agreement on the specific algorithm to use. There have been thoughtful discussions around the status quo algorithms, multiplying specific inputs rather than averaging them, and including partial free ridership through a very different approach of time-varying free ridership values</w:t>
      </w:r>
      <w:r w:rsidRPr="009C362B">
        <w:rPr>
          <w:rFonts w:eastAsia="Franklin Gothic Book"/>
          <w:color w:val="000000"/>
          <w:sz w:val="22"/>
          <w:vertAlign w:val="superscript"/>
        </w:rPr>
        <w:footnoteReference w:id="10"/>
      </w:r>
      <w:r w:rsidRPr="009C362B">
        <w:rPr>
          <w:rFonts w:eastAsia="Franklin Gothic Book"/>
          <w:sz w:val="22"/>
        </w:rPr>
        <w:t xml:space="preserve">. </w:t>
      </w:r>
    </w:p>
    <w:p w14:paraId="25D6EC4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evaluation teams will continue discussions in 2015 with the intent of using future evaluations to pilot the algorithms. </w:t>
      </w:r>
    </w:p>
    <w:p w14:paraId="4133DD47" w14:textId="77777777" w:rsidR="009F45F0" w:rsidRPr="009C362B" w:rsidRDefault="009F45F0" w:rsidP="009F45F0">
      <w:pPr>
        <w:keepNext/>
        <w:widowControl/>
        <w:numPr>
          <w:ilvl w:val="2"/>
          <w:numId w:val="1"/>
        </w:numPr>
        <w:spacing w:before="120" w:after="160"/>
        <w:jc w:val="left"/>
        <w:outlineLvl w:val="2"/>
        <w:rPr>
          <w:rFonts w:eastAsia="Franklin Gothic Book" w:cs="Arial"/>
          <w:b/>
          <w:bCs/>
          <w:sz w:val="24"/>
          <w:szCs w:val="24"/>
          <w:lang w:eastAsia="x-none"/>
        </w:rPr>
      </w:pPr>
      <w:bookmarkStart w:id="402" w:name="_Toc437261832"/>
      <w:bookmarkStart w:id="403" w:name="_Toc438191071"/>
      <w:r w:rsidRPr="009C362B">
        <w:rPr>
          <w:rFonts w:eastAsia="Franklin Gothic Book" w:cs="Arial"/>
          <w:b/>
          <w:bCs/>
          <w:sz w:val="24"/>
          <w:szCs w:val="24"/>
          <w:lang w:eastAsia="x-none"/>
        </w:rPr>
        <w:t>Spillover</w:t>
      </w:r>
      <w:bookmarkEnd w:id="402"/>
      <w:bookmarkEnd w:id="403"/>
    </w:p>
    <w:p w14:paraId="7DBCB31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Spillover has not yet been discussed by the evaluation teams in terms of reaching consensus on spillover methods. Future methods will be informed by current spillover study results. </w:t>
      </w:r>
    </w:p>
    <w:p w14:paraId="4B2EC847" w14:textId="77777777" w:rsidR="009F45F0" w:rsidRPr="009C362B" w:rsidRDefault="009F45F0" w:rsidP="009F45F0">
      <w:pPr>
        <w:keepNext/>
        <w:widowControl/>
        <w:numPr>
          <w:ilvl w:val="0"/>
          <w:numId w:val="1"/>
        </w:numPr>
        <w:spacing w:before="120" w:after="160"/>
        <w:jc w:val="left"/>
        <w:outlineLvl w:val="0"/>
        <w:rPr>
          <w:rFonts w:eastAsia="Franklin Gothic Book" w:cs="Arial"/>
          <w:b/>
          <w:bCs/>
          <w:kern w:val="36"/>
          <w:sz w:val="24"/>
          <w:szCs w:val="24"/>
          <w:lang w:eastAsia="x-none"/>
        </w:rPr>
      </w:pPr>
      <w:bookmarkStart w:id="404" w:name="_Toc437261833"/>
      <w:bookmarkStart w:id="405" w:name="_Toc438191072"/>
      <w:r w:rsidRPr="009C362B">
        <w:rPr>
          <w:rFonts w:eastAsia="Franklin Gothic Book" w:cs="Arial"/>
          <w:b/>
          <w:bCs/>
          <w:kern w:val="36"/>
          <w:sz w:val="24"/>
          <w:szCs w:val="24"/>
          <w:lang w:eastAsia="x-none"/>
        </w:rPr>
        <w:lastRenderedPageBreak/>
        <w:t>Attribution within the Residential and Low Income Sectors</w:t>
      </w:r>
      <w:bookmarkEnd w:id="404"/>
      <w:bookmarkEnd w:id="405"/>
    </w:p>
    <w:p w14:paraId="5CC626A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Over 30 programs across a number of types of Residential programs are expected to be offered in Illinois in EPY8/GPY5 (i.e., June 2015 – May 2016). </w:t>
      </w:r>
      <w:bookmarkStart w:id="406" w:name="_Toc401839534"/>
      <w:r w:rsidRPr="009C362B">
        <w:rPr>
          <w:rFonts w:eastAsia="Franklin Gothic Book"/>
          <w:sz w:val="22"/>
        </w:rPr>
        <w:t>The evaluation team has worked partially through the NTG method for Appliance Recycling programs and Residential Upstream Lighting programs. Future updates to this document will include a full NTG method for these programs as well as other programs.</w:t>
      </w:r>
    </w:p>
    <w:p w14:paraId="38C6C7B7" w14:textId="77777777" w:rsidR="009F45F0" w:rsidRPr="009C362B" w:rsidRDefault="009F45F0" w:rsidP="009F45F0">
      <w:pPr>
        <w:keepNext/>
        <w:widowControl/>
        <w:numPr>
          <w:ilvl w:val="1"/>
          <w:numId w:val="1"/>
        </w:numPr>
        <w:spacing w:before="200" w:after="160"/>
        <w:jc w:val="left"/>
        <w:outlineLvl w:val="1"/>
        <w:rPr>
          <w:rFonts w:eastAsia="Franklin Gothic Book" w:cs="Arial"/>
          <w:b/>
          <w:bCs/>
          <w:sz w:val="24"/>
          <w:szCs w:val="20"/>
          <w:lang w:eastAsia="x-none"/>
        </w:rPr>
      </w:pPr>
      <w:bookmarkStart w:id="407" w:name="_Toc437261834"/>
      <w:bookmarkStart w:id="408" w:name="_Toc438191073"/>
      <w:r w:rsidRPr="009C362B">
        <w:rPr>
          <w:rFonts w:eastAsia="Franklin Gothic Book" w:cs="Arial"/>
          <w:b/>
          <w:bCs/>
          <w:sz w:val="24"/>
          <w:szCs w:val="20"/>
          <w:lang w:eastAsia="x-none"/>
        </w:rPr>
        <w:t>Appliance Recycling Programs</w:t>
      </w:r>
      <w:bookmarkEnd w:id="407"/>
      <w:bookmarkEnd w:id="408"/>
    </w:p>
    <w:p w14:paraId="3CE87D8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Appliance recycling programs (ARPs) typically offer some mix of incentives and free pickups for the removal of old-but-operable refrigerators, freezers, or room air conditioners. These programs encourage consumers to undertake the following:</w:t>
      </w:r>
    </w:p>
    <w:p w14:paraId="3E24EA9A"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Discontinue use of secondary or inefficient appliances;</w:t>
      </w:r>
    </w:p>
    <w:p w14:paraId="2948FD20"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 xml:space="preserve">Relinquish appliances previously used as primary units upon their replacement (rather than keeping the old appliance as a secondary unit); and </w:t>
      </w:r>
    </w:p>
    <w:p w14:paraId="70236CAB" w14:textId="77777777" w:rsidR="009F45F0" w:rsidRPr="009C362B" w:rsidRDefault="009F45F0" w:rsidP="009F45F0">
      <w:pPr>
        <w:widowControl/>
        <w:numPr>
          <w:ilvl w:val="0"/>
          <w:numId w:val="7"/>
        </w:numPr>
        <w:spacing w:before="200" w:after="160"/>
        <w:ind w:left="360" w:hanging="180"/>
        <w:jc w:val="left"/>
        <w:rPr>
          <w:sz w:val="22"/>
          <w:szCs w:val="24"/>
        </w:rPr>
      </w:pPr>
      <w:r w:rsidRPr="009C362B">
        <w:rPr>
          <w:sz w:val="22"/>
          <w:szCs w:val="24"/>
        </w:rPr>
        <w:t>Prevent the continued use of old appliances in other households through direct transfers (i.e., giving it away or selling it) or indirect transfers (resale in the used appliance market).</w:t>
      </w:r>
    </w:p>
    <w:p w14:paraId="1A0CD73B"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As the program theory and logic for appliance recycling differ significantly from standard “downstream” incentive programs (which typically offer rebates for purchases of efficient products), the free ridership estimation approach also significantly differs. </w:t>
      </w:r>
    </w:p>
    <w:p w14:paraId="79A9B6B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There are basic and enhanced methods described next.</w:t>
      </w:r>
    </w:p>
    <w:p w14:paraId="7ED29058" w14:textId="77777777" w:rsidR="009F45F0" w:rsidRPr="009C362B" w:rsidRDefault="009F45F0" w:rsidP="009F45F0">
      <w:pPr>
        <w:keepNext/>
        <w:widowControl/>
        <w:spacing w:before="120"/>
        <w:outlineLvl w:val="3"/>
        <w:rPr>
          <w:rFonts w:eastAsia="Franklin Gothic Book" w:cs="Arial"/>
          <w:b/>
          <w:bCs/>
          <w:i/>
          <w:sz w:val="24"/>
          <w:szCs w:val="24"/>
          <w:lang w:eastAsia="x-none"/>
        </w:rPr>
      </w:pPr>
      <w:r w:rsidRPr="009C362B">
        <w:rPr>
          <w:rFonts w:eastAsia="Franklin Gothic Book" w:cs="Arial"/>
          <w:b/>
          <w:i/>
          <w:sz w:val="24"/>
          <w:szCs w:val="24"/>
          <w:lang w:eastAsia="x-none"/>
        </w:rPr>
        <w:t xml:space="preserve">Basic </w:t>
      </w:r>
      <w:r w:rsidRPr="009C362B">
        <w:rPr>
          <w:rFonts w:eastAsia="Franklin Gothic Book" w:cs="Arial"/>
          <w:b/>
          <w:bCs/>
          <w:i/>
          <w:sz w:val="24"/>
          <w:szCs w:val="24"/>
          <w:lang w:eastAsia="x-none"/>
        </w:rPr>
        <w:t>Method</w:t>
      </w:r>
    </w:p>
    <w:p w14:paraId="6EF87D79" w14:textId="77777777" w:rsidR="009F45F0" w:rsidRPr="009C362B" w:rsidRDefault="009F45F0" w:rsidP="009F45F0">
      <w:pPr>
        <w:widowControl/>
        <w:numPr>
          <w:ilvl w:val="2"/>
          <w:numId w:val="2"/>
        </w:numPr>
        <w:spacing w:before="120" w:after="160"/>
        <w:ind w:left="360"/>
        <w:jc w:val="left"/>
        <w:outlineLvl w:val="2"/>
        <w:rPr>
          <w:rFonts w:eastAsia="Franklin Gothic Book" w:cs="Arial"/>
          <w:b/>
          <w:bCs/>
          <w:sz w:val="24"/>
          <w:szCs w:val="24"/>
          <w:lang w:eastAsia="x-none"/>
        </w:rPr>
      </w:pPr>
      <w:bookmarkStart w:id="409" w:name="_Toc401239632"/>
      <w:bookmarkStart w:id="410" w:name="_Toc437261835"/>
      <w:bookmarkStart w:id="411" w:name="_Toc438191074"/>
      <w:r w:rsidRPr="009C362B">
        <w:rPr>
          <w:rFonts w:eastAsia="Franklin Gothic Book" w:cs="Arial"/>
          <w:b/>
          <w:bCs/>
          <w:sz w:val="24"/>
          <w:szCs w:val="24"/>
          <w:lang w:eastAsia="x-none"/>
        </w:rPr>
        <w:t>Free Ridership</w:t>
      </w:r>
      <w:bookmarkEnd w:id="409"/>
      <w:bookmarkEnd w:id="410"/>
      <w:bookmarkEnd w:id="411"/>
    </w:p>
    <w:p w14:paraId="4DF26E6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Free ridership is based on participants’ anticipated plans had the program not been available, thus classifying a free rider as a participant who would have removed the unit from service regardless of the program. </w:t>
      </w:r>
    </w:p>
    <w:p w14:paraId="6881A74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Estimating net savings for ARPs should adopt a multistep process to segment participants into different groups, each with specific attributable savings. </w:t>
      </w:r>
    </w:p>
    <w:p w14:paraId="50FC1EE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In general, independent of program intervention, participating appliances would have been subject to one of the following options:</w:t>
      </w:r>
    </w:p>
    <w:p w14:paraId="733B176D"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kept by the participating household.</w:t>
      </w:r>
    </w:p>
    <w:p w14:paraId="3CFEACAE"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discarded in a way that transfers the unit to another customer for continued use.</w:t>
      </w:r>
    </w:p>
    <w:p w14:paraId="11336143" w14:textId="77777777" w:rsidR="009F45F0" w:rsidRPr="009C362B" w:rsidRDefault="009F45F0" w:rsidP="009F45F0">
      <w:pPr>
        <w:widowControl/>
        <w:numPr>
          <w:ilvl w:val="0"/>
          <w:numId w:val="8"/>
        </w:numPr>
        <w:spacing w:after="160"/>
        <w:ind w:left="540"/>
        <w:jc w:val="left"/>
        <w:rPr>
          <w:rFonts w:eastAsia="Franklin Gothic Book"/>
          <w:sz w:val="22"/>
        </w:rPr>
      </w:pPr>
      <w:r w:rsidRPr="009C362B">
        <w:rPr>
          <w:rFonts w:eastAsia="Franklin Gothic Book"/>
          <w:sz w:val="22"/>
        </w:rPr>
        <w:t>The appliance would have been discarded in a way that would have permanently removed the unit from service.</w:t>
      </w:r>
    </w:p>
    <w:p w14:paraId="7B26F6D7" w14:textId="77777777" w:rsidR="009F45F0" w:rsidRPr="009C362B" w:rsidRDefault="009F45F0" w:rsidP="009F45F0">
      <w:pPr>
        <w:widowControl/>
        <w:spacing w:after="160"/>
        <w:jc w:val="left"/>
        <w:rPr>
          <w:rFonts w:eastAsia="Franklin Gothic Book"/>
          <w:color w:val="333333"/>
          <w:sz w:val="22"/>
          <w:shd w:val="clear" w:color="auto" w:fill="FAFAFA"/>
        </w:rPr>
      </w:pPr>
      <w:r w:rsidRPr="009C362B">
        <w:rPr>
          <w:rFonts w:eastAsia="Franklin Gothic Book"/>
          <w:sz w:val="22"/>
        </w:rPr>
        <w:t>Only Option 3 constitutes free ridership (the proportion of units that would have been taken off the grid absent the program). Options 1 and 2 both indicate non-free riders. However, these respondents need to be further classified to account for potential induced replacement and secondary market impacts, both described below.</w:t>
      </w:r>
    </w:p>
    <w:p w14:paraId="20D89C74"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Cs w:val="20"/>
          <w:lang w:eastAsia="x-none"/>
        </w:rPr>
      </w:pPr>
      <w:r w:rsidRPr="009C362B">
        <w:rPr>
          <w:rFonts w:eastAsia="Franklin Gothic Book" w:cs="Arial"/>
          <w:b/>
          <w:bCs/>
          <w:szCs w:val="20"/>
          <w:lang w:eastAsia="x-none"/>
        </w:rPr>
        <w:lastRenderedPageBreak/>
        <w:t>Data Collection</w:t>
      </w:r>
    </w:p>
    <w:p w14:paraId="30F6DBD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 participant survey—drawn from a random sample of participants—will serve as the primary source of data collected for estimating NTG for the ARP. To determine the percentage of participants in each of the three options, evaluators will begin by asking surveyed participants about the likely fate of their recycled appliance had it not been decommissioned through the program. Responses provided by participants generally can be categorized as follows:</w:t>
      </w:r>
    </w:p>
    <w:p w14:paraId="095CAECF"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Kept the appliance.</w:t>
      </w:r>
    </w:p>
    <w:p w14:paraId="43AAFDA9"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Sold the appliance to a private party (either an acquaintance or through a posted advertisement).</w:t>
      </w:r>
    </w:p>
    <w:p w14:paraId="11D21AA8"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Sold or gave the appliance to a used-appliance dealer.</w:t>
      </w:r>
    </w:p>
    <w:p w14:paraId="445565D7"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Gave the appliance to a private party, such as a friend or neighbor.</w:t>
      </w:r>
    </w:p>
    <w:p w14:paraId="1B30B589"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Gave the appliance to a charity organization, such as Goodwill Industries or a church.</w:t>
      </w:r>
    </w:p>
    <w:p w14:paraId="36B106BC"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Had the appliance removed by the dealer from whom the new or replacement appliance was obtained.</w:t>
      </w:r>
    </w:p>
    <w:p w14:paraId="405C3C74"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Hauled the appliance to a landfill or recycling center.</w:t>
      </w:r>
    </w:p>
    <w:p w14:paraId="2D880608" w14:textId="77777777" w:rsidR="009F45F0" w:rsidRPr="009C362B" w:rsidRDefault="009F45F0" w:rsidP="009F45F0">
      <w:pPr>
        <w:widowControl/>
        <w:numPr>
          <w:ilvl w:val="0"/>
          <w:numId w:val="9"/>
        </w:numPr>
        <w:spacing w:after="160"/>
        <w:ind w:left="540"/>
        <w:jc w:val="left"/>
        <w:rPr>
          <w:rFonts w:eastAsia="Franklin Gothic Book"/>
          <w:sz w:val="22"/>
        </w:rPr>
      </w:pPr>
      <w:r w:rsidRPr="009C362B">
        <w:rPr>
          <w:rFonts w:eastAsia="Franklin Gothic Book"/>
          <w:sz w:val="22"/>
        </w:rPr>
        <w:t>Hired someone else to haul the appliance away for junking, dumping, or recycling.</w:t>
      </w:r>
    </w:p>
    <w:p w14:paraId="565C3D3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Additional, follow-up questions will be included to validate the viability of all responses.</w:t>
      </w:r>
    </w:p>
    <w:p w14:paraId="2BA55ECB"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Next evaluators will assess whether each participant’s final response indicates free ridership.</w:t>
      </w:r>
    </w:p>
    <w:p w14:paraId="0232563C" w14:textId="77777777" w:rsidR="009F45F0" w:rsidRPr="009C362B" w:rsidRDefault="009F45F0" w:rsidP="009F45F0">
      <w:pPr>
        <w:widowControl/>
        <w:numPr>
          <w:ilvl w:val="0"/>
          <w:numId w:val="10"/>
        </w:numPr>
        <w:spacing w:after="160"/>
        <w:ind w:left="360" w:hanging="180"/>
        <w:jc w:val="left"/>
        <w:rPr>
          <w:rFonts w:eastAsia="Franklin Gothic Book"/>
          <w:sz w:val="22"/>
        </w:rPr>
      </w:pPr>
      <w:r w:rsidRPr="009C362B">
        <w:rPr>
          <w:rFonts w:eastAsia="Franklin Gothic Book"/>
          <w:sz w:val="22"/>
        </w:rPr>
        <w:t>Some final responses clearly indicate free ridership, such as: “I would have taken it to the landfill or recycling center myself.”</w:t>
      </w:r>
    </w:p>
    <w:p w14:paraId="6022F005" w14:textId="77777777" w:rsidR="009F45F0" w:rsidRPr="009C362B" w:rsidRDefault="009F45F0" w:rsidP="009F45F0">
      <w:pPr>
        <w:widowControl/>
        <w:numPr>
          <w:ilvl w:val="0"/>
          <w:numId w:val="10"/>
        </w:numPr>
        <w:spacing w:after="160"/>
        <w:ind w:left="360" w:hanging="180"/>
        <w:jc w:val="left"/>
        <w:rPr>
          <w:rFonts w:eastAsia="Franklin Gothic Book"/>
          <w:sz w:val="22"/>
        </w:rPr>
      </w:pPr>
      <w:r w:rsidRPr="009C362B">
        <w:rPr>
          <w:rFonts w:eastAsia="Franklin Gothic Book"/>
          <w:sz w:val="22"/>
        </w:rPr>
        <w:t>Other responses clearly indicate no free ridership, as when the appliance would have remained active within the participating home (“I would have kept it and continued to use it”) or used elsewhere within the utility’s service territory (“I would have given it to a family member, neighbor, or friend to use”).</w:t>
      </w:r>
    </w:p>
    <w:p w14:paraId="375EE0D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If the respondent planned to have the unit picked up by the retailer and the retailer would likely resell the unit in the secondary market, they are not a free rider. Absent retailer survey primary research described in the Enhanced Options below, the evaluators will utilize data from the most recent research conducted of the ComEd program to determine the proportion of free riders unless another metric is mutually agreed upon by the evaluators</w:t>
      </w:r>
      <w:r w:rsidRPr="009C362B">
        <w:rPr>
          <w:rFonts w:eastAsia="Franklin Gothic Book"/>
          <w:sz w:val="22"/>
          <w:vertAlign w:val="superscript"/>
        </w:rPr>
        <w:footnoteReference w:id="11"/>
      </w:r>
      <w:r w:rsidRPr="009C362B">
        <w:rPr>
          <w:rFonts w:eastAsia="Franklin Gothic Book"/>
          <w:sz w:val="22"/>
        </w:rPr>
        <w:t>.</w:t>
      </w:r>
    </w:p>
    <w:p w14:paraId="4DE352BE" w14:textId="77777777" w:rsidR="009F45F0" w:rsidRPr="009C362B" w:rsidRDefault="009F45F0" w:rsidP="009F45F0">
      <w:pPr>
        <w:keepNext/>
        <w:widowControl/>
        <w:numPr>
          <w:ilvl w:val="2"/>
          <w:numId w:val="2"/>
        </w:numPr>
        <w:spacing w:before="120" w:after="160"/>
        <w:ind w:left="360"/>
        <w:jc w:val="left"/>
        <w:outlineLvl w:val="2"/>
        <w:rPr>
          <w:rFonts w:eastAsia="Franklin Gothic Book" w:cs="Arial"/>
          <w:b/>
          <w:bCs/>
          <w:sz w:val="24"/>
          <w:szCs w:val="24"/>
          <w:lang w:eastAsia="x-none"/>
        </w:rPr>
      </w:pPr>
      <w:bookmarkStart w:id="412" w:name="_Toc437261836"/>
      <w:bookmarkStart w:id="413" w:name="_Toc438191075"/>
      <w:r w:rsidRPr="009C362B">
        <w:rPr>
          <w:rFonts w:eastAsia="Franklin Gothic Book" w:cs="Arial"/>
          <w:b/>
          <w:bCs/>
          <w:sz w:val="24"/>
          <w:szCs w:val="24"/>
          <w:lang w:eastAsia="x-none"/>
        </w:rPr>
        <w:lastRenderedPageBreak/>
        <w:t>Secondary Market Impacts</w:t>
      </w:r>
      <w:bookmarkEnd w:id="412"/>
      <w:bookmarkEnd w:id="413"/>
    </w:p>
    <w:p w14:paraId="24EA324B" w14:textId="77777777" w:rsidR="009F45F0" w:rsidRPr="009C362B" w:rsidRDefault="009F45F0" w:rsidP="009F45F0">
      <w:pPr>
        <w:keepNext/>
        <w:widowControl/>
        <w:spacing w:after="160"/>
        <w:jc w:val="left"/>
        <w:rPr>
          <w:rFonts w:eastAsia="Franklin Gothic Book"/>
          <w:sz w:val="22"/>
        </w:rPr>
      </w:pPr>
      <w:r w:rsidRPr="009C362B">
        <w:rPr>
          <w:rFonts w:eastAsia="Franklin Gothic Book"/>
          <w:sz w:val="22"/>
        </w:rPr>
        <w:t>In the event that the unit would have been transferred to another household (Option 2 above), the question then becomes what purchasing decisions are made by the would-be acquirers of participating units now that these units are unavailable. These would-be acquirers could:</w:t>
      </w:r>
    </w:p>
    <w:p w14:paraId="479836F8" w14:textId="77777777" w:rsidR="009F45F0" w:rsidRPr="009C362B" w:rsidRDefault="009F45F0" w:rsidP="009F45F0">
      <w:pPr>
        <w:keepNext/>
        <w:widowControl/>
        <w:numPr>
          <w:ilvl w:val="0"/>
          <w:numId w:val="11"/>
        </w:numPr>
        <w:spacing w:after="160"/>
        <w:ind w:left="540"/>
        <w:jc w:val="left"/>
        <w:rPr>
          <w:rFonts w:eastAsia="Franklin Gothic Book"/>
          <w:sz w:val="22"/>
        </w:rPr>
      </w:pPr>
      <w:r w:rsidRPr="009C362B">
        <w:rPr>
          <w:rFonts w:eastAsia="Franklin Gothic Book"/>
          <w:sz w:val="22"/>
        </w:rPr>
        <w:t>Not purchase/acquire another unit.</w:t>
      </w:r>
    </w:p>
    <w:p w14:paraId="3581AC20" w14:textId="77777777" w:rsidR="009F45F0" w:rsidRPr="009C362B" w:rsidRDefault="009F45F0" w:rsidP="009F45F0">
      <w:pPr>
        <w:widowControl/>
        <w:numPr>
          <w:ilvl w:val="0"/>
          <w:numId w:val="11"/>
        </w:numPr>
        <w:spacing w:after="160"/>
        <w:ind w:left="540"/>
        <w:jc w:val="left"/>
        <w:rPr>
          <w:rFonts w:eastAsia="Franklin Gothic Book"/>
          <w:sz w:val="22"/>
        </w:rPr>
      </w:pPr>
      <w:r w:rsidRPr="009C362B">
        <w:rPr>
          <w:rFonts w:eastAsia="Franklin Gothic Book"/>
          <w:sz w:val="22"/>
        </w:rPr>
        <w:t>Purchase/acquire another used unit.</w:t>
      </w:r>
    </w:p>
    <w:p w14:paraId="4AB50DE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Adjustments to savings based on these factors are referred to as the program’s secondary market impacts. </w:t>
      </w:r>
    </w:p>
    <w:p w14:paraId="1EE365A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If it is determined that the participant would have directly or indirectly (through a market actor) transferred the unit to another customer on the grid, the next question addresses what that potential acquirer did because that unit was unavailable. There are three possibilities:</w:t>
      </w:r>
    </w:p>
    <w:p w14:paraId="14BFB8D9"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A. None of the would-be acquirers would find another unit.</w:t>
      </w:r>
      <w:r w:rsidRPr="009C362B">
        <w:rPr>
          <w:rFonts w:eastAsia="Franklin Gothic Book"/>
          <w:sz w:val="22"/>
        </w:rPr>
        <w:t xml:space="preserve"> That is, program participation would result in a one-for-one reduction in the total number of appliances operating on the grid. In this case, the total energy consumption of avoided transfers (participating appliances that otherwise would have been used by another customer) should be credited as savings to the program. This position is consistent with the theory that participating appliances are essentially convenience goods for would-be acquirers. (That is, the potential acquirer would have accepted the appliance had it been readily available, but because the appliance was not a necessity, the potential acquirer would not seek out an alternate unit.)</w:t>
      </w:r>
    </w:p>
    <w:p w14:paraId="1A231601"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B. All of the would-be acquirers would find another unit.</w:t>
      </w:r>
      <w:r w:rsidRPr="009C362B">
        <w:rPr>
          <w:rFonts w:eastAsia="Franklin Gothic Book"/>
          <w:sz w:val="22"/>
        </w:rPr>
        <w:t xml:space="preserve"> Thus, program participation has no effect on the total number of appliances operating on the grid. This position is consistent with the notion that participating appliances are necessities and that customers will always seek alternative units when participating appliances are unavailable.</w:t>
      </w:r>
    </w:p>
    <w:p w14:paraId="4F0FEE8B" w14:textId="77777777" w:rsidR="009F45F0" w:rsidRPr="009C362B" w:rsidRDefault="009F45F0" w:rsidP="009F45F0">
      <w:pPr>
        <w:widowControl/>
        <w:spacing w:after="160"/>
        <w:ind w:left="450" w:hanging="270"/>
        <w:jc w:val="left"/>
        <w:rPr>
          <w:rFonts w:eastAsia="Franklin Gothic Book"/>
          <w:sz w:val="22"/>
        </w:rPr>
      </w:pPr>
      <w:r w:rsidRPr="009C362B">
        <w:rPr>
          <w:rFonts w:eastAsia="Franklin Gothic Book"/>
          <w:b/>
          <w:sz w:val="22"/>
        </w:rPr>
        <w:t xml:space="preserve">C. Some of the would-be acquirers would find another unit, while others would not. </w:t>
      </w:r>
      <w:r w:rsidRPr="009C362B">
        <w:rPr>
          <w:rFonts w:eastAsia="Franklin Gothic Book"/>
          <w:sz w:val="22"/>
        </w:rPr>
        <w:t>This possibility reflects the awareness that some acquirers were in the market for an appliance and would acquire another unit, while others were not (and would only have taken the unit opportunistically).</w:t>
      </w:r>
    </w:p>
    <w:p w14:paraId="313F1D9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evaluators will assume Possibility C unless primary research within a utility’s service territory to assess the secondary appliance market is undertaken as described in the Enhanced Options below. Specifically, evaluators will assume that half (0.5, the midpoint of Possibilities A and B) of the would-be acquirers of avoided transfers found an alternate unit.</w:t>
      </w:r>
    </w:p>
    <w:p w14:paraId="5D5F148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Once the proportion of would-be acquirers who are assumed to find alternate units is determined, the next question is whether the alternate unit was likely to be another used appliance (similar to those recycled through the program) or, with fewer used appliances presumably available in the market due to program activity, would the customer acquire a new standard-efficiency unit instead.</w:t>
      </w:r>
    </w:p>
    <w:p w14:paraId="23A4583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Again, unless primary research is undertaken as described in the Enhanced Options below for an assessment of the appliance market, evaluators will apply a midpoint approach assuming half (0.5) of the would-be acquirers of program units would find a similar, used appliance and half (0.5) would acquire a new, standard-efficiency unit.</w:t>
      </w:r>
    </w:p>
    <w:p w14:paraId="72D9EF07" w14:textId="77777777" w:rsidR="009F45F0" w:rsidRPr="009C362B" w:rsidRDefault="009F45F0" w:rsidP="009F45F0">
      <w:pPr>
        <w:keepNext/>
        <w:widowControl/>
        <w:numPr>
          <w:ilvl w:val="2"/>
          <w:numId w:val="2"/>
        </w:numPr>
        <w:spacing w:before="120" w:after="160"/>
        <w:ind w:left="360"/>
        <w:jc w:val="left"/>
        <w:outlineLvl w:val="2"/>
        <w:rPr>
          <w:rFonts w:eastAsia="Franklin Gothic Book" w:cs="Arial"/>
          <w:b/>
          <w:bCs/>
          <w:sz w:val="24"/>
          <w:szCs w:val="24"/>
          <w:lang w:eastAsia="x-none"/>
        </w:rPr>
      </w:pPr>
      <w:bookmarkStart w:id="414" w:name="_Toc437261837"/>
      <w:bookmarkStart w:id="415" w:name="_Toc438191076"/>
      <w:r w:rsidRPr="009C362B">
        <w:rPr>
          <w:rFonts w:eastAsia="Franklin Gothic Book" w:cs="Arial"/>
          <w:b/>
          <w:bCs/>
          <w:sz w:val="24"/>
          <w:szCs w:val="24"/>
          <w:lang w:eastAsia="x-none"/>
        </w:rPr>
        <w:lastRenderedPageBreak/>
        <w:t>Induced Replacement</w:t>
      </w:r>
      <w:bookmarkEnd w:id="414"/>
      <w:bookmarkEnd w:id="415"/>
    </w:p>
    <w:p w14:paraId="2DB3DBB3" w14:textId="77777777" w:rsidR="009F45F0" w:rsidRPr="009C362B" w:rsidRDefault="009F45F0" w:rsidP="009F45F0">
      <w:pPr>
        <w:keepNext/>
        <w:widowControl/>
        <w:spacing w:after="160"/>
        <w:jc w:val="left"/>
        <w:rPr>
          <w:rFonts w:eastAsia="Franklin Gothic Book"/>
          <w:sz w:val="22"/>
        </w:rPr>
      </w:pPr>
      <w:r w:rsidRPr="009C362B">
        <w:rPr>
          <w:rFonts w:eastAsia="Franklin Gothic Book"/>
          <w:sz w:val="22"/>
        </w:rPr>
        <w:t xml:space="preserve">If, however, the unit would have been kept by the participating household, the next question is whether the appliance was replaced and, if so, whether the household would have replaced the appliance regardless of the program. </w:t>
      </w:r>
    </w:p>
    <w:p w14:paraId="68003B1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purchase of a refrigerator in conjunction with program participation does not necessarily indicate induced replacement. (The refrigerator market is continuously replacing older refrigerators with new units, independent of any programmatic effects.) However, if a customer would have not purchased the replacement unit (put another appliance on the grid) in the absence of the program, the net program savings should reflect this fact. This is, in effect, akin to negative spillover and will be used to adjust net program savings downward.</w:t>
      </w:r>
    </w:p>
    <w:p w14:paraId="6BE8C69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Estimating the proportion of households induced to replace their appliance should be done through participant surveys. As an example, participants could be asked, “Would you have purchased your replacement refrigerator if the recycling program had not been offered?”</w:t>
      </w:r>
    </w:p>
    <w:p w14:paraId="5C18514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Because an incentive ranging from $35 to $50 is unlikely to be sufficient motivation for purchasing an otherwise-unplanned replacement unit (which can cost $500 to $2,000), it is critical that evaluators include a follow-up question. That question should confirm the participants’ assertions that the program alone caused them to replace their refrigerator. For example, participants could be asked, “Let me be sure I understand correctly. Are you saying that you chose to purchase a new appliance because of the appliance recycling program, or are you saying that you would have purchased the new appliance regardless of the program?”</w:t>
      </w:r>
    </w:p>
    <w:p w14:paraId="2BF2B4F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When assessing participant survey responses to calculate induced replacement, evaluators will consider the appliance recycled through the program, as well as the participant’s stated intentions in the absence of the program. For example, if customers indicate they would have discarded their primary refrigerator independent of the program, it is not possible that the replacement was induced (because it is extremely unlikely the participant would live without a primary refrigerator). Induced replacement is a viable response for all other usage types and stated intention combinations.</w:t>
      </w:r>
    </w:p>
    <w:p w14:paraId="1915F72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one might expect, previous evaluations have shown the number of induced replacements to be considerably smaller than the number of naturally occurring replacements unrelated to the program. Once the number of induced replacements is determined, this information is combined with the energy consumption replacement appliance to determine the total energy consumption induced by the program (on a per-unit basis).</w:t>
      </w:r>
    </w:p>
    <w:p w14:paraId="7AB6365A" w14:textId="77777777" w:rsidR="009F45F0" w:rsidRPr="009C362B" w:rsidRDefault="009F45F0" w:rsidP="009F45F0">
      <w:pPr>
        <w:widowControl/>
        <w:spacing w:after="160" w:line="259" w:lineRule="auto"/>
        <w:jc w:val="left"/>
        <w:rPr>
          <w:rFonts w:eastAsia="Franklin Gothic Book" w:cs="Arial"/>
          <w:b/>
          <w:bCs/>
          <w:sz w:val="24"/>
          <w:szCs w:val="24"/>
          <w:lang w:eastAsia="x-none"/>
        </w:rPr>
      </w:pPr>
      <w:r w:rsidRPr="009C362B">
        <w:rPr>
          <w:rFonts w:eastAsia="Franklin Gothic Book"/>
          <w:sz w:val="22"/>
        </w:rPr>
        <w:br w:type="page"/>
      </w:r>
    </w:p>
    <w:p w14:paraId="3B500F96" w14:textId="77777777" w:rsidR="009F45F0" w:rsidRPr="009C362B" w:rsidRDefault="009F45F0" w:rsidP="009F45F0">
      <w:pPr>
        <w:widowControl/>
        <w:numPr>
          <w:ilvl w:val="2"/>
          <w:numId w:val="2"/>
        </w:numPr>
        <w:spacing w:before="120" w:after="160"/>
        <w:ind w:left="360"/>
        <w:jc w:val="left"/>
        <w:outlineLvl w:val="2"/>
        <w:rPr>
          <w:rFonts w:eastAsia="Franklin Gothic Book" w:cs="Arial"/>
          <w:b/>
          <w:bCs/>
          <w:sz w:val="24"/>
          <w:szCs w:val="24"/>
          <w:lang w:eastAsia="x-none"/>
        </w:rPr>
      </w:pPr>
      <w:bookmarkStart w:id="416" w:name="_Toc437261838"/>
      <w:bookmarkStart w:id="417" w:name="_Toc438191077"/>
      <w:r w:rsidRPr="009C362B">
        <w:rPr>
          <w:rFonts w:eastAsia="Franklin Gothic Book" w:cs="Arial"/>
          <w:b/>
          <w:bCs/>
          <w:sz w:val="24"/>
          <w:szCs w:val="24"/>
          <w:lang w:eastAsia="x-none"/>
        </w:rPr>
        <w:lastRenderedPageBreak/>
        <w:t>Integrating Free Ridership, Secondary Market Impacts, and Induced Replacement</w:t>
      </w:r>
      <w:bookmarkEnd w:id="416"/>
      <w:bookmarkEnd w:id="417"/>
    </w:p>
    <w:p w14:paraId="0972AEC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flow chart shown in </w:t>
      </w:r>
      <w:r w:rsidRPr="00C76107">
        <w:rPr>
          <w:rFonts w:eastAsia="Franklin Gothic Book"/>
          <w:sz w:val="22"/>
        </w:rPr>
        <w:t>Figure</w:t>
      </w:r>
      <w:r>
        <w:rPr>
          <w:rFonts w:eastAsia="Franklin Gothic Book"/>
          <w:sz w:val="22"/>
        </w:rPr>
        <w:t xml:space="preserve"> 1</w:t>
      </w:r>
      <w:r w:rsidRPr="009C362B">
        <w:rPr>
          <w:rFonts w:eastAsia="Franklin Gothic Book"/>
          <w:sz w:val="22"/>
        </w:rPr>
        <w:t xml:space="preserve"> illustrates how net savings will be derived for an ARP. As shown, below, expected savings fall into four different scenarios.</w:t>
      </w:r>
    </w:p>
    <w:p w14:paraId="0FA703F9" w14:textId="77777777" w:rsidR="009F45F0" w:rsidRPr="009C362B" w:rsidRDefault="009F45F0" w:rsidP="009F45F0">
      <w:pPr>
        <w:keepNext/>
        <w:keepLines/>
        <w:widowControl/>
        <w:spacing w:after="0"/>
        <w:jc w:val="center"/>
        <w:rPr>
          <w:rFonts w:eastAsia="Franklin Gothic Book"/>
          <w:b/>
          <w:iCs/>
          <w:sz w:val="22"/>
        </w:rPr>
      </w:pPr>
      <w:bookmarkStart w:id="418" w:name="_Ref409364609"/>
      <w:bookmarkStart w:id="419" w:name="_Toc411599507"/>
      <w:r w:rsidRPr="009C362B">
        <w:rPr>
          <w:rFonts w:eastAsia="Franklin Gothic Book"/>
          <w:b/>
          <w:iCs/>
          <w:sz w:val="22"/>
        </w:rPr>
        <w:t>Figure</w:t>
      </w:r>
      <w:bookmarkEnd w:id="418"/>
      <w:r>
        <w:rPr>
          <w:rFonts w:eastAsia="Franklin Gothic Book"/>
          <w:b/>
          <w:iCs/>
          <w:sz w:val="22"/>
        </w:rPr>
        <w:t xml:space="preserve"> 1</w:t>
      </w:r>
      <w:r w:rsidRPr="009C362B">
        <w:rPr>
          <w:rFonts w:eastAsia="Franklin Gothic Book"/>
          <w:b/>
          <w:iCs/>
          <w:sz w:val="22"/>
        </w:rPr>
        <w:t>. Appliance Retirement Scenarios</w:t>
      </w:r>
      <w:bookmarkEnd w:id="419"/>
    </w:p>
    <w:p w14:paraId="1550237A" w14:textId="77777777" w:rsidR="009F45F0" w:rsidRPr="009C362B" w:rsidRDefault="009F45F0" w:rsidP="004F7320">
      <w:pPr>
        <w:widowControl/>
        <w:spacing w:after="0"/>
        <w:rPr>
          <w:rFonts w:eastAsia="Franklin Gothic Book"/>
          <w:b/>
          <w:iCs/>
          <w:sz w:val="22"/>
        </w:rPr>
      </w:pPr>
      <w:r w:rsidRPr="009C362B">
        <w:rPr>
          <w:rFonts w:eastAsia="Franklin Gothic Book"/>
          <w:b/>
          <w:iCs/>
          <w:noProof/>
          <w:sz w:val="22"/>
        </w:rPr>
        <w:drawing>
          <wp:inline distT="0" distB="0" distL="0" distR="0" wp14:anchorId="538DFF0C" wp14:editId="097E424F">
            <wp:extent cx="5943600" cy="4940808"/>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agram_012215.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4940808"/>
                    </a:xfrm>
                    <a:prstGeom prst="rect">
                      <a:avLst/>
                    </a:prstGeom>
                  </pic:spPr>
                </pic:pic>
              </a:graphicData>
            </a:graphic>
          </wp:inline>
        </w:drawing>
      </w:r>
    </w:p>
    <w:p w14:paraId="3E6DC5C1" w14:textId="77777777" w:rsidR="009F45F0" w:rsidRPr="009C362B" w:rsidRDefault="009F45F0" w:rsidP="009F45F0">
      <w:pPr>
        <w:widowControl/>
        <w:spacing w:after="160"/>
        <w:jc w:val="left"/>
        <w:rPr>
          <w:rFonts w:eastAsia="Franklin Gothic Book"/>
          <w:szCs w:val="20"/>
        </w:rPr>
      </w:pPr>
      <w:r w:rsidRPr="009C362B">
        <w:rPr>
          <w:rFonts w:eastAsia="Franklin Gothic Book"/>
          <w:i/>
          <w:szCs w:val="20"/>
        </w:rPr>
        <w:t xml:space="preserve">Source: </w:t>
      </w:r>
      <w:r w:rsidRPr="009C362B">
        <w:rPr>
          <w:rFonts w:eastAsia="Franklin Gothic Book"/>
          <w:szCs w:val="20"/>
        </w:rPr>
        <w:t xml:space="preserve">Adapted from the </w:t>
      </w:r>
      <w:r w:rsidRPr="009C362B">
        <w:rPr>
          <w:rFonts w:eastAsia="Franklin Gothic Book"/>
          <w:i/>
          <w:szCs w:val="20"/>
        </w:rPr>
        <w:t>Pennsylvania Statewide Evaluator Common Approach for Measuring Net Savings for Appliance Retirement Programs</w:t>
      </w:r>
      <w:r w:rsidRPr="009C362B">
        <w:rPr>
          <w:rFonts w:eastAsia="Franklin Gothic Book"/>
          <w:szCs w:val="20"/>
        </w:rPr>
        <w:t>, Guidance Memo-026, March 14, 2014.</w:t>
      </w:r>
    </w:p>
    <w:p w14:paraId="14484D11" w14:textId="77777777" w:rsidR="009F45F0" w:rsidRPr="009C362B" w:rsidRDefault="009F45F0" w:rsidP="009F45F0">
      <w:pPr>
        <w:widowControl/>
        <w:spacing w:after="0"/>
        <w:jc w:val="left"/>
        <w:rPr>
          <w:rFonts w:eastAsia="Franklin Gothic Book"/>
          <w:szCs w:val="20"/>
        </w:rPr>
      </w:pPr>
    </w:p>
    <w:p w14:paraId="34C13162" w14:textId="77777777" w:rsidR="009F45F0" w:rsidRPr="009C362B" w:rsidRDefault="009F45F0" w:rsidP="009F45F0">
      <w:pPr>
        <w:keepNext/>
        <w:widowControl/>
        <w:numPr>
          <w:ilvl w:val="3"/>
          <w:numId w:val="1"/>
        </w:numPr>
        <w:spacing w:before="120" w:after="160"/>
        <w:jc w:val="left"/>
        <w:outlineLvl w:val="3"/>
        <w:rPr>
          <w:rFonts w:eastAsia="Franklin Gothic Book" w:cs="Arial"/>
          <w:b/>
          <w:bCs/>
          <w:sz w:val="22"/>
          <w:szCs w:val="20"/>
          <w:lang w:eastAsia="x-none"/>
        </w:rPr>
      </w:pPr>
      <w:r w:rsidRPr="009C362B">
        <w:rPr>
          <w:rFonts w:eastAsia="Franklin Gothic Book" w:cs="Arial"/>
          <w:b/>
          <w:bCs/>
          <w:sz w:val="22"/>
          <w:szCs w:val="20"/>
          <w:lang w:eastAsia="x-none"/>
        </w:rPr>
        <w:t>Scoring Algorithm</w:t>
      </w:r>
    </w:p>
    <w:p w14:paraId="72905CE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Net savings will be assigned individually to each respondent, based on responses provided to the questions discussed above. Net savings will be averaged across all respondents to calculate program-level net savings. The following equation will be used:</w:t>
      </w:r>
    </w:p>
    <w:p w14:paraId="2748339A" w14:textId="77777777" w:rsidR="009F45F0" w:rsidRPr="009C362B" w:rsidRDefault="009F45F0" w:rsidP="009F45F0">
      <w:pPr>
        <w:widowControl/>
        <w:spacing w:after="160"/>
        <w:ind w:left="360"/>
        <w:jc w:val="left"/>
        <w:rPr>
          <w:sz w:val="22"/>
        </w:rPr>
      </w:pPr>
      <m:oMathPara>
        <m:oMath>
          <m:r>
            <w:rPr>
              <w:rFonts w:ascii="Cambria Math" w:eastAsia="Franklin Gothic Book" w:hAnsi="Cambria Math"/>
              <w:sz w:val="22"/>
            </w:rPr>
            <m:t>FR</m:t>
          </m:r>
          <m:r>
            <m:rPr>
              <m:sty m:val="p"/>
            </m:rPr>
            <w:rPr>
              <w:rFonts w:ascii="Cambria Math" w:eastAsia="Franklin Gothic Book" w:hAnsi="Cambria Math"/>
              <w:sz w:val="22"/>
            </w:rPr>
            <m:t>=</m:t>
          </m:r>
          <m:d>
            <m:dPr>
              <m:ctrlPr>
                <w:rPr>
                  <w:rFonts w:ascii="Cambria Math" w:eastAsia="Franklin Gothic Book" w:hAnsi="Cambria Math"/>
                  <w:sz w:val="22"/>
                </w:rPr>
              </m:ctrlPr>
            </m:dPr>
            <m:e>
              <m:r>
                <w:rPr>
                  <w:rFonts w:ascii="Cambria Math" w:eastAsia="Franklin Gothic Book" w:hAnsi="Cambria Math"/>
                  <w:sz w:val="22"/>
                </w:rPr>
                <m:t>free ridership</m:t>
              </m:r>
              <m:r>
                <m:rPr>
                  <m:sty m:val="p"/>
                </m:rPr>
                <w:rPr>
                  <w:rFonts w:ascii="Cambria Math" w:eastAsia="Franklin Gothic Book" w:hAnsi="Cambria Math"/>
                  <w:sz w:val="22"/>
                </w:rPr>
                <m:t xml:space="preserve"> </m:t>
              </m:r>
              <m:r>
                <w:rPr>
                  <w:rFonts w:ascii="Cambria Math" w:eastAsia="Franklin Gothic Book" w:hAnsi="Cambria Math"/>
                  <w:sz w:val="22"/>
                </w:rPr>
                <m:t>and</m:t>
              </m:r>
              <m:r>
                <m:rPr>
                  <m:sty m:val="p"/>
                </m:rPr>
                <w:rPr>
                  <w:rFonts w:ascii="Cambria Math" w:eastAsia="Franklin Gothic Book" w:hAnsi="Cambria Math"/>
                  <w:sz w:val="22"/>
                </w:rPr>
                <m:t xml:space="preserve"> </m:t>
              </m:r>
              <m:r>
                <w:rPr>
                  <w:rFonts w:ascii="Cambria Math" w:eastAsia="Franklin Gothic Book" w:hAnsi="Cambria Math"/>
                  <w:sz w:val="22"/>
                </w:rPr>
                <m:t>secondary</m:t>
              </m:r>
              <m:r>
                <m:rPr>
                  <m:sty m:val="p"/>
                </m:rPr>
                <w:rPr>
                  <w:rFonts w:ascii="Cambria Math" w:eastAsia="Franklin Gothic Book" w:hAnsi="Cambria Math"/>
                  <w:sz w:val="22"/>
                </w:rPr>
                <m:t xml:space="preserve"> </m:t>
              </m:r>
              <m:r>
                <w:rPr>
                  <w:rFonts w:ascii="Cambria Math" w:eastAsia="Franklin Gothic Book" w:hAnsi="Cambria Math"/>
                  <w:sz w:val="22"/>
                </w:rPr>
                <m:t>market</m:t>
              </m:r>
              <m:r>
                <m:rPr>
                  <m:sty m:val="p"/>
                </m:rPr>
                <w:rPr>
                  <w:rFonts w:ascii="Cambria Math" w:eastAsia="Franklin Gothic Book" w:hAnsi="Cambria Math"/>
                  <w:sz w:val="22"/>
                </w:rPr>
                <m:t xml:space="preserve"> </m:t>
              </m:r>
              <m:r>
                <w:rPr>
                  <w:rFonts w:ascii="Cambria Math" w:eastAsia="Franklin Gothic Book" w:hAnsi="Cambria Math"/>
                  <w:sz w:val="22"/>
                </w:rPr>
                <m:t>impacts</m:t>
              </m:r>
              <m:r>
                <m:rPr>
                  <m:sty m:val="p"/>
                </m:rPr>
                <w:rPr>
                  <w:rFonts w:ascii="Cambria Math" w:eastAsia="Franklin Gothic Book" w:hAnsi="Cambria Math"/>
                  <w:sz w:val="22"/>
                </w:rPr>
                <m:t xml:space="preserve"> %-</m:t>
              </m:r>
              <m:r>
                <w:rPr>
                  <w:rFonts w:ascii="Cambria Math" w:eastAsia="Franklin Gothic Book" w:hAnsi="Cambria Math"/>
                  <w:sz w:val="22"/>
                </w:rPr>
                <m:t>induced</m:t>
              </m:r>
              <m:r>
                <m:rPr>
                  <m:sty m:val="p"/>
                </m:rPr>
                <w:rPr>
                  <w:rFonts w:ascii="Cambria Math" w:eastAsia="Franklin Gothic Book" w:hAnsi="Cambria Math"/>
                  <w:sz w:val="22"/>
                </w:rPr>
                <m:t xml:space="preserve"> </m:t>
              </m:r>
              <m:r>
                <w:rPr>
                  <w:rFonts w:ascii="Cambria Math" w:eastAsia="Franklin Gothic Book" w:hAnsi="Cambria Math"/>
                  <w:sz w:val="22"/>
                </w:rPr>
                <m:t>replace</m:t>
              </m:r>
              <m:r>
                <w:rPr>
                  <w:rFonts w:ascii="Cambria Math" w:eastAsia="Franklin Gothic Book" w:hAnsi="Cambria Math"/>
                  <w:sz w:val="22"/>
                </w:rPr>
                <m:t xml:space="preserve">ment </m:t>
              </m:r>
              <m:r>
                <m:rPr>
                  <m:sty m:val="p"/>
                </m:rPr>
                <w:rPr>
                  <w:rFonts w:ascii="Cambria Math" w:eastAsia="Franklin Gothic Book" w:hAnsi="Cambria Math"/>
                  <w:sz w:val="22"/>
                </w:rPr>
                <m:t>%</m:t>
              </m:r>
            </m:e>
          </m:d>
        </m:oMath>
      </m:oMathPara>
    </w:p>
    <w:p w14:paraId="17F06B32" w14:textId="77777777" w:rsidR="009F45F0" w:rsidRPr="009C362B" w:rsidRDefault="009F45F0" w:rsidP="009F45F0">
      <w:pPr>
        <w:widowControl/>
        <w:spacing w:after="160" w:line="259" w:lineRule="auto"/>
        <w:jc w:val="left"/>
        <w:rPr>
          <w:rFonts w:eastAsia="Franklin Gothic Book"/>
          <w:sz w:val="22"/>
        </w:rPr>
      </w:pPr>
      <w:r w:rsidRPr="009C362B">
        <w:rPr>
          <w:rFonts w:eastAsia="Franklin Gothic Book"/>
          <w:sz w:val="22"/>
        </w:rPr>
        <w:br w:type="page"/>
      </w:r>
      <w:r>
        <w:rPr>
          <w:rFonts w:eastAsia="Franklin Gothic Book"/>
          <w:sz w:val="22"/>
        </w:rPr>
        <w:lastRenderedPageBreak/>
        <w:t>Table 2</w:t>
      </w:r>
      <w:r w:rsidRPr="009C362B">
        <w:rPr>
          <w:rFonts w:eastAsia="Franklin Gothic Book"/>
          <w:sz w:val="22"/>
        </w:rPr>
        <w:t xml:space="preserve"> demonstrates the proportion of a sample population classified into each of the seven potential categories and the resulting weighted net savings.</w:t>
      </w:r>
    </w:p>
    <w:p w14:paraId="7D4D253E" w14:textId="77777777" w:rsidR="009F45F0" w:rsidRPr="009C362B" w:rsidRDefault="009F45F0" w:rsidP="009F45F0">
      <w:pPr>
        <w:widowControl/>
        <w:spacing w:after="0"/>
        <w:jc w:val="left"/>
        <w:rPr>
          <w:rFonts w:eastAsia="Franklin Gothic Book"/>
          <w:sz w:val="22"/>
        </w:rPr>
      </w:pPr>
    </w:p>
    <w:p w14:paraId="139AB1B0" w14:textId="77777777" w:rsidR="009F45F0" w:rsidRPr="009C362B" w:rsidRDefault="009F45F0" w:rsidP="009F45F0">
      <w:pPr>
        <w:keepNext/>
        <w:widowControl/>
        <w:spacing w:after="0"/>
        <w:jc w:val="center"/>
        <w:rPr>
          <w:rFonts w:eastAsia="Franklin Gothic Book"/>
          <w:b/>
          <w:iCs/>
          <w:sz w:val="22"/>
        </w:rPr>
      </w:pPr>
      <w:bookmarkStart w:id="420" w:name="_Ref408483541"/>
      <w:bookmarkStart w:id="421" w:name="_Toc411599468"/>
      <w:r w:rsidRPr="009C362B">
        <w:rPr>
          <w:rFonts w:eastAsia="Franklin Gothic Book"/>
          <w:b/>
          <w:iCs/>
          <w:sz w:val="22"/>
        </w:rPr>
        <w:t xml:space="preserve">Table </w:t>
      </w:r>
      <w:bookmarkEnd w:id="420"/>
      <w:r>
        <w:rPr>
          <w:rFonts w:eastAsia="Franklin Gothic Book"/>
          <w:b/>
          <w:iCs/>
          <w:sz w:val="22"/>
        </w:rPr>
        <w:t>2</w:t>
      </w:r>
      <w:r w:rsidRPr="009C362B">
        <w:rPr>
          <w:rFonts w:eastAsia="Franklin Gothic Book"/>
          <w:b/>
          <w:iCs/>
          <w:sz w:val="22"/>
        </w:rPr>
        <w:t>. Net Savings Example for a Sample Population*</w:t>
      </w:r>
      <w:bookmarkEnd w:id="421"/>
    </w:p>
    <w:tbl>
      <w:tblPr>
        <w:tblStyle w:val="GridTable1Light3"/>
        <w:tblW w:w="0" w:type="auto"/>
        <w:jc w:val="center"/>
        <w:tblLayout w:type="fixed"/>
        <w:tblLook w:val="04A0" w:firstRow="1" w:lastRow="0" w:firstColumn="1" w:lastColumn="0" w:noHBand="0" w:noVBand="1"/>
      </w:tblPr>
      <w:tblGrid>
        <w:gridCol w:w="1548"/>
        <w:gridCol w:w="1890"/>
        <w:gridCol w:w="1620"/>
        <w:gridCol w:w="1350"/>
        <w:gridCol w:w="1080"/>
        <w:gridCol w:w="1080"/>
        <w:gridCol w:w="1008"/>
      </w:tblGrid>
      <w:tr w:rsidR="009F45F0" w:rsidRPr="00FF0879" w14:paraId="2B79FFC9" w14:textId="77777777" w:rsidTr="004F7320">
        <w:trPr>
          <w:cnfStyle w:val="100000000000" w:firstRow="1" w:lastRow="0" w:firstColumn="0" w:lastColumn="0" w:oddVBand="0" w:evenVBand="0" w:oddHBand="0" w:evenHBand="0" w:firstRowFirstColumn="0" w:firstRowLastColumn="0" w:lastRowFirstColumn="0" w:lastRowLastColumn="0"/>
          <w:trHeight w:val="900"/>
          <w:tblHeader/>
          <w:jc w:val="center"/>
        </w:trPr>
        <w:tc>
          <w:tcPr>
            <w:cnfStyle w:val="001000000000" w:firstRow="0" w:lastRow="0" w:firstColumn="1" w:lastColumn="0" w:oddVBand="0" w:evenVBand="0" w:oddHBand="0" w:evenHBand="0" w:firstRowFirstColumn="0" w:firstRowLastColumn="0" w:lastRowFirstColumn="0" w:lastRowLastColumn="0"/>
            <w:tcW w:w="1548" w:type="dxa"/>
            <w:noWrap/>
            <w:vAlign w:val="center"/>
            <w:hideMark/>
          </w:tcPr>
          <w:p w14:paraId="309F71A6" w14:textId="77777777" w:rsidR="009F45F0" w:rsidRPr="009C362B" w:rsidRDefault="009F45F0" w:rsidP="00CC2784">
            <w:pPr>
              <w:keepNext/>
              <w:widowControl/>
              <w:spacing w:after="0"/>
              <w:jc w:val="center"/>
              <w:rPr>
                <w:rFonts w:eastAsia="Franklin Gothic Book"/>
                <w:sz w:val="22"/>
              </w:rPr>
            </w:pPr>
            <w:r w:rsidRPr="009C362B">
              <w:rPr>
                <w:rFonts w:eastAsia="Franklin Gothic Book"/>
                <w:sz w:val="22"/>
              </w:rPr>
              <w:t>Primary Classification</w:t>
            </w:r>
          </w:p>
        </w:tc>
        <w:tc>
          <w:tcPr>
            <w:tcW w:w="1890" w:type="dxa"/>
            <w:noWrap/>
            <w:vAlign w:val="center"/>
            <w:hideMark/>
          </w:tcPr>
          <w:p w14:paraId="6FD7B66F"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Secondary Classification</w:t>
            </w:r>
          </w:p>
        </w:tc>
        <w:tc>
          <w:tcPr>
            <w:tcW w:w="1620" w:type="dxa"/>
            <w:noWrap/>
            <w:vAlign w:val="center"/>
            <w:hideMark/>
          </w:tcPr>
          <w:p w14:paraId="417EA4F4"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Tertiary Classification</w:t>
            </w:r>
          </w:p>
        </w:tc>
        <w:tc>
          <w:tcPr>
            <w:tcW w:w="1350" w:type="dxa"/>
            <w:noWrap/>
            <w:vAlign w:val="center"/>
            <w:hideMark/>
          </w:tcPr>
          <w:p w14:paraId="328AFC62"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Population (%)</w:t>
            </w:r>
          </w:p>
        </w:tc>
        <w:tc>
          <w:tcPr>
            <w:tcW w:w="1080" w:type="dxa"/>
            <w:vAlign w:val="center"/>
            <w:hideMark/>
          </w:tcPr>
          <w:p w14:paraId="190109FB"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UEC (kWh) w/out Program</w:t>
            </w:r>
          </w:p>
        </w:tc>
        <w:tc>
          <w:tcPr>
            <w:tcW w:w="1080" w:type="dxa"/>
            <w:vAlign w:val="center"/>
            <w:hideMark/>
          </w:tcPr>
          <w:p w14:paraId="57E89582"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UEC (kWh) w/ Program</w:t>
            </w:r>
          </w:p>
        </w:tc>
        <w:tc>
          <w:tcPr>
            <w:tcW w:w="1008" w:type="dxa"/>
            <w:noWrap/>
            <w:vAlign w:val="center"/>
            <w:hideMark/>
          </w:tcPr>
          <w:p w14:paraId="10BC8654" w14:textId="77777777" w:rsidR="009F45F0" w:rsidRPr="009C362B" w:rsidRDefault="009F45F0" w:rsidP="00CC2784">
            <w:pPr>
              <w:keepNext/>
              <w:widowControl/>
              <w:spacing w:after="0"/>
              <w:jc w:val="center"/>
              <w:cnfStyle w:val="100000000000" w:firstRow="1"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kWh Savings</w:t>
            </w:r>
          </w:p>
        </w:tc>
      </w:tr>
      <w:tr w:rsidR="009F45F0" w:rsidRPr="00FF0879" w14:paraId="53112C5F"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val="restart"/>
            <w:vAlign w:val="center"/>
            <w:hideMark/>
          </w:tcPr>
          <w:p w14:paraId="02568F80"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Would have kept unit</w:t>
            </w:r>
          </w:p>
        </w:tc>
        <w:tc>
          <w:tcPr>
            <w:tcW w:w="1890" w:type="dxa"/>
            <w:vMerge w:val="restart"/>
            <w:hideMark/>
          </w:tcPr>
          <w:p w14:paraId="4DCBCDE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A:</w:t>
            </w:r>
          </w:p>
          <w:p w14:paraId="1EA818A7"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Kept but</w:t>
            </w:r>
          </w:p>
          <w:p w14:paraId="31C68C72"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Induced Replacement</w:t>
            </w:r>
          </w:p>
        </w:tc>
        <w:tc>
          <w:tcPr>
            <w:tcW w:w="1620" w:type="dxa"/>
            <w:noWrap/>
            <w:vAlign w:val="center"/>
            <w:hideMark/>
          </w:tcPr>
          <w:p w14:paraId="2906B9B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Non-ES unit</w:t>
            </w:r>
          </w:p>
        </w:tc>
        <w:tc>
          <w:tcPr>
            <w:tcW w:w="1350" w:type="dxa"/>
            <w:noWrap/>
            <w:vAlign w:val="center"/>
            <w:hideMark/>
          </w:tcPr>
          <w:p w14:paraId="020FAC8D"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3%</w:t>
            </w:r>
          </w:p>
        </w:tc>
        <w:tc>
          <w:tcPr>
            <w:tcW w:w="1080" w:type="dxa"/>
            <w:noWrap/>
            <w:vAlign w:val="center"/>
            <w:hideMark/>
          </w:tcPr>
          <w:p w14:paraId="2E5B557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00EBAC6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520</w:t>
            </w:r>
          </w:p>
        </w:tc>
        <w:tc>
          <w:tcPr>
            <w:tcW w:w="1008" w:type="dxa"/>
            <w:noWrap/>
            <w:vAlign w:val="center"/>
            <w:hideMark/>
          </w:tcPr>
          <w:p w14:paraId="6C42A06B"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506</w:t>
            </w:r>
          </w:p>
        </w:tc>
      </w:tr>
      <w:tr w:rsidR="009F45F0" w:rsidRPr="00FF0879" w14:paraId="526CDDDB"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4E0157F"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33A592F0"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7202C6F1"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ES unit</w:t>
            </w:r>
          </w:p>
        </w:tc>
        <w:tc>
          <w:tcPr>
            <w:tcW w:w="1350" w:type="dxa"/>
            <w:noWrap/>
            <w:vAlign w:val="center"/>
            <w:hideMark/>
          </w:tcPr>
          <w:p w14:paraId="6F970FD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w:t>
            </w:r>
          </w:p>
        </w:tc>
        <w:tc>
          <w:tcPr>
            <w:tcW w:w="1080" w:type="dxa"/>
            <w:noWrap/>
            <w:vAlign w:val="center"/>
            <w:hideMark/>
          </w:tcPr>
          <w:p w14:paraId="1148D5D3"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323FC437"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404</w:t>
            </w:r>
          </w:p>
        </w:tc>
        <w:tc>
          <w:tcPr>
            <w:tcW w:w="1008" w:type="dxa"/>
            <w:noWrap/>
            <w:vAlign w:val="center"/>
            <w:hideMark/>
          </w:tcPr>
          <w:p w14:paraId="53572D2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622</w:t>
            </w:r>
          </w:p>
        </w:tc>
      </w:tr>
      <w:tr w:rsidR="009F45F0" w:rsidRPr="00FF0879" w14:paraId="170313F1"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3587F17A" w14:textId="77777777" w:rsidR="009F45F0" w:rsidRPr="009C362B" w:rsidRDefault="009F45F0" w:rsidP="00CC2784">
            <w:pPr>
              <w:keepNext/>
              <w:widowControl/>
              <w:spacing w:after="0"/>
              <w:jc w:val="left"/>
              <w:rPr>
                <w:rFonts w:eastAsia="Franklin Gothic Book"/>
                <w:sz w:val="22"/>
              </w:rPr>
            </w:pPr>
          </w:p>
        </w:tc>
        <w:tc>
          <w:tcPr>
            <w:tcW w:w="1890" w:type="dxa"/>
            <w:noWrap/>
            <w:hideMark/>
          </w:tcPr>
          <w:p w14:paraId="3B47A3C5"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B:</w:t>
            </w:r>
          </w:p>
          <w:p w14:paraId="46629D39"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Kept but </w:t>
            </w:r>
            <w:r w:rsidRPr="009C362B">
              <w:rPr>
                <w:rFonts w:eastAsia="Franklin Gothic Book"/>
                <w:b/>
                <w:sz w:val="22"/>
              </w:rPr>
              <w:t>NO</w:t>
            </w:r>
          </w:p>
          <w:p w14:paraId="503679A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Induced Replacement</w:t>
            </w:r>
          </w:p>
        </w:tc>
        <w:tc>
          <w:tcPr>
            <w:tcW w:w="1620" w:type="dxa"/>
            <w:noWrap/>
            <w:vAlign w:val="center"/>
            <w:hideMark/>
          </w:tcPr>
          <w:p w14:paraId="54E71094"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N/A</w:t>
            </w:r>
          </w:p>
        </w:tc>
        <w:tc>
          <w:tcPr>
            <w:tcW w:w="1350" w:type="dxa"/>
            <w:noWrap/>
            <w:vAlign w:val="center"/>
            <w:hideMark/>
          </w:tcPr>
          <w:p w14:paraId="3F73EE1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25%</w:t>
            </w:r>
          </w:p>
        </w:tc>
        <w:tc>
          <w:tcPr>
            <w:tcW w:w="1080" w:type="dxa"/>
            <w:noWrap/>
            <w:vAlign w:val="center"/>
            <w:hideMark/>
          </w:tcPr>
          <w:p w14:paraId="5D81802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4C1F5BC6"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A10867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r>
      <w:tr w:rsidR="009F45F0" w:rsidRPr="00FF0879" w14:paraId="7E64A69D"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val="restart"/>
            <w:vAlign w:val="center"/>
            <w:hideMark/>
          </w:tcPr>
          <w:p w14:paraId="6C20CB6E"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Would have removed unit</w:t>
            </w:r>
          </w:p>
        </w:tc>
        <w:tc>
          <w:tcPr>
            <w:tcW w:w="1890" w:type="dxa"/>
            <w:vMerge w:val="restart"/>
            <w:noWrap/>
            <w:vAlign w:val="center"/>
            <w:hideMark/>
          </w:tcPr>
          <w:p w14:paraId="412934B8"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C:</w:t>
            </w:r>
          </w:p>
          <w:p w14:paraId="64D85720"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Transferred </w:t>
            </w:r>
          </w:p>
        </w:tc>
        <w:tc>
          <w:tcPr>
            <w:tcW w:w="1620" w:type="dxa"/>
            <w:noWrap/>
            <w:vAlign w:val="center"/>
            <w:hideMark/>
          </w:tcPr>
          <w:p w14:paraId="5A93501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Retailer would Recycle</w:t>
            </w:r>
          </w:p>
        </w:tc>
        <w:tc>
          <w:tcPr>
            <w:tcW w:w="1350" w:type="dxa"/>
            <w:noWrap/>
            <w:vAlign w:val="center"/>
            <w:hideMark/>
          </w:tcPr>
          <w:p w14:paraId="6075ABDF"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12.5%</w:t>
            </w:r>
          </w:p>
        </w:tc>
        <w:tc>
          <w:tcPr>
            <w:tcW w:w="1080" w:type="dxa"/>
            <w:noWrap/>
            <w:vAlign w:val="center"/>
            <w:hideMark/>
          </w:tcPr>
          <w:p w14:paraId="1D4F7875"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80" w:type="dxa"/>
            <w:noWrap/>
            <w:vAlign w:val="center"/>
            <w:hideMark/>
          </w:tcPr>
          <w:p w14:paraId="0CCCF04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2D2BA4F9"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r>
      <w:tr w:rsidR="009F45F0" w:rsidRPr="00FF0879" w14:paraId="7446AD65"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7658E425"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4B355D3F"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594712D3"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Retailer would Resell</w:t>
            </w:r>
          </w:p>
        </w:tc>
        <w:tc>
          <w:tcPr>
            <w:tcW w:w="1350" w:type="dxa"/>
            <w:noWrap/>
            <w:vAlign w:val="center"/>
            <w:hideMark/>
          </w:tcPr>
          <w:p w14:paraId="16AA19C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12.5%</w:t>
            </w:r>
          </w:p>
        </w:tc>
        <w:tc>
          <w:tcPr>
            <w:tcW w:w="1080" w:type="dxa"/>
            <w:noWrap/>
            <w:vAlign w:val="center"/>
            <w:hideMark/>
          </w:tcPr>
          <w:p w14:paraId="16AC653A"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6EB42BCC"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520</w:t>
            </w:r>
          </w:p>
        </w:tc>
        <w:tc>
          <w:tcPr>
            <w:tcW w:w="1008" w:type="dxa"/>
            <w:noWrap/>
            <w:vAlign w:val="center"/>
            <w:hideMark/>
          </w:tcPr>
          <w:p w14:paraId="11012720"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506</w:t>
            </w:r>
          </w:p>
        </w:tc>
      </w:tr>
      <w:tr w:rsidR="009F45F0" w:rsidRPr="00FF0879" w14:paraId="1D2CAE31" w14:textId="77777777" w:rsidTr="004F7320">
        <w:trPr>
          <w:trHeight w:val="494"/>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676F36D" w14:textId="77777777" w:rsidR="009F45F0" w:rsidRPr="009C362B" w:rsidRDefault="009F45F0" w:rsidP="00CC2784">
            <w:pPr>
              <w:keepNext/>
              <w:widowControl/>
              <w:spacing w:after="0"/>
              <w:jc w:val="left"/>
              <w:rPr>
                <w:rFonts w:eastAsia="Franklin Gothic Book"/>
                <w:sz w:val="22"/>
              </w:rPr>
            </w:pPr>
          </w:p>
        </w:tc>
        <w:tc>
          <w:tcPr>
            <w:tcW w:w="1890" w:type="dxa"/>
            <w:vMerge/>
            <w:hideMark/>
          </w:tcPr>
          <w:p w14:paraId="2C6580A1"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p>
        </w:tc>
        <w:tc>
          <w:tcPr>
            <w:tcW w:w="1620" w:type="dxa"/>
            <w:noWrap/>
            <w:vAlign w:val="center"/>
            <w:hideMark/>
          </w:tcPr>
          <w:p w14:paraId="4D0466C5"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 xml:space="preserve">No Replacement </w:t>
            </w:r>
          </w:p>
        </w:tc>
        <w:tc>
          <w:tcPr>
            <w:tcW w:w="1350" w:type="dxa"/>
            <w:noWrap/>
            <w:vAlign w:val="center"/>
            <w:hideMark/>
          </w:tcPr>
          <w:p w14:paraId="3CE77BF1"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25%</w:t>
            </w:r>
          </w:p>
        </w:tc>
        <w:tc>
          <w:tcPr>
            <w:tcW w:w="1080" w:type="dxa"/>
            <w:noWrap/>
            <w:vAlign w:val="center"/>
            <w:hideMark/>
          </w:tcPr>
          <w:p w14:paraId="178AA75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c>
          <w:tcPr>
            <w:tcW w:w="1080" w:type="dxa"/>
            <w:noWrap/>
            <w:vAlign w:val="center"/>
            <w:hideMark/>
          </w:tcPr>
          <w:p w14:paraId="3D437A52"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0B865F7"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1,026</w:t>
            </w:r>
          </w:p>
        </w:tc>
      </w:tr>
      <w:tr w:rsidR="009F45F0" w:rsidRPr="00FF0879" w14:paraId="7F04FEA8"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1548" w:type="dxa"/>
            <w:vMerge/>
            <w:hideMark/>
          </w:tcPr>
          <w:p w14:paraId="56235222" w14:textId="77777777" w:rsidR="009F45F0" w:rsidRPr="009C362B" w:rsidRDefault="009F45F0" w:rsidP="00CC2784">
            <w:pPr>
              <w:keepNext/>
              <w:widowControl/>
              <w:spacing w:after="0"/>
              <w:jc w:val="left"/>
              <w:rPr>
                <w:rFonts w:eastAsia="Franklin Gothic Book"/>
                <w:sz w:val="22"/>
              </w:rPr>
            </w:pPr>
          </w:p>
        </w:tc>
        <w:tc>
          <w:tcPr>
            <w:tcW w:w="1890" w:type="dxa"/>
            <w:hideMark/>
          </w:tcPr>
          <w:p w14:paraId="2412D55E"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Scenario D:</w:t>
            </w:r>
          </w:p>
          <w:p w14:paraId="01904A06"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Removed from Service</w:t>
            </w:r>
          </w:p>
        </w:tc>
        <w:tc>
          <w:tcPr>
            <w:tcW w:w="1620" w:type="dxa"/>
            <w:noWrap/>
            <w:vAlign w:val="center"/>
            <w:hideMark/>
          </w:tcPr>
          <w:p w14:paraId="1774779D" w14:textId="77777777" w:rsidR="009F45F0" w:rsidRPr="009C362B" w:rsidRDefault="009F45F0" w:rsidP="00CC2784">
            <w:pPr>
              <w:keepNext/>
              <w:widowControl/>
              <w:spacing w:after="0"/>
              <w:jc w:val="lef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N/A</w:t>
            </w:r>
          </w:p>
        </w:tc>
        <w:tc>
          <w:tcPr>
            <w:tcW w:w="1350" w:type="dxa"/>
            <w:noWrap/>
            <w:vAlign w:val="center"/>
            <w:hideMark/>
          </w:tcPr>
          <w:p w14:paraId="6A1D74B0"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20%</w:t>
            </w:r>
          </w:p>
        </w:tc>
        <w:tc>
          <w:tcPr>
            <w:tcW w:w="1080" w:type="dxa"/>
            <w:noWrap/>
            <w:vAlign w:val="center"/>
            <w:hideMark/>
          </w:tcPr>
          <w:p w14:paraId="07126131"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80" w:type="dxa"/>
            <w:noWrap/>
            <w:vAlign w:val="center"/>
            <w:hideMark/>
          </w:tcPr>
          <w:p w14:paraId="6727371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c>
          <w:tcPr>
            <w:tcW w:w="1008" w:type="dxa"/>
            <w:noWrap/>
            <w:vAlign w:val="center"/>
            <w:hideMark/>
          </w:tcPr>
          <w:p w14:paraId="667A5B14"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0</w:t>
            </w:r>
          </w:p>
        </w:tc>
      </w:tr>
      <w:tr w:rsidR="009F45F0" w:rsidRPr="00FF0879" w14:paraId="1999091C" w14:textId="77777777" w:rsidTr="004F7320">
        <w:trPr>
          <w:trHeight w:val="300"/>
          <w:jc w:val="center"/>
        </w:trPr>
        <w:tc>
          <w:tcPr>
            <w:cnfStyle w:val="001000000000" w:firstRow="0" w:lastRow="0" w:firstColumn="1" w:lastColumn="0" w:oddVBand="0" w:evenVBand="0" w:oddHBand="0" w:evenHBand="0" w:firstRowFirstColumn="0" w:firstRowLastColumn="0" w:lastRowFirstColumn="0" w:lastRowLastColumn="0"/>
            <w:tcW w:w="8568" w:type="dxa"/>
            <w:gridSpan w:val="6"/>
            <w:noWrap/>
            <w:hideMark/>
          </w:tcPr>
          <w:p w14:paraId="7DAA5E8D" w14:textId="77777777" w:rsidR="009F45F0" w:rsidRPr="009C362B" w:rsidRDefault="009F45F0" w:rsidP="00CC2784">
            <w:pPr>
              <w:keepNext/>
              <w:widowControl/>
              <w:spacing w:after="0"/>
              <w:jc w:val="left"/>
              <w:rPr>
                <w:rFonts w:eastAsia="Franklin Gothic Book"/>
                <w:sz w:val="22"/>
              </w:rPr>
            </w:pPr>
            <w:r w:rsidRPr="009C362B">
              <w:rPr>
                <w:rFonts w:eastAsia="Franklin Gothic Book"/>
                <w:sz w:val="22"/>
              </w:rPr>
              <w:t>Net Savings (kWh)</w:t>
            </w:r>
          </w:p>
        </w:tc>
        <w:tc>
          <w:tcPr>
            <w:tcW w:w="1008" w:type="dxa"/>
            <w:noWrap/>
            <w:hideMark/>
          </w:tcPr>
          <w:p w14:paraId="0BFA3A3E" w14:textId="77777777" w:rsidR="009F45F0" w:rsidRPr="009C362B" w:rsidRDefault="009F45F0" w:rsidP="00CC2784">
            <w:pPr>
              <w:keepNext/>
              <w:widowControl/>
              <w:spacing w:after="0"/>
              <w:jc w:val="right"/>
              <w:cnfStyle w:val="000000000000" w:firstRow="0" w:lastRow="0" w:firstColumn="0" w:lastColumn="0" w:oddVBand="0" w:evenVBand="0" w:oddHBand="0" w:evenHBand="0" w:firstRowFirstColumn="0" w:firstRowLastColumn="0" w:lastRowFirstColumn="0" w:lastRowLastColumn="0"/>
              <w:rPr>
                <w:rFonts w:eastAsia="Franklin Gothic Book"/>
                <w:sz w:val="22"/>
              </w:rPr>
            </w:pPr>
            <w:r w:rsidRPr="009C362B">
              <w:rPr>
                <w:rFonts w:eastAsia="Franklin Gothic Book"/>
                <w:sz w:val="22"/>
              </w:rPr>
              <w:t>604</w:t>
            </w:r>
          </w:p>
        </w:tc>
      </w:tr>
    </w:tbl>
    <w:p w14:paraId="1EFF2D92" w14:textId="77777777" w:rsidR="009F45F0" w:rsidRPr="009C362B" w:rsidRDefault="009F45F0" w:rsidP="009F45F0">
      <w:pPr>
        <w:keepNext/>
        <w:widowControl/>
        <w:spacing w:after="160"/>
        <w:jc w:val="left"/>
        <w:rPr>
          <w:rFonts w:eastAsia="Franklin Gothic Book"/>
        </w:rPr>
      </w:pPr>
      <w:r w:rsidRPr="009C362B">
        <w:rPr>
          <w:rFonts w:eastAsia="Franklin Gothic Book"/>
          <w:sz w:val="22"/>
        </w:rPr>
        <w:t>*</w:t>
      </w:r>
      <w:r w:rsidRPr="009C362B">
        <w:rPr>
          <w:rFonts w:eastAsia="Franklin Gothic Book"/>
        </w:rPr>
        <w:t>The percent values presented in this table serve only as examples; actual research should be conducted to determine the percentage of units falling into each of these categories. Note that Unit Energy Consumption (UEC) values presented in the table represent example values, factoring in part-use.</w:t>
      </w:r>
    </w:p>
    <w:p w14:paraId="3E840EEF" w14:textId="77777777" w:rsidR="009F45F0" w:rsidRPr="009C362B" w:rsidRDefault="009F45F0" w:rsidP="009F45F0">
      <w:pPr>
        <w:keepNext/>
        <w:widowControl/>
        <w:tabs>
          <w:tab w:val="left" w:pos="2824"/>
        </w:tabs>
        <w:spacing w:before="120"/>
        <w:outlineLvl w:val="3"/>
        <w:rPr>
          <w:rFonts w:eastAsia="Franklin Gothic Book" w:cs="Arial"/>
          <w:bCs/>
          <w:i/>
          <w:sz w:val="24"/>
          <w:szCs w:val="24"/>
          <w:lang w:eastAsia="x-none"/>
        </w:rPr>
      </w:pPr>
      <w:r w:rsidRPr="009C362B">
        <w:rPr>
          <w:rFonts w:eastAsia="Franklin Gothic Book" w:cs="Arial"/>
          <w:b/>
          <w:i/>
          <w:sz w:val="24"/>
          <w:szCs w:val="24"/>
          <w:lang w:eastAsia="x-none"/>
        </w:rPr>
        <w:t>Enhanced</w:t>
      </w:r>
      <w:r w:rsidRPr="009C362B">
        <w:rPr>
          <w:rFonts w:eastAsia="Franklin Gothic Book" w:cs="Arial"/>
          <w:b/>
          <w:bCs/>
          <w:i/>
          <w:sz w:val="24"/>
          <w:szCs w:val="24"/>
          <w:lang w:eastAsia="x-none"/>
        </w:rPr>
        <w:t xml:space="preserve"> Method</w:t>
      </w:r>
      <w:r w:rsidRPr="009C362B">
        <w:rPr>
          <w:rFonts w:eastAsia="Franklin Gothic Book" w:cs="Arial"/>
          <w:b/>
          <w:bCs/>
          <w:i/>
          <w:sz w:val="24"/>
          <w:szCs w:val="24"/>
          <w:lang w:eastAsia="x-none"/>
        </w:rPr>
        <w:tab/>
      </w:r>
    </w:p>
    <w:p w14:paraId="6B3DB8F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Results can be enhanced by including three additional research efforts. The basic method has defaults where primary research on enhanced approaches cannot be performed:</w:t>
      </w:r>
    </w:p>
    <w:p w14:paraId="39ECF8C0"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A retailer survey, to determine the quantity and/or proportion of units returned to a retailer, and that the retailer would deconstruct or recycle. Through this survey, one would determine a retailer’s criteria for reselling used units vs. deconstructing them, based on unit age and condition. Results from the survey and analysis would be used to determine the proportion of those who would have returned an old appliance to the retailer that should be included in</w:t>
      </w:r>
      <w:r w:rsidRPr="006C5BBC">
        <w:rPr>
          <w:rFonts w:eastAsia="Franklin Gothic Book"/>
          <w:sz w:val="22"/>
          <w:shd w:val="clear" w:color="auto" w:fill="FAFAFA"/>
        </w:rPr>
        <w:t xml:space="preserve"> </w:t>
      </w:r>
      <w:r w:rsidRPr="006C5BBC">
        <w:rPr>
          <w:rFonts w:eastAsia="Franklin Gothic Book"/>
          <w:sz w:val="22"/>
        </w:rPr>
        <w:t>Scenario D (free riders). This research was conducted for ComEd in EPY6 evaluation and those results were applied to Ameren.</w:t>
      </w:r>
    </w:p>
    <w:p w14:paraId="530FB9B0"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An appliance market assessment study, to determine the size of the secondary appliance market and whether removal of participating units from the market would cause an</w:t>
      </w:r>
      <w:r w:rsidRPr="006C5BBC">
        <w:rPr>
          <w:rFonts w:eastAsia="Franklin Gothic Book"/>
          <w:sz w:val="22"/>
          <w:shd w:val="clear" w:color="auto" w:fill="FAFAFA"/>
        </w:rPr>
        <w:t xml:space="preserve"> </w:t>
      </w:r>
      <w:r w:rsidRPr="006C5BBC">
        <w:rPr>
          <w:rFonts w:eastAsia="Franklin Gothic Book"/>
          <w:sz w:val="22"/>
        </w:rPr>
        <w:t>otherwise would-be receiver to purchase an alternative used or new unit</w:t>
      </w:r>
      <w:r w:rsidRPr="006C5BBC">
        <w:rPr>
          <w:rFonts w:eastAsia="Franklin Gothic Book"/>
          <w:sz w:val="22"/>
          <w:shd w:val="clear" w:color="auto" w:fill="FAFAFA"/>
        </w:rPr>
        <w:t xml:space="preserve">. </w:t>
      </w:r>
      <w:r w:rsidRPr="006C5BBC">
        <w:rPr>
          <w:rFonts w:eastAsia="Franklin Gothic Book"/>
          <w:sz w:val="22"/>
        </w:rPr>
        <w:t xml:space="preserve">Savings attributable to these participants are the most difficult to estimate, as the scenario attempts to estimate what the prospective buyer of a used appliance would do in the absence of finding a program-recycled unit in the marketplace (i.e., the program took the unit off the grid, so the prospective purchaser faced, in theory, a smaller supply of used appliances). It is difficult to answer this question with certainty, absent utility-specific </w:t>
      </w:r>
      <w:r w:rsidRPr="006C5BBC">
        <w:rPr>
          <w:rFonts w:eastAsia="Franklin Gothic Book"/>
          <w:sz w:val="22"/>
        </w:rPr>
        <w:lastRenderedPageBreak/>
        <w:t>information regarding the change in the total number of appliances (overall and used appliances specifically) that were active before and after program implementation. In some cases outside of Illinois, evaluators have conducted in-depth market research to estimate both the program’s impact on the secondary market and the appropriate attribution of savings for this scenario. Although these studies are imperfect, they can provide utility-specific information related to the program’s net energy impact. Where feasible, evaluators and utilities should design and implement such an approach. Unfortunately, this type of research tends to be cost-prohibitive, or the necessary data may simply be unavailable.</w:t>
      </w:r>
    </w:p>
    <w:p w14:paraId="1D5369E9" w14:textId="77777777" w:rsidR="009F45F0" w:rsidRPr="006C5BBC" w:rsidRDefault="009F45F0" w:rsidP="009F45F0">
      <w:pPr>
        <w:pStyle w:val="ListParagraph"/>
        <w:widowControl/>
        <w:numPr>
          <w:ilvl w:val="0"/>
          <w:numId w:val="20"/>
        </w:numPr>
        <w:spacing w:after="160"/>
        <w:jc w:val="left"/>
        <w:rPr>
          <w:rFonts w:eastAsia="Franklin Gothic Book"/>
          <w:sz w:val="22"/>
        </w:rPr>
      </w:pPr>
      <w:r w:rsidRPr="006C5BBC">
        <w:rPr>
          <w:rFonts w:eastAsia="Franklin Gothic Book"/>
          <w:sz w:val="22"/>
        </w:rPr>
        <w:t xml:space="preserve">However, it is possible to estimate through nonparticipant surveys which of the disposal responses given by nonparticipants were most likely to have been to an opportunistic would-be-acquirer. Transfers would most likely have been opportunistic are determined primarily based on the cost to the recipient. If the appliance was sold or transferred to a retailer, there would have been a cost to the recipient of that appliance. If the recipient was willing to pay for the appliance or was willing to exert the effort to visit a retail location, this suggests the recipient was actively seeking an appliance. However, if the unit were given away for free there was little cost to the recipient and is a reasonable proxy for the proportion of opportunistic acquirers. This proportion would replace the 50% default assumption (scenario C in </w:t>
      </w:r>
      <w:r w:rsidRPr="00C76107">
        <w:rPr>
          <w:rFonts w:eastAsia="Franklin Gothic Book"/>
          <w:sz w:val="22"/>
        </w:rPr>
        <w:t>Figure</w:t>
      </w:r>
      <w:r>
        <w:rPr>
          <w:rFonts w:eastAsia="Franklin Gothic Book"/>
          <w:sz w:val="22"/>
        </w:rPr>
        <w:t xml:space="preserve"> 1</w:t>
      </w:r>
      <w:r w:rsidRPr="006C5BBC">
        <w:rPr>
          <w:rFonts w:eastAsia="Franklin Gothic Book"/>
          <w:sz w:val="22"/>
        </w:rPr>
        <w:t xml:space="preserve">) of would-be-acquirers that would or would not find an alternate unit. </w:t>
      </w:r>
    </w:p>
    <w:p w14:paraId="2412C25F" w14:textId="77777777" w:rsidR="009F45F0" w:rsidRPr="006C5BBC" w:rsidRDefault="009F45F0" w:rsidP="009F45F0">
      <w:pPr>
        <w:pStyle w:val="ListParagraph"/>
        <w:widowControl/>
        <w:numPr>
          <w:ilvl w:val="0"/>
          <w:numId w:val="20"/>
        </w:numPr>
        <w:spacing w:after="160"/>
        <w:jc w:val="left"/>
        <w:rPr>
          <w:rFonts w:eastAsia="Franklin Gothic Book"/>
          <w:i/>
          <w:sz w:val="22"/>
        </w:rPr>
      </w:pPr>
      <w:r w:rsidRPr="006C5BBC">
        <w:rPr>
          <w:rFonts w:eastAsia="Franklin Gothic Book"/>
          <w:sz w:val="22"/>
        </w:rPr>
        <w:t>A nonparticipant survey can be used to assess how nonparticipants acquire and dispose of used units. As nonparticipants do not have the same perceived response bias as participants, they can help offset some of this potential bias in estimating the true proportion of the population that would have recycled their units in program’s absence. The evaluators will average the results of the nonparticipant survey with the participant survey if the nonparticipant survey is of sufficient sample size. Otherwise, results may be used for a qualitative characterization of potential bias. Though recommended, use of a nonparticipant survey need not be required, given budget and time considerations. A nonparticipant survey was completed as part of ComEd’s EPY6 evaluation and used qualitatively to validate participant results.</w:t>
      </w:r>
    </w:p>
    <w:p w14:paraId="7EB78F39"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422" w:name="_Toc401239633"/>
      <w:bookmarkStart w:id="423" w:name="_Toc437261839"/>
      <w:bookmarkStart w:id="424" w:name="_Toc438191078"/>
      <w:r w:rsidRPr="009C362B">
        <w:rPr>
          <w:rFonts w:eastAsia="Franklin Gothic Book" w:cs="Arial"/>
          <w:b/>
          <w:bCs/>
          <w:sz w:val="24"/>
          <w:szCs w:val="24"/>
          <w:lang w:eastAsia="x-none"/>
        </w:rPr>
        <w:t>Participant Spillover</w:t>
      </w:r>
      <w:bookmarkEnd w:id="422"/>
      <w:bookmarkEnd w:id="423"/>
      <w:bookmarkEnd w:id="424"/>
    </w:p>
    <w:p w14:paraId="62FE804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Unlike many programs, recycling programs face reduced opportunities for spillover due to the lack of general energy education and the small likelihood of participants having further units to recycle on their own. This program could directly impact decisions to replace refrigerators or freezers with ENERGY STAR units rather than standard efficiency units, given that the program offers marketing and education related to the operating costs of refrigerators and freezers. Reliable methods of conducting this analysis have yet to be developed. One attempted method compared proportions of ENERGY STAR appliances replaced by program participants to proportions of ENERGY STAR new appliance shipments in a similar area. Due to the difficulty in isolating the shipment area to the program area, this has not yielded noticeable spillover in Illinois. </w:t>
      </w:r>
    </w:p>
    <w:p w14:paraId="588D2140"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425" w:name="_Toc437261840"/>
      <w:bookmarkStart w:id="426" w:name="_Toc438191079"/>
      <w:r w:rsidRPr="009C362B">
        <w:rPr>
          <w:rFonts w:eastAsia="Franklin Gothic Book" w:cs="Arial"/>
          <w:b/>
          <w:bCs/>
          <w:sz w:val="24"/>
          <w:szCs w:val="24"/>
          <w:lang w:eastAsia="x-none"/>
        </w:rPr>
        <w:t>Nonparticipan</w:t>
      </w:r>
      <w:r w:rsidRPr="009C362B">
        <w:rPr>
          <w:rFonts w:eastAsia="Franklin Gothic Book" w:cs="Arial"/>
          <w:sz w:val="24"/>
          <w:szCs w:val="24"/>
          <w:lang w:eastAsia="x-none"/>
        </w:rPr>
        <w:t>t</w:t>
      </w:r>
      <w:r w:rsidRPr="009C362B">
        <w:rPr>
          <w:rFonts w:eastAsia="Franklin Gothic Book" w:cs="Arial"/>
          <w:b/>
          <w:bCs/>
          <w:sz w:val="24"/>
          <w:szCs w:val="24"/>
          <w:lang w:eastAsia="x-none"/>
        </w:rPr>
        <w:t xml:space="preserve"> Spillover</w:t>
      </w:r>
      <w:bookmarkEnd w:id="425"/>
      <w:bookmarkEnd w:id="426"/>
    </w:p>
    <w:p w14:paraId="39418A3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specific approach and method for measuring spillover has not yet been discussed by the evaluation teams to reach a consensus. However, effective program marketing and outreach generates program participation and increases general energy</w:t>
      </w:r>
      <w:r w:rsidRPr="009C362B">
        <w:rPr>
          <w:rFonts w:eastAsia="Franklin Gothic Book" w:cs="Cambria Math"/>
          <w:sz w:val="22"/>
        </w:rPr>
        <w:t>‐</w:t>
      </w:r>
      <w:r w:rsidRPr="009C362B">
        <w:rPr>
          <w:rFonts w:eastAsia="Franklin Gothic Book"/>
          <w:sz w:val="22"/>
        </w:rPr>
        <w:t xml:space="preserve">efficiency awareness among customers. The cumulative effect of sustained utility program marketing (which often occurs concurrently for multiple programs) can affect customers’ perceptions of their energy usage and, in some cases, motivates customers to take efficiency actions outside of the utility’s program. This phenomenon—called nonparticipant spillover (NPSO)—results in energy savings. Marketing of the Appliance Recycling program specifically may induce </w:t>
      </w:r>
      <w:r w:rsidRPr="009C362B">
        <w:rPr>
          <w:rFonts w:eastAsia="Franklin Gothic Book"/>
          <w:sz w:val="22"/>
        </w:rPr>
        <w:lastRenderedPageBreak/>
        <w:t xml:space="preserve">nonparticipants to either reduce the use of the secondary refrigerator or freezer that they keep, or when they are purchasing a new refrigerator or freezer, to buy one that is more energy efficient. </w:t>
      </w:r>
    </w:p>
    <w:p w14:paraId="225F2988"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27" w:name="_Toc437261841"/>
      <w:bookmarkStart w:id="428" w:name="_Toc438191080"/>
      <w:r w:rsidRPr="009C362B">
        <w:rPr>
          <w:rFonts w:eastAsia="Franklin Gothic Book" w:cs="Arial"/>
          <w:b/>
          <w:bCs/>
          <w:sz w:val="24"/>
          <w:szCs w:val="20"/>
          <w:lang w:eastAsia="x-none"/>
        </w:rPr>
        <w:t>Residential Upstream Lighting Programs</w:t>
      </w:r>
      <w:bookmarkEnd w:id="427"/>
      <w:bookmarkEnd w:id="428"/>
    </w:p>
    <w:bookmarkEnd w:id="406"/>
    <w:p w14:paraId="37C914E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Illinois Residential Upstream Lighting programs to date have provided discounts on efficient lighting through retailers at the point of purchase. Such programs often remain transparent to customers purchasing incentivized lighting. Program administrators also do not know the identity of most customers purchasing the program-discounted lighting; so these customers cannot easily be contacted once they leave the store for a traditional self-report net-to-gross (NTG) evaluation survey (i.e., an after-the-fact, direct solicitation of customers regarding what they would have done in the program’s absence). Similar surveys can be conducted with customers within program retailers after they have made their lighting purchasing decision but before they leave the store. For programs such as this, in store customer surveys are preferable to the traditional self-report telephone surveys that ask customers to recall their past light bulb purchases. Light bulbs are a small and relatively insignificant purchase for most people thus the recall bias could be substantial.</w:t>
      </w:r>
    </w:p>
    <w:p w14:paraId="3834D61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Further, as upstream programs work with multiple market actors and can include wide-reaching marketing campaigns promoting energy efficiency to the general public, they tend to stimulate spillover and “market effects.” As a result, estimating NTG for upstream residential lighting programs can be challenging. Multiple methods exist, each with their own strengths and weaknesses. </w:t>
      </w:r>
    </w:p>
    <w:p w14:paraId="5E05EBD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Ameren and ComEd implement their residential lighting programs comparably, and the evaluation teams have used a consistent primary NTG evaluation method. This section details the consensus NTG methodology, which has been used multiple times for both ComEd and Ameren and is considered the most well-vetted and defensible NTG method that has been successfully used in Illinois.</w:t>
      </w:r>
    </w:p>
    <w:p w14:paraId="2435C63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For EPY5 and EPY6, Ameren and ComEd used a customer self-report methodology to estimate NTG for their upstream residential lighting programs.</w:t>
      </w:r>
      <w:r w:rsidRPr="009C362B">
        <w:rPr>
          <w:rFonts w:eastAsia="Franklin Gothic Book"/>
          <w:sz w:val="22"/>
          <w:vertAlign w:val="superscript"/>
        </w:rPr>
        <w:footnoteReference w:id="12"/>
      </w:r>
      <w:r w:rsidRPr="009C362B">
        <w:rPr>
          <w:rFonts w:eastAsia="Franklin Gothic Book"/>
          <w:sz w:val="22"/>
        </w:rPr>
        <w:t xml:space="preserve"> Customer self-report data in this method are collected during surveys conducted within program retailers with customers purchasing program bulbs (i.e., in-store intercept surveys). This method separately estimates free ridership, participant spillover, and nonparticipant spillover. Details follow on the primary data collection and scoring algorithms. </w:t>
      </w:r>
    </w:p>
    <w:p w14:paraId="3E01F26A" w14:textId="77777777" w:rsidR="009F45F0" w:rsidRPr="009C362B" w:rsidRDefault="009F45F0" w:rsidP="009F45F0">
      <w:pPr>
        <w:widowControl/>
        <w:numPr>
          <w:ilvl w:val="2"/>
          <w:numId w:val="2"/>
        </w:numPr>
        <w:spacing w:before="120" w:after="160"/>
        <w:ind w:left="720"/>
        <w:jc w:val="left"/>
        <w:outlineLvl w:val="2"/>
        <w:rPr>
          <w:rFonts w:eastAsia="Franklin Gothic Book" w:cs="Arial"/>
          <w:b/>
          <w:bCs/>
          <w:sz w:val="24"/>
          <w:szCs w:val="24"/>
          <w:lang w:eastAsia="x-none"/>
        </w:rPr>
      </w:pPr>
      <w:bookmarkStart w:id="429" w:name="_Toc401839535"/>
      <w:bookmarkStart w:id="430" w:name="_Toc409365123"/>
      <w:bookmarkStart w:id="431" w:name="_Toc437261842"/>
      <w:bookmarkStart w:id="432" w:name="_Toc438191081"/>
      <w:r w:rsidRPr="009C362B">
        <w:rPr>
          <w:rFonts w:eastAsia="Franklin Gothic Book" w:cs="Arial"/>
          <w:b/>
          <w:bCs/>
          <w:sz w:val="24"/>
          <w:szCs w:val="24"/>
          <w:lang w:eastAsia="x-none"/>
        </w:rPr>
        <w:t>Free Ridership</w:t>
      </w:r>
      <w:bookmarkEnd w:id="429"/>
      <w:bookmarkEnd w:id="430"/>
      <w:bookmarkEnd w:id="431"/>
      <w:bookmarkEnd w:id="432"/>
    </w:p>
    <w:p w14:paraId="6BBD9C74" w14:textId="77777777" w:rsidR="009F45F0" w:rsidRPr="009C362B" w:rsidRDefault="009F45F0" w:rsidP="009F45F0">
      <w:pPr>
        <w:widowControl/>
        <w:spacing w:before="120" w:line="276" w:lineRule="auto"/>
        <w:jc w:val="left"/>
        <w:rPr>
          <w:rFonts w:eastAsia="Franklin Gothic Book"/>
          <w:sz w:val="22"/>
        </w:rPr>
      </w:pPr>
      <w:r w:rsidRPr="009C362B">
        <w:rPr>
          <w:rFonts w:eastAsia="Franklin Gothic Book"/>
          <w:sz w:val="22"/>
        </w:rPr>
        <w:t>Free ridership is the proportion of program bulbs that would have been purchased if the program did not exist. Three alternative scenarios could occur:</w:t>
      </w:r>
    </w:p>
    <w:p w14:paraId="64280713" w14:textId="77777777" w:rsidR="009F45F0" w:rsidRPr="009C362B" w:rsidRDefault="009F45F0" w:rsidP="009F45F0">
      <w:pPr>
        <w:widowControl/>
        <w:numPr>
          <w:ilvl w:val="0"/>
          <w:numId w:val="12"/>
        </w:numPr>
        <w:spacing w:after="60" w:line="276" w:lineRule="auto"/>
        <w:ind w:left="540"/>
        <w:contextualSpacing/>
        <w:jc w:val="left"/>
        <w:rPr>
          <w:rFonts w:eastAsia="Franklin Gothic Book"/>
          <w:sz w:val="22"/>
        </w:rPr>
      </w:pPr>
      <w:r w:rsidRPr="009C362B">
        <w:rPr>
          <w:rFonts w:eastAsia="Franklin Gothic Book"/>
          <w:sz w:val="22"/>
        </w:rPr>
        <w:t xml:space="preserve">Full Free Rider: The customer would have purchased the same quantity of efficient bulbs (CFLs or LEDs) in the program’s absence. </w:t>
      </w:r>
    </w:p>
    <w:p w14:paraId="6EA44455" w14:textId="77777777" w:rsidR="009F45F0" w:rsidRPr="009C362B" w:rsidRDefault="009F45F0" w:rsidP="009F45F0">
      <w:pPr>
        <w:widowControl/>
        <w:numPr>
          <w:ilvl w:val="0"/>
          <w:numId w:val="12"/>
        </w:numPr>
        <w:spacing w:after="60" w:line="276" w:lineRule="auto"/>
        <w:ind w:left="540"/>
        <w:contextualSpacing/>
        <w:jc w:val="left"/>
        <w:rPr>
          <w:rFonts w:eastAsia="Franklin Gothic Book"/>
          <w:sz w:val="22"/>
        </w:rPr>
      </w:pPr>
      <w:r w:rsidRPr="009C362B">
        <w:rPr>
          <w:rFonts w:eastAsia="Franklin Gothic Book"/>
          <w:sz w:val="22"/>
        </w:rPr>
        <w:t>Partial Free Rider: The customer would have purchased fewer efficient bulbs (CFLs or LEDs) in the program’s absence.</w:t>
      </w:r>
    </w:p>
    <w:p w14:paraId="2EDE6851" w14:textId="77777777" w:rsidR="009F45F0" w:rsidRDefault="009F45F0" w:rsidP="009F45F0">
      <w:pPr>
        <w:widowControl/>
        <w:numPr>
          <w:ilvl w:val="0"/>
          <w:numId w:val="12"/>
        </w:numPr>
        <w:spacing w:after="200" w:line="276" w:lineRule="auto"/>
        <w:ind w:left="540"/>
        <w:contextualSpacing/>
        <w:jc w:val="left"/>
        <w:rPr>
          <w:rFonts w:eastAsia="Franklin Gothic Book"/>
          <w:sz w:val="22"/>
        </w:rPr>
      </w:pPr>
      <w:r w:rsidRPr="009C362B">
        <w:rPr>
          <w:rFonts w:eastAsia="Franklin Gothic Book"/>
          <w:sz w:val="22"/>
        </w:rPr>
        <w:t>Non-Free Rider: The customer would have not purchased any efficient bulbs (CFLs or LEDs) in the program’s absence.</w:t>
      </w:r>
    </w:p>
    <w:p w14:paraId="2554B395" w14:textId="77777777" w:rsidR="009F45F0" w:rsidRPr="009C362B" w:rsidRDefault="009F45F0" w:rsidP="009F45F0">
      <w:pPr>
        <w:widowControl/>
        <w:spacing w:after="200" w:line="276" w:lineRule="auto"/>
        <w:ind w:left="540"/>
        <w:contextualSpacing/>
        <w:jc w:val="left"/>
        <w:rPr>
          <w:rFonts w:eastAsia="Franklin Gothic Book"/>
          <w:sz w:val="22"/>
        </w:rPr>
      </w:pPr>
    </w:p>
    <w:p w14:paraId="3D7A31E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Free ridership is calculated as the average of two distinct scores: a program influence score and a non-program score. These scores are defined as follows:</w:t>
      </w:r>
    </w:p>
    <w:p w14:paraId="13D90512" w14:textId="77777777" w:rsidR="009F45F0" w:rsidRPr="009C362B" w:rsidRDefault="009F45F0" w:rsidP="009F45F0">
      <w:pPr>
        <w:widowControl/>
        <w:numPr>
          <w:ilvl w:val="0"/>
          <w:numId w:val="13"/>
        </w:numPr>
        <w:spacing w:after="60" w:line="276" w:lineRule="auto"/>
        <w:ind w:left="540"/>
        <w:contextualSpacing/>
        <w:jc w:val="left"/>
        <w:rPr>
          <w:rFonts w:eastAsia="Franklin Gothic Book"/>
          <w:sz w:val="22"/>
        </w:rPr>
      </w:pPr>
      <w:r w:rsidRPr="009C362B">
        <w:rPr>
          <w:rFonts w:eastAsia="Franklin Gothic Book"/>
          <w:sz w:val="22"/>
        </w:rPr>
        <w:lastRenderedPageBreak/>
        <w:t xml:space="preserve">The </w:t>
      </w:r>
      <w:r w:rsidRPr="009C362B">
        <w:rPr>
          <w:rFonts w:eastAsia="Franklin Gothic Book"/>
          <w:i/>
          <w:sz w:val="22"/>
        </w:rPr>
        <w:t>program influence score</w:t>
      </w:r>
      <w:r w:rsidRPr="009C362B">
        <w:rPr>
          <w:rFonts w:eastAsia="Franklin Gothic Book"/>
          <w:sz w:val="22"/>
        </w:rPr>
        <w:t xml:space="preserve"> captures the maximum level of program influence, reported by a survey respondent, of the residential lighting program on their decisions to purchase program bulbs on the day of the survey. This program influence can take a number of forms, such as: the monetary incentive provided to decrease the cost of high-efficiency bulbs; program-sponsored educational materials that explain the benefits of efficient lighting; in-store product placement of efficient bulbs; and program bulb recommendations provided by retail store personnel.</w:t>
      </w:r>
    </w:p>
    <w:p w14:paraId="07A44614" w14:textId="77777777" w:rsidR="009F45F0" w:rsidRDefault="009F45F0" w:rsidP="009F45F0">
      <w:pPr>
        <w:widowControl/>
        <w:numPr>
          <w:ilvl w:val="0"/>
          <w:numId w:val="13"/>
        </w:numPr>
        <w:spacing w:after="200" w:line="276" w:lineRule="auto"/>
        <w:ind w:left="540"/>
        <w:contextualSpacing/>
        <w:jc w:val="left"/>
        <w:rPr>
          <w:rFonts w:eastAsia="Franklin Gothic Book"/>
          <w:sz w:val="22"/>
        </w:rPr>
      </w:pPr>
      <w:r w:rsidRPr="009C362B">
        <w:rPr>
          <w:rFonts w:eastAsia="Franklin Gothic Book"/>
          <w:sz w:val="22"/>
        </w:rPr>
        <w:t xml:space="preserve">The </w:t>
      </w:r>
      <w:r w:rsidRPr="009C362B">
        <w:rPr>
          <w:rFonts w:eastAsia="Franklin Gothic Book"/>
          <w:i/>
          <w:sz w:val="22"/>
        </w:rPr>
        <w:t>non-program score</w:t>
      </w:r>
      <w:r w:rsidRPr="009C362B">
        <w:rPr>
          <w:rFonts w:eastAsia="Franklin Gothic Book"/>
          <w:sz w:val="22"/>
        </w:rPr>
        <w:t xml:space="preserve"> is used to estimate how many program bulbs a survey respondent would have purchased in the absence of the residential lighting program. </w:t>
      </w:r>
    </w:p>
    <w:p w14:paraId="44212C21" w14:textId="77777777" w:rsidR="009F45F0" w:rsidRPr="009C362B" w:rsidRDefault="009F45F0" w:rsidP="009F45F0">
      <w:pPr>
        <w:keepNext/>
        <w:widowControl/>
        <w:numPr>
          <w:ilvl w:val="3"/>
          <w:numId w:val="2"/>
        </w:numPr>
        <w:spacing w:before="360" w:after="160"/>
        <w:jc w:val="left"/>
        <w:outlineLvl w:val="3"/>
        <w:rPr>
          <w:rFonts w:eastAsia="Franklin Gothic Book" w:cs="Arial"/>
          <w:b/>
          <w:bCs/>
          <w:szCs w:val="20"/>
          <w:lang w:eastAsia="x-none"/>
        </w:rPr>
      </w:pPr>
      <w:r w:rsidRPr="009C362B">
        <w:rPr>
          <w:rFonts w:eastAsia="Franklin Gothic Book" w:cs="Arial"/>
          <w:b/>
          <w:bCs/>
          <w:szCs w:val="20"/>
          <w:lang w:eastAsia="x-none"/>
        </w:rPr>
        <w:t>Data Collection</w:t>
      </w:r>
    </w:p>
    <w:p w14:paraId="47A6D70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estimate free ridership, the evaluation teams will conduct in-store intercept surveys with customers purchasing program-discounted lighting at participating retailers. Customers are asked questions that are used to estimate a program influence score and a non-program score for each customer and efficient bulb type purchased.</w:t>
      </w:r>
    </w:p>
    <w:p w14:paraId="6694676F" w14:textId="77777777" w:rsidR="009F45F0" w:rsidRPr="009C362B" w:rsidRDefault="009F45F0" w:rsidP="009F45F0">
      <w:pPr>
        <w:widowControl/>
        <w:spacing w:before="240" w:line="276" w:lineRule="auto"/>
        <w:ind w:left="720"/>
        <w:jc w:val="left"/>
        <w:rPr>
          <w:rFonts w:eastAsia="Franklin Gothic Book"/>
          <w:b/>
          <w:sz w:val="22"/>
        </w:rPr>
      </w:pPr>
      <w:r w:rsidRPr="009C362B">
        <w:rPr>
          <w:rFonts w:eastAsia="Franklin Gothic Book"/>
          <w:b/>
          <w:sz w:val="22"/>
        </w:rPr>
        <w:t>Primary Program Influence Score Questions</w:t>
      </w:r>
    </w:p>
    <w:p w14:paraId="6650EE21"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Light bulb purchasing plans for current shopping trip (Yes/No)</w:t>
      </w:r>
    </w:p>
    <w:p w14:paraId="49CC5BE7"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If planning to purchase bulbs:</w:t>
      </w:r>
    </w:p>
    <w:p w14:paraId="3FEE86AF"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Bulb type (CFL, LED, Incandescent, Halogen)</w:t>
      </w:r>
    </w:p>
    <w:p w14:paraId="3CB1B247"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Utility-incentivized bulbs (Yes/No)</w:t>
      </w:r>
    </w:p>
    <w:p w14:paraId="08112B4F" w14:textId="77777777" w:rsidR="009F45F0" w:rsidRPr="009C362B" w:rsidRDefault="009F45F0" w:rsidP="009F45F0">
      <w:pPr>
        <w:widowControl/>
        <w:numPr>
          <w:ilvl w:val="0"/>
          <w:numId w:val="14"/>
        </w:numPr>
        <w:spacing w:after="60" w:line="276" w:lineRule="auto"/>
        <w:ind w:left="540"/>
        <w:contextualSpacing/>
        <w:jc w:val="left"/>
        <w:rPr>
          <w:rFonts w:eastAsia="Franklin Gothic Book"/>
          <w:sz w:val="22"/>
        </w:rPr>
      </w:pPr>
      <w:r w:rsidRPr="009C362B">
        <w:rPr>
          <w:rFonts w:eastAsia="Franklin Gothic Book"/>
          <w:sz w:val="22"/>
        </w:rPr>
        <w:t>Influence of various program factors:</w:t>
      </w:r>
    </w:p>
    <w:p w14:paraId="15B71D30"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Program incentive</w:t>
      </w:r>
    </w:p>
    <w:p w14:paraId="2CE789B7" w14:textId="77777777" w:rsidR="009F45F0" w:rsidRPr="009C362B" w:rsidRDefault="009F45F0" w:rsidP="009F45F0">
      <w:pPr>
        <w:widowControl/>
        <w:numPr>
          <w:ilvl w:val="1"/>
          <w:numId w:val="14"/>
        </w:numPr>
        <w:spacing w:after="60" w:line="276" w:lineRule="auto"/>
        <w:ind w:left="810" w:hanging="270"/>
        <w:contextualSpacing/>
        <w:jc w:val="left"/>
        <w:rPr>
          <w:rFonts w:eastAsia="Franklin Gothic Book"/>
          <w:sz w:val="22"/>
        </w:rPr>
      </w:pPr>
      <w:r w:rsidRPr="009C362B">
        <w:rPr>
          <w:rFonts w:eastAsia="Franklin Gothic Book"/>
          <w:sz w:val="22"/>
        </w:rPr>
        <w:t>In-store information (printed materials or information from utility representatives or retail personnel)</w:t>
      </w:r>
    </w:p>
    <w:p w14:paraId="499AEBB3" w14:textId="77777777" w:rsidR="009F45F0" w:rsidRPr="009C362B" w:rsidRDefault="009F45F0" w:rsidP="009F45F0">
      <w:pPr>
        <w:widowControl/>
        <w:numPr>
          <w:ilvl w:val="1"/>
          <w:numId w:val="14"/>
        </w:numPr>
        <w:spacing w:after="200" w:line="276" w:lineRule="auto"/>
        <w:ind w:left="810" w:hanging="270"/>
        <w:contextualSpacing/>
        <w:jc w:val="left"/>
        <w:rPr>
          <w:rFonts w:eastAsia="Franklin Gothic Book"/>
          <w:sz w:val="22"/>
        </w:rPr>
      </w:pPr>
      <w:r w:rsidRPr="009C362B">
        <w:rPr>
          <w:rFonts w:eastAsia="Franklin Gothic Book"/>
          <w:sz w:val="22"/>
        </w:rPr>
        <w:t>Positioning of discounted bulbs within the store</w:t>
      </w:r>
    </w:p>
    <w:p w14:paraId="57511109" w14:textId="77777777" w:rsidR="009F45F0" w:rsidRPr="009C362B" w:rsidRDefault="009F45F0" w:rsidP="009F45F0">
      <w:pPr>
        <w:widowControl/>
        <w:spacing w:before="360" w:line="276" w:lineRule="auto"/>
        <w:ind w:left="720"/>
        <w:jc w:val="left"/>
        <w:rPr>
          <w:rFonts w:eastAsia="Franklin Gothic Book"/>
          <w:b/>
          <w:sz w:val="22"/>
        </w:rPr>
      </w:pPr>
      <w:r w:rsidRPr="009C362B">
        <w:rPr>
          <w:rFonts w:eastAsia="Franklin Gothic Book"/>
          <w:b/>
          <w:sz w:val="22"/>
        </w:rPr>
        <w:t>Primary Non-Program Score Questions</w:t>
      </w:r>
    </w:p>
    <w:p w14:paraId="5C076C65" w14:textId="77777777" w:rsidR="009F45F0" w:rsidRPr="009C362B" w:rsidRDefault="009F45F0" w:rsidP="009F45F0">
      <w:pPr>
        <w:widowControl/>
        <w:numPr>
          <w:ilvl w:val="0"/>
          <w:numId w:val="15"/>
        </w:numPr>
        <w:spacing w:after="60" w:line="276" w:lineRule="auto"/>
        <w:ind w:left="540"/>
        <w:contextualSpacing/>
        <w:jc w:val="left"/>
        <w:rPr>
          <w:rFonts w:eastAsia="Franklin Gothic Book"/>
          <w:sz w:val="22"/>
        </w:rPr>
      </w:pPr>
      <w:r w:rsidRPr="009C362B">
        <w:rPr>
          <w:rFonts w:eastAsia="Franklin Gothic Book"/>
          <w:sz w:val="22"/>
        </w:rPr>
        <w:t>Stated preference of light bulb purchases had the utility incentive not been available (purchase all, some or none of efficient bulbs)</w:t>
      </w:r>
    </w:p>
    <w:p w14:paraId="23D64EA3" w14:textId="77777777" w:rsidR="009F45F0" w:rsidRPr="009C362B" w:rsidRDefault="009F45F0" w:rsidP="009F45F0">
      <w:pPr>
        <w:widowControl/>
        <w:numPr>
          <w:ilvl w:val="0"/>
          <w:numId w:val="15"/>
        </w:numPr>
        <w:spacing w:after="60" w:line="276" w:lineRule="auto"/>
        <w:ind w:left="540"/>
        <w:contextualSpacing/>
        <w:jc w:val="left"/>
        <w:rPr>
          <w:rFonts w:eastAsia="Franklin Gothic Book"/>
          <w:sz w:val="22"/>
        </w:rPr>
      </w:pPr>
      <w:r w:rsidRPr="009C362B">
        <w:rPr>
          <w:rFonts w:eastAsia="Franklin Gothic Book"/>
          <w:sz w:val="22"/>
        </w:rPr>
        <w:t>Quantity of light bulbs purchased absent the utility incentive</w:t>
      </w:r>
    </w:p>
    <w:p w14:paraId="6F9384ED" w14:textId="77777777" w:rsidR="009F45F0" w:rsidRPr="009C362B" w:rsidRDefault="009F45F0" w:rsidP="009F45F0">
      <w:pPr>
        <w:keepNext/>
        <w:widowControl/>
        <w:numPr>
          <w:ilvl w:val="3"/>
          <w:numId w:val="2"/>
        </w:numPr>
        <w:spacing w:before="240" w:after="160"/>
        <w:jc w:val="left"/>
        <w:outlineLvl w:val="3"/>
        <w:rPr>
          <w:rFonts w:eastAsia="Franklin Gothic Book" w:cs="Arial"/>
          <w:b/>
          <w:bCs/>
          <w:szCs w:val="20"/>
          <w:lang w:eastAsia="x-none"/>
        </w:rPr>
      </w:pPr>
      <w:r w:rsidRPr="009C362B">
        <w:rPr>
          <w:rFonts w:eastAsia="Franklin Gothic Book" w:cs="Arial"/>
          <w:b/>
          <w:bCs/>
          <w:szCs w:val="20"/>
          <w:lang w:eastAsia="x-none"/>
        </w:rPr>
        <w:t>Scoring Algorithms</w:t>
      </w:r>
    </w:p>
    <w:p w14:paraId="095F5D6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Using the data collected from program participants during the in-store intercept surveys, program influence and non-program scores are calculated for each survey respondent and then combined to estimate a respondent-specific free ridership score.</w:t>
      </w:r>
    </w:p>
    <w:p w14:paraId="2A8F0213" w14:textId="77777777" w:rsidR="009F45F0" w:rsidRPr="009C362B" w:rsidRDefault="009F45F0" w:rsidP="009F45F0">
      <w:pPr>
        <w:keepNext/>
        <w:widowControl/>
        <w:spacing w:after="0" w:line="276" w:lineRule="auto"/>
        <w:ind w:left="720"/>
        <w:jc w:val="left"/>
        <w:rPr>
          <w:rFonts w:eastAsia="Franklin Gothic Book"/>
          <w:b/>
          <w:sz w:val="22"/>
        </w:rPr>
      </w:pPr>
      <w:r w:rsidRPr="009C362B">
        <w:rPr>
          <w:rFonts w:eastAsia="Franklin Gothic Book"/>
          <w:b/>
          <w:sz w:val="22"/>
        </w:rPr>
        <w:t>Calculation of the Program Influence Score:</w:t>
      </w:r>
    </w:p>
    <w:p w14:paraId="4B4F5B9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Survey respondents purchasing one or more program-discounted bulbs are assigned a preliminary program influence score based on the maximum program influence level (on a 0 to 10 scale) they assigned to one or more program factors (e.g., monetary incentive/informational materials (printed or from store personnel)/product positioning). The influence level assigned to the monetary incentive should be increased for survey respondents (using a linear decreasing function</w:t>
      </w:r>
      <w:r w:rsidRPr="009C362B">
        <w:rPr>
          <w:rFonts w:eastAsia="Franklin Gothic Book"/>
          <w:sz w:val="22"/>
          <w:vertAlign w:val="superscript"/>
        </w:rPr>
        <w:footnoteReference w:id="13"/>
      </w:r>
      <w:r w:rsidRPr="009C362B">
        <w:rPr>
          <w:rFonts w:eastAsia="Franklin Gothic Book"/>
          <w:sz w:val="22"/>
        </w:rPr>
        <w:t xml:space="preserve">) who indicated that </w:t>
      </w:r>
      <w:r w:rsidRPr="009C362B">
        <w:rPr>
          <w:rFonts w:eastAsia="Franklin Gothic Book"/>
          <w:sz w:val="22"/>
        </w:rPr>
        <w:lastRenderedPageBreak/>
        <w:t>absent the incentive they would not have purchased any of the program bulbs they were purchasing that day.</w:t>
      </w:r>
    </w:p>
    <w:p w14:paraId="3E79445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After the preliminary program influence score is assigned, a secondary algorithm is run that adjusts the preliminary program influence based on survey data regarding the customers purchasing plans when they entered the store. Survey respondents who indicate they planned to purchase high-efficiency bulbs prior to entering the store and had who not come to the store specifically to buy utility-incentivized program bulbs, should have their program influence score cut in half. This adjustment makes the final program influence score reflective of their stated planned intention to purchase efficient bulbs in the program’s absence. </w:t>
      </w:r>
    </w:p>
    <w:p w14:paraId="4D3E7B17" w14:textId="77777777" w:rsidR="009F45F0" w:rsidRPr="009C362B" w:rsidRDefault="009F45F0" w:rsidP="009F45F0">
      <w:pPr>
        <w:widowControl/>
        <w:spacing w:after="0" w:line="276" w:lineRule="auto"/>
        <w:ind w:left="720"/>
        <w:jc w:val="left"/>
        <w:rPr>
          <w:rFonts w:eastAsia="Franklin Gothic Book"/>
          <w:b/>
          <w:sz w:val="22"/>
        </w:rPr>
      </w:pPr>
      <w:r w:rsidRPr="009C362B">
        <w:rPr>
          <w:rFonts w:eastAsia="Franklin Gothic Book"/>
          <w:b/>
          <w:sz w:val="22"/>
        </w:rPr>
        <w:t xml:space="preserve">Calculation of the Non-Program Score: </w:t>
      </w:r>
    </w:p>
    <w:p w14:paraId="71050CE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non-program score is based on whether a respondent states they would have purchased all, some, or none of the program-discounted bulbs in the absence of utility incentives. Respondents reporting they would have purchased all of the efficient bulbs without the incentive should be considered free riders and receive a non-program score of zero. Those reporting they would have purchased none of the efficient bulbs without the incentives should be classified as non-free riders and receive a non-program score of 10, the maximum. Respondents reporting they would have purchased some of the efficient bulbs without the incentive should be assigned a non-program score between 0 and 10, reflective of the percentage of efficient bulbs they would not have purchased absent the program. </w:t>
      </w:r>
    </w:p>
    <w:p w14:paraId="69CBE05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Respondents reporting they would have purchased all of the program-discounted bulbs in the program’s absence, but in-store materials provided by the utility had a moderate to high influence on their decision should have their non-program scores adjusted to equal the level of influence they attributed to these program-sponsored informational materials. </w:t>
      </w:r>
    </w:p>
    <w:p w14:paraId="4D694F7A" w14:textId="77777777" w:rsidR="009F45F0" w:rsidRPr="009C362B" w:rsidRDefault="009F45F0" w:rsidP="009F45F0">
      <w:pPr>
        <w:widowControl/>
        <w:spacing w:after="0" w:line="276" w:lineRule="auto"/>
        <w:ind w:left="720"/>
        <w:jc w:val="left"/>
        <w:rPr>
          <w:rFonts w:eastAsia="Franklin Gothic Book"/>
          <w:b/>
          <w:sz w:val="22"/>
        </w:rPr>
      </w:pPr>
      <w:r w:rsidRPr="009C362B">
        <w:rPr>
          <w:rFonts w:eastAsia="Franklin Gothic Book"/>
          <w:b/>
          <w:sz w:val="22"/>
        </w:rPr>
        <w:t xml:space="preserve">Calculation of Free Ridership: </w:t>
      </w:r>
    </w:p>
    <w:p w14:paraId="5C1AE32B" w14:textId="77777777" w:rsidR="009F45F0" w:rsidRPr="009C362B" w:rsidRDefault="009F45F0" w:rsidP="009F45F0">
      <w:pPr>
        <w:widowControl/>
        <w:tabs>
          <w:tab w:val="center" w:pos="5040"/>
          <w:tab w:val="right" w:pos="9360"/>
        </w:tabs>
        <w:spacing w:before="60" w:after="60" w:line="276" w:lineRule="auto"/>
        <w:ind w:firstLine="720"/>
        <w:jc w:val="left"/>
        <w:rPr>
          <w:rFonts w:eastAsia="Franklin Gothic Book"/>
          <w:sz w:val="22"/>
        </w:rPr>
      </w:pPr>
      <w:r w:rsidRPr="009C362B">
        <w:rPr>
          <w:rFonts w:eastAsia="Franklin Gothic Book"/>
          <w:sz w:val="22"/>
        </w:rPr>
        <w:tab/>
        <w:t>Free Ridership = 1 – (Program Influence Score + Non-Program Score)/20</w:t>
      </w:r>
      <w:r w:rsidRPr="009C362B">
        <w:rPr>
          <w:rFonts w:eastAsia="Franklin Gothic Book"/>
          <w:sz w:val="22"/>
        </w:rPr>
        <w:tab/>
      </w:r>
    </w:p>
    <w:p w14:paraId="0E89DF6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Using the calculated program influence and non-program scores, free ridership is calculated as one minus the sum of the two scores (program influence score plus non-program score), divided by 20. Dividing the sum of scores by 20 results in a ratio (between 0 and 1) that is representative of the average of the two zero to 10 scores. Subtracting this ratio from one reverses the score, thus representing the free ridership level. If either the non-program or program influence scores are missing, free ridership can be calculated using the single available score divided by 10. Evaluators may also reference available data to perform documented modifications to individual free ridership estimates resulting from the application of a core free ridership assessment methodology.</w:t>
      </w:r>
    </w:p>
    <w:p w14:paraId="5A4B889E" w14:textId="77777777" w:rsidR="009F45F0" w:rsidRPr="009C362B" w:rsidRDefault="009F45F0" w:rsidP="009F45F0">
      <w:pPr>
        <w:keepNext/>
        <w:keepLines/>
        <w:widowControl/>
        <w:numPr>
          <w:ilvl w:val="2"/>
          <w:numId w:val="2"/>
        </w:numPr>
        <w:spacing w:after="0"/>
        <w:ind w:left="630"/>
        <w:jc w:val="left"/>
        <w:outlineLvl w:val="2"/>
        <w:rPr>
          <w:rFonts w:eastAsia="Franklin Gothic Book" w:cs="Arial"/>
          <w:b/>
          <w:bCs/>
          <w:sz w:val="24"/>
          <w:szCs w:val="24"/>
          <w:lang w:eastAsia="x-none"/>
        </w:rPr>
      </w:pPr>
      <w:bookmarkStart w:id="433" w:name="_Toc401839536"/>
      <w:bookmarkStart w:id="434" w:name="_Toc409365124"/>
      <w:bookmarkStart w:id="435" w:name="_Toc437261843"/>
      <w:bookmarkStart w:id="436" w:name="_Toc438191082"/>
      <w:r w:rsidRPr="009C362B">
        <w:rPr>
          <w:rFonts w:eastAsia="Franklin Gothic Book" w:cs="Arial"/>
          <w:b/>
          <w:bCs/>
          <w:sz w:val="24"/>
          <w:szCs w:val="24"/>
          <w:lang w:eastAsia="x-none"/>
        </w:rPr>
        <w:t>Participant Spillover</w:t>
      </w:r>
      <w:bookmarkEnd w:id="433"/>
      <w:bookmarkEnd w:id="434"/>
      <w:bookmarkEnd w:id="435"/>
      <w:bookmarkEnd w:id="436"/>
    </w:p>
    <w:p w14:paraId="1EC50352"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Participant spillover results from purchases of non-discounted efficient bulbs by program bulb purchasers who are influenced by their participation in the residential lighting program to purchase additional non-discounted efficient bulbs.</w:t>
      </w:r>
    </w:p>
    <w:p w14:paraId="071D262D" w14:textId="77777777" w:rsidR="009F45F0" w:rsidRPr="009C362B" w:rsidRDefault="009F45F0" w:rsidP="009F45F0">
      <w:pPr>
        <w:keepNext/>
        <w:widowControl/>
        <w:spacing w:before="120"/>
        <w:ind w:left="2160"/>
        <w:outlineLvl w:val="3"/>
        <w:rPr>
          <w:rFonts w:eastAsia="Franklin Gothic Book" w:cs="Arial"/>
          <w:b/>
          <w:bCs/>
          <w:szCs w:val="20"/>
          <w:lang w:eastAsia="x-none"/>
        </w:rPr>
      </w:pPr>
      <w:r w:rsidRPr="009C362B">
        <w:rPr>
          <w:rFonts w:eastAsia="Franklin Gothic Book" w:cs="Arial"/>
          <w:b/>
          <w:bCs/>
          <w:szCs w:val="20"/>
          <w:lang w:eastAsia="x-none"/>
        </w:rPr>
        <w:lastRenderedPageBreak/>
        <w:t xml:space="preserve">a) </w:t>
      </w:r>
      <w:r w:rsidRPr="009C362B">
        <w:rPr>
          <w:rFonts w:eastAsia="Franklin Gothic Book" w:cs="Arial"/>
          <w:b/>
          <w:bCs/>
          <w:szCs w:val="20"/>
          <w:lang w:eastAsia="x-none"/>
        </w:rPr>
        <w:tab/>
        <w:t>Data Collection</w:t>
      </w:r>
    </w:p>
    <w:p w14:paraId="044E4778"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 xml:space="preserve">Data collected during in-store intercept surveys with customers purchasing program bulbs should be used to estimate participant spillover. During these surveys, customers purchasing program-discounted and non-discounted efficient bulbs should be asked questions to determine whether the residential lighting program influenced their purchases of non-discounted efficient bulbs. </w:t>
      </w:r>
    </w:p>
    <w:p w14:paraId="4A188622" w14:textId="77777777" w:rsidR="009F45F0" w:rsidRPr="009C362B" w:rsidRDefault="009F45F0" w:rsidP="009F45F0">
      <w:pPr>
        <w:keepNext/>
        <w:widowControl/>
        <w:spacing w:before="120"/>
        <w:ind w:left="2160"/>
        <w:outlineLvl w:val="3"/>
        <w:rPr>
          <w:rFonts w:eastAsia="Franklin Gothic Book" w:cs="Arial"/>
          <w:b/>
          <w:bCs/>
          <w:szCs w:val="20"/>
          <w:lang w:eastAsia="x-none"/>
        </w:rPr>
      </w:pPr>
      <w:r w:rsidRPr="009C362B">
        <w:rPr>
          <w:rFonts w:eastAsia="Franklin Gothic Book" w:cs="Arial"/>
          <w:b/>
          <w:bCs/>
          <w:szCs w:val="20"/>
          <w:lang w:eastAsia="x-none"/>
        </w:rPr>
        <w:t>b)</w:t>
      </w:r>
      <w:r w:rsidRPr="009C362B">
        <w:rPr>
          <w:rFonts w:eastAsia="Franklin Gothic Book" w:cs="Arial"/>
          <w:b/>
          <w:bCs/>
          <w:szCs w:val="20"/>
          <w:lang w:eastAsia="x-none"/>
        </w:rPr>
        <w:tab/>
        <w:t>Scoring Algorithm</w:t>
      </w:r>
    </w:p>
    <w:p w14:paraId="29DEA164"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To estimate participant spillover, the number of program-influenced, non-discounted efficient bulbs purchased by program participants is divided by the total number of program bulbs purchased by these program participants. This results in the participant spillover rate.</w:t>
      </w:r>
    </w:p>
    <w:p w14:paraId="5CE24767" w14:textId="77777777" w:rsidR="009F45F0" w:rsidRPr="009C362B" w:rsidRDefault="009F45F0" w:rsidP="009F45F0">
      <w:pPr>
        <w:widowControl/>
        <w:numPr>
          <w:ilvl w:val="2"/>
          <w:numId w:val="2"/>
        </w:numPr>
        <w:spacing w:before="120" w:after="0"/>
        <w:ind w:left="720"/>
        <w:jc w:val="left"/>
        <w:outlineLvl w:val="2"/>
        <w:rPr>
          <w:rFonts w:eastAsia="Franklin Gothic Book" w:cs="Arial"/>
          <w:b/>
          <w:bCs/>
          <w:sz w:val="24"/>
          <w:szCs w:val="24"/>
          <w:lang w:eastAsia="x-none"/>
        </w:rPr>
      </w:pPr>
      <w:bookmarkStart w:id="437" w:name="_Toc409365125"/>
      <w:bookmarkStart w:id="438" w:name="_Toc437261844"/>
      <w:bookmarkStart w:id="439" w:name="_Toc438191083"/>
      <w:r w:rsidRPr="009C362B">
        <w:rPr>
          <w:rFonts w:eastAsia="Franklin Gothic Book" w:cs="Arial"/>
          <w:b/>
          <w:bCs/>
          <w:sz w:val="24"/>
          <w:szCs w:val="24"/>
          <w:lang w:eastAsia="x-none"/>
        </w:rPr>
        <w:t>Nonparticipant Spillover</w:t>
      </w:r>
      <w:bookmarkEnd w:id="437"/>
      <w:bookmarkEnd w:id="438"/>
      <w:bookmarkEnd w:id="439"/>
    </w:p>
    <w:p w14:paraId="6FDA1E98"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Nonparticipant spillover results from purchases of non-discounted efficient bulbs by customers who are not purchasing program-discounted bulbs, but report that the residential lighting program influenced their decision to purchase non-discounted efficient bulbs.</w:t>
      </w:r>
    </w:p>
    <w:p w14:paraId="1DD4A7CE" w14:textId="77777777" w:rsidR="009F45F0" w:rsidRPr="009C362B" w:rsidRDefault="009F45F0" w:rsidP="009F45F0">
      <w:pPr>
        <w:keepNext/>
        <w:widowControl/>
        <w:numPr>
          <w:ilvl w:val="3"/>
          <w:numId w:val="2"/>
        </w:numPr>
        <w:spacing w:before="120" w:after="0"/>
        <w:jc w:val="left"/>
        <w:outlineLvl w:val="3"/>
        <w:rPr>
          <w:rFonts w:eastAsia="Franklin Gothic Book" w:cs="Arial"/>
          <w:b/>
          <w:bCs/>
          <w:szCs w:val="20"/>
          <w:lang w:eastAsia="x-none"/>
        </w:rPr>
      </w:pPr>
      <w:r w:rsidRPr="009C362B">
        <w:rPr>
          <w:rFonts w:eastAsia="Franklin Gothic Book" w:cs="Arial"/>
          <w:b/>
          <w:bCs/>
          <w:szCs w:val="20"/>
          <w:lang w:eastAsia="x-none"/>
        </w:rPr>
        <w:t>Data Collection</w:t>
      </w:r>
    </w:p>
    <w:p w14:paraId="0236439C"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 xml:space="preserve">Data collected during in-store intercept surveys with customers purchasing efficient bulbs not discounted by the program should be used to estimate nonparticipant spillover. During these surveys, customers purchasing non-discounted efficient bulbs should be asked questions to determine whether the residential lighting program influenced their purchases of non-discounted efficient bulbs. </w:t>
      </w:r>
    </w:p>
    <w:p w14:paraId="76CC6CDE" w14:textId="77777777" w:rsidR="009F45F0" w:rsidRPr="009C362B" w:rsidRDefault="009F45F0" w:rsidP="009F45F0">
      <w:pPr>
        <w:keepNext/>
        <w:widowControl/>
        <w:numPr>
          <w:ilvl w:val="3"/>
          <w:numId w:val="2"/>
        </w:numPr>
        <w:spacing w:before="120" w:after="0"/>
        <w:jc w:val="left"/>
        <w:outlineLvl w:val="3"/>
        <w:rPr>
          <w:rFonts w:eastAsia="Franklin Gothic Book" w:cs="Arial"/>
          <w:b/>
          <w:bCs/>
          <w:szCs w:val="20"/>
          <w:lang w:eastAsia="x-none"/>
        </w:rPr>
      </w:pPr>
      <w:r w:rsidRPr="009C362B">
        <w:rPr>
          <w:rFonts w:eastAsia="Franklin Gothic Book" w:cs="Arial"/>
          <w:b/>
          <w:bCs/>
          <w:szCs w:val="20"/>
          <w:lang w:eastAsia="x-none"/>
        </w:rPr>
        <w:t>Scoring Algorithm</w:t>
      </w:r>
    </w:p>
    <w:p w14:paraId="1B797F82" w14:textId="77777777" w:rsidR="009F45F0" w:rsidRPr="009C362B" w:rsidRDefault="009F45F0" w:rsidP="009F45F0">
      <w:pPr>
        <w:widowControl/>
        <w:spacing w:before="120"/>
        <w:jc w:val="left"/>
        <w:rPr>
          <w:rFonts w:eastAsia="Franklin Gothic Book"/>
          <w:sz w:val="22"/>
        </w:rPr>
      </w:pPr>
      <w:r w:rsidRPr="009C362B">
        <w:rPr>
          <w:rFonts w:eastAsia="Franklin Gothic Book"/>
          <w:sz w:val="22"/>
        </w:rPr>
        <w:t>To estimate nonparticipant spillover, one must first calculate the number of program-influenced, non-discounted efficient bulbs purchased by the population of program nonparticipants surveyed. This yields a survey nonparticipant spillover rate. This rate is then extrapolated to the estimated population of nonparticipating utility customers to determine the estimated total quantity of non-program efficient bulbs being purchased within the utility service territory. Dividing this result by the total number of program bulbs results in the nonparticipant spillover rate.</w:t>
      </w:r>
    </w:p>
    <w:p w14:paraId="1F1D5633" w14:textId="77777777" w:rsidR="009F45F0" w:rsidRPr="009C362B" w:rsidRDefault="009F45F0" w:rsidP="009F45F0">
      <w:pPr>
        <w:widowControl/>
        <w:numPr>
          <w:ilvl w:val="2"/>
          <w:numId w:val="2"/>
        </w:numPr>
        <w:spacing w:before="120" w:after="0"/>
        <w:ind w:left="720"/>
        <w:jc w:val="left"/>
        <w:outlineLvl w:val="2"/>
        <w:rPr>
          <w:rFonts w:eastAsia="Franklin Gothic Book" w:cs="Arial"/>
          <w:b/>
          <w:bCs/>
          <w:sz w:val="24"/>
          <w:szCs w:val="24"/>
          <w:lang w:eastAsia="x-none"/>
        </w:rPr>
      </w:pPr>
      <w:bookmarkStart w:id="440" w:name="_Toc437261845"/>
      <w:bookmarkStart w:id="441" w:name="_Toc438191084"/>
      <w:r w:rsidRPr="009C362B">
        <w:rPr>
          <w:rFonts w:eastAsia="Franklin Gothic Book" w:cs="Arial"/>
          <w:b/>
          <w:bCs/>
          <w:sz w:val="24"/>
          <w:szCs w:val="24"/>
          <w:lang w:eastAsia="x-none"/>
        </w:rPr>
        <w:t>Method Advantages and Disadvantages</w:t>
      </w:r>
      <w:bookmarkEnd w:id="440"/>
      <w:bookmarkEnd w:id="441"/>
    </w:p>
    <w:p w14:paraId="4380B04E" w14:textId="77777777" w:rsidR="009F45F0" w:rsidRPr="009C362B" w:rsidRDefault="009F45F0" w:rsidP="009F45F0">
      <w:pPr>
        <w:widowControl/>
        <w:spacing w:after="0"/>
        <w:jc w:val="left"/>
        <w:rPr>
          <w:rFonts w:eastAsia="Franklin Gothic Book"/>
          <w:sz w:val="22"/>
        </w:rPr>
      </w:pPr>
      <w:r w:rsidRPr="009C362B">
        <w:rPr>
          <w:rFonts w:eastAsia="Franklin Gothic Book"/>
          <w:sz w:val="22"/>
        </w:rPr>
        <w:t xml:space="preserve">The in-store intercept method described above has certain advantages and disadvantages. </w:t>
      </w:r>
    </w:p>
    <w:p w14:paraId="3AF868A4" w14:textId="77777777" w:rsidR="009F45F0" w:rsidRPr="009C362B" w:rsidRDefault="009F45F0" w:rsidP="009F45F0">
      <w:pPr>
        <w:widowControl/>
        <w:spacing w:before="120"/>
        <w:jc w:val="left"/>
        <w:rPr>
          <w:rFonts w:eastAsia="Franklin Gothic Book"/>
          <w:sz w:val="22"/>
        </w:rPr>
      </w:pPr>
      <w:r w:rsidRPr="009C362B">
        <w:rPr>
          <w:rFonts w:eastAsia="Franklin Gothic Book"/>
          <w:b/>
          <w:sz w:val="22"/>
        </w:rPr>
        <w:t>Advantages:</w:t>
      </w:r>
      <w:r w:rsidRPr="009C362B">
        <w:rPr>
          <w:rFonts w:eastAsia="Franklin Gothic Book"/>
          <w:sz w:val="22"/>
        </w:rPr>
        <w:t xml:space="preserve"> This approach catches customers at their point of purchase, before they leave the store and can no longer be contacted directly. Given the interview’s timing, customers can more easily recall price factors leading to their purchase choices. Also, as customers are intercepted at the store rather than surveyed by telephone, a higher cooperation rate results.</w:t>
      </w:r>
    </w:p>
    <w:p w14:paraId="66D34048" w14:textId="77777777" w:rsidR="009F45F0" w:rsidRPr="009C362B" w:rsidRDefault="009F45F0" w:rsidP="009F45F0">
      <w:pPr>
        <w:widowControl/>
        <w:spacing w:before="120"/>
        <w:jc w:val="left"/>
        <w:rPr>
          <w:rFonts w:eastAsia="Franklin Gothic Book"/>
          <w:sz w:val="22"/>
        </w:rPr>
      </w:pPr>
      <w:r w:rsidRPr="009C362B">
        <w:rPr>
          <w:rFonts w:eastAsia="Franklin Gothic Book"/>
          <w:b/>
          <w:sz w:val="22"/>
        </w:rPr>
        <w:t xml:space="preserve">Disadvantages: </w:t>
      </w:r>
      <w:r w:rsidRPr="009C362B">
        <w:rPr>
          <w:rFonts w:eastAsia="Franklin Gothic Book"/>
          <w:sz w:val="22"/>
        </w:rPr>
        <w:t>Customers may not fully connect the impact that in-store education, product placement, and advertising have on their decision making. While many consumers believe they are not influenced by advertising, retailers know advertising and product placement work. Further, store intercepts typically must be coordinated with education events, and many retailers do not allow interviews to take place in their stores. Consequently, results are not based on random samples of customers purchasing program-discounted lighting throughout the year and across all participating retailers, which could bias the results.</w:t>
      </w:r>
    </w:p>
    <w:p w14:paraId="5155E8CA" w14:textId="77777777" w:rsidR="009F45F0" w:rsidRPr="009C362B" w:rsidRDefault="009F45F0" w:rsidP="009F45F0">
      <w:pPr>
        <w:keepNext/>
        <w:widowControl/>
        <w:numPr>
          <w:ilvl w:val="0"/>
          <w:numId w:val="2"/>
        </w:numPr>
        <w:spacing w:before="120" w:after="160"/>
        <w:jc w:val="left"/>
        <w:outlineLvl w:val="0"/>
        <w:rPr>
          <w:rFonts w:eastAsia="Franklin Gothic Book" w:cs="Arial"/>
          <w:b/>
          <w:bCs/>
          <w:kern w:val="36"/>
          <w:sz w:val="24"/>
          <w:szCs w:val="24"/>
          <w:lang w:eastAsia="x-none"/>
        </w:rPr>
      </w:pPr>
      <w:bookmarkStart w:id="442" w:name="_Toc437261846"/>
      <w:bookmarkStart w:id="443" w:name="_Toc438191085"/>
      <w:r w:rsidRPr="009C362B">
        <w:rPr>
          <w:rFonts w:eastAsia="Franklin Gothic Book" w:cs="Arial"/>
          <w:b/>
          <w:bCs/>
          <w:kern w:val="36"/>
          <w:sz w:val="24"/>
          <w:szCs w:val="24"/>
          <w:lang w:eastAsia="x-none"/>
        </w:rPr>
        <w:t>Appendix A: Overview of NTG Methods</w:t>
      </w:r>
      <w:bookmarkEnd w:id="442"/>
      <w:bookmarkEnd w:id="443"/>
    </w:p>
    <w:p w14:paraId="67D0770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evaluation teams present information in this appendix to provide a relatively quick overview of NTG methods for readers unaccustomed to the possible methods that evaluators may deploy. It is not meant </w:t>
      </w:r>
      <w:r w:rsidRPr="009C362B">
        <w:rPr>
          <w:rFonts w:eastAsia="Franklin Gothic Book"/>
          <w:sz w:val="22"/>
        </w:rPr>
        <w:lastRenderedPageBreak/>
        <w:t>to be a complete or deep discussion about each of the methods presented. However, the evaluators in Illinois considered the inclusion of this appendix to be very important in acknowledging the current suite of methods deployed by evaluators throughout the U.S. and giving a framework for work within Illinois.</w:t>
      </w:r>
    </w:p>
    <w:p w14:paraId="43734C1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Much of the information shown below is taken directly from a single source — the national Uniform Methods Project, Chapter 17: Estimating Net Savings: Common Practices. (Violette and Rathbun, 2014) This document has done a nice job of summarizing the eight most common attribution methods currently in use across the U.S. The evaluation teams recommend that readers go first to this reference for further information. Additionally, while there are slightly over 100 references within the Violette and Rathbun document, other non-duplicative references are included where reasonable as additional resources for those interested in further research into any specific method.</w:t>
      </w:r>
    </w:p>
    <w:p w14:paraId="393AF48F"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44" w:name="_Toc437261847"/>
      <w:bookmarkStart w:id="445" w:name="_Toc438191086"/>
      <w:r w:rsidRPr="009C362B">
        <w:rPr>
          <w:rFonts w:eastAsia="Franklin Gothic Book" w:cs="Arial"/>
          <w:b/>
          <w:bCs/>
          <w:sz w:val="24"/>
          <w:szCs w:val="20"/>
          <w:lang w:eastAsia="x-none"/>
        </w:rPr>
        <w:t>Survey-Based Approaches</w:t>
      </w:r>
      <w:bookmarkEnd w:id="444"/>
      <w:bookmarkEnd w:id="445"/>
    </w:p>
    <w:p w14:paraId="25C4E28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Virtually all Illinois based evaluations use a survey-based approach for programs where primary data is used to determine net savings. (The main exception is for Behavioral programs which use statistical analysis based on a randomized control trial program design.) Survey based approaches obtain data from program participants and nonparticipants using a structured data collection instrument implemented via phone, in person or on-line. At times, evaluators create and use an unstructured depth-interview guide to collect information about attribution and this provides both contextual data and quantitative data about a given project. </w:t>
      </w:r>
    </w:p>
    <w:p w14:paraId="0D320618"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446" w:name="_Toc437261848"/>
      <w:bookmarkStart w:id="447" w:name="_Toc438191087"/>
      <w:r w:rsidRPr="009C362B">
        <w:rPr>
          <w:rFonts w:eastAsia="Franklin Gothic Book" w:cs="Arial"/>
          <w:b/>
          <w:bCs/>
          <w:sz w:val="24"/>
          <w:szCs w:val="24"/>
          <w:lang w:eastAsia="x-none"/>
        </w:rPr>
        <w:t>Self-Report Approach</w:t>
      </w:r>
      <w:bookmarkEnd w:id="446"/>
      <w:bookmarkEnd w:id="447"/>
    </w:p>
    <w:p w14:paraId="5320860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self-report approach relies on the abilities of customers to discuss the program influence as well as the somewhat abstract ideas of the counterfactual (i.e., what would have occurred absent the program) after making a choice to purchase an energy efficient item or take an energy efficient action unrelated to a purchase. For program participants, this could include doing nothing (i.e., leaving the existing equipment as-is), installing the same energy efficient equipment as they did through the program, or an intermediate step of installing equipment that is more efficient than what they had in place previously, but less efficient than what they installed through the program . Evaluators also use this approach when collecting information from trade allies or distributors. This self-report approach is not new, nor is it exclusively used by the energy efficiency industry. An important attribute of this approach is its reliance on well-designed and fielded survey questions, so that the data underlying subsequent analyses are accurate and complete.</w:t>
      </w:r>
    </w:p>
    <w:p w14:paraId="21C2CD6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The output of this approach is a NTG ratio which can be considered an index of the program’s influence on the decision to install energy efficient equipment. The NTG ratio is applied to gross savings in order to obtain an estimate of net savings. The NTG ratio may include free ridership, spillover, or market effects, depending on the survey and analytical design. NTG ratios may be calculated at the measure, suite of measures, or program level and are typically average values weighted by savings. If sufficient information is available, analysis of NTG ratios among certain customer segments may be done to further inform changes to program design.</w:t>
      </w:r>
    </w:p>
    <w:p w14:paraId="494EC2DB" w14:textId="77777777" w:rsidR="009F45F0" w:rsidRPr="009C362B" w:rsidRDefault="009F45F0" w:rsidP="009F45F0">
      <w:pPr>
        <w:keepNext/>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6D962E9D" w14:textId="77777777" w:rsidR="009F45F0" w:rsidRPr="009C362B" w:rsidRDefault="009F45F0" w:rsidP="009F45F0">
      <w:pPr>
        <w:keepNext/>
        <w:widowControl/>
        <w:numPr>
          <w:ilvl w:val="0"/>
          <w:numId w:val="5"/>
        </w:numPr>
        <w:spacing w:after="0"/>
        <w:ind w:left="360"/>
        <w:jc w:val="left"/>
        <w:rPr>
          <w:rFonts w:eastAsia="Franklin Gothic Book"/>
          <w:sz w:val="22"/>
        </w:rPr>
      </w:pPr>
      <w:r w:rsidRPr="009C362B">
        <w:rPr>
          <w:rFonts w:eastAsia="Franklin Gothic Book"/>
          <w:sz w:val="22"/>
        </w:rPr>
        <w:t>Sudman, 1996</w:t>
      </w:r>
    </w:p>
    <w:p w14:paraId="35871BD2" w14:textId="77777777" w:rsidR="009F45F0" w:rsidRPr="009C362B" w:rsidRDefault="009F45F0" w:rsidP="009F45F0">
      <w:pPr>
        <w:keepNext/>
        <w:widowControl/>
        <w:numPr>
          <w:ilvl w:val="0"/>
          <w:numId w:val="5"/>
        </w:numPr>
        <w:spacing w:after="0"/>
        <w:ind w:left="360"/>
        <w:jc w:val="left"/>
        <w:rPr>
          <w:rFonts w:eastAsia="Franklin Gothic Book"/>
          <w:sz w:val="22"/>
        </w:rPr>
      </w:pPr>
      <w:r w:rsidRPr="009C362B">
        <w:rPr>
          <w:rFonts w:eastAsia="Franklin Gothic Book"/>
          <w:sz w:val="22"/>
        </w:rPr>
        <w:t>Stone, et al., 2000</w:t>
      </w:r>
    </w:p>
    <w:p w14:paraId="1B431897" w14:textId="77777777" w:rsidR="009F45F0" w:rsidRPr="009C362B" w:rsidRDefault="009F45F0" w:rsidP="009F45F0">
      <w:pPr>
        <w:widowControl/>
        <w:numPr>
          <w:ilvl w:val="0"/>
          <w:numId w:val="5"/>
        </w:numPr>
        <w:spacing w:after="160"/>
        <w:ind w:left="360"/>
        <w:jc w:val="left"/>
        <w:rPr>
          <w:rFonts w:eastAsia="Franklin Gothic Book"/>
          <w:sz w:val="22"/>
        </w:rPr>
      </w:pPr>
      <w:r w:rsidRPr="009C362B">
        <w:rPr>
          <w:rFonts w:eastAsia="Franklin Gothic Book"/>
          <w:sz w:val="22"/>
        </w:rPr>
        <w:t>Bradburn, et al., 2004</w:t>
      </w:r>
    </w:p>
    <w:p w14:paraId="78130F66" w14:textId="77777777" w:rsidR="009F45F0" w:rsidRPr="009C362B" w:rsidRDefault="009F45F0" w:rsidP="009F45F0">
      <w:pPr>
        <w:widowControl/>
        <w:numPr>
          <w:ilvl w:val="2"/>
          <w:numId w:val="2"/>
        </w:numPr>
        <w:spacing w:before="120" w:after="160"/>
        <w:jc w:val="left"/>
        <w:outlineLvl w:val="2"/>
        <w:rPr>
          <w:rFonts w:eastAsia="Franklin Gothic Book" w:cs="Arial"/>
          <w:b/>
          <w:bCs/>
          <w:sz w:val="24"/>
          <w:szCs w:val="24"/>
          <w:lang w:eastAsia="x-none"/>
        </w:rPr>
      </w:pPr>
      <w:bookmarkStart w:id="448" w:name="_Toc437261849"/>
      <w:bookmarkStart w:id="449" w:name="_Toc438191088"/>
      <w:r w:rsidRPr="009C362B">
        <w:rPr>
          <w:rFonts w:eastAsia="Franklin Gothic Book" w:cs="Arial"/>
          <w:b/>
          <w:bCs/>
          <w:sz w:val="24"/>
          <w:szCs w:val="24"/>
          <w:lang w:eastAsia="x-none"/>
        </w:rPr>
        <w:t>Econometric/Revealed Preference Approach</w:t>
      </w:r>
      <w:bookmarkEnd w:id="448"/>
      <w:bookmarkEnd w:id="449"/>
    </w:p>
    <w:p w14:paraId="0E42C54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The econometric/revealed preference approach, while still considered a survey approach due to how data is collected, moves beyond asking people about the counterfactual and instead uses the observations of the evaluator to collect information for analysis of a NTG ratio. Within this approach, evaluators typically deploy similar sampling designs as for the self-report approach to collect data, but actively gather what a person is doing (i.e., what is being purchased in a store) to determine attribution.</w:t>
      </w:r>
    </w:p>
    <w:p w14:paraId="3295F235"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50" w:name="_Toc437261850"/>
      <w:bookmarkStart w:id="451" w:name="_Toc438191089"/>
      <w:r w:rsidRPr="009C362B">
        <w:rPr>
          <w:rFonts w:eastAsia="Franklin Gothic Book" w:cs="Arial"/>
          <w:b/>
          <w:bCs/>
          <w:sz w:val="24"/>
          <w:szCs w:val="20"/>
          <w:lang w:eastAsia="x-none"/>
        </w:rPr>
        <w:t>Randomized Control Trials (RCT) and Quasi-Experimental Designs</w:t>
      </w:r>
      <w:bookmarkEnd w:id="450"/>
      <w:bookmarkEnd w:id="451"/>
    </w:p>
    <w:p w14:paraId="3D79997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mentioned earlier, evaluators deploy an RCT for estimating savings from the Behavioral programs within Illinois. Additionally, quasi-experimental designs (QED) have been used in the past in Illinois to estimate net savings from the upstream CFL program, and CFL, insulation and air sealing measures within the Home Performance with Energy Star program.</w:t>
      </w:r>
    </w:p>
    <w:p w14:paraId="7D007B1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RCT and QED use statistical analysis to determine regularities within the data that reveal net savings due to a program intervention</w:t>
      </w:r>
      <w:r w:rsidRPr="009C362B">
        <w:rPr>
          <w:rFonts w:eastAsia="Franklin Gothic Book"/>
          <w:sz w:val="22"/>
          <w:vertAlign w:val="superscript"/>
        </w:rPr>
        <w:footnoteReference w:id="14"/>
      </w:r>
      <w:r w:rsidRPr="009C362B">
        <w:rPr>
          <w:rFonts w:eastAsia="Franklin Gothic Book"/>
          <w:sz w:val="22"/>
        </w:rPr>
        <w:t>. The analytical design attempts to control for factors that can confound net analysis.</w:t>
      </w:r>
      <w:r w:rsidRPr="009C362B">
        <w:rPr>
          <w:rFonts w:eastAsia="Franklin Gothic Book"/>
          <w:sz w:val="22"/>
          <w:vertAlign w:val="superscript"/>
        </w:rPr>
        <w:footnoteReference w:id="15"/>
      </w:r>
      <w:r w:rsidRPr="009C362B">
        <w:rPr>
          <w:rFonts w:eastAsia="Franklin Gothic Book"/>
          <w:sz w:val="22"/>
        </w:rPr>
        <w:t xml:space="preserve"> When estimating net savings within both an RCT and QED, two groups are included within the analysis: 1) a group that has been exposed to (i.e., treated by) a program and 2) a group that has not been exposed to the program. Evaluators must carefully consider the choice of the non-exposed group (called a control group for RCTs or comparison group for QEDs).</w:t>
      </w:r>
    </w:p>
    <w:p w14:paraId="167FD31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RCT – This design must be integral to a program’s implementation. Without the ability to randomly assign customers to one group or another (or at least randomly encourage customers to participate in a program), the ability of the design to yield unambiguous estimates of net impacts is compromised. Evaluators often help design how a program is implemented and, if not involved at the outset, carefully review choices made by the implementation team.</w:t>
      </w:r>
    </w:p>
    <w:p w14:paraId="40D0EA4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QED – A QED may be designed after a program has been implemented. It relies on determination of an equivalent comparison group, which is often chosen based on energy use. QED is difficult to perform well within the commercial sector due to the heterogeneity of end uses within the sector.</w:t>
      </w:r>
    </w:p>
    <w:p w14:paraId="29B7602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The output of an RCT or QED is the average net savings for the population within the statistical model. Evaluators may also analyze the data to help understand the savings within specific known segments if sufficient information and data points are available. </w:t>
      </w:r>
    </w:p>
    <w:p w14:paraId="7AEFCBBE"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5C683E98"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Mohr, 1995</w:t>
      </w:r>
    </w:p>
    <w:p w14:paraId="26362FC0"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Shadish, Cook, Campbell, 2002</w:t>
      </w:r>
    </w:p>
    <w:p w14:paraId="07D2AD1F"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 xml:space="preserve">Scriven, 2008 </w:t>
      </w:r>
    </w:p>
    <w:p w14:paraId="384845F8"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Donaldson, 2009</w:t>
      </w:r>
    </w:p>
    <w:p w14:paraId="47B10E6A"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52" w:name="_Toc437261851"/>
      <w:bookmarkStart w:id="453" w:name="_Toc438191090"/>
      <w:r w:rsidRPr="009C362B">
        <w:rPr>
          <w:rFonts w:eastAsia="Franklin Gothic Book" w:cs="Arial"/>
          <w:b/>
          <w:bCs/>
          <w:sz w:val="24"/>
          <w:szCs w:val="20"/>
          <w:lang w:eastAsia="x-none"/>
        </w:rPr>
        <w:t>Deemed or Stipulated NTG Ratios</w:t>
      </w:r>
      <w:bookmarkEnd w:id="452"/>
      <w:bookmarkEnd w:id="453"/>
    </w:p>
    <w:p w14:paraId="6E82D1BF"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 deemed (or stipulated) NTG ratio is a value known prior to implementing a program and applied to estimate net savings for that program in a certain year. </w:t>
      </w:r>
    </w:p>
    <w:p w14:paraId="2BB5730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 xml:space="preserve">Deemed or stipulated NTG ratios may be based on previous primary data collection, review of secondary data, or agreed to among stakeholders. In Illinois, deemed or stipulated NTG ratios should reflect best estimates of likely future actual NTG ratios for the relevant program year, taking into consideration stakeholder input, the evaluator’s expertise, and the best and most up-to-date information. </w:t>
      </w:r>
    </w:p>
    <w:p w14:paraId="6B0B1AC6" w14:textId="77777777" w:rsidR="009F45F0" w:rsidRPr="009C362B" w:rsidRDefault="009F45F0" w:rsidP="009F45F0">
      <w:pPr>
        <w:keepNext/>
        <w:widowControl/>
        <w:numPr>
          <w:ilvl w:val="1"/>
          <w:numId w:val="2"/>
        </w:numPr>
        <w:spacing w:before="200" w:after="0"/>
        <w:jc w:val="left"/>
        <w:outlineLvl w:val="1"/>
        <w:rPr>
          <w:rFonts w:eastAsia="Franklin Gothic Book" w:cs="Arial"/>
          <w:b/>
          <w:bCs/>
          <w:sz w:val="24"/>
          <w:szCs w:val="20"/>
          <w:lang w:eastAsia="x-none"/>
        </w:rPr>
      </w:pPr>
      <w:bookmarkStart w:id="454" w:name="_Toc437261852"/>
      <w:bookmarkStart w:id="455" w:name="_Toc438191091"/>
      <w:r w:rsidRPr="009C362B">
        <w:rPr>
          <w:rFonts w:eastAsia="Franklin Gothic Book" w:cs="Arial"/>
          <w:b/>
          <w:bCs/>
          <w:sz w:val="24"/>
          <w:szCs w:val="20"/>
          <w:lang w:eastAsia="x-none"/>
        </w:rPr>
        <w:t>Common Practice Baseline Approaches</w:t>
      </w:r>
      <w:bookmarkEnd w:id="454"/>
      <w:bookmarkEnd w:id="455"/>
    </w:p>
    <w:p w14:paraId="240F1D76" w14:textId="77777777" w:rsidR="009F45F0" w:rsidRPr="009C362B" w:rsidRDefault="009F45F0" w:rsidP="009F45F0">
      <w:pPr>
        <w:widowControl/>
        <w:spacing w:before="200" w:after="160"/>
        <w:jc w:val="left"/>
        <w:rPr>
          <w:rFonts w:eastAsia="Franklin Gothic Book"/>
          <w:sz w:val="22"/>
        </w:rPr>
      </w:pPr>
      <w:bookmarkStart w:id="456" w:name="_Ref407014573"/>
      <w:r w:rsidRPr="009C362B">
        <w:rPr>
          <w:rFonts w:eastAsia="Franklin Gothic Book"/>
          <w:sz w:val="22"/>
        </w:rPr>
        <w:t xml:space="preserve">For this method, the evaluation team estimates what a typical consumer would have done at the time of the project implementation. Essentially, what is “commonly done” becomes the basis for baseline energy consumption and calculation of net savings. No gross impacts are calculated in this approach. This baseline is defined as the counterfactual “i.e., what would have occurred absent the program” and has been referred to as current practice, common practice or industry standard practice. Evaluators determine these practices through multiple methods, but often can be from self-report or on-site audits. The difference between the energy use of measures installed in the program and the energy use associated with current practice is considered by some to be sufficiently close to the net savings. </w:t>
      </w:r>
    </w:p>
    <w:p w14:paraId="72E9F15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This approach is not in use in Illinois, but is used elsewhere in the country such as the Pacific Northwest and Delaware.</w:t>
      </w:r>
    </w:p>
    <w:p w14:paraId="13DC564C"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57" w:name="_Toc437261853"/>
      <w:bookmarkStart w:id="458" w:name="_Toc438191092"/>
      <w:r w:rsidRPr="009C362B">
        <w:rPr>
          <w:rFonts w:eastAsia="Franklin Gothic Book" w:cs="Arial"/>
          <w:b/>
          <w:bCs/>
          <w:sz w:val="24"/>
          <w:szCs w:val="20"/>
          <w:lang w:eastAsia="x-none"/>
        </w:rPr>
        <w:t>Market Analyses</w:t>
      </w:r>
      <w:bookmarkEnd w:id="456"/>
      <w:bookmarkEnd w:id="457"/>
      <w:bookmarkEnd w:id="458"/>
    </w:p>
    <w:p w14:paraId="06E76460"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Market analyses can be done in several ways. Market analyses are often used in theory-driven evaluations of market transformation programs.</w:t>
      </w:r>
    </w:p>
    <w:p w14:paraId="7602644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Other non-sales data market analyses can be postulated on changes specified in program logic such as: 1) changes in the number of energy efficient units manufactured, 2) changes in market actor behavior around promotion or stocking of energy efficient items, or 3) reduction in prices. The analyses involving non-sales data must make a clear link between the program intervention and the changes found in the market. Additionally, outside of Illinois, while evaluators have extrapolated the market changes to specific energy or demand reductions, this activity may be viewed as tenuous due to assumptions that evaluators must make within the analysis.</w:t>
      </w:r>
    </w:p>
    <w:p w14:paraId="54CDFAD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Illinois is in a position to begin to discuss market analyses and how specific research may be able to interpret changes that have occurred (or may occur in the future) because of the IOU interventions over the past six years. Market analyses can be backward looking through historical tracing, but is best used when the logic of an intervention is described and specific market metrics are tracked over time. This is a switch from the current annual evaluation of programs and has challenges that stakeholders would need to discuss and reach a consensus on an approach that works for Illinois. </w:t>
      </w:r>
    </w:p>
    <w:p w14:paraId="7D1CFE77" w14:textId="77777777" w:rsidR="009F45F0" w:rsidRPr="009C362B" w:rsidRDefault="009F45F0" w:rsidP="009F45F0">
      <w:pPr>
        <w:keepNext/>
        <w:keepLines/>
        <w:widowControl/>
        <w:numPr>
          <w:ilvl w:val="1"/>
          <w:numId w:val="2"/>
        </w:numPr>
        <w:spacing w:before="200" w:after="160"/>
        <w:jc w:val="left"/>
        <w:outlineLvl w:val="1"/>
        <w:rPr>
          <w:rFonts w:eastAsia="Franklin Gothic Book" w:cs="Arial"/>
          <w:b/>
          <w:bCs/>
          <w:sz w:val="24"/>
          <w:szCs w:val="20"/>
          <w:lang w:eastAsia="x-none"/>
        </w:rPr>
      </w:pPr>
      <w:bookmarkStart w:id="459" w:name="_Toc437261854"/>
      <w:bookmarkStart w:id="460" w:name="_Toc438191093"/>
      <w:r w:rsidRPr="009C362B">
        <w:rPr>
          <w:rFonts w:eastAsia="Franklin Gothic Book" w:cs="Arial"/>
          <w:b/>
          <w:bCs/>
          <w:sz w:val="24"/>
          <w:szCs w:val="20"/>
          <w:lang w:eastAsia="x-none"/>
        </w:rPr>
        <w:t>Structured Expert Judgment Approaches</w:t>
      </w:r>
      <w:bookmarkEnd w:id="459"/>
      <w:bookmarkEnd w:id="460"/>
    </w:p>
    <w:p w14:paraId="5C5B1ECE" w14:textId="77777777" w:rsidR="009F45F0" w:rsidRPr="009C362B" w:rsidRDefault="009F45F0" w:rsidP="009F45F0">
      <w:pPr>
        <w:keepNext/>
        <w:keepLines/>
        <w:widowControl/>
        <w:spacing w:after="160"/>
        <w:jc w:val="left"/>
        <w:rPr>
          <w:rFonts w:eastAsia="Franklin Gothic Book"/>
          <w:sz w:val="22"/>
        </w:rPr>
      </w:pPr>
      <w:r w:rsidRPr="009C362B">
        <w:rPr>
          <w:rFonts w:eastAsia="Franklin Gothic Book"/>
          <w:sz w:val="22"/>
        </w:rPr>
        <w:t xml:space="preserve">Closely tied to market analysis, this approach is a way for evaluators to gather credible evidence of changes that arise due to the intervention of a program. When deployed, it is often used as a cost-effective approach to estimate market effects or reach agreement on a NTG value when several different types of evidence are available. . The key premise of this approach is the use of a select group of known experts that all stakeholders agree can provide unbiased information as well as having sufficient knowledge to judge what may have occurred absent a program intervention. </w:t>
      </w:r>
    </w:p>
    <w:p w14:paraId="2EB99D2E"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A Delphi Panel is an example of this approach where data is collected from two or more rounds of data collection (which can occur via email, internet, or in-person). A round is when experts make their thoughts known about a specific subject, the evaluation team synthesizes the data and provides this </w:t>
      </w:r>
      <w:r w:rsidRPr="009C362B">
        <w:rPr>
          <w:rFonts w:eastAsia="Franklin Gothic Book"/>
          <w:sz w:val="22"/>
        </w:rPr>
        <w:lastRenderedPageBreak/>
        <w:t xml:space="preserve">collated data back to the group to discuss again. Allowing the full experts to see how their peers think about a topic helps to move the group towards consensus. </w:t>
      </w:r>
    </w:p>
    <w:p w14:paraId="21CFA71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date, in Illinois, there has been little need for this approach. However, if more market analyses occur in the future, this is a valuable tool that can be deployed.</w:t>
      </w:r>
    </w:p>
    <w:p w14:paraId="364A95E5"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666538EC"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Mosenthal, et al., 2000</w:t>
      </w:r>
    </w:p>
    <w:p w14:paraId="5445A18E" w14:textId="77777777" w:rsidR="009F45F0" w:rsidRPr="009C362B" w:rsidRDefault="009F45F0" w:rsidP="009F45F0">
      <w:pPr>
        <w:widowControl/>
        <w:numPr>
          <w:ilvl w:val="0"/>
          <w:numId w:val="4"/>
        </w:numPr>
        <w:spacing w:after="160"/>
        <w:ind w:left="360"/>
        <w:jc w:val="left"/>
        <w:rPr>
          <w:rFonts w:eastAsia="Franklin Gothic Book"/>
          <w:sz w:val="22"/>
        </w:rPr>
      </w:pPr>
      <w:r w:rsidRPr="009C362B">
        <w:rPr>
          <w:rFonts w:eastAsia="Franklin Gothic Book"/>
          <w:sz w:val="22"/>
        </w:rPr>
        <w:t>Powell, 2002</w:t>
      </w:r>
    </w:p>
    <w:p w14:paraId="0E53AD0A"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61" w:name="_Toc437261855"/>
      <w:bookmarkStart w:id="462" w:name="_Toc438191094"/>
      <w:r w:rsidRPr="009C362B">
        <w:rPr>
          <w:rFonts w:eastAsia="Franklin Gothic Book" w:cs="Arial"/>
          <w:b/>
          <w:bCs/>
          <w:sz w:val="24"/>
          <w:szCs w:val="20"/>
          <w:lang w:eastAsia="x-none"/>
        </w:rPr>
        <w:t>Program Theory-Driven Approach</w:t>
      </w:r>
      <w:bookmarkEnd w:id="461"/>
      <w:bookmarkEnd w:id="462"/>
    </w:p>
    <w:p w14:paraId="3B22140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approach is not included in the Violette and Rathbun (2014) document as a high level method, but is discussed by the authors under the historical tracing method. The Illinois evaluators believe that it deserves at least a short discussion within this framework. </w:t>
      </w:r>
    </w:p>
    <w:p w14:paraId="25681223"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 program theory is the written narrative about why the activities of a program are expected to bring about change. Typically associated with this approach is the direct graphical explication of the linkages between activities, outputs, and outcomes through an impact logic model.</w:t>
      </w:r>
      <w:r w:rsidRPr="009C362B">
        <w:rPr>
          <w:rFonts w:eastAsia="Franklin Gothic Book"/>
          <w:sz w:val="22"/>
          <w:vertAlign w:val="superscript"/>
        </w:rPr>
        <w:footnoteReference w:id="16"/>
      </w:r>
      <w:r w:rsidRPr="009C362B">
        <w:rPr>
          <w:rFonts w:eastAsia="Franklin Gothic Book"/>
          <w:sz w:val="22"/>
        </w:rPr>
        <w:t xml:space="preserve"> </w:t>
      </w:r>
    </w:p>
    <w:p w14:paraId="248C9345" w14:textId="77777777" w:rsidR="009F45F0" w:rsidRPr="009C362B" w:rsidRDefault="009F45F0" w:rsidP="009F45F0">
      <w:pPr>
        <w:widowControl/>
        <w:spacing w:after="160"/>
        <w:jc w:val="left"/>
        <w:rPr>
          <w:rFonts w:eastAsia="Gill Sans MT"/>
          <w:sz w:val="22"/>
        </w:rPr>
      </w:pPr>
      <w:r w:rsidRPr="009C362B">
        <w:rPr>
          <w:rFonts w:eastAsia="Franklin Gothic Book"/>
          <w:sz w:val="22"/>
        </w:rPr>
        <w:t xml:space="preserve">A theory-driven evaluation denotes “[A]ny evaluation strategy or approach that explicitly integrates and uses stakeholder, social science, some combination of, or other types of theories in conceptualizing, designing, conducting, interpreting, and applying an evaluation.” (Coryn 2011) Within this approach, the ultimate conclusions regarding the efficacy of a program are based on the preponderance of the evidence and not on the results of any single analysis. Coryn and colleagues systematically examined </w:t>
      </w:r>
      <w:r w:rsidRPr="009C362B">
        <w:rPr>
          <w:rFonts w:eastAsia="Gill Sans MT"/>
          <w:sz w:val="22"/>
        </w:rPr>
        <w:t>45</w:t>
      </w:r>
      <w:r w:rsidRPr="009C362B">
        <w:rPr>
          <w:rFonts w:eastAsia="Gill Sans MT"/>
          <w:spacing w:val="47"/>
          <w:sz w:val="22"/>
        </w:rPr>
        <w:t xml:space="preserve"> </w:t>
      </w:r>
      <w:r w:rsidRPr="009C362B">
        <w:rPr>
          <w:rFonts w:eastAsia="Gill Sans MT"/>
          <w:sz w:val="22"/>
        </w:rPr>
        <w:t>cases</w:t>
      </w:r>
      <w:r w:rsidRPr="009C362B">
        <w:rPr>
          <w:rFonts w:eastAsia="Gill Sans MT"/>
          <w:spacing w:val="49"/>
          <w:sz w:val="22"/>
        </w:rPr>
        <w:t xml:space="preserve"> </w:t>
      </w:r>
      <w:r w:rsidRPr="009C362B">
        <w:rPr>
          <w:rFonts w:eastAsia="Gill Sans MT"/>
          <w:sz w:val="22"/>
        </w:rPr>
        <w:t>of</w:t>
      </w:r>
      <w:r w:rsidRPr="009C362B">
        <w:rPr>
          <w:rFonts w:eastAsia="Gill Sans MT"/>
          <w:spacing w:val="49"/>
          <w:sz w:val="22"/>
        </w:rPr>
        <w:t xml:space="preserve"> </w:t>
      </w:r>
      <w:r w:rsidRPr="009C362B">
        <w:rPr>
          <w:rFonts w:eastAsia="Gill Sans MT"/>
          <w:sz w:val="22"/>
        </w:rPr>
        <w:t>theory-driven</w:t>
      </w:r>
      <w:r w:rsidRPr="009C362B">
        <w:rPr>
          <w:rFonts w:eastAsia="Gill Sans MT"/>
          <w:spacing w:val="49"/>
          <w:sz w:val="22"/>
        </w:rPr>
        <w:t xml:space="preserve"> </w:t>
      </w:r>
      <w:r w:rsidRPr="009C362B">
        <w:rPr>
          <w:rFonts w:eastAsia="Gill Sans MT"/>
          <w:sz w:val="22"/>
        </w:rPr>
        <w:t>evaluations</w:t>
      </w:r>
      <w:r w:rsidRPr="009C362B">
        <w:rPr>
          <w:rFonts w:eastAsia="Gill Sans MT"/>
          <w:spacing w:val="49"/>
          <w:sz w:val="22"/>
        </w:rPr>
        <w:t xml:space="preserve"> </w:t>
      </w:r>
      <w:r w:rsidRPr="009C362B">
        <w:rPr>
          <w:rFonts w:eastAsia="Gill Sans MT"/>
          <w:sz w:val="22"/>
        </w:rPr>
        <w:t>published</w:t>
      </w:r>
      <w:r w:rsidRPr="009C362B">
        <w:rPr>
          <w:rFonts w:eastAsia="Gill Sans MT"/>
          <w:spacing w:val="48"/>
          <w:sz w:val="22"/>
        </w:rPr>
        <w:t xml:space="preserve"> </w:t>
      </w:r>
      <w:r w:rsidRPr="009C362B">
        <w:rPr>
          <w:rFonts w:eastAsia="Gill Sans MT"/>
          <w:sz w:val="22"/>
        </w:rPr>
        <w:t>over</w:t>
      </w:r>
      <w:r w:rsidRPr="009C362B">
        <w:rPr>
          <w:rFonts w:eastAsia="Gill Sans MT"/>
          <w:spacing w:val="50"/>
          <w:sz w:val="22"/>
        </w:rPr>
        <w:t xml:space="preserve"> </w:t>
      </w:r>
      <w:r w:rsidRPr="009C362B">
        <w:rPr>
          <w:rFonts w:eastAsia="Gill Sans MT"/>
          <w:sz w:val="22"/>
        </w:rPr>
        <w:t>a</w:t>
      </w:r>
      <w:r w:rsidRPr="009C362B">
        <w:rPr>
          <w:rFonts w:eastAsia="Gill Sans MT"/>
          <w:spacing w:val="48"/>
          <w:sz w:val="22"/>
        </w:rPr>
        <w:t xml:space="preserve"> </w:t>
      </w:r>
      <w:r w:rsidRPr="009C362B">
        <w:rPr>
          <w:rFonts w:eastAsia="Gill Sans MT"/>
          <w:sz w:val="22"/>
        </w:rPr>
        <w:t>twenty-year</w:t>
      </w:r>
      <w:r w:rsidRPr="009C362B">
        <w:rPr>
          <w:rFonts w:eastAsia="Gill Sans MT"/>
          <w:spacing w:val="49"/>
          <w:sz w:val="22"/>
        </w:rPr>
        <w:t xml:space="preserve"> </w:t>
      </w:r>
      <w:r w:rsidRPr="009C362B">
        <w:rPr>
          <w:rFonts w:eastAsia="Gill Sans MT"/>
          <w:sz w:val="22"/>
        </w:rPr>
        <w:t>period to</w:t>
      </w:r>
      <w:r w:rsidRPr="009C362B">
        <w:rPr>
          <w:rFonts w:eastAsia="Gill Sans MT"/>
          <w:spacing w:val="40"/>
          <w:sz w:val="22"/>
        </w:rPr>
        <w:t xml:space="preserve"> </w:t>
      </w:r>
      <w:r w:rsidRPr="009C362B">
        <w:rPr>
          <w:rFonts w:eastAsia="Gill Sans MT"/>
          <w:sz w:val="22"/>
        </w:rPr>
        <w:t>ascertain</w:t>
      </w:r>
      <w:r w:rsidRPr="009C362B">
        <w:rPr>
          <w:rFonts w:eastAsia="Gill Sans MT"/>
          <w:spacing w:val="42"/>
          <w:sz w:val="22"/>
        </w:rPr>
        <w:t xml:space="preserve"> </w:t>
      </w:r>
      <w:r w:rsidRPr="009C362B">
        <w:rPr>
          <w:rFonts w:eastAsia="Gill Sans MT"/>
          <w:sz w:val="22"/>
        </w:rPr>
        <w:t>how</w:t>
      </w:r>
      <w:r w:rsidRPr="009C362B">
        <w:rPr>
          <w:rFonts w:eastAsia="Gill Sans MT"/>
          <w:spacing w:val="41"/>
          <w:sz w:val="22"/>
        </w:rPr>
        <w:t xml:space="preserve"> </w:t>
      </w:r>
      <w:r w:rsidRPr="009C362B">
        <w:rPr>
          <w:rFonts w:eastAsia="Gill Sans MT"/>
          <w:sz w:val="22"/>
        </w:rPr>
        <w:t>closely</w:t>
      </w:r>
      <w:r w:rsidRPr="009C362B">
        <w:rPr>
          <w:rFonts w:eastAsia="Gill Sans MT"/>
          <w:spacing w:val="41"/>
          <w:sz w:val="22"/>
        </w:rPr>
        <w:t xml:space="preserve"> </w:t>
      </w:r>
      <w:r w:rsidRPr="009C362B">
        <w:rPr>
          <w:rFonts w:eastAsia="Gill Sans MT"/>
          <w:sz w:val="22"/>
        </w:rPr>
        <w:t>theory-driven</w:t>
      </w:r>
      <w:r w:rsidRPr="009C362B">
        <w:rPr>
          <w:rFonts w:eastAsia="Gill Sans MT"/>
          <w:spacing w:val="41"/>
          <w:sz w:val="22"/>
        </w:rPr>
        <w:t xml:space="preserve"> </w:t>
      </w:r>
      <w:r w:rsidRPr="009C362B">
        <w:rPr>
          <w:rFonts w:eastAsia="Gill Sans MT"/>
          <w:sz w:val="22"/>
        </w:rPr>
        <w:t>evaluation</w:t>
      </w:r>
      <w:r w:rsidRPr="009C362B">
        <w:rPr>
          <w:rFonts w:eastAsia="Gill Sans MT"/>
          <w:spacing w:val="42"/>
          <w:sz w:val="22"/>
        </w:rPr>
        <w:t xml:space="preserve"> </w:t>
      </w:r>
      <w:r w:rsidRPr="009C362B">
        <w:rPr>
          <w:rFonts w:eastAsia="Gill Sans MT"/>
          <w:sz w:val="22"/>
        </w:rPr>
        <w:t>practices</w:t>
      </w:r>
      <w:r w:rsidRPr="009C362B">
        <w:rPr>
          <w:rFonts w:eastAsia="Gill Sans MT"/>
          <w:spacing w:val="41"/>
          <w:sz w:val="22"/>
        </w:rPr>
        <w:t xml:space="preserve"> </w:t>
      </w:r>
      <w:r w:rsidRPr="009C362B">
        <w:rPr>
          <w:rFonts w:eastAsia="Gill Sans MT"/>
          <w:sz w:val="22"/>
        </w:rPr>
        <w:t>comport</w:t>
      </w:r>
      <w:r w:rsidRPr="009C362B">
        <w:rPr>
          <w:rFonts w:eastAsia="Gill Sans MT"/>
          <w:w w:val="99"/>
          <w:sz w:val="22"/>
        </w:rPr>
        <w:t xml:space="preserve"> </w:t>
      </w:r>
      <w:r w:rsidRPr="009C362B">
        <w:rPr>
          <w:rFonts w:eastAsia="Gill Sans MT"/>
          <w:sz w:val="22"/>
        </w:rPr>
        <w:t>with</w:t>
      </w:r>
      <w:r w:rsidRPr="009C362B">
        <w:rPr>
          <w:rFonts w:eastAsia="Gill Sans MT"/>
          <w:spacing w:val="45"/>
          <w:sz w:val="22"/>
        </w:rPr>
        <w:t xml:space="preserve"> </w:t>
      </w:r>
      <w:r w:rsidRPr="009C362B">
        <w:rPr>
          <w:rFonts w:eastAsia="Gill Sans MT"/>
          <w:sz w:val="22"/>
        </w:rPr>
        <w:t>the</w:t>
      </w:r>
      <w:r w:rsidRPr="009C362B">
        <w:rPr>
          <w:rFonts w:eastAsia="Gill Sans MT"/>
          <w:spacing w:val="43"/>
          <w:sz w:val="22"/>
        </w:rPr>
        <w:t xml:space="preserve"> </w:t>
      </w:r>
      <w:r w:rsidRPr="009C362B">
        <w:rPr>
          <w:rFonts w:eastAsia="Gill Sans MT"/>
          <w:sz w:val="22"/>
        </w:rPr>
        <w:t>key</w:t>
      </w:r>
      <w:r w:rsidRPr="009C362B">
        <w:rPr>
          <w:rFonts w:eastAsia="Gill Sans MT"/>
          <w:spacing w:val="44"/>
          <w:sz w:val="22"/>
        </w:rPr>
        <w:t xml:space="preserve"> </w:t>
      </w:r>
      <w:r w:rsidRPr="009C362B">
        <w:rPr>
          <w:rFonts w:eastAsia="Gill Sans MT"/>
          <w:sz w:val="22"/>
        </w:rPr>
        <w:t>tenants</w:t>
      </w:r>
      <w:r w:rsidRPr="009C362B">
        <w:rPr>
          <w:rFonts w:eastAsia="Gill Sans MT"/>
          <w:spacing w:val="44"/>
          <w:sz w:val="22"/>
        </w:rPr>
        <w:t xml:space="preserve"> </w:t>
      </w:r>
      <w:r w:rsidRPr="009C362B">
        <w:rPr>
          <w:rFonts w:eastAsia="Gill Sans MT"/>
          <w:sz w:val="22"/>
        </w:rPr>
        <w:t>of</w:t>
      </w:r>
      <w:r w:rsidRPr="009C362B">
        <w:rPr>
          <w:rFonts w:eastAsia="Gill Sans MT"/>
          <w:spacing w:val="45"/>
          <w:sz w:val="22"/>
        </w:rPr>
        <w:t xml:space="preserve"> </w:t>
      </w:r>
      <w:r w:rsidRPr="009C362B">
        <w:rPr>
          <w:rFonts w:eastAsia="Gill Sans MT"/>
          <w:sz w:val="22"/>
        </w:rPr>
        <w:t>theory-driven</w:t>
      </w:r>
      <w:r w:rsidRPr="009C362B">
        <w:rPr>
          <w:rFonts w:eastAsia="Gill Sans MT"/>
          <w:spacing w:val="44"/>
          <w:sz w:val="22"/>
        </w:rPr>
        <w:t xml:space="preserve"> </w:t>
      </w:r>
      <w:r w:rsidRPr="009C362B">
        <w:rPr>
          <w:rFonts w:eastAsia="Gill Sans MT"/>
          <w:sz w:val="22"/>
        </w:rPr>
        <w:t>evaluation</w:t>
      </w:r>
      <w:r w:rsidRPr="009C362B">
        <w:rPr>
          <w:rFonts w:eastAsia="Gill Sans MT"/>
          <w:spacing w:val="45"/>
          <w:sz w:val="22"/>
        </w:rPr>
        <w:t xml:space="preserve"> </w:t>
      </w:r>
      <w:r w:rsidRPr="009C362B">
        <w:rPr>
          <w:rFonts w:eastAsia="Gill Sans MT"/>
          <w:sz w:val="22"/>
        </w:rPr>
        <w:t>as</w:t>
      </w:r>
      <w:r w:rsidRPr="009C362B">
        <w:rPr>
          <w:rFonts w:eastAsia="Gill Sans MT"/>
          <w:spacing w:val="44"/>
          <w:sz w:val="22"/>
        </w:rPr>
        <w:t xml:space="preserve"> </w:t>
      </w:r>
      <w:r w:rsidRPr="009C362B">
        <w:rPr>
          <w:rFonts w:eastAsia="Gill Sans MT"/>
          <w:sz w:val="22"/>
        </w:rPr>
        <w:t>described</w:t>
      </w:r>
      <w:r w:rsidRPr="009C362B">
        <w:rPr>
          <w:rFonts w:eastAsia="Gill Sans MT"/>
          <w:spacing w:val="44"/>
          <w:sz w:val="22"/>
        </w:rPr>
        <w:t xml:space="preserve"> </w:t>
      </w:r>
      <w:r w:rsidRPr="009C362B">
        <w:rPr>
          <w:rFonts w:eastAsia="Gill Sans MT"/>
          <w:sz w:val="22"/>
        </w:rPr>
        <w:t>and</w:t>
      </w:r>
      <w:r w:rsidRPr="009C362B">
        <w:rPr>
          <w:rFonts w:eastAsia="Gill Sans MT"/>
          <w:spacing w:val="44"/>
          <w:sz w:val="22"/>
        </w:rPr>
        <w:t xml:space="preserve"> </w:t>
      </w:r>
      <w:r w:rsidRPr="009C362B">
        <w:rPr>
          <w:rFonts w:eastAsia="Gill Sans MT"/>
          <w:sz w:val="22"/>
        </w:rPr>
        <w:t>prescribed</w:t>
      </w:r>
      <w:r w:rsidRPr="009C362B">
        <w:rPr>
          <w:rFonts w:eastAsia="Gill Sans MT"/>
          <w:spacing w:val="44"/>
          <w:sz w:val="22"/>
        </w:rPr>
        <w:t xml:space="preserve"> </w:t>
      </w:r>
      <w:r w:rsidRPr="009C362B">
        <w:rPr>
          <w:rFonts w:eastAsia="Gill Sans MT"/>
          <w:sz w:val="22"/>
        </w:rPr>
        <w:t>by</w:t>
      </w:r>
      <w:r w:rsidRPr="009C362B">
        <w:rPr>
          <w:rFonts w:eastAsia="Gill Sans MT"/>
          <w:spacing w:val="44"/>
          <w:sz w:val="22"/>
        </w:rPr>
        <w:t xml:space="preserve"> </w:t>
      </w:r>
      <w:r w:rsidRPr="009C362B">
        <w:rPr>
          <w:rFonts w:eastAsia="Gill Sans MT"/>
          <w:sz w:val="22"/>
        </w:rPr>
        <w:t>prominent</w:t>
      </w:r>
      <w:r w:rsidRPr="009C362B">
        <w:rPr>
          <w:rFonts w:eastAsia="Gill Sans MT"/>
          <w:w w:val="99"/>
          <w:sz w:val="22"/>
        </w:rPr>
        <w:t xml:space="preserve"> </w:t>
      </w:r>
      <w:r w:rsidRPr="009C362B">
        <w:rPr>
          <w:rFonts w:eastAsia="Gill Sans MT"/>
          <w:sz w:val="22"/>
        </w:rPr>
        <w:t>theoretical</w:t>
      </w:r>
      <w:r w:rsidRPr="009C362B">
        <w:rPr>
          <w:rFonts w:eastAsia="Gill Sans MT"/>
          <w:spacing w:val="14"/>
          <w:sz w:val="22"/>
        </w:rPr>
        <w:t xml:space="preserve"> </w:t>
      </w:r>
      <w:r w:rsidRPr="009C362B">
        <w:rPr>
          <w:rFonts w:eastAsia="Gill Sans MT"/>
          <w:sz w:val="22"/>
        </w:rPr>
        <w:t>writers.</w:t>
      </w:r>
      <w:r w:rsidRPr="009C362B">
        <w:rPr>
          <w:rFonts w:eastAsia="Gill Sans MT"/>
          <w:spacing w:val="16"/>
          <w:sz w:val="22"/>
        </w:rPr>
        <w:t xml:space="preserve"> </w:t>
      </w:r>
      <w:r w:rsidRPr="009C362B">
        <w:rPr>
          <w:rFonts w:eastAsia="Gill Sans MT"/>
          <w:sz w:val="22"/>
        </w:rPr>
        <w:t>One output from this analysis was the identification of the c</w:t>
      </w:r>
      <w:r w:rsidRPr="009C362B">
        <w:rPr>
          <w:rFonts w:eastAsia="Franklin Gothic Book"/>
          <w:sz w:val="22"/>
        </w:rPr>
        <w:t>ore</w:t>
      </w:r>
      <w:r w:rsidRPr="009C362B">
        <w:rPr>
          <w:rFonts w:eastAsia="Franklin Gothic Book"/>
          <w:spacing w:val="1"/>
          <w:sz w:val="22"/>
        </w:rPr>
        <w:t xml:space="preserve"> </w:t>
      </w:r>
      <w:r w:rsidRPr="009C362B">
        <w:rPr>
          <w:rFonts w:eastAsia="Franklin Gothic Book"/>
          <w:sz w:val="22"/>
        </w:rPr>
        <w:t>principles</w:t>
      </w:r>
      <w:r w:rsidRPr="009C362B">
        <w:rPr>
          <w:rFonts w:eastAsia="Franklin Gothic Book"/>
          <w:spacing w:val="2"/>
          <w:sz w:val="22"/>
        </w:rPr>
        <w:t xml:space="preserve"> </w:t>
      </w:r>
      <w:r w:rsidRPr="009C362B">
        <w:rPr>
          <w:rFonts w:eastAsia="Franklin Gothic Book"/>
          <w:sz w:val="22"/>
        </w:rPr>
        <w:t>and</w:t>
      </w:r>
      <w:r w:rsidRPr="009C362B">
        <w:rPr>
          <w:rFonts w:eastAsia="Franklin Gothic Book"/>
          <w:spacing w:val="2"/>
          <w:sz w:val="22"/>
        </w:rPr>
        <w:t xml:space="preserve"> </w:t>
      </w:r>
      <w:r w:rsidRPr="009C362B">
        <w:rPr>
          <w:rFonts w:eastAsia="Franklin Gothic Book"/>
          <w:sz w:val="22"/>
        </w:rPr>
        <w:t>sub-principles</w:t>
      </w:r>
      <w:r w:rsidRPr="009C362B">
        <w:rPr>
          <w:rFonts w:eastAsia="Franklin Gothic Book"/>
          <w:spacing w:val="3"/>
          <w:sz w:val="22"/>
        </w:rPr>
        <w:t xml:space="preserve"> </w:t>
      </w:r>
      <w:r w:rsidRPr="009C362B">
        <w:rPr>
          <w:rFonts w:eastAsia="Franklin Gothic Book"/>
          <w:sz w:val="22"/>
        </w:rPr>
        <w:t>of</w:t>
      </w:r>
      <w:r w:rsidRPr="009C362B">
        <w:rPr>
          <w:rFonts w:eastAsia="Franklin Gothic Book"/>
          <w:spacing w:val="1"/>
          <w:sz w:val="22"/>
        </w:rPr>
        <w:t xml:space="preserve"> </w:t>
      </w:r>
      <w:r w:rsidRPr="009C362B">
        <w:rPr>
          <w:rFonts w:eastAsia="Franklin Gothic Book"/>
          <w:sz w:val="22"/>
        </w:rPr>
        <w:t>theory-driven</w:t>
      </w:r>
      <w:r w:rsidRPr="009C362B">
        <w:rPr>
          <w:rFonts w:eastAsia="Franklin Gothic Book"/>
          <w:spacing w:val="1"/>
          <w:sz w:val="22"/>
        </w:rPr>
        <w:t xml:space="preserve"> </w:t>
      </w:r>
      <w:r w:rsidRPr="009C362B">
        <w:rPr>
          <w:rFonts w:eastAsia="Franklin Gothic Book"/>
          <w:sz w:val="22"/>
        </w:rPr>
        <w:t>evaluation. If interested, please review the reference under Coryn 2011.</w:t>
      </w:r>
    </w:p>
    <w:p w14:paraId="3FFA8DA4"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As an approach, it is best used for complex programs and/or causal mechanisms that extend far into the future. Evaluators collect evidence that supports or rejects hypotheses that are explicit in the logic model. The case for program attribution is strengthened based on the extent to which an evaluation shows that the expected changes occur. Additionally, the evaluation team may be able to collect data that will answer questions about the longer term outcomes of a program. This type of data collection may be very similar to market tracking activities described briefly above under Market Analyses.</w:t>
      </w:r>
    </w:p>
    <w:p w14:paraId="0A18A2AD"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This approach does not specifically estimate a NTG value, but program administrators can choose to keep, drop or change a program based on intermediary data. Regulators must be convinced that the logic of a program is sound and that the intermediary outcomes are causally linked to expected savings. </w:t>
      </w:r>
    </w:p>
    <w:p w14:paraId="6E256F02" w14:textId="77777777" w:rsidR="009F45F0" w:rsidRPr="009C362B" w:rsidRDefault="009F45F0" w:rsidP="009F45F0">
      <w:pPr>
        <w:keepNext/>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2D20875B"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Weiss, 1997</w:t>
      </w:r>
    </w:p>
    <w:p w14:paraId="53F569A0"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Chen, 2000</w:t>
      </w:r>
    </w:p>
    <w:p w14:paraId="08E2087A"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Coryn, 2011</w:t>
      </w:r>
    </w:p>
    <w:p w14:paraId="626BF2A1" w14:textId="77777777" w:rsidR="009F45F0" w:rsidRPr="009C362B" w:rsidRDefault="009F45F0" w:rsidP="009F45F0">
      <w:pPr>
        <w:keepNext/>
        <w:widowControl/>
        <w:numPr>
          <w:ilvl w:val="1"/>
          <w:numId w:val="2"/>
        </w:numPr>
        <w:spacing w:before="200" w:after="160"/>
        <w:jc w:val="left"/>
        <w:outlineLvl w:val="1"/>
        <w:rPr>
          <w:rFonts w:eastAsia="Franklin Gothic Book" w:cs="Arial"/>
          <w:b/>
          <w:bCs/>
          <w:sz w:val="24"/>
          <w:szCs w:val="20"/>
          <w:lang w:eastAsia="x-none"/>
        </w:rPr>
      </w:pPr>
      <w:bookmarkStart w:id="463" w:name="_Toc437261856"/>
      <w:bookmarkStart w:id="464" w:name="_Toc438191095"/>
      <w:r w:rsidRPr="009C362B">
        <w:rPr>
          <w:rFonts w:eastAsia="Franklin Gothic Book" w:cs="Arial"/>
          <w:b/>
          <w:bCs/>
          <w:sz w:val="24"/>
          <w:szCs w:val="20"/>
          <w:lang w:eastAsia="x-none"/>
        </w:rPr>
        <w:lastRenderedPageBreak/>
        <w:t>Case Studies Design</w:t>
      </w:r>
      <w:bookmarkEnd w:id="463"/>
      <w:bookmarkEnd w:id="464"/>
    </w:p>
    <w:p w14:paraId="6248012C"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Case studies are used extensively in social sciences as well as many other disciplines or practice-oriented areas such as political science, economics, education, and public policy. Case studies help to understand the how and why of a situation and typically retain a holistic aspect of real-life events. As such, they may be a useful approach to determine attribution. As with program theory design, though, the data collected and analyzed within a case study approach will not typically yield a specific NTG value, but can provide credible evidence and insight that supports or refutes the changes brought about by program intervention.</w:t>
      </w:r>
    </w:p>
    <w:p w14:paraId="7F61EA6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To be used to assess attribution, evaluators must carefully design case studies to assure they account for the threats to causality (i.e. internal validity) that arise in any design. While not typically thought of in this manner, case study design can address multiple types of validity such as construct, internal and external validity as well as assuring reliability. When establishing construct validity and reliability, evaluators must use multiple sources of evidence, create and maintain a study database, and maintain a “chain of evidence” within the analysis. Internal validity is shown through analytic tactics such as pattern matching, explanation building, addressing rival explanations, or using logic models. External validity centers on the ability to generalize the analytical findings to other similar situations. External validity may be shown through replication of findings.</w:t>
      </w:r>
    </w:p>
    <w:p w14:paraId="6A6A16BB" w14:textId="77777777" w:rsidR="009F45F0" w:rsidRPr="009C362B" w:rsidRDefault="009F45F0" w:rsidP="009F45F0">
      <w:pPr>
        <w:widowControl/>
        <w:spacing w:after="0"/>
        <w:jc w:val="left"/>
        <w:rPr>
          <w:rFonts w:eastAsia="Franklin Gothic Book"/>
          <w:sz w:val="22"/>
        </w:rPr>
      </w:pPr>
      <w:r w:rsidRPr="009C362B">
        <w:rPr>
          <w:rFonts w:eastAsia="Franklin Gothic Book"/>
          <w:b/>
          <w:bCs/>
          <w:sz w:val="22"/>
        </w:rPr>
        <w:t>References</w:t>
      </w:r>
      <w:r w:rsidRPr="009C362B">
        <w:rPr>
          <w:rFonts w:eastAsia="Franklin Gothic Book"/>
          <w:sz w:val="22"/>
        </w:rPr>
        <w:t xml:space="preserve"> </w:t>
      </w:r>
    </w:p>
    <w:p w14:paraId="02F6EF76" w14:textId="77777777" w:rsidR="009F45F0" w:rsidRPr="009C362B" w:rsidRDefault="009F45F0" w:rsidP="009F45F0">
      <w:pPr>
        <w:widowControl/>
        <w:numPr>
          <w:ilvl w:val="0"/>
          <w:numId w:val="4"/>
        </w:numPr>
        <w:spacing w:after="0"/>
        <w:ind w:left="360"/>
        <w:jc w:val="left"/>
        <w:rPr>
          <w:rFonts w:eastAsia="Franklin Gothic Book"/>
          <w:sz w:val="22"/>
        </w:rPr>
      </w:pPr>
      <w:r w:rsidRPr="009C362B">
        <w:rPr>
          <w:rFonts w:eastAsia="Franklin Gothic Book"/>
          <w:sz w:val="22"/>
        </w:rPr>
        <w:t>Yin, 2003</w:t>
      </w:r>
    </w:p>
    <w:p w14:paraId="564D2814" w14:textId="77777777" w:rsidR="009F45F0" w:rsidRPr="009C362B" w:rsidRDefault="009F45F0" w:rsidP="009F45F0">
      <w:pPr>
        <w:widowControl/>
        <w:numPr>
          <w:ilvl w:val="0"/>
          <w:numId w:val="4"/>
        </w:numPr>
        <w:spacing w:after="160"/>
        <w:ind w:left="360"/>
        <w:jc w:val="left"/>
        <w:rPr>
          <w:rFonts w:eastAsia="Franklin Gothic Book"/>
          <w:sz w:val="22"/>
        </w:rPr>
      </w:pPr>
      <w:r w:rsidRPr="009C362B">
        <w:rPr>
          <w:rFonts w:eastAsia="Franklin Gothic Book"/>
          <w:sz w:val="22"/>
        </w:rPr>
        <w:t>Stake, 2006</w:t>
      </w:r>
    </w:p>
    <w:p w14:paraId="69077988" w14:textId="77777777" w:rsidR="009F45F0" w:rsidRPr="009C362B" w:rsidRDefault="009F45F0" w:rsidP="009F45F0">
      <w:pPr>
        <w:widowControl/>
        <w:spacing w:after="160"/>
        <w:jc w:val="left"/>
        <w:rPr>
          <w:rFonts w:eastAsia="Franklin Gothic Book"/>
          <w:sz w:val="22"/>
        </w:rPr>
      </w:pPr>
    </w:p>
    <w:p w14:paraId="5ECE4752" w14:textId="77777777" w:rsidR="009F45F0" w:rsidRPr="009C362B" w:rsidRDefault="009F45F0" w:rsidP="009F45F0">
      <w:pPr>
        <w:keepNext/>
        <w:widowControl/>
        <w:numPr>
          <w:ilvl w:val="0"/>
          <w:numId w:val="2"/>
        </w:numPr>
        <w:spacing w:before="120" w:after="160"/>
        <w:jc w:val="left"/>
        <w:outlineLvl w:val="0"/>
        <w:rPr>
          <w:rFonts w:eastAsia="Franklin Gothic Book" w:cs="Arial"/>
          <w:b/>
          <w:bCs/>
          <w:kern w:val="36"/>
          <w:sz w:val="24"/>
          <w:szCs w:val="24"/>
          <w:lang w:eastAsia="x-none"/>
        </w:rPr>
      </w:pPr>
      <w:bookmarkStart w:id="465" w:name="_Toc437261857"/>
      <w:bookmarkStart w:id="466" w:name="_Toc438191096"/>
      <w:r w:rsidRPr="009C362B">
        <w:rPr>
          <w:rFonts w:eastAsia="Franklin Gothic Book" w:cs="Arial"/>
          <w:b/>
          <w:bCs/>
          <w:kern w:val="36"/>
          <w:sz w:val="24"/>
          <w:szCs w:val="24"/>
          <w:lang w:eastAsia="x-none"/>
        </w:rPr>
        <w:t>Appendix B: References</w:t>
      </w:r>
      <w:bookmarkEnd w:id="465"/>
      <w:bookmarkEnd w:id="466"/>
    </w:p>
    <w:p w14:paraId="2A930ABA"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Bradburn, Norman, Sudman, Seymore, and Wansink, Brian. 2004. </w:t>
      </w:r>
      <w:r w:rsidRPr="009C362B">
        <w:rPr>
          <w:rFonts w:eastAsia="Franklin Gothic Book"/>
          <w:i/>
          <w:sz w:val="22"/>
        </w:rPr>
        <w:t>Asking Questions. The Definitive Guide to Questionnaire Design – For Market Research, Political Polls, and Social and Health Questionnaires.</w:t>
      </w:r>
      <w:r w:rsidRPr="009C362B">
        <w:rPr>
          <w:rFonts w:eastAsia="Franklin Gothic Book"/>
          <w:sz w:val="22"/>
        </w:rPr>
        <w:t xml:space="preserve"> San Francisco, CA: Jossey-Bass.</w:t>
      </w:r>
    </w:p>
    <w:p w14:paraId="660F57A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Chen, Huey-Tsyh. 1990. </w:t>
      </w:r>
      <w:r w:rsidRPr="009C362B">
        <w:rPr>
          <w:rFonts w:eastAsia="Franklin Gothic Book"/>
          <w:i/>
          <w:sz w:val="22"/>
        </w:rPr>
        <w:t xml:space="preserve">Theory-Driven Evaluations. </w:t>
      </w:r>
      <w:r w:rsidRPr="009C362B">
        <w:rPr>
          <w:rFonts w:eastAsia="Franklin Gothic Book"/>
          <w:sz w:val="22"/>
        </w:rPr>
        <w:t>Sage Publications.</w:t>
      </w:r>
    </w:p>
    <w:p w14:paraId="75A2E348"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Coryn, Chris L.S., Norakes, Linday A</w:t>
      </w:r>
      <w:r w:rsidRPr="009C362B">
        <w:rPr>
          <w:rFonts w:eastAsia="Franklin Gothic Book"/>
          <w:sz w:val="22"/>
          <w:szCs w:val="18"/>
        </w:rPr>
        <w:t xml:space="preserve">., </w:t>
      </w:r>
      <w:r w:rsidRPr="009C362B">
        <w:rPr>
          <w:rFonts w:eastAsia="Franklin Gothic Book"/>
          <w:sz w:val="22"/>
        </w:rPr>
        <w:t xml:space="preserve">Westine, Carl D., </w:t>
      </w:r>
      <w:r w:rsidRPr="009C362B">
        <w:rPr>
          <w:rFonts w:eastAsia="Franklin Gothic Book"/>
          <w:sz w:val="22"/>
          <w:szCs w:val="18"/>
        </w:rPr>
        <w:t>Schr</w:t>
      </w:r>
      <w:r w:rsidRPr="009C362B">
        <w:rPr>
          <w:rFonts w:eastAsia="Franklin Gothic Book" w:cs="Lucida Grande"/>
          <w:color w:val="000000"/>
          <w:sz w:val="22"/>
          <w:szCs w:val="18"/>
        </w:rPr>
        <w:t>öter, Daniela C. 2011. “</w:t>
      </w:r>
      <w:r w:rsidRPr="009C362B">
        <w:rPr>
          <w:rFonts w:eastAsia="Franklin Gothic Book"/>
          <w:sz w:val="22"/>
        </w:rPr>
        <w:t>A Systematic Review of Theory-Driven Evaluation Practice from 1990 to 2009</w:t>
      </w:r>
      <w:r w:rsidRPr="009C362B">
        <w:rPr>
          <w:rFonts w:eastAsia="Franklin Gothic Book"/>
          <w:sz w:val="22"/>
          <w:szCs w:val="18"/>
        </w:rPr>
        <w:t>"</w:t>
      </w:r>
      <w:r w:rsidRPr="009C362B">
        <w:rPr>
          <w:rFonts w:eastAsia="Franklin Gothic Book"/>
          <w:i/>
          <w:sz w:val="22"/>
        </w:rPr>
        <w:t>. American Journal of Evaluation</w:t>
      </w:r>
      <w:r w:rsidRPr="009C362B">
        <w:rPr>
          <w:rFonts w:eastAsia="Franklin Gothic Book"/>
          <w:sz w:val="22"/>
          <w:szCs w:val="18"/>
        </w:rPr>
        <w:t xml:space="preserve">, </w:t>
      </w:r>
      <w:r w:rsidRPr="009C362B">
        <w:rPr>
          <w:rFonts w:eastAsia="Franklin Gothic Book"/>
          <w:i/>
          <w:sz w:val="22"/>
          <w:szCs w:val="18"/>
        </w:rPr>
        <w:t>32</w:t>
      </w:r>
      <w:r w:rsidRPr="009C362B">
        <w:rPr>
          <w:rFonts w:eastAsia="Franklin Gothic Book"/>
          <w:i/>
          <w:sz w:val="22"/>
        </w:rPr>
        <w:t>(2</w:t>
      </w:r>
      <w:r w:rsidRPr="009C362B">
        <w:rPr>
          <w:rFonts w:eastAsia="Franklin Gothic Book"/>
          <w:i/>
          <w:sz w:val="22"/>
          <w:szCs w:val="18"/>
        </w:rPr>
        <w:t xml:space="preserve">): </w:t>
      </w:r>
      <w:r w:rsidRPr="009C362B">
        <w:rPr>
          <w:rFonts w:eastAsia="Franklin Gothic Book"/>
          <w:i/>
          <w:sz w:val="22"/>
        </w:rPr>
        <w:t>199-226</w:t>
      </w:r>
      <w:r w:rsidRPr="009C362B">
        <w:rPr>
          <w:rFonts w:eastAsia="Franklin Gothic Book"/>
          <w:sz w:val="22"/>
        </w:rPr>
        <w:t>.</w:t>
      </w:r>
    </w:p>
    <w:p w14:paraId="04F628C9"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Donaldson, Steward I., Christie, Christina A., Mark, Melvin M. 2009. </w:t>
      </w:r>
      <w:r w:rsidRPr="009C362B">
        <w:rPr>
          <w:rFonts w:eastAsia="Franklin Gothic Book"/>
          <w:i/>
          <w:sz w:val="22"/>
        </w:rPr>
        <w:t xml:space="preserve">What Counts as Credible Evidence in Applied Research and Evaluation Practice? </w:t>
      </w:r>
      <w:r w:rsidRPr="009C362B">
        <w:rPr>
          <w:rFonts w:eastAsia="Franklin Gothic Book"/>
          <w:sz w:val="22"/>
        </w:rPr>
        <w:t>Los Angeles, CA:</w:t>
      </w:r>
      <w:r w:rsidRPr="009C362B">
        <w:rPr>
          <w:rFonts w:eastAsia="Franklin Gothic Book"/>
          <w:i/>
          <w:sz w:val="22"/>
        </w:rPr>
        <w:t xml:space="preserve"> </w:t>
      </w:r>
      <w:r w:rsidRPr="009C362B">
        <w:rPr>
          <w:rFonts w:eastAsia="Franklin Gothic Book"/>
          <w:sz w:val="22"/>
        </w:rPr>
        <w:t>Sage Publications, Inc.</w:t>
      </w:r>
    </w:p>
    <w:p w14:paraId="72876296"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Mohr, Lawrence B. 1995. </w:t>
      </w:r>
      <w:r w:rsidRPr="009C362B">
        <w:rPr>
          <w:rFonts w:eastAsia="Franklin Gothic Book"/>
          <w:i/>
          <w:sz w:val="22"/>
        </w:rPr>
        <w:t>Impact Analysis for Program Evaluation, Second Edition</w:t>
      </w:r>
      <w:r w:rsidRPr="009C362B">
        <w:rPr>
          <w:rFonts w:eastAsia="Franklin Gothic Book"/>
          <w:sz w:val="22"/>
        </w:rPr>
        <w:t>. Thousand Oaks: SAGE Publications.</w:t>
      </w:r>
    </w:p>
    <w:p w14:paraId="4EDDFDD7"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Mosenthal, Philip, Prahl, Ralph, Neme, Chris, and Cuomo, Robert. 2000. </w:t>
      </w:r>
      <w:r w:rsidRPr="009C362B">
        <w:rPr>
          <w:rFonts w:eastAsia="Franklin Gothic Book"/>
          <w:i/>
          <w:sz w:val="22"/>
        </w:rPr>
        <w:t xml:space="preserve">A Modified Delphi Approach to Predict Market Transformation Program Effects. </w:t>
      </w:r>
      <w:r w:rsidRPr="009C362B">
        <w:rPr>
          <w:rFonts w:eastAsia="Franklin Gothic Book"/>
          <w:sz w:val="22"/>
        </w:rPr>
        <w:t>Proceedings from the 2000 ACEEE Conference.</w:t>
      </w:r>
    </w:p>
    <w:p w14:paraId="356009EE" w14:textId="77777777" w:rsidR="009F45F0" w:rsidRPr="009C362B" w:rsidRDefault="009F45F0" w:rsidP="009F45F0">
      <w:pPr>
        <w:widowControl/>
        <w:spacing w:after="160"/>
        <w:jc w:val="left"/>
        <w:rPr>
          <w:rFonts w:eastAsia="Franklin Gothic Book"/>
          <w:i/>
          <w:sz w:val="22"/>
        </w:rPr>
      </w:pPr>
      <w:r w:rsidRPr="009C362B">
        <w:rPr>
          <w:rFonts w:eastAsia="Franklin Gothic Book"/>
          <w:sz w:val="22"/>
        </w:rPr>
        <w:t xml:space="preserve">Powell, Catherine. 2002. “The Delphi technique: myths and realities”. </w:t>
      </w:r>
      <w:r w:rsidRPr="009C362B">
        <w:rPr>
          <w:rFonts w:eastAsia="Franklin Gothic Book"/>
          <w:i/>
          <w:sz w:val="22"/>
        </w:rPr>
        <w:t>Journal of Advanced Nursing. 41(4), 376-382.</w:t>
      </w:r>
    </w:p>
    <w:p w14:paraId="4069CDB9" w14:textId="77777777" w:rsidR="009F45F0" w:rsidRPr="009C362B" w:rsidRDefault="009F45F0" w:rsidP="009F45F0">
      <w:pPr>
        <w:widowControl/>
        <w:spacing w:after="160"/>
        <w:jc w:val="left"/>
        <w:rPr>
          <w:rFonts w:eastAsia="Franklin Gothic Book"/>
          <w:i/>
          <w:sz w:val="22"/>
        </w:rPr>
      </w:pPr>
      <w:r w:rsidRPr="009C362B">
        <w:rPr>
          <w:rFonts w:eastAsia="Franklin Gothic Book"/>
          <w:sz w:val="22"/>
        </w:rPr>
        <w:t>Scriven, Michael. “A Summative Evaluation of RCT Methodology and an Alternative Approach to Causal Research”. March 2008</w:t>
      </w:r>
      <w:r w:rsidRPr="009C362B">
        <w:rPr>
          <w:rFonts w:eastAsia="Franklin Gothic Book"/>
          <w:i/>
          <w:sz w:val="22"/>
        </w:rPr>
        <w:t>.</w:t>
      </w:r>
      <w:r w:rsidRPr="009C362B">
        <w:rPr>
          <w:rFonts w:eastAsia="Franklin Gothic Book"/>
          <w:sz w:val="22"/>
        </w:rPr>
        <w:t xml:space="preserve"> </w:t>
      </w:r>
      <w:r w:rsidRPr="009C362B">
        <w:rPr>
          <w:rFonts w:eastAsia="Franklin Gothic Book"/>
          <w:i/>
          <w:sz w:val="22"/>
        </w:rPr>
        <w:t xml:space="preserve">Journal of MultiDisciplinary Evaluation, Volume 5, Number 9. ISSN 1556-8180. </w:t>
      </w:r>
    </w:p>
    <w:p w14:paraId="3605F904"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lastRenderedPageBreak/>
        <w:t xml:space="preserve">Shadish, William R., Cook, Thomas D., and Campbell, Donald T. 2002. </w:t>
      </w:r>
      <w:r w:rsidRPr="009C362B">
        <w:rPr>
          <w:rFonts w:eastAsia="Franklin Gothic Book"/>
          <w:i/>
          <w:sz w:val="22"/>
        </w:rPr>
        <w:t>Experimental and Quasi-Experimental Designs for Generalized Causal Inference</w:t>
      </w:r>
      <w:r w:rsidRPr="009C362B">
        <w:rPr>
          <w:rFonts w:eastAsia="Franklin Gothic Book"/>
          <w:sz w:val="22"/>
        </w:rPr>
        <w:t>. Boston: Houghton Mifflin Company.</w:t>
      </w:r>
    </w:p>
    <w:p w14:paraId="1E2EDAE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Stake, Robert E. 2006. </w:t>
      </w:r>
      <w:r w:rsidRPr="009C362B">
        <w:rPr>
          <w:rFonts w:eastAsia="Franklin Gothic Book"/>
          <w:i/>
          <w:sz w:val="22"/>
        </w:rPr>
        <w:t>Multiple Case Study Analysis.</w:t>
      </w:r>
      <w:r w:rsidRPr="009C362B">
        <w:rPr>
          <w:rFonts w:eastAsia="Franklin Gothic Book"/>
          <w:sz w:val="22"/>
        </w:rPr>
        <w:t xml:space="preserve"> The Guilford Press.</w:t>
      </w:r>
    </w:p>
    <w:p w14:paraId="068FCE12"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Stone, Arthur A., Turkkan, Jaylan S., Bachrach, Christine A., Jobe, Jared B., Kurtzman, Howard S., Cain, Virginia S. editors. 2000. </w:t>
      </w:r>
      <w:r w:rsidRPr="009C362B">
        <w:rPr>
          <w:rFonts w:eastAsia="Franklin Gothic Book"/>
          <w:i/>
          <w:sz w:val="22"/>
        </w:rPr>
        <w:t xml:space="preserve">The Science of Self-Report. Implications for Research and Practice. </w:t>
      </w:r>
      <w:r w:rsidRPr="009C362B">
        <w:rPr>
          <w:rFonts w:eastAsia="Franklin Gothic Book"/>
          <w:sz w:val="22"/>
        </w:rPr>
        <w:t>Lawrence Erlbaum Associates, Inc.</w:t>
      </w:r>
    </w:p>
    <w:p w14:paraId="55E14455"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Sudman, Seymour, Bradburn, Norman, Schwarz, Norbert. 1996. Thinking about Answers. The Application of Cognitive Processes to Survey Methodology. Jossey-Bass.</w:t>
      </w:r>
    </w:p>
    <w:p w14:paraId="3E0748C5" w14:textId="77777777" w:rsidR="009F45F0" w:rsidRPr="009C362B" w:rsidRDefault="009F45F0" w:rsidP="009F45F0">
      <w:pPr>
        <w:widowControl/>
        <w:autoSpaceDE w:val="0"/>
        <w:autoSpaceDN w:val="0"/>
        <w:adjustRightInd w:val="0"/>
        <w:spacing w:after="160"/>
        <w:jc w:val="left"/>
        <w:rPr>
          <w:rFonts w:eastAsia="Franklin Gothic Book" w:cs="Arial"/>
          <w:color w:val="000000"/>
          <w:sz w:val="22"/>
          <w:szCs w:val="24"/>
        </w:rPr>
      </w:pPr>
      <w:r w:rsidRPr="009C362B">
        <w:rPr>
          <w:rFonts w:eastAsia="Franklin Gothic Book"/>
          <w:sz w:val="22"/>
        </w:rPr>
        <w:t xml:space="preserve">Violette, Daniel M., Rathbun, Pamela. 2014. “Chapter 17: Estimating Net Savings: Common Practices. </w:t>
      </w:r>
      <w:r w:rsidRPr="009C362B">
        <w:rPr>
          <w:rFonts w:eastAsia="Franklin Gothic Book" w:cs="Arial"/>
          <w:color w:val="000000"/>
          <w:sz w:val="22"/>
        </w:rPr>
        <w:t xml:space="preserve">The Uniform Methods Project: Methods for Determining Energy Efficiency Savings for Specific Measures”. Available electronically at </w:t>
      </w:r>
      <w:r w:rsidRPr="009C362B">
        <w:rPr>
          <w:rFonts w:eastAsia="Franklin Gothic Book" w:cs="Arial"/>
          <w:color w:val="0563C1"/>
          <w:sz w:val="22"/>
          <w:u w:val="single"/>
        </w:rPr>
        <w:t>http://www.osti.gov/scitech</w:t>
      </w:r>
      <w:r w:rsidRPr="009C362B">
        <w:rPr>
          <w:rFonts w:eastAsia="Franklin Gothic Book" w:cs="Arial"/>
          <w:sz w:val="22"/>
        </w:rPr>
        <w:t xml:space="preserve">. </w:t>
      </w:r>
    </w:p>
    <w:p w14:paraId="387F89E1" w14:textId="77777777" w:rsidR="009F45F0" w:rsidRPr="009C362B" w:rsidRDefault="009F45F0" w:rsidP="009F45F0">
      <w:pPr>
        <w:widowControl/>
        <w:spacing w:after="160"/>
        <w:jc w:val="left"/>
        <w:rPr>
          <w:rFonts w:eastAsia="Franklin Gothic Book"/>
          <w:sz w:val="22"/>
        </w:rPr>
      </w:pPr>
      <w:r w:rsidRPr="009C362B">
        <w:rPr>
          <w:rFonts w:eastAsia="Franklin Gothic Book"/>
          <w:sz w:val="22"/>
        </w:rPr>
        <w:t xml:space="preserve">Weiss, Carol H. 1998. </w:t>
      </w:r>
      <w:r w:rsidRPr="009C362B">
        <w:rPr>
          <w:rFonts w:eastAsia="Franklin Gothic Book"/>
          <w:i/>
          <w:sz w:val="22"/>
        </w:rPr>
        <w:t>Evaluation Methods for Studying Programs and Policies, 2</w:t>
      </w:r>
      <w:r w:rsidRPr="009C362B">
        <w:rPr>
          <w:rFonts w:eastAsia="Franklin Gothic Book"/>
          <w:i/>
          <w:sz w:val="22"/>
          <w:vertAlign w:val="superscript"/>
        </w:rPr>
        <w:t>nd</w:t>
      </w:r>
      <w:r w:rsidRPr="009C362B">
        <w:rPr>
          <w:rFonts w:eastAsia="Franklin Gothic Book"/>
          <w:i/>
          <w:sz w:val="22"/>
        </w:rPr>
        <w:t xml:space="preserve"> Edition. </w:t>
      </w:r>
      <w:r w:rsidRPr="009C362B">
        <w:rPr>
          <w:rFonts w:eastAsia="Franklin Gothic Book"/>
          <w:sz w:val="22"/>
        </w:rPr>
        <w:t>Upper Saddle River, New Jersey: Prentice Hall.</w:t>
      </w:r>
    </w:p>
    <w:p w14:paraId="0FD94E30" w14:textId="77777777" w:rsidR="009F45F0" w:rsidRDefault="009F45F0" w:rsidP="009F45F0">
      <w:pPr>
        <w:widowControl/>
        <w:spacing w:after="160"/>
        <w:jc w:val="left"/>
        <w:rPr>
          <w:rFonts w:eastAsia="Franklin Gothic Book"/>
          <w:sz w:val="22"/>
        </w:rPr>
      </w:pPr>
      <w:r w:rsidRPr="009C362B">
        <w:rPr>
          <w:rFonts w:eastAsia="Franklin Gothic Book"/>
          <w:sz w:val="22"/>
        </w:rPr>
        <w:t xml:space="preserve">Yin, Robert K. 2003. </w:t>
      </w:r>
      <w:r w:rsidRPr="009C362B">
        <w:rPr>
          <w:rFonts w:eastAsia="Franklin Gothic Book"/>
          <w:i/>
          <w:sz w:val="22"/>
        </w:rPr>
        <w:t xml:space="preserve">Case Study Research. Design and Methods. </w:t>
      </w:r>
      <w:r w:rsidRPr="009C362B">
        <w:rPr>
          <w:rFonts w:eastAsia="Franklin Gothic Book"/>
          <w:sz w:val="22"/>
        </w:rPr>
        <w:t>Thousand Oaks, CA:</w:t>
      </w:r>
      <w:r w:rsidRPr="009C362B">
        <w:rPr>
          <w:rFonts w:eastAsia="Franklin Gothic Book"/>
          <w:i/>
          <w:sz w:val="22"/>
        </w:rPr>
        <w:t xml:space="preserve"> </w:t>
      </w:r>
      <w:r w:rsidRPr="009C362B">
        <w:rPr>
          <w:rFonts w:eastAsia="Franklin Gothic Book"/>
          <w:sz w:val="22"/>
        </w:rPr>
        <w:t>Sage Publications, Inc.</w:t>
      </w:r>
    </w:p>
    <w:p w14:paraId="1DB670E6" w14:textId="77777777" w:rsidR="005A2459" w:rsidRPr="009C362B" w:rsidRDefault="005A2459" w:rsidP="009F45F0">
      <w:pPr>
        <w:widowControl/>
        <w:spacing w:after="160"/>
        <w:jc w:val="left"/>
        <w:rPr>
          <w:rFonts w:eastAsia="Franklin Gothic Book"/>
          <w:sz w:val="22"/>
        </w:rPr>
      </w:pPr>
    </w:p>
    <w:p w14:paraId="1245E031" w14:textId="77777777" w:rsidR="005A2459" w:rsidRDefault="005A2459">
      <w:pPr>
        <w:sectPr w:rsidR="005A2459" w:rsidSect="00A90F43">
          <w:headerReference w:type="default" r:id="rId15"/>
          <w:pgSz w:w="12240" w:h="15840"/>
          <w:pgMar w:top="1440" w:right="1440" w:bottom="1440" w:left="1440" w:header="720" w:footer="720" w:gutter="0"/>
          <w:pgNumType w:start="5"/>
          <w:cols w:space="720"/>
          <w:docGrid w:linePitch="360"/>
        </w:sectPr>
      </w:pPr>
    </w:p>
    <w:p w14:paraId="12DC386C" w14:textId="151C6C69" w:rsidR="005A2459" w:rsidRDefault="005A2459">
      <w:pPr>
        <w:pStyle w:val="Heading1"/>
        <w:pPrChange w:id="467" w:author="Stephanie Baer" w:date="2015-12-17T15:05:00Z">
          <w:pPr/>
        </w:pPrChange>
      </w:pPr>
      <w:bookmarkStart w:id="468" w:name="_Toc438191097"/>
      <w:r>
        <w:lastRenderedPageBreak/>
        <w:t>Attachment B: Illinois Statewide Non Energy Benefits Methodologies</w:t>
      </w:r>
      <w:bookmarkEnd w:id="468"/>
    </w:p>
    <w:p w14:paraId="5BC9BC70" w14:textId="77777777" w:rsidR="005A2459" w:rsidRDefault="005A2459">
      <w:pPr>
        <w:pStyle w:val="Heading2"/>
        <w:rPr>
          <w:ins w:id="469" w:author="Stephanie Baer" w:date="2015-12-17T15:04:00Z"/>
          <w:rFonts w:eastAsia="Franklin Gothic Book"/>
        </w:rPr>
        <w:pPrChange w:id="470" w:author="Stephanie Baer" w:date="2015-12-17T15:06:00Z">
          <w:pPr>
            <w:pStyle w:val="Heading1"/>
          </w:pPr>
        </w:pPrChange>
      </w:pPr>
      <w:bookmarkStart w:id="471" w:name="_Toc438191098"/>
      <w:ins w:id="472" w:author="Stephanie Baer" w:date="2015-12-17T15:04:00Z">
        <w:r>
          <w:rPr>
            <w:rFonts w:eastAsia="Franklin Gothic Book"/>
          </w:rPr>
          <w:t>Residential Whole House Retrofit Non Energy Benefits</w:t>
        </w:r>
        <w:bookmarkEnd w:id="471"/>
      </w:ins>
    </w:p>
    <w:p w14:paraId="654EF9B0" w14:textId="77777777" w:rsidR="005A2459" w:rsidRPr="0026070A" w:rsidRDefault="005A2459" w:rsidP="005A2459">
      <w:pPr>
        <w:rPr>
          <w:ins w:id="473" w:author="Stephanie Baer" w:date="2015-12-17T15:04:00Z"/>
          <w:rFonts w:eastAsia="Franklin Gothic Book"/>
        </w:rPr>
      </w:pPr>
    </w:p>
    <w:p w14:paraId="21CDCF73" w14:textId="77777777" w:rsidR="005A2459" w:rsidRDefault="005A2459" w:rsidP="005A2459">
      <w:pPr>
        <w:rPr>
          <w:ins w:id="474" w:author="Stephanie Baer" w:date="2015-12-17T15:04:00Z"/>
          <w:rFonts w:eastAsia="Franklin Gothic Book"/>
          <w:szCs w:val="20"/>
        </w:rPr>
      </w:pPr>
      <w:ins w:id="475" w:author="Stephanie Baer" w:date="2015-12-17T15:04:00Z">
        <w:r>
          <w:rPr>
            <w:rFonts w:eastAsia="Franklin Gothic Book"/>
            <w:szCs w:val="20"/>
          </w:rPr>
          <w:t xml:space="preserve">Figure 3 </w:t>
        </w:r>
        <w:r w:rsidRPr="003A6FE4">
          <w:rPr>
            <w:rFonts w:eastAsia="Franklin Gothic Book"/>
            <w:szCs w:val="20"/>
          </w:rPr>
          <w:t xml:space="preserve">below represents </w:t>
        </w:r>
        <w:commentRangeStart w:id="476"/>
        <w:r>
          <w:t>Technical Advisory Committee</w:t>
        </w:r>
        <w:r>
          <w:rPr>
            <w:rFonts w:eastAsia="Franklin Gothic Book"/>
            <w:szCs w:val="20"/>
          </w:rPr>
          <w:t xml:space="preserve"> (TAC)-approved </w:t>
        </w:r>
        <w:commentRangeEnd w:id="476"/>
        <w:r>
          <w:rPr>
            <w:rStyle w:val="CommentReference"/>
            <w:rFonts w:eastAsiaTheme="majorEastAsia"/>
          </w:rPr>
          <w:commentReference w:id="476"/>
        </w:r>
        <w:r>
          <w:rPr>
            <w:rFonts w:eastAsia="Franklin Gothic Book"/>
            <w:szCs w:val="20"/>
          </w:rPr>
          <w:t xml:space="preserve">multipliers to first year kWh or Therm savings to determine a lifetime net present value (NPV) of Non-Energy Benefits (NEBs) for measures in a Residential whole house retrofit program. This additional benefit should be added to the Energy benefits and applied in the Cost Effectiveness Tests. </w:t>
        </w:r>
      </w:ins>
    </w:p>
    <w:p w14:paraId="6F9C2193" w14:textId="77777777" w:rsidR="005A2459" w:rsidRDefault="005A2459" w:rsidP="005A2459">
      <w:pPr>
        <w:rPr>
          <w:ins w:id="477" w:author="Stephanie Baer" w:date="2015-12-17T15:04:00Z"/>
          <w:rFonts w:ascii="Times-Italic" w:hAnsi="Times-Italic"/>
          <w:i/>
          <w:iCs/>
          <w:color w:val="000000"/>
          <w:szCs w:val="20"/>
        </w:rPr>
      </w:pPr>
      <w:ins w:id="478" w:author="Stephanie Baer" w:date="2015-12-17T15:04:00Z">
        <w:r>
          <w:rPr>
            <w:rFonts w:eastAsia="Franklin Gothic Book"/>
            <w:szCs w:val="20"/>
          </w:rPr>
          <w:t>The values are based upon a workpaper produced for the Illinois Technical Advisory Committee by Skumatz Economic Research Association</w:t>
        </w:r>
        <w:r w:rsidRPr="009770DB">
          <w:rPr>
            <w:rFonts w:eastAsia="Franklin Gothic Book"/>
            <w:i/>
            <w:szCs w:val="20"/>
          </w:rPr>
          <w:t xml:space="preserve">; Skumatz Lisa A., 2015, </w:t>
        </w:r>
        <w:r w:rsidRPr="009770DB">
          <w:rPr>
            <w:rFonts w:ascii="Times-Italic" w:hAnsi="Times-Italic"/>
            <w:i/>
            <w:iCs/>
            <w:color w:val="000000"/>
            <w:szCs w:val="20"/>
          </w:rPr>
          <w:t>Considering</w:t>
        </w:r>
        <w:r w:rsidRPr="00A777B5">
          <w:rPr>
            <w:rFonts w:ascii="Times-Italic" w:hAnsi="Times-Italic"/>
            <w:i/>
            <w:iCs/>
            <w:color w:val="000000"/>
            <w:szCs w:val="20"/>
          </w:rPr>
          <w:t xml:space="preserve"> the Inclusion of NEBs in IL TRM for Single and Multi</w:t>
        </w:r>
        <w:r>
          <w:rPr>
            <w:rFonts w:ascii="Times-Italic" w:hAnsi="Times-Italic"/>
            <w:i/>
            <w:iCs/>
            <w:color w:val="000000"/>
            <w:szCs w:val="20"/>
          </w:rPr>
          <w:t>-</w:t>
        </w:r>
        <w:r w:rsidRPr="00A777B5">
          <w:rPr>
            <w:rFonts w:ascii="Times-Italic" w:hAnsi="Times-Italic"/>
            <w:i/>
            <w:iCs/>
            <w:color w:val="000000"/>
            <w:szCs w:val="20"/>
          </w:rPr>
          <w:t>family</w:t>
        </w:r>
        <w:r>
          <w:rPr>
            <w:rFonts w:ascii="Times-Italic" w:hAnsi="Times-Italic"/>
            <w:i/>
            <w:iCs/>
            <w:color w:val="000000"/>
            <w:szCs w:val="20"/>
          </w:rPr>
          <w:t xml:space="preserve"> </w:t>
        </w:r>
        <w:r w:rsidRPr="00A777B5">
          <w:rPr>
            <w:rFonts w:ascii="Times-Italic" w:hAnsi="Times-Italic"/>
            <w:i/>
            <w:iCs/>
            <w:color w:val="000000"/>
            <w:szCs w:val="20"/>
          </w:rPr>
          <w:t>Whole Building Retrofit Programs: The Issue of Measure</w:t>
        </w:r>
        <w:r>
          <w:rPr>
            <w:rFonts w:ascii="Times-Italic" w:hAnsi="Times-Italic"/>
            <w:i/>
            <w:iCs/>
            <w:color w:val="000000"/>
            <w:szCs w:val="20"/>
          </w:rPr>
          <w:t>-</w:t>
        </w:r>
        <w:r w:rsidRPr="00A777B5">
          <w:rPr>
            <w:rFonts w:ascii="Times-Italic" w:hAnsi="Times-Italic"/>
            <w:i/>
            <w:iCs/>
            <w:color w:val="000000"/>
            <w:szCs w:val="20"/>
          </w:rPr>
          <w:t>Based NEBs</w:t>
        </w:r>
        <w:r>
          <w:rPr>
            <w:rFonts w:ascii="Times-Italic" w:hAnsi="Times-Italic"/>
            <w:i/>
            <w:iCs/>
            <w:color w:val="000000"/>
            <w:szCs w:val="20"/>
          </w:rPr>
          <w:t xml:space="preserve">. </w:t>
        </w:r>
      </w:ins>
    </w:p>
    <w:p w14:paraId="53C10A73" w14:textId="30F0D7F3" w:rsidR="005A2459" w:rsidRDefault="005A2459" w:rsidP="005A2459">
      <w:pPr>
        <w:rPr>
          <w:iCs/>
          <w:color w:val="000000"/>
          <w:szCs w:val="20"/>
        </w:rPr>
      </w:pPr>
      <w:ins w:id="479" w:author="Stephanie Baer" w:date="2015-12-17T15:04:00Z">
        <w:r>
          <w:rPr>
            <w:rFonts w:eastAsia="Franklin Gothic Book"/>
            <w:szCs w:val="20"/>
          </w:rPr>
          <w:t xml:space="preserve">The study examined literature from across the nation and found “consistency in some NEB categories, sufficient to indicate strong NEB values and attribution to some measures”. </w:t>
        </w:r>
        <w:r w:rsidRPr="00B530CB">
          <w:rPr>
            <w:rFonts w:eastAsia="Franklin Gothic Book"/>
            <w:szCs w:val="20"/>
          </w:rPr>
          <w:t xml:space="preserve">The ultimate recommendation was to base </w:t>
        </w:r>
        <w:r>
          <w:rPr>
            <w:rFonts w:eastAsia="Franklin Gothic Book"/>
            <w:szCs w:val="20"/>
          </w:rPr>
          <w:t xml:space="preserve">Illinois </w:t>
        </w:r>
        <w:r w:rsidRPr="00B530CB">
          <w:rPr>
            <w:rFonts w:eastAsia="Franklin Gothic Book"/>
            <w:szCs w:val="20"/>
          </w:rPr>
          <w:t>NEB values</w:t>
        </w:r>
        <w:r>
          <w:rPr>
            <w:rFonts w:eastAsia="Franklin Gothic Book"/>
            <w:szCs w:val="20"/>
          </w:rPr>
          <w:t xml:space="preserve"> for whole house Retrofit program measures</w:t>
        </w:r>
        <w:r w:rsidRPr="00B530CB">
          <w:rPr>
            <w:rFonts w:eastAsia="Franklin Gothic Book"/>
            <w:szCs w:val="20"/>
          </w:rPr>
          <w:t xml:space="preserve"> on an evaluation</w:t>
        </w:r>
        <w:r>
          <w:rPr>
            <w:rFonts w:eastAsia="Franklin Gothic Book"/>
            <w:szCs w:val="20"/>
          </w:rPr>
          <w:t xml:space="preserve"> prepared for Massachusetts Program Administrators; </w:t>
        </w:r>
        <w:r w:rsidRPr="00B530CB">
          <w:rPr>
            <w:rFonts w:ascii="Times-Roman" w:hAnsi="Times-Roman"/>
            <w:i/>
            <w:color w:val="000000"/>
            <w:szCs w:val="20"/>
          </w:rPr>
          <w:t>NMR Group, Inc., Tetra Tech (2011).</w:t>
        </w:r>
        <w:r>
          <w:rPr>
            <w:rFonts w:ascii="Times-Roman" w:hAnsi="Times-Roman"/>
            <w:color w:val="000000"/>
            <w:szCs w:val="20"/>
          </w:rPr>
          <w:t xml:space="preserve"> </w:t>
        </w:r>
        <w:r>
          <w:rPr>
            <w:rFonts w:ascii="Times-Italic" w:hAnsi="Times-Italic"/>
            <w:i/>
            <w:iCs/>
            <w:color w:val="000000"/>
            <w:szCs w:val="20"/>
          </w:rPr>
          <w:t>Massachusetts Special and Cross-Sector Studies Area, Residential and Low-Income Non-Energy Impacts (NEI) Evaluation</w:t>
        </w:r>
        <w:r>
          <w:rPr>
            <w:rFonts w:ascii="Times-Roman" w:hAnsi="Times-Roman"/>
            <w:color w:val="000000"/>
            <w:szCs w:val="20"/>
          </w:rPr>
          <w:t xml:space="preserve">. </w:t>
        </w:r>
        <w:r>
          <w:rPr>
            <w:rFonts w:eastAsia="Franklin Gothic Book"/>
            <w:szCs w:val="20"/>
          </w:rPr>
          <w:t xml:space="preserve"> This study, itself based upon </w:t>
        </w:r>
        <w:r w:rsidRPr="00B530CB">
          <w:rPr>
            <w:rFonts w:eastAsia="Franklin Gothic Book"/>
            <w:szCs w:val="20"/>
          </w:rPr>
          <w:t>in</w:t>
        </w:r>
        <w:r>
          <w:rPr>
            <w:rFonts w:eastAsia="Franklin Gothic Book"/>
            <w:szCs w:val="20"/>
          </w:rPr>
          <w:t>-</w:t>
        </w:r>
        <w:r w:rsidRPr="00B530CB">
          <w:rPr>
            <w:rFonts w:eastAsia="Franklin Gothic Book"/>
            <w:szCs w:val="20"/>
          </w:rPr>
          <w:t xml:space="preserve">depth participant surveys and </w:t>
        </w:r>
        <w:r>
          <w:rPr>
            <w:rFonts w:eastAsia="Franklin Gothic Book"/>
            <w:szCs w:val="20"/>
          </w:rPr>
          <w:t>extensive</w:t>
        </w:r>
        <w:r w:rsidRPr="00B530CB">
          <w:rPr>
            <w:rFonts w:eastAsia="Franklin Gothic Book"/>
            <w:szCs w:val="20"/>
          </w:rPr>
          <w:t xml:space="preserve"> literature review</w:t>
        </w:r>
        <w:r>
          <w:rPr>
            <w:rFonts w:eastAsia="Franklin Gothic Book"/>
            <w:szCs w:val="20"/>
          </w:rPr>
          <w:t xml:space="preserve">, was found to be robust and provides measure attribution and total non-energy benefits values consistent with other studies. Table 9-10 from this study provides the attribution of NEB values to energy efficiency measures through a whole house retrofit program and the values are summarized below in Figure 1. Note that two exceptions, appliances and lighting, are provided, where the recommendation was to instead use work performed in </w:t>
        </w:r>
        <w:r>
          <w:rPr>
            <w:rFonts w:ascii="Calibri-Italic" w:hAnsi="Calibri-Italic"/>
            <w:i/>
            <w:iCs/>
            <w:color w:val="000000"/>
            <w:szCs w:val="20"/>
          </w:rPr>
          <w:t>Skumatz, Lisa A., 2004, Non</w:t>
        </w:r>
        <w:r>
          <w:rPr>
            <w:rFonts w:ascii="Cambria Math" w:hAnsi="Cambria Math" w:cs="Cambria Math"/>
            <w:i/>
            <w:iCs/>
            <w:color w:val="000000"/>
            <w:szCs w:val="20"/>
          </w:rPr>
          <w:t>‐</w:t>
        </w:r>
        <w:r>
          <w:rPr>
            <w:rFonts w:ascii="Calibri-Italic" w:hAnsi="Calibri-Italic"/>
            <w:i/>
            <w:iCs/>
            <w:color w:val="000000"/>
            <w:szCs w:val="20"/>
          </w:rPr>
          <w:t>Energy Benefits from ENERGY STAR</w:t>
        </w:r>
        <w:r>
          <w:rPr>
            <w:rFonts w:ascii="Times New Roman" w:hAnsi="Times New Roman"/>
            <w:i/>
            <w:iCs/>
            <w:color w:val="000000"/>
            <w:szCs w:val="20"/>
          </w:rPr>
          <w:t>®</w:t>
        </w:r>
        <w:r>
          <w:rPr>
            <w:rFonts w:ascii="Calibri-Italic" w:hAnsi="Calibri-Italic"/>
            <w:i/>
            <w:iCs/>
            <w:color w:val="000000"/>
            <w:szCs w:val="20"/>
          </w:rPr>
          <w:t xml:space="preserve">: Comprehensive Analysis of Appliance,Outreach, and Homes Programs, Proceedings of the 2004 ACEEE Summer Study, Asilomar, CA, August. </w:t>
        </w:r>
        <w:r w:rsidRPr="00B530CB">
          <w:rPr>
            <w:iCs/>
            <w:color w:val="000000"/>
            <w:szCs w:val="20"/>
          </w:rPr>
          <w:t>Figure 2</w:t>
        </w:r>
        <w:r>
          <w:rPr>
            <w:iCs/>
            <w:color w:val="000000"/>
            <w:szCs w:val="20"/>
          </w:rPr>
          <w:t xml:space="preserve"> below </w:t>
        </w:r>
        <w:r w:rsidRPr="00B530CB">
          <w:rPr>
            <w:iCs/>
            <w:color w:val="000000"/>
            <w:szCs w:val="20"/>
          </w:rPr>
          <w:t xml:space="preserve">provides these additional values, noting that the 2004 study results for lighting are further refined to remove impacts from longer measure lives and </w:t>
        </w:r>
        <w:r>
          <w:rPr>
            <w:iCs/>
            <w:color w:val="000000"/>
            <w:szCs w:val="20"/>
          </w:rPr>
          <w:t>o</w:t>
        </w:r>
        <w:r w:rsidRPr="00B530CB">
          <w:rPr>
            <w:iCs/>
            <w:color w:val="000000"/>
            <w:szCs w:val="20"/>
          </w:rPr>
          <w:t xml:space="preserve">peration and </w:t>
        </w:r>
        <w:r>
          <w:rPr>
            <w:iCs/>
            <w:color w:val="000000"/>
            <w:szCs w:val="20"/>
          </w:rPr>
          <w:t>m</w:t>
        </w:r>
        <w:r w:rsidRPr="00B530CB">
          <w:rPr>
            <w:iCs/>
            <w:color w:val="000000"/>
            <w:szCs w:val="20"/>
          </w:rPr>
          <w:t>aintenance (O&amp;M) savings due to those already being accounted for in the TRM measures themselves.</w:t>
        </w:r>
      </w:ins>
      <w:r>
        <w:rPr>
          <w:iCs/>
          <w:color w:val="000000"/>
          <w:szCs w:val="20"/>
        </w:rPr>
        <w:br w:type="page"/>
      </w:r>
    </w:p>
    <w:p w14:paraId="2FBAB5F8" w14:textId="77777777" w:rsidR="005A2459" w:rsidRPr="009770DB" w:rsidRDefault="005A2459" w:rsidP="004F7320">
      <w:pPr>
        <w:jc w:val="center"/>
        <w:rPr>
          <w:ins w:id="480" w:author="Stephanie Baer" w:date="2015-12-17T15:04:00Z"/>
          <w:rFonts w:eastAsia="Franklin Gothic Book"/>
          <w:szCs w:val="20"/>
        </w:rPr>
      </w:pPr>
      <w:ins w:id="481" w:author="Stephanie Baer" w:date="2015-12-17T15:04:00Z">
        <w:r>
          <w:rPr>
            <w:rFonts w:eastAsia="Franklin Gothic Book"/>
            <w:noProof/>
            <w:szCs w:val="20"/>
            <w:rPrChange w:id="482">
              <w:rPr>
                <w:noProof/>
              </w:rPr>
            </w:rPrChange>
          </w:rPr>
          <w:lastRenderedPageBreak/>
          <w:drawing>
            <wp:inline distT="0" distB="0" distL="0" distR="0" wp14:anchorId="0E5B32E4" wp14:editId="5BBBFF50">
              <wp:extent cx="5934075" cy="3933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34075" cy="3933825"/>
                      </a:xfrm>
                      <a:prstGeom prst="rect">
                        <a:avLst/>
                      </a:prstGeom>
                      <a:noFill/>
                      <a:ln>
                        <a:noFill/>
                      </a:ln>
                    </pic:spPr>
                  </pic:pic>
                </a:graphicData>
              </a:graphic>
            </wp:inline>
          </w:drawing>
        </w:r>
      </w:ins>
    </w:p>
    <w:p w14:paraId="28E3BCEB" w14:textId="77777777" w:rsidR="005A2459" w:rsidRDefault="005A2459" w:rsidP="005A2459">
      <w:pPr>
        <w:jc w:val="left"/>
        <w:rPr>
          <w:ins w:id="483" w:author="Stephanie Baer" w:date="2015-12-17T15:04:00Z"/>
          <w:rFonts w:eastAsia="Franklin Gothic Book"/>
          <w:szCs w:val="20"/>
        </w:rPr>
      </w:pPr>
      <w:ins w:id="484" w:author="Stephanie Baer" w:date="2015-12-17T15:04:00Z">
        <w:r>
          <w:rPr>
            <w:rFonts w:eastAsia="Franklin Gothic Book"/>
            <w:szCs w:val="20"/>
          </w:rPr>
          <w:t xml:space="preserve">Upon review, NRDC amended their proposal by requesting the removal of the lighting adders at this time stating that they believe “there is </w:t>
        </w:r>
        <w:r>
          <w:t>empirical evidence to suggest that there are lighting NEBs beyond those associated with either the environmental benefits and longer measure life than incandescents/halogens (which translates to O&amp;M savings).  Lisa’s 2004 ACEEE paper makes that clear.  However, it is also true that environmental benefits and lifetime/O&amp;M benefits, both of which are already captured in either avoided costs or the current TRM assumptions, are the biggest of the lighting NEBs”.</w:t>
        </w:r>
        <w:r>
          <w:rPr>
            <w:rStyle w:val="FootnoteReference"/>
          </w:rPr>
          <w:footnoteReference w:id="17"/>
        </w:r>
        <w:r>
          <w:t xml:space="preserve">  </w:t>
        </w:r>
        <w:r>
          <w:rPr>
            <w:rFonts w:eastAsia="Franklin Gothic Book"/>
            <w:szCs w:val="20"/>
          </w:rPr>
          <w:t xml:space="preserve"> Lighting assumptions have therefore been removed from the following table.</w:t>
        </w:r>
      </w:ins>
    </w:p>
    <w:p w14:paraId="43D34456" w14:textId="77777777" w:rsidR="005A2459" w:rsidRDefault="005A2459" w:rsidP="005A2459">
      <w:pPr>
        <w:jc w:val="left"/>
        <w:rPr>
          <w:ins w:id="487" w:author="Stephanie Baer" w:date="2015-12-17T15:04:00Z"/>
          <w:rFonts w:eastAsia="Franklin Gothic Book"/>
          <w:szCs w:val="20"/>
        </w:rPr>
      </w:pPr>
    </w:p>
    <w:p w14:paraId="1AF15D3A" w14:textId="142B1388" w:rsidR="005A2459" w:rsidRDefault="005A2459" w:rsidP="005A2459">
      <w:pPr>
        <w:jc w:val="left"/>
        <w:rPr>
          <w:rFonts w:eastAsia="Franklin Gothic Book"/>
          <w:szCs w:val="20"/>
        </w:rPr>
      </w:pPr>
      <w:ins w:id="488" w:author="Stephanie Baer" w:date="2015-12-17T15:04:00Z">
        <w:r>
          <w:rPr>
            <w:rFonts w:eastAsia="Franklin Gothic Book"/>
            <w:szCs w:val="20"/>
          </w:rPr>
          <w:t>To turn the percentage multipliers of bill savings from the tables above into a single lifetime NPV NEB adder per first year kWh or Therm, VEIC used the appropriate measure lifetime assumptions in the TRM and an average Electric and Therm residential retail rate (derived from Electric and Gas Sales Statistics documents published on the Illinois Commerce Commission website</w:t>
        </w:r>
        <w:r>
          <w:rPr>
            <w:rStyle w:val="FootnoteReference"/>
            <w:rFonts w:eastAsia="Franklin Gothic Book"/>
            <w:szCs w:val="20"/>
          </w:rPr>
          <w:footnoteReference w:id="18"/>
        </w:r>
        <w:r>
          <w:rPr>
            <w:rFonts w:eastAsia="Franklin Gothic Book"/>
            <w:szCs w:val="20"/>
          </w:rPr>
          <w:t>) to calculate the following factors</w:t>
        </w:r>
        <w:r>
          <w:rPr>
            <w:rStyle w:val="FootnoteReference"/>
            <w:rFonts w:eastAsia="Franklin Gothic Book"/>
            <w:szCs w:val="20"/>
          </w:rPr>
          <w:footnoteReference w:id="19"/>
        </w:r>
        <w:r>
          <w:rPr>
            <w:rFonts w:eastAsia="Franklin Gothic Book"/>
            <w:szCs w:val="20"/>
          </w:rPr>
          <w:t>:</w:t>
        </w:r>
      </w:ins>
      <w:r>
        <w:rPr>
          <w:rFonts w:eastAsia="Franklin Gothic Book"/>
          <w:szCs w:val="20"/>
        </w:rPr>
        <w:br w:type="page"/>
      </w:r>
    </w:p>
    <w:tbl>
      <w:tblPr>
        <w:tblW w:w="9076" w:type="dxa"/>
        <w:tblInd w:w="108" w:type="dxa"/>
        <w:tblLook w:val="04A0" w:firstRow="1" w:lastRow="0" w:firstColumn="1" w:lastColumn="0" w:noHBand="0" w:noVBand="1"/>
      </w:tblPr>
      <w:tblGrid>
        <w:gridCol w:w="3240"/>
        <w:gridCol w:w="1079"/>
        <w:gridCol w:w="222"/>
        <w:gridCol w:w="222"/>
        <w:gridCol w:w="3337"/>
        <w:gridCol w:w="976"/>
      </w:tblGrid>
      <w:tr w:rsidR="005A2459" w:rsidRPr="00FF5AF3" w14:paraId="438CD347" w14:textId="77777777" w:rsidTr="005A2459">
        <w:trPr>
          <w:trHeight w:val="420"/>
          <w:ins w:id="493" w:author="Stephanie Baer" w:date="2015-12-17T15:04:00Z"/>
        </w:trPr>
        <w:tc>
          <w:tcPr>
            <w:tcW w:w="8100" w:type="dxa"/>
            <w:gridSpan w:val="5"/>
            <w:tcBorders>
              <w:top w:val="nil"/>
              <w:left w:val="nil"/>
              <w:bottom w:val="nil"/>
              <w:right w:val="nil"/>
            </w:tcBorders>
            <w:shd w:val="clear" w:color="auto" w:fill="auto"/>
            <w:noWrap/>
            <w:vAlign w:val="bottom"/>
            <w:hideMark/>
          </w:tcPr>
          <w:p w14:paraId="38924693" w14:textId="77777777" w:rsidR="005A2459" w:rsidRPr="00BA209D" w:rsidRDefault="005A2459" w:rsidP="005A2459">
            <w:pPr>
              <w:widowControl/>
              <w:spacing w:after="0"/>
              <w:jc w:val="left"/>
              <w:rPr>
                <w:ins w:id="494" w:author="Stephanie Baer" w:date="2015-12-17T15:04:00Z"/>
                <w:b/>
                <w:iCs/>
                <w:color w:val="000000"/>
                <w:sz w:val="22"/>
              </w:rPr>
            </w:pPr>
            <w:ins w:id="495" w:author="Stephanie Baer" w:date="2015-12-17T15:04:00Z">
              <w:r w:rsidRPr="00BA209D">
                <w:rPr>
                  <w:b/>
                  <w:iCs/>
                  <w:color w:val="000000"/>
                  <w:sz w:val="22"/>
                </w:rPr>
                <w:lastRenderedPageBreak/>
                <w:t xml:space="preserve">Figure 3: For measures in whole house retrofit program only </w:t>
              </w:r>
            </w:ins>
          </w:p>
        </w:tc>
        <w:tc>
          <w:tcPr>
            <w:tcW w:w="976" w:type="dxa"/>
            <w:tcBorders>
              <w:top w:val="nil"/>
              <w:left w:val="nil"/>
              <w:right w:val="nil"/>
            </w:tcBorders>
            <w:shd w:val="clear" w:color="auto" w:fill="auto"/>
            <w:noWrap/>
            <w:vAlign w:val="bottom"/>
            <w:hideMark/>
          </w:tcPr>
          <w:p w14:paraId="5EAA3A56" w14:textId="77777777" w:rsidR="005A2459" w:rsidRPr="00FF5AF3" w:rsidRDefault="005A2459" w:rsidP="005A2459">
            <w:pPr>
              <w:widowControl/>
              <w:spacing w:after="0"/>
              <w:jc w:val="left"/>
              <w:rPr>
                <w:ins w:id="496" w:author="Stephanie Baer" w:date="2015-12-17T15:04:00Z"/>
                <w:color w:val="000000"/>
                <w:szCs w:val="20"/>
              </w:rPr>
            </w:pPr>
          </w:p>
        </w:tc>
      </w:tr>
      <w:tr w:rsidR="005A2459" w:rsidRPr="00FF5AF3" w14:paraId="0CB63A5E" w14:textId="77777777" w:rsidTr="005A2459">
        <w:trPr>
          <w:trHeight w:val="300"/>
          <w:ins w:id="497" w:author="Stephanie Baer" w:date="2015-12-17T15:04:00Z"/>
        </w:trPr>
        <w:tc>
          <w:tcPr>
            <w:tcW w:w="8100" w:type="dxa"/>
            <w:gridSpan w:val="5"/>
            <w:tcBorders>
              <w:top w:val="nil"/>
              <w:left w:val="nil"/>
              <w:bottom w:val="nil"/>
              <w:right w:val="nil"/>
            </w:tcBorders>
            <w:shd w:val="clear" w:color="auto" w:fill="auto"/>
            <w:noWrap/>
            <w:vAlign w:val="bottom"/>
            <w:hideMark/>
          </w:tcPr>
          <w:p w14:paraId="0C922310" w14:textId="77777777" w:rsidR="005A2459" w:rsidRPr="00FF5AF3" w:rsidRDefault="005A2459" w:rsidP="005A2459">
            <w:pPr>
              <w:widowControl/>
              <w:spacing w:after="0"/>
              <w:jc w:val="left"/>
              <w:rPr>
                <w:ins w:id="498" w:author="Stephanie Baer" w:date="2015-12-17T15:04:00Z"/>
                <w:color w:val="000000"/>
                <w:szCs w:val="20"/>
              </w:rPr>
            </w:pPr>
            <w:ins w:id="499" w:author="Stephanie Baer" w:date="2015-12-17T15:04:00Z">
              <w:r w:rsidRPr="00FF5AF3">
                <w:rPr>
                  <w:color w:val="000000"/>
                  <w:szCs w:val="20"/>
                </w:rPr>
                <w:t xml:space="preserve">To calculate </w:t>
              </w:r>
              <w:r>
                <w:rPr>
                  <w:color w:val="000000"/>
                  <w:szCs w:val="20"/>
                </w:rPr>
                <w:t xml:space="preserve">a </w:t>
              </w:r>
              <w:r>
                <w:rPr>
                  <w:i/>
                  <w:color w:val="000000"/>
                  <w:szCs w:val="20"/>
                </w:rPr>
                <w:t>single NPV</w:t>
              </w:r>
              <w:r w:rsidRPr="00FF5AF3">
                <w:rPr>
                  <w:color w:val="000000"/>
                  <w:szCs w:val="20"/>
                </w:rPr>
                <w:t xml:space="preserve"> non-energy benefit, multiply the first year annual kWh or therm savings by:</w:t>
              </w:r>
            </w:ins>
          </w:p>
        </w:tc>
        <w:tc>
          <w:tcPr>
            <w:tcW w:w="976" w:type="dxa"/>
            <w:tcBorders>
              <w:top w:val="nil"/>
              <w:left w:val="nil"/>
              <w:right w:val="nil"/>
            </w:tcBorders>
            <w:shd w:val="clear" w:color="auto" w:fill="auto"/>
            <w:noWrap/>
            <w:vAlign w:val="bottom"/>
            <w:hideMark/>
          </w:tcPr>
          <w:p w14:paraId="5D57CF3D" w14:textId="77777777" w:rsidR="005A2459" w:rsidRPr="00FF5AF3" w:rsidRDefault="005A2459" w:rsidP="005A2459">
            <w:pPr>
              <w:widowControl/>
              <w:spacing w:after="0"/>
              <w:jc w:val="left"/>
              <w:rPr>
                <w:ins w:id="500" w:author="Stephanie Baer" w:date="2015-12-17T15:04:00Z"/>
                <w:color w:val="000000"/>
                <w:szCs w:val="20"/>
              </w:rPr>
            </w:pPr>
          </w:p>
        </w:tc>
      </w:tr>
      <w:tr w:rsidR="005A2459" w:rsidRPr="00FF5AF3" w14:paraId="6B4759F2" w14:textId="77777777" w:rsidTr="005A2459">
        <w:trPr>
          <w:trHeight w:val="300"/>
          <w:ins w:id="501" w:author="Stephanie Baer" w:date="2015-12-17T15:04:00Z"/>
        </w:trPr>
        <w:tc>
          <w:tcPr>
            <w:tcW w:w="8100" w:type="dxa"/>
            <w:gridSpan w:val="5"/>
            <w:tcBorders>
              <w:top w:val="nil"/>
              <w:left w:val="nil"/>
              <w:bottom w:val="nil"/>
              <w:right w:val="nil"/>
            </w:tcBorders>
            <w:shd w:val="clear" w:color="auto" w:fill="auto"/>
            <w:noWrap/>
            <w:vAlign w:val="bottom"/>
          </w:tcPr>
          <w:p w14:paraId="45E9EE82" w14:textId="77777777" w:rsidR="005A2459" w:rsidRPr="00FF5AF3" w:rsidRDefault="005A2459" w:rsidP="005A2459">
            <w:pPr>
              <w:widowControl/>
              <w:spacing w:after="0"/>
              <w:jc w:val="left"/>
              <w:rPr>
                <w:ins w:id="502" w:author="Stephanie Baer" w:date="2015-12-17T15:04:00Z"/>
                <w:color w:val="000000"/>
                <w:szCs w:val="20"/>
              </w:rPr>
            </w:pPr>
          </w:p>
        </w:tc>
        <w:tc>
          <w:tcPr>
            <w:tcW w:w="976" w:type="dxa"/>
            <w:tcBorders>
              <w:left w:val="nil"/>
              <w:bottom w:val="single" w:sz="4" w:space="0" w:color="auto"/>
              <w:right w:val="nil"/>
            </w:tcBorders>
            <w:shd w:val="clear" w:color="auto" w:fill="auto"/>
            <w:noWrap/>
            <w:vAlign w:val="bottom"/>
          </w:tcPr>
          <w:p w14:paraId="3A6FBA35" w14:textId="77777777" w:rsidR="005A2459" w:rsidRPr="00FF5AF3" w:rsidRDefault="005A2459" w:rsidP="005A2459">
            <w:pPr>
              <w:widowControl/>
              <w:spacing w:after="0"/>
              <w:jc w:val="left"/>
              <w:rPr>
                <w:ins w:id="503" w:author="Stephanie Baer" w:date="2015-12-17T15:04:00Z"/>
                <w:color w:val="000000"/>
                <w:szCs w:val="20"/>
              </w:rPr>
            </w:pPr>
          </w:p>
        </w:tc>
      </w:tr>
      <w:tr w:rsidR="005A2459" w:rsidRPr="00FF5AF3" w14:paraId="2E39437F" w14:textId="77777777" w:rsidTr="005A2459">
        <w:trPr>
          <w:trHeight w:val="900"/>
          <w:ins w:id="504"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2B5278D3" w14:textId="77777777" w:rsidR="005A2459" w:rsidRPr="00FF5AF3" w:rsidRDefault="005A2459" w:rsidP="005A2459">
            <w:pPr>
              <w:widowControl/>
              <w:spacing w:after="0"/>
              <w:jc w:val="center"/>
              <w:rPr>
                <w:ins w:id="505" w:author="Stephanie Baer" w:date="2015-12-17T15:04:00Z"/>
                <w:color w:val="000000"/>
                <w:szCs w:val="20"/>
              </w:rPr>
            </w:pPr>
            <w:ins w:id="506" w:author="Stephanie Baer" w:date="2015-12-17T15:04:00Z">
              <w:r w:rsidRPr="00E807B8">
                <w:rPr>
                  <w:b/>
                  <w:color w:val="FFFFFF" w:themeColor="background1"/>
                  <w:szCs w:val="20"/>
                </w:rPr>
                <w:t>Electric Saving Measures</w:t>
              </w:r>
            </w:ins>
          </w:p>
        </w:tc>
        <w:tc>
          <w:tcPr>
            <w:tcW w:w="10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15F1FD50" w14:textId="77777777" w:rsidR="005A2459" w:rsidRPr="00FF5AF3" w:rsidRDefault="005A2459" w:rsidP="005A2459">
            <w:pPr>
              <w:widowControl/>
              <w:spacing w:after="0"/>
              <w:jc w:val="center"/>
              <w:rPr>
                <w:ins w:id="507" w:author="Stephanie Baer" w:date="2015-12-17T15:04:00Z"/>
                <w:b/>
                <w:color w:val="FFFFFF" w:themeColor="background1"/>
                <w:szCs w:val="20"/>
              </w:rPr>
            </w:pPr>
            <w:ins w:id="508" w:author="Stephanie Baer" w:date="2015-12-17T15:04:00Z">
              <w:r w:rsidRPr="00FF5AF3">
                <w:rPr>
                  <w:b/>
                  <w:color w:val="FFFFFF" w:themeColor="background1"/>
                  <w:szCs w:val="20"/>
                </w:rPr>
                <w:t>$/First year kWh</w:t>
              </w:r>
            </w:ins>
          </w:p>
        </w:tc>
        <w:tc>
          <w:tcPr>
            <w:tcW w:w="222" w:type="dxa"/>
            <w:tcBorders>
              <w:top w:val="nil"/>
              <w:left w:val="single" w:sz="4" w:space="0" w:color="auto"/>
              <w:bottom w:val="nil"/>
              <w:right w:val="nil"/>
            </w:tcBorders>
            <w:shd w:val="clear" w:color="auto" w:fill="auto"/>
            <w:noWrap/>
            <w:vAlign w:val="bottom"/>
            <w:hideMark/>
          </w:tcPr>
          <w:p w14:paraId="7F8FA48D" w14:textId="77777777" w:rsidR="005A2459" w:rsidRPr="00FF5AF3" w:rsidRDefault="005A2459" w:rsidP="005A2459">
            <w:pPr>
              <w:widowControl/>
              <w:spacing w:after="0"/>
              <w:jc w:val="left"/>
              <w:rPr>
                <w:ins w:id="509"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44A8A1CB" w14:textId="77777777" w:rsidR="005A2459" w:rsidRPr="00FF5AF3" w:rsidRDefault="005A2459" w:rsidP="005A2459">
            <w:pPr>
              <w:widowControl/>
              <w:spacing w:after="0"/>
              <w:jc w:val="left"/>
              <w:rPr>
                <w:ins w:id="510"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1453CA3B" w14:textId="77777777" w:rsidR="005A2459" w:rsidRPr="00FF5AF3" w:rsidRDefault="005A2459" w:rsidP="005A2459">
            <w:pPr>
              <w:widowControl/>
              <w:spacing w:after="0"/>
              <w:jc w:val="center"/>
              <w:rPr>
                <w:ins w:id="511" w:author="Stephanie Baer" w:date="2015-12-17T15:04:00Z"/>
                <w:color w:val="000000"/>
                <w:szCs w:val="20"/>
              </w:rPr>
            </w:pPr>
            <w:ins w:id="512" w:author="Stephanie Baer" w:date="2015-12-17T15:04:00Z">
              <w:r>
                <w:rPr>
                  <w:b/>
                  <w:color w:val="FFFFFF" w:themeColor="background1"/>
                  <w:szCs w:val="20"/>
                </w:rPr>
                <w:t>Gas</w:t>
              </w:r>
              <w:r w:rsidRPr="00E807B8">
                <w:rPr>
                  <w:b/>
                  <w:color w:val="FFFFFF" w:themeColor="background1"/>
                  <w:szCs w:val="20"/>
                </w:rPr>
                <w:t xml:space="preserve"> Saving Measures</w:t>
              </w:r>
            </w:ins>
          </w:p>
        </w:tc>
        <w:tc>
          <w:tcPr>
            <w:tcW w:w="97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hideMark/>
          </w:tcPr>
          <w:p w14:paraId="6D81F8F8" w14:textId="77777777" w:rsidR="005A2459" w:rsidRPr="00FF5AF3" w:rsidRDefault="005A2459" w:rsidP="005A2459">
            <w:pPr>
              <w:widowControl/>
              <w:spacing w:after="0"/>
              <w:jc w:val="center"/>
              <w:rPr>
                <w:ins w:id="513" w:author="Stephanie Baer" w:date="2015-12-17T15:04:00Z"/>
                <w:b/>
                <w:color w:val="000000"/>
                <w:szCs w:val="20"/>
              </w:rPr>
            </w:pPr>
            <w:ins w:id="514" w:author="Stephanie Baer" w:date="2015-12-17T15:04:00Z">
              <w:r w:rsidRPr="00FF5AF3">
                <w:rPr>
                  <w:b/>
                  <w:color w:val="FFFFFF" w:themeColor="background1"/>
                  <w:szCs w:val="20"/>
                </w:rPr>
                <w:t>$/First year Therm</w:t>
              </w:r>
            </w:ins>
          </w:p>
        </w:tc>
      </w:tr>
      <w:tr w:rsidR="005A2459" w:rsidRPr="00FF5AF3" w14:paraId="4E27A090" w14:textId="77777777" w:rsidTr="005A2459">
        <w:trPr>
          <w:trHeight w:val="300"/>
          <w:ins w:id="515"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F2D49" w14:textId="77777777" w:rsidR="005A2459" w:rsidRPr="00FF5AF3" w:rsidRDefault="005A2459" w:rsidP="005A2459">
            <w:pPr>
              <w:widowControl/>
              <w:spacing w:after="0"/>
              <w:jc w:val="left"/>
              <w:rPr>
                <w:ins w:id="516" w:author="Stephanie Baer" w:date="2015-12-17T15:04:00Z"/>
                <w:color w:val="000000"/>
                <w:szCs w:val="20"/>
              </w:rPr>
            </w:pPr>
            <w:ins w:id="517" w:author="Stephanie Baer" w:date="2015-12-17T15:04:00Z">
              <w:r w:rsidRPr="00FF5AF3">
                <w:rPr>
                  <w:color w:val="000000"/>
                  <w:szCs w:val="20"/>
                </w:rPr>
                <w:t>Airsealing</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934AB" w14:textId="77777777" w:rsidR="005A2459" w:rsidRPr="00FF5AF3" w:rsidRDefault="005A2459" w:rsidP="005A2459">
            <w:pPr>
              <w:widowControl/>
              <w:spacing w:after="0"/>
              <w:jc w:val="center"/>
              <w:rPr>
                <w:ins w:id="518" w:author="Stephanie Baer" w:date="2015-12-17T15:04:00Z"/>
                <w:color w:val="000000"/>
                <w:szCs w:val="20"/>
              </w:rPr>
            </w:pPr>
            <w:ins w:id="519" w:author="Stephanie Baer" w:date="2015-12-17T15:04:00Z">
              <w:r w:rsidRPr="00FF5AF3">
                <w:rPr>
                  <w:color w:val="000000"/>
                  <w:szCs w:val="20"/>
                </w:rPr>
                <w:t>$0.53</w:t>
              </w:r>
            </w:ins>
          </w:p>
        </w:tc>
        <w:tc>
          <w:tcPr>
            <w:tcW w:w="222" w:type="dxa"/>
            <w:tcBorders>
              <w:top w:val="nil"/>
              <w:left w:val="single" w:sz="4" w:space="0" w:color="auto"/>
              <w:bottom w:val="nil"/>
              <w:right w:val="nil"/>
            </w:tcBorders>
            <w:shd w:val="clear" w:color="auto" w:fill="auto"/>
            <w:noWrap/>
            <w:vAlign w:val="bottom"/>
            <w:hideMark/>
          </w:tcPr>
          <w:p w14:paraId="50C65438" w14:textId="77777777" w:rsidR="005A2459" w:rsidRPr="00FF5AF3" w:rsidRDefault="005A2459" w:rsidP="005A2459">
            <w:pPr>
              <w:widowControl/>
              <w:spacing w:after="0"/>
              <w:jc w:val="left"/>
              <w:rPr>
                <w:ins w:id="520"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6399C8D9" w14:textId="77777777" w:rsidR="005A2459" w:rsidRPr="00FF5AF3" w:rsidRDefault="005A2459" w:rsidP="005A2459">
            <w:pPr>
              <w:widowControl/>
              <w:spacing w:after="0"/>
              <w:jc w:val="left"/>
              <w:rPr>
                <w:ins w:id="521"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B2B3D" w14:textId="77777777" w:rsidR="005A2459" w:rsidRPr="00FF5AF3" w:rsidRDefault="005A2459" w:rsidP="005A2459">
            <w:pPr>
              <w:widowControl/>
              <w:spacing w:after="0"/>
              <w:jc w:val="left"/>
              <w:rPr>
                <w:ins w:id="522" w:author="Stephanie Baer" w:date="2015-12-17T15:04:00Z"/>
                <w:color w:val="000000"/>
                <w:szCs w:val="20"/>
              </w:rPr>
            </w:pPr>
            <w:ins w:id="523" w:author="Stephanie Baer" w:date="2015-12-17T15:04:00Z">
              <w:r w:rsidRPr="00FF5AF3">
                <w:rPr>
                  <w:color w:val="000000"/>
                  <w:szCs w:val="20"/>
                </w:rPr>
                <w:t>Airsealing</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6870C" w14:textId="77777777" w:rsidR="005A2459" w:rsidRPr="00FF5AF3" w:rsidRDefault="005A2459" w:rsidP="005A2459">
            <w:pPr>
              <w:widowControl/>
              <w:spacing w:after="0"/>
              <w:jc w:val="right"/>
              <w:rPr>
                <w:ins w:id="524" w:author="Stephanie Baer" w:date="2015-12-17T15:04:00Z"/>
                <w:color w:val="000000"/>
                <w:szCs w:val="20"/>
              </w:rPr>
            </w:pPr>
            <w:ins w:id="525" w:author="Stephanie Baer" w:date="2015-12-17T15:04:00Z">
              <w:r w:rsidRPr="00FF5AF3">
                <w:rPr>
                  <w:color w:val="000000"/>
                  <w:szCs w:val="20"/>
                </w:rPr>
                <w:t>$4.21</w:t>
              </w:r>
            </w:ins>
          </w:p>
        </w:tc>
      </w:tr>
      <w:tr w:rsidR="005A2459" w:rsidRPr="00FF5AF3" w14:paraId="1E0EE88E" w14:textId="77777777" w:rsidTr="005A2459">
        <w:trPr>
          <w:trHeight w:val="300"/>
          <w:ins w:id="526"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79FE8" w14:textId="77777777" w:rsidR="005A2459" w:rsidRPr="00FF5AF3" w:rsidRDefault="005A2459" w:rsidP="005A2459">
            <w:pPr>
              <w:widowControl/>
              <w:spacing w:after="0"/>
              <w:jc w:val="left"/>
              <w:rPr>
                <w:ins w:id="527" w:author="Stephanie Baer" w:date="2015-12-17T15:04:00Z"/>
                <w:color w:val="000000"/>
                <w:szCs w:val="20"/>
              </w:rPr>
            </w:pPr>
            <w:ins w:id="528" w:author="Stephanie Baer" w:date="2015-12-17T15:04:00Z">
              <w:r w:rsidRPr="00FF5AF3">
                <w:rPr>
                  <w:color w:val="000000"/>
                  <w:szCs w:val="20"/>
                </w:rPr>
                <w:t>Refrigerators</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E8131" w14:textId="77777777" w:rsidR="005A2459" w:rsidRPr="00FF5AF3" w:rsidRDefault="005A2459" w:rsidP="005A2459">
            <w:pPr>
              <w:widowControl/>
              <w:spacing w:after="0"/>
              <w:jc w:val="center"/>
              <w:rPr>
                <w:ins w:id="529" w:author="Stephanie Baer" w:date="2015-12-17T15:04:00Z"/>
                <w:color w:val="000000"/>
                <w:szCs w:val="20"/>
              </w:rPr>
            </w:pPr>
            <w:ins w:id="530" w:author="Stephanie Baer" w:date="2015-12-17T15:04:00Z">
              <w:r w:rsidRPr="00FF5AF3">
                <w:rPr>
                  <w:color w:val="000000"/>
                  <w:szCs w:val="20"/>
                </w:rPr>
                <w:t>$0.28</w:t>
              </w:r>
            </w:ins>
          </w:p>
        </w:tc>
        <w:tc>
          <w:tcPr>
            <w:tcW w:w="222" w:type="dxa"/>
            <w:tcBorders>
              <w:top w:val="nil"/>
              <w:left w:val="single" w:sz="4" w:space="0" w:color="auto"/>
              <w:bottom w:val="nil"/>
              <w:right w:val="nil"/>
            </w:tcBorders>
            <w:shd w:val="clear" w:color="auto" w:fill="auto"/>
            <w:noWrap/>
            <w:vAlign w:val="bottom"/>
            <w:hideMark/>
          </w:tcPr>
          <w:p w14:paraId="743EFC94" w14:textId="77777777" w:rsidR="005A2459" w:rsidRPr="00FF5AF3" w:rsidRDefault="005A2459" w:rsidP="005A2459">
            <w:pPr>
              <w:widowControl/>
              <w:spacing w:after="0"/>
              <w:jc w:val="left"/>
              <w:rPr>
                <w:ins w:id="531"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2F6CBA6B" w14:textId="77777777" w:rsidR="005A2459" w:rsidRPr="00FF5AF3" w:rsidRDefault="005A2459" w:rsidP="005A2459">
            <w:pPr>
              <w:widowControl/>
              <w:spacing w:after="0"/>
              <w:jc w:val="left"/>
              <w:rPr>
                <w:ins w:id="532"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87010" w14:textId="77777777" w:rsidR="005A2459" w:rsidRPr="00FF5AF3" w:rsidRDefault="005A2459" w:rsidP="005A2459">
            <w:pPr>
              <w:widowControl/>
              <w:spacing w:after="0"/>
              <w:jc w:val="left"/>
              <w:rPr>
                <w:ins w:id="533" w:author="Stephanie Baer" w:date="2015-12-17T15:04:00Z"/>
                <w:color w:val="000000"/>
                <w:szCs w:val="20"/>
              </w:rPr>
            </w:pPr>
            <w:ins w:id="534" w:author="Stephanie Baer" w:date="2015-12-17T15:04:00Z">
              <w:r w:rsidRPr="00FF5AF3">
                <w:rPr>
                  <w:color w:val="000000"/>
                  <w:szCs w:val="20"/>
                </w:rPr>
                <w:t>Dishwashers</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003D0" w14:textId="77777777" w:rsidR="005A2459" w:rsidRPr="00FF5AF3" w:rsidRDefault="005A2459" w:rsidP="005A2459">
            <w:pPr>
              <w:widowControl/>
              <w:spacing w:after="0"/>
              <w:jc w:val="right"/>
              <w:rPr>
                <w:ins w:id="535" w:author="Stephanie Baer" w:date="2015-12-17T15:04:00Z"/>
                <w:color w:val="000000"/>
                <w:szCs w:val="20"/>
              </w:rPr>
            </w:pPr>
            <w:ins w:id="536" w:author="Stephanie Baer" w:date="2015-12-17T15:04:00Z">
              <w:r w:rsidRPr="00FF5AF3">
                <w:rPr>
                  <w:color w:val="000000"/>
                  <w:szCs w:val="20"/>
                </w:rPr>
                <w:t>$5.28</w:t>
              </w:r>
            </w:ins>
          </w:p>
        </w:tc>
      </w:tr>
      <w:tr w:rsidR="005A2459" w:rsidRPr="00FF5AF3" w14:paraId="4711DC11" w14:textId="77777777" w:rsidTr="005A2459">
        <w:trPr>
          <w:trHeight w:val="300"/>
          <w:ins w:id="537"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C4695" w14:textId="77777777" w:rsidR="005A2459" w:rsidRPr="00FF5AF3" w:rsidRDefault="005A2459" w:rsidP="005A2459">
            <w:pPr>
              <w:widowControl/>
              <w:spacing w:after="0"/>
              <w:jc w:val="left"/>
              <w:rPr>
                <w:ins w:id="538" w:author="Stephanie Baer" w:date="2015-12-17T15:04:00Z"/>
                <w:color w:val="000000"/>
                <w:szCs w:val="20"/>
              </w:rPr>
            </w:pPr>
            <w:ins w:id="539" w:author="Stephanie Baer" w:date="2015-12-17T15:04:00Z">
              <w:r w:rsidRPr="00FF5AF3">
                <w:rPr>
                  <w:color w:val="000000"/>
                  <w:szCs w:val="20"/>
                </w:rPr>
                <w:t>Dishwashers</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CA868" w14:textId="77777777" w:rsidR="005A2459" w:rsidRPr="00FF5AF3" w:rsidRDefault="005A2459" w:rsidP="005A2459">
            <w:pPr>
              <w:widowControl/>
              <w:spacing w:after="0"/>
              <w:jc w:val="center"/>
              <w:rPr>
                <w:ins w:id="540" w:author="Stephanie Baer" w:date="2015-12-17T15:04:00Z"/>
                <w:color w:val="000000"/>
                <w:szCs w:val="20"/>
              </w:rPr>
            </w:pPr>
            <w:ins w:id="541" w:author="Stephanie Baer" w:date="2015-12-17T15:04:00Z">
              <w:r w:rsidRPr="00FF5AF3">
                <w:rPr>
                  <w:color w:val="000000"/>
                  <w:szCs w:val="20"/>
                </w:rPr>
                <w:t>$0.66</w:t>
              </w:r>
            </w:ins>
          </w:p>
        </w:tc>
        <w:tc>
          <w:tcPr>
            <w:tcW w:w="222" w:type="dxa"/>
            <w:tcBorders>
              <w:top w:val="nil"/>
              <w:left w:val="single" w:sz="4" w:space="0" w:color="auto"/>
              <w:bottom w:val="nil"/>
              <w:right w:val="nil"/>
            </w:tcBorders>
            <w:shd w:val="clear" w:color="auto" w:fill="auto"/>
            <w:noWrap/>
            <w:vAlign w:val="bottom"/>
            <w:hideMark/>
          </w:tcPr>
          <w:p w14:paraId="0D45754D" w14:textId="77777777" w:rsidR="005A2459" w:rsidRPr="00FF5AF3" w:rsidRDefault="005A2459" w:rsidP="005A2459">
            <w:pPr>
              <w:widowControl/>
              <w:spacing w:after="0"/>
              <w:jc w:val="left"/>
              <w:rPr>
                <w:ins w:id="542"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3CB1C471" w14:textId="77777777" w:rsidR="005A2459" w:rsidRPr="00FF5AF3" w:rsidRDefault="005A2459" w:rsidP="005A2459">
            <w:pPr>
              <w:widowControl/>
              <w:spacing w:after="0"/>
              <w:jc w:val="left"/>
              <w:rPr>
                <w:ins w:id="543"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A091B" w14:textId="77777777" w:rsidR="005A2459" w:rsidRPr="00FF5AF3" w:rsidRDefault="005A2459" w:rsidP="005A2459">
            <w:pPr>
              <w:widowControl/>
              <w:spacing w:after="0"/>
              <w:jc w:val="left"/>
              <w:rPr>
                <w:ins w:id="544" w:author="Stephanie Baer" w:date="2015-12-17T15:04:00Z"/>
                <w:color w:val="000000"/>
                <w:szCs w:val="20"/>
              </w:rPr>
            </w:pPr>
            <w:ins w:id="545" w:author="Stephanie Baer" w:date="2015-12-17T15:04:00Z">
              <w:r w:rsidRPr="00FF5AF3">
                <w:rPr>
                  <w:color w:val="000000"/>
                  <w:szCs w:val="20"/>
                </w:rPr>
                <w:t>Clothes washers</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C136D" w14:textId="77777777" w:rsidR="005A2459" w:rsidRPr="00FF5AF3" w:rsidRDefault="005A2459" w:rsidP="005A2459">
            <w:pPr>
              <w:widowControl/>
              <w:spacing w:after="0"/>
              <w:jc w:val="right"/>
              <w:rPr>
                <w:ins w:id="546" w:author="Stephanie Baer" w:date="2015-12-17T15:04:00Z"/>
                <w:color w:val="000000"/>
                <w:szCs w:val="20"/>
              </w:rPr>
            </w:pPr>
            <w:ins w:id="547" w:author="Stephanie Baer" w:date="2015-12-17T15:04:00Z">
              <w:r w:rsidRPr="00FF5AF3">
                <w:rPr>
                  <w:color w:val="000000"/>
                  <w:szCs w:val="20"/>
                </w:rPr>
                <w:t>$4.62</w:t>
              </w:r>
            </w:ins>
          </w:p>
        </w:tc>
      </w:tr>
      <w:tr w:rsidR="005A2459" w:rsidRPr="00FF5AF3" w14:paraId="02A56180" w14:textId="77777777" w:rsidTr="005A2459">
        <w:trPr>
          <w:trHeight w:val="300"/>
          <w:ins w:id="548"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45D1B" w14:textId="77777777" w:rsidR="005A2459" w:rsidRPr="00FF5AF3" w:rsidRDefault="005A2459" w:rsidP="005A2459">
            <w:pPr>
              <w:widowControl/>
              <w:spacing w:after="0"/>
              <w:jc w:val="left"/>
              <w:rPr>
                <w:ins w:id="549" w:author="Stephanie Baer" w:date="2015-12-17T15:04:00Z"/>
                <w:color w:val="000000"/>
                <w:szCs w:val="20"/>
              </w:rPr>
            </w:pPr>
            <w:ins w:id="550" w:author="Stephanie Baer" w:date="2015-12-17T15:04:00Z">
              <w:r w:rsidRPr="00FF5AF3">
                <w:rPr>
                  <w:color w:val="000000"/>
                  <w:szCs w:val="20"/>
                </w:rPr>
                <w:t>Clothes washers</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4A1FC" w14:textId="77777777" w:rsidR="005A2459" w:rsidRPr="00FF5AF3" w:rsidRDefault="005A2459" w:rsidP="005A2459">
            <w:pPr>
              <w:widowControl/>
              <w:spacing w:after="0"/>
              <w:jc w:val="center"/>
              <w:rPr>
                <w:ins w:id="551" w:author="Stephanie Baer" w:date="2015-12-17T15:04:00Z"/>
                <w:color w:val="000000"/>
                <w:szCs w:val="20"/>
              </w:rPr>
            </w:pPr>
            <w:ins w:id="552" w:author="Stephanie Baer" w:date="2015-12-17T15:04:00Z">
              <w:r w:rsidRPr="00FF5AF3">
                <w:rPr>
                  <w:color w:val="000000"/>
                  <w:szCs w:val="20"/>
                </w:rPr>
                <w:t>$0.58</w:t>
              </w:r>
            </w:ins>
          </w:p>
        </w:tc>
        <w:tc>
          <w:tcPr>
            <w:tcW w:w="222" w:type="dxa"/>
            <w:tcBorders>
              <w:top w:val="nil"/>
              <w:left w:val="single" w:sz="4" w:space="0" w:color="auto"/>
              <w:bottom w:val="nil"/>
              <w:right w:val="nil"/>
            </w:tcBorders>
            <w:shd w:val="clear" w:color="auto" w:fill="auto"/>
            <w:noWrap/>
            <w:vAlign w:val="bottom"/>
            <w:hideMark/>
          </w:tcPr>
          <w:p w14:paraId="10271DD6" w14:textId="77777777" w:rsidR="005A2459" w:rsidRPr="00FF5AF3" w:rsidRDefault="005A2459" w:rsidP="005A2459">
            <w:pPr>
              <w:widowControl/>
              <w:spacing w:after="0"/>
              <w:jc w:val="left"/>
              <w:rPr>
                <w:ins w:id="553"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47B053B0" w14:textId="77777777" w:rsidR="005A2459" w:rsidRPr="00FF5AF3" w:rsidRDefault="005A2459" w:rsidP="005A2459">
            <w:pPr>
              <w:widowControl/>
              <w:spacing w:after="0"/>
              <w:jc w:val="left"/>
              <w:rPr>
                <w:ins w:id="554"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76293" w14:textId="77777777" w:rsidR="005A2459" w:rsidRPr="00FF5AF3" w:rsidRDefault="005A2459" w:rsidP="005A2459">
            <w:pPr>
              <w:widowControl/>
              <w:spacing w:after="0"/>
              <w:jc w:val="left"/>
              <w:rPr>
                <w:ins w:id="555" w:author="Stephanie Baer" w:date="2015-12-17T15:04:00Z"/>
                <w:color w:val="000000"/>
                <w:szCs w:val="20"/>
              </w:rPr>
            </w:pPr>
            <w:ins w:id="556" w:author="Stephanie Baer" w:date="2015-12-17T15:04:00Z">
              <w:r w:rsidRPr="00FF5AF3">
                <w:rPr>
                  <w:color w:val="000000"/>
                  <w:szCs w:val="20"/>
                </w:rPr>
                <w:t>Duct Sealing</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D80DD" w14:textId="77777777" w:rsidR="005A2459" w:rsidRPr="00FF5AF3" w:rsidRDefault="005A2459" w:rsidP="005A2459">
            <w:pPr>
              <w:widowControl/>
              <w:spacing w:after="0"/>
              <w:jc w:val="right"/>
              <w:rPr>
                <w:ins w:id="557" w:author="Stephanie Baer" w:date="2015-12-17T15:04:00Z"/>
                <w:color w:val="000000"/>
                <w:szCs w:val="20"/>
              </w:rPr>
            </w:pPr>
            <w:ins w:id="558" w:author="Stephanie Baer" w:date="2015-12-17T15:04:00Z">
              <w:r w:rsidRPr="00FF5AF3">
                <w:rPr>
                  <w:color w:val="000000"/>
                  <w:szCs w:val="20"/>
                </w:rPr>
                <w:t>$0.43</w:t>
              </w:r>
            </w:ins>
          </w:p>
        </w:tc>
      </w:tr>
      <w:tr w:rsidR="005A2459" w:rsidRPr="00FF5AF3" w14:paraId="37F92FB0" w14:textId="77777777" w:rsidTr="005A2459">
        <w:trPr>
          <w:trHeight w:val="300"/>
          <w:ins w:id="559"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A1C5B" w14:textId="77777777" w:rsidR="005A2459" w:rsidRPr="00FF5AF3" w:rsidRDefault="005A2459" w:rsidP="005A2459">
            <w:pPr>
              <w:widowControl/>
              <w:spacing w:after="0"/>
              <w:jc w:val="left"/>
              <w:rPr>
                <w:ins w:id="560" w:author="Stephanie Baer" w:date="2015-12-17T15:04:00Z"/>
                <w:color w:val="000000"/>
                <w:szCs w:val="20"/>
              </w:rPr>
            </w:pPr>
            <w:ins w:id="561" w:author="Stephanie Baer" w:date="2015-12-17T15:04:00Z">
              <w:r w:rsidRPr="00FF5AF3">
                <w:rPr>
                  <w:color w:val="000000"/>
                  <w:szCs w:val="20"/>
                </w:rPr>
                <w:t>Room AC</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E9305" w14:textId="77777777" w:rsidR="005A2459" w:rsidRPr="00FF5AF3" w:rsidRDefault="005A2459" w:rsidP="005A2459">
            <w:pPr>
              <w:widowControl/>
              <w:spacing w:after="0"/>
              <w:jc w:val="center"/>
              <w:rPr>
                <w:ins w:id="562" w:author="Stephanie Baer" w:date="2015-12-17T15:04:00Z"/>
                <w:color w:val="000000"/>
                <w:szCs w:val="20"/>
              </w:rPr>
            </w:pPr>
            <w:ins w:id="563" w:author="Stephanie Baer" w:date="2015-12-17T15:04:00Z">
              <w:r w:rsidRPr="00FF5AF3">
                <w:rPr>
                  <w:color w:val="000000"/>
                  <w:szCs w:val="20"/>
                </w:rPr>
                <w:t>$0.68</w:t>
              </w:r>
            </w:ins>
          </w:p>
        </w:tc>
        <w:tc>
          <w:tcPr>
            <w:tcW w:w="222" w:type="dxa"/>
            <w:tcBorders>
              <w:top w:val="nil"/>
              <w:left w:val="single" w:sz="4" w:space="0" w:color="auto"/>
              <w:bottom w:val="nil"/>
              <w:right w:val="nil"/>
            </w:tcBorders>
            <w:shd w:val="clear" w:color="auto" w:fill="auto"/>
            <w:noWrap/>
            <w:vAlign w:val="bottom"/>
            <w:hideMark/>
          </w:tcPr>
          <w:p w14:paraId="479B0DFE" w14:textId="77777777" w:rsidR="005A2459" w:rsidRPr="00FF5AF3" w:rsidRDefault="005A2459" w:rsidP="005A2459">
            <w:pPr>
              <w:widowControl/>
              <w:spacing w:after="0"/>
              <w:jc w:val="left"/>
              <w:rPr>
                <w:ins w:id="564"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2274A7AF" w14:textId="77777777" w:rsidR="005A2459" w:rsidRPr="00FF5AF3" w:rsidRDefault="005A2459" w:rsidP="005A2459">
            <w:pPr>
              <w:widowControl/>
              <w:spacing w:after="0"/>
              <w:jc w:val="left"/>
              <w:rPr>
                <w:ins w:id="565"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1B951" w14:textId="77777777" w:rsidR="005A2459" w:rsidRPr="00FF5AF3" w:rsidRDefault="005A2459" w:rsidP="005A2459">
            <w:pPr>
              <w:widowControl/>
              <w:spacing w:after="0"/>
              <w:jc w:val="left"/>
              <w:rPr>
                <w:ins w:id="566" w:author="Stephanie Baer" w:date="2015-12-17T15:04:00Z"/>
                <w:color w:val="000000"/>
                <w:szCs w:val="20"/>
              </w:rPr>
            </w:pPr>
            <w:ins w:id="567" w:author="Stephanie Baer" w:date="2015-12-17T15:04:00Z">
              <w:r w:rsidRPr="00FF5AF3">
                <w:rPr>
                  <w:color w:val="000000"/>
                  <w:szCs w:val="20"/>
                </w:rPr>
                <w:t>Heating &amp; Hot Water system</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F42FA" w14:textId="77777777" w:rsidR="005A2459" w:rsidRPr="00FF5AF3" w:rsidRDefault="005A2459" w:rsidP="005A2459">
            <w:pPr>
              <w:widowControl/>
              <w:spacing w:after="0"/>
              <w:jc w:val="right"/>
              <w:rPr>
                <w:ins w:id="568" w:author="Stephanie Baer" w:date="2015-12-17T15:04:00Z"/>
                <w:color w:val="000000"/>
                <w:szCs w:val="20"/>
              </w:rPr>
            </w:pPr>
            <w:ins w:id="569" w:author="Stephanie Baer" w:date="2015-12-17T15:04:00Z">
              <w:r w:rsidRPr="00FF5AF3">
                <w:rPr>
                  <w:color w:val="000000"/>
                  <w:szCs w:val="20"/>
                </w:rPr>
                <w:t>$0.85</w:t>
              </w:r>
            </w:ins>
          </w:p>
        </w:tc>
      </w:tr>
      <w:tr w:rsidR="005A2459" w:rsidRPr="00FF5AF3" w14:paraId="40F5979E" w14:textId="77777777" w:rsidTr="005A2459">
        <w:trPr>
          <w:trHeight w:val="300"/>
          <w:ins w:id="570"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A7359F" w14:textId="77777777" w:rsidR="005A2459" w:rsidRPr="00FF5AF3" w:rsidRDefault="005A2459" w:rsidP="005A2459">
            <w:pPr>
              <w:widowControl/>
              <w:spacing w:after="0"/>
              <w:jc w:val="left"/>
              <w:rPr>
                <w:ins w:id="571" w:author="Stephanie Baer" w:date="2015-12-17T15:04:00Z"/>
                <w:color w:val="000000"/>
                <w:szCs w:val="20"/>
              </w:rPr>
            </w:pPr>
            <w:ins w:id="572" w:author="Stephanie Baer" w:date="2015-12-17T15:04:00Z">
              <w:r w:rsidRPr="00FF5AF3">
                <w:rPr>
                  <w:color w:val="000000"/>
                  <w:szCs w:val="20"/>
                </w:rPr>
                <w:t>Cooling Systems</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107ED" w14:textId="77777777" w:rsidR="005A2459" w:rsidRPr="00FF5AF3" w:rsidRDefault="005A2459" w:rsidP="005A2459">
            <w:pPr>
              <w:widowControl/>
              <w:spacing w:after="0"/>
              <w:jc w:val="center"/>
              <w:rPr>
                <w:ins w:id="573" w:author="Stephanie Baer" w:date="2015-12-17T15:04:00Z"/>
                <w:color w:val="000000"/>
                <w:szCs w:val="20"/>
              </w:rPr>
            </w:pPr>
            <w:ins w:id="574" w:author="Stephanie Baer" w:date="2015-12-17T15:04:00Z">
              <w:r w:rsidRPr="00FF5AF3">
                <w:rPr>
                  <w:color w:val="000000"/>
                  <w:szCs w:val="20"/>
                </w:rPr>
                <w:t>$0.34</w:t>
              </w:r>
            </w:ins>
          </w:p>
        </w:tc>
        <w:tc>
          <w:tcPr>
            <w:tcW w:w="222" w:type="dxa"/>
            <w:tcBorders>
              <w:top w:val="nil"/>
              <w:left w:val="single" w:sz="4" w:space="0" w:color="auto"/>
              <w:bottom w:val="nil"/>
              <w:right w:val="nil"/>
            </w:tcBorders>
            <w:shd w:val="clear" w:color="auto" w:fill="auto"/>
            <w:noWrap/>
            <w:vAlign w:val="bottom"/>
            <w:hideMark/>
          </w:tcPr>
          <w:p w14:paraId="0259EFFC" w14:textId="77777777" w:rsidR="005A2459" w:rsidRPr="00FF5AF3" w:rsidRDefault="005A2459" w:rsidP="005A2459">
            <w:pPr>
              <w:widowControl/>
              <w:spacing w:after="0"/>
              <w:jc w:val="left"/>
              <w:rPr>
                <w:ins w:id="575"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4F5844B4" w14:textId="77777777" w:rsidR="005A2459" w:rsidRPr="00FF5AF3" w:rsidRDefault="005A2459" w:rsidP="005A2459">
            <w:pPr>
              <w:widowControl/>
              <w:spacing w:after="0"/>
              <w:jc w:val="left"/>
              <w:rPr>
                <w:ins w:id="576"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0830A" w14:textId="77777777" w:rsidR="005A2459" w:rsidRPr="00FF5AF3" w:rsidRDefault="005A2459" w:rsidP="005A2459">
            <w:pPr>
              <w:widowControl/>
              <w:spacing w:after="0"/>
              <w:jc w:val="left"/>
              <w:rPr>
                <w:ins w:id="577" w:author="Stephanie Baer" w:date="2015-12-17T15:04:00Z"/>
                <w:color w:val="000000"/>
                <w:szCs w:val="20"/>
              </w:rPr>
            </w:pPr>
            <w:ins w:id="578" w:author="Stephanie Baer" w:date="2015-12-17T15:04:00Z">
              <w:r w:rsidRPr="00FF5AF3">
                <w:rPr>
                  <w:color w:val="000000"/>
                  <w:szCs w:val="20"/>
                </w:rPr>
                <w:t>Heating System</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FD25B" w14:textId="77777777" w:rsidR="005A2459" w:rsidRPr="00FF5AF3" w:rsidRDefault="005A2459" w:rsidP="005A2459">
            <w:pPr>
              <w:widowControl/>
              <w:spacing w:after="0"/>
              <w:jc w:val="right"/>
              <w:rPr>
                <w:ins w:id="579" w:author="Stephanie Baer" w:date="2015-12-17T15:04:00Z"/>
                <w:color w:val="000000"/>
                <w:szCs w:val="20"/>
              </w:rPr>
            </w:pPr>
            <w:ins w:id="580" w:author="Stephanie Baer" w:date="2015-12-17T15:04:00Z">
              <w:r w:rsidRPr="00FF5AF3">
                <w:rPr>
                  <w:color w:val="000000"/>
                  <w:szCs w:val="20"/>
                </w:rPr>
                <w:t>$24.74</w:t>
              </w:r>
            </w:ins>
          </w:p>
        </w:tc>
      </w:tr>
      <w:tr w:rsidR="005A2459" w:rsidRPr="00FF5AF3" w14:paraId="4BD73DCB" w14:textId="77777777" w:rsidTr="005A2459">
        <w:trPr>
          <w:trHeight w:val="300"/>
          <w:ins w:id="581"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668D5" w14:textId="77777777" w:rsidR="005A2459" w:rsidRPr="00FF5AF3" w:rsidRDefault="005A2459" w:rsidP="005A2459">
            <w:pPr>
              <w:widowControl/>
              <w:spacing w:after="0"/>
              <w:jc w:val="left"/>
              <w:rPr>
                <w:ins w:id="582" w:author="Stephanie Baer" w:date="2015-12-17T15:04:00Z"/>
                <w:color w:val="000000"/>
                <w:szCs w:val="20"/>
              </w:rPr>
            </w:pPr>
            <w:ins w:id="583" w:author="Stephanie Baer" w:date="2015-12-17T15:04:00Z">
              <w:r w:rsidRPr="00FF5AF3">
                <w:rPr>
                  <w:color w:val="000000"/>
                  <w:szCs w:val="20"/>
                </w:rPr>
                <w:t>Duct Sealing</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08473" w14:textId="77777777" w:rsidR="005A2459" w:rsidRPr="00FF5AF3" w:rsidRDefault="005A2459" w:rsidP="005A2459">
            <w:pPr>
              <w:widowControl/>
              <w:spacing w:after="0"/>
              <w:jc w:val="center"/>
              <w:rPr>
                <w:ins w:id="584" w:author="Stephanie Baer" w:date="2015-12-17T15:04:00Z"/>
                <w:color w:val="000000"/>
                <w:szCs w:val="20"/>
              </w:rPr>
            </w:pPr>
            <w:ins w:id="585" w:author="Stephanie Baer" w:date="2015-12-17T15:04:00Z">
              <w:r w:rsidRPr="00FF5AF3">
                <w:rPr>
                  <w:color w:val="000000"/>
                  <w:szCs w:val="20"/>
                </w:rPr>
                <w:t>$0.05</w:t>
              </w:r>
            </w:ins>
          </w:p>
        </w:tc>
        <w:tc>
          <w:tcPr>
            <w:tcW w:w="222" w:type="dxa"/>
            <w:tcBorders>
              <w:top w:val="nil"/>
              <w:left w:val="single" w:sz="4" w:space="0" w:color="auto"/>
              <w:bottom w:val="nil"/>
              <w:right w:val="nil"/>
            </w:tcBorders>
            <w:shd w:val="clear" w:color="auto" w:fill="auto"/>
            <w:noWrap/>
            <w:vAlign w:val="bottom"/>
            <w:hideMark/>
          </w:tcPr>
          <w:p w14:paraId="34D61E26" w14:textId="77777777" w:rsidR="005A2459" w:rsidRPr="00FF5AF3" w:rsidRDefault="005A2459" w:rsidP="005A2459">
            <w:pPr>
              <w:widowControl/>
              <w:spacing w:after="0"/>
              <w:jc w:val="left"/>
              <w:rPr>
                <w:ins w:id="586"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154F60A3" w14:textId="77777777" w:rsidR="005A2459" w:rsidRPr="00FF5AF3" w:rsidRDefault="005A2459" w:rsidP="005A2459">
            <w:pPr>
              <w:widowControl/>
              <w:spacing w:after="0"/>
              <w:jc w:val="left"/>
              <w:rPr>
                <w:ins w:id="587"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B15F9" w14:textId="77777777" w:rsidR="005A2459" w:rsidRPr="00FF5AF3" w:rsidRDefault="005A2459" w:rsidP="005A2459">
            <w:pPr>
              <w:widowControl/>
              <w:spacing w:after="0"/>
              <w:jc w:val="left"/>
              <w:rPr>
                <w:ins w:id="588" w:author="Stephanie Baer" w:date="2015-12-17T15:04:00Z"/>
                <w:color w:val="000000"/>
                <w:szCs w:val="20"/>
              </w:rPr>
            </w:pPr>
            <w:ins w:id="589" w:author="Stephanie Baer" w:date="2015-12-17T15:04:00Z">
              <w:r w:rsidRPr="00FF5AF3">
                <w:rPr>
                  <w:color w:val="000000"/>
                  <w:szCs w:val="20"/>
                </w:rPr>
                <w:t>Hot Water system</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6B33E" w14:textId="77777777" w:rsidR="005A2459" w:rsidRPr="00FF5AF3" w:rsidRDefault="005A2459" w:rsidP="005A2459">
            <w:pPr>
              <w:widowControl/>
              <w:spacing w:after="0"/>
              <w:jc w:val="right"/>
              <w:rPr>
                <w:ins w:id="590" w:author="Stephanie Baer" w:date="2015-12-17T15:04:00Z"/>
                <w:color w:val="000000"/>
                <w:szCs w:val="20"/>
              </w:rPr>
            </w:pPr>
            <w:ins w:id="591" w:author="Stephanie Baer" w:date="2015-12-17T15:04:00Z">
              <w:r w:rsidRPr="00FF5AF3">
                <w:rPr>
                  <w:color w:val="000000"/>
                  <w:szCs w:val="20"/>
                </w:rPr>
                <w:t>$0.65</w:t>
              </w:r>
            </w:ins>
          </w:p>
        </w:tc>
      </w:tr>
      <w:tr w:rsidR="005A2459" w:rsidRPr="00FF5AF3" w14:paraId="289D5A46" w14:textId="77777777" w:rsidTr="005A2459">
        <w:trPr>
          <w:trHeight w:val="300"/>
          <w:ins w:id="592"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A80B8" w14:textId="77777777" w:rsidR="005A2459" w:rsidRPr="00FF5AF3" w:rsidRDefault="005A2459" w:rsidP="005A2459">
            <w:pPr>
              <w:widowControl/>
              <w:spacing w:after="0"/>
              <w:jc w:val="left"/>
              <w:rPr>
                <w:ins w:id="593" w:author="Stephanie Baer" w:date="2015-12-17T15:04:00Z"/>
                <w:color w:val="000000"/>
                <w:szCs w:val="20"/>
              </w:rPr>
            </w:pPr>
            <w:ins w:id="594" w:author="Stephanie Baer" w:date="2015-12-17T15:04:00Z">
              <w:r w:rsidRPr="00FF5AF3">
                <w:rPr>
                  <w:color w:val="000000"/>
                  <w:szCs w:val="20"/>
                </w:rPr>
                <w:t>Heating &amp; Cooling system</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8E2DE" w14:textId="77777777" w:rsidR="005A2459" w:rsidRPr="00FF5AF3" w:rsidRDefault="005A2459" w:rsidP="005A2459">
            <w:pPr>
              <w:widowControl/>
              <w:spacing w:after="0"/>
              <w:jc w:val="center"/>
              <w:rPr>
                <w:ins w:id="595" w:author="Stephanie Baer" w:date="2015-12-17T15:04:00Z"/>
                <w:color w:val="000000"/>
                <w:szCs w:val="20"/>
              </w:rPr>
            </w:pPr>
            <w:ins w:id="596" w:author="Stephanie Baer" w:date="2015-12-17T15:04:00Z">
              <w:r w:rsidRPr="00FF5AF3">
                <w:rPr>
                  <w:color w:val="000000"/>
                  <w:szCs w:val="20"/>
                </w:rPr>
                <w:t>$0.30</w:t>
              </w:r>
            </w:ins>
          </w:p>
        </w:tc>
        <w:tc>
          <w:tcPr>
            <w:tcW w:w="222" w:type="dxa"/>
            <w:tcBorders>
              <w:top w:val="nil"/>
              <w:left w:val="single" w:sz="4" w:space="0" w:color="auto"/>
              <w:bottom w:val="nil"/>
              <w:right w:val="nil"/>
            </w:tcBorders>
            <w:shd w:val="clear" w:color="auto" w:fill="auto"/>
            <w:noWrap/>
            <w:vAlign w:val="bottom"/>
            <w:hideMark/>
          </w:tcPr>
          <w:p w14:paraId="1E843831" w14:textId="77777777" w:rsidR="005A2459" w:rsidRPr="00FF5AF3" w:rsidRDefault="005A2459" w:rsidP="005A2459">
            <w:pPr>
              <w:widowControl/>
              <w:spacing w:after="0"/>
              <w:jc w:val="left"/>
              <w:rPr>
                <w:ins w:id="597"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516C6599" w14:textId="77777777" w:rsidR="005A2459" w:rsidRPr="00FF5AF3" w:rsidRDefault="005A2459" w:rsidP="005A2459">
            <w:pPr>
              <w:widowControl/>
              <w:spacing w:after="0"/>
              <w:jc w:val="left"/>
              <w:rPr>
                <w:ins w:id="598"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28875" w14:textId="77777777" w:rsidR="005A2459" w:rsidRPr="00FF5AF3" w:rsidRDefault="005A2459" w:rsidP="005A2459">
            <w:pPr>
              <w:widowControl/>
              <w:spacing w:after="0"/>
              <w:jc w:val="left"/>
              <w:rPr>
                <w:ins w:id="599" w:author="Stephanie Baer" w:date="2015-12-17T15:04:00Z"/>
                <w:color w:val="000000"/>
                <w:szCs w:val="20"/>
              </w:rPr>
            </w:pPr>
            <w:ins w:id="600" w:author="Stephanie Baer" w:date="2015-12-17T15:04:00Z">
              <w:r w:rsidRPr="00FF5AF3">
                <w:rPr>
                  <w:color w:val="000000"/>
                  <w:szCs w:val="20"/>
                </w:rPr>
                <w:t>Insulation</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9BD3C" w14:textId="77777777" w:rsidR="005A2459" w:rsidRPr="00FF5AF3" w:rsidRDefault="005A2459" w:rsidP="005A2459">
            <w:pPr>
              <w:widowControl/>
              <w:spacing w:after="0"/>
              <w:jc w:val="right"/>
              <w:rPr>
                <w:ins w:id="601" w:author="Stephanie Baer" w:date="2015-12-17T15:04:00Z"/>
                <w:color w:val="000000"/>
                <w:szCs w:val="20"/>
              </w:rPr>
            </w:pPr>
            <w:ins w:id="602" w:author="Stephanie Baer" w:date="2015-12-17T15:04:00Z">
              <w:r w:rsidRPr="00FF5AF3">
                <w:rPr>
                  <w:color w:val="000000"/>
                  <w:szCs w:val="20"/>
                </w:rPr>
                <w:t>$14.00</w:t>
              </w:r>
            </w:ins>
          </w:p>
        </w:tc>
      </w:tr>
      <w:tr w:rsidR="005A2459" w:rsidRPr="00FF5AF3" w14:paraId="16B42F27" w14:textId="77777777" w:rsidTr="005A2459">
        <w:trPr>
          <w:trHeight w:val="300"/>
          <w:ins w:id="603"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D011A" w14:textId="77777777" w:rsidR="005A2459" w:rsidRPr="00FF5AF3" w:rsidRDefault="005A2459" w:rsidP="005A2459">
            <w:pPr>
              <w:widowControl/>
              <w:spacing w:after="0"/>
              <w:jc w:val="left"/>
              <w:rPr>
                <w:ins w:id="604" w:author="Stephanie Baer" w:date="2015-12-17T15:04:00Z"/>
                <w:color w:val="000000"/>
                <w:szCs w:val="20"/>
              </w:rPr>
            </w:pPr>
            <w:ins w:id="605" w:author="Stephanie Baer" w:date="2015-12-17T15:04:00Z">
              <w:r w:rsidRPr="00FF5AF3">
                <w:rPr>
                  <w:color w:val="000000"/>
                  <w:szCs w:val="20"/>
                </w:rPr>
                <w:t>Heating System</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01BD6" w14:textId="77777777" w:rsidR="005A2459" w:rsidRPr="00FF5AF3" w:rsidRDefault="005A2459" w:rsidP="005A2459">
            <w:pPr>
              <w:widowControl/>
              <w:spacing w:after="0"/>
              <w:jc w:val="center"/>
              <w:rPr>
                <w:ins w:id="606" w:author="Stephanie Baer" w:date="2015-12-17T15:04:00Z"/>
                <w:color w:val="000000"/>
                <w:szCs w:val="20"/>
              </w:rPr>
            </w:pPr>
            <w:ins w:id="607" w:author="Stephanie Baer" w:date="2015-12-17T15:04:00Z">
              <w:r w:rsidRPr="00FF5AF3">
                <w:rPr>
                  <w:color w:val="000000"/>
                  <w:szCs w:val="20"/>
                </w:rPr>
                <w:t>$2.92</w:t>
              </w:r>
            </w:ins>
          </w:p>
        </w:tc>
        <w:tc>
          <w:tcPr>
            <w:tcW w:w="222" w:type="dxa"/>
            <w:tcBorders>
              <w:top w:val="nil"/>
              <w:left w:val="single" w:sz="4" w:space="0" w:color="auto"/>
              <w:bottom w:val="nil"/>
              <w:right w:val="nil"/>
            </w:tcBorders>
            <w:shd w:val="clear" w:color="auto" w:fill="auto"/>
            <w:noWrap/>
            <w:vAlign w:val="bottom"/>
            <w:hideMark/>
          </w:tcPr>
          <w:p w14:paraId="3F78AEF8" w14:textId="77777777" w:rsidR="005A2459" w:rsidRPr="00FF5AF3" w:rsidRDefault="005A2459" w:rsidP="005A2459">
            <w:pPr>
              <w:widowControl/>
              <w:spacing w:after="0"/>
              <w:jc w:val="left"/>
              <w:rPr>
                <w:ins w:id="608"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13DD2BD9" w14:textId="77777777" w:rsidR="005A2459" w:rsidRPr="00FF5AF3" w:rsidRDefault="005A2459" w:rsidP="005A2459">
            <w:pPr>
              <w:widowControl/>
              <w:spacing w:after="0"/>
              <w:jc w:val="left"/>
              <w:rPr>
                <w:ins w:id="609"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7EFD0" w14:textId="77777777" w:rsidR="005A2459" w:rsidRPr="00FF5AF3" w:rsidRDefault="005A2459" w:rsidP="005A2459">
            <w:pPr>
              <w:widowControl/>
              <w:spacing w:after="0"/>
              <w:jc w:val="left"/>
              <w:rPr>
                <w:ins w:id="610" w:author="Stephanie Baer" w:date="2015-12-17T15:04:00Z"/>
                <w:color w:val="000000"/>
                <w:szCs w:val="20"/>
              </w:rPr>
            </w:pPr>
            <w:ins w:id="611" w:author="Stephanie Baer" w:date="2015-12-17T15:04:00Z">
              <w:r w:rsidRPr="00FF5AF3">
                <w:rPr>
                  <w:color w:val="000000"/>
                  <w:szCs w:val="20"/>
                </w:rPr>
                <w:t>Service to heating or cooling</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7B915" w14:textId="77777777" w:rsidR="005A2459" w:rsidRPr="00FF5AF3" w:rsidRDefault="005A2459" w:rsidP="005A2459">
            <w:pPr>
              <w:widowControl/>
              <w:spacing w:after="0"/>
              <w:jc w:val="right"/>
              <w:rPr>
                <w:ins w:id="612" w:author="Stephanie Baer" w:date="2015-12-17T15:04:00Z"/>
                <w:color w:val="000000"/>
                <w:szCs w:val="20"/>
              </w:rPr>
            </w:pPr>
            <w:ins w:id="613" w:author="Stephanie Baer" w:date="2015-12-17T15:04:00Z">
              <w:r w:rsidRPr="00FF5AF3">
                <w:rPr>
                  <w:color w:val="000000"/>
                  <w:szCs w:val="20"/>
                </w:rPr>
                <w:t>$0.06</w:t>
              </w:r>
            </w:ins>
          </w:p>
        </w:tc>
      </w:tr>
      <w:tr w:rsidR="005A2459" w:rsidRPr="00FF5AF3" w14:paraId="75908DB5" w14:textId="77777777" w:rsidTr="005A2459">
        <w:trPr>
          <w:trHeight w:val="300"/>
          <w:ins w:id="614"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19A73" w14:textId="77777777" w:rsidR="005A2459" w:rsidRPr="00FF5AF3" w:rsidRDefault="005A2459" w:rsidP="005A2459">
            <w:pPr>
              <w:widowControl/>
              <w:spacing w:after="0"/>
              <w:jc w:val="left"/>
              <w:rPr>
                <w:ins w:id="615" w:author="Stephanie Baer" w:date="2015-12-17T15:04:00Z"/>
                <w:color w:val="000000"/>
                <w:szCs w:val="20"/>
              </w:rPr>
            </w:pPr>
            <w:ins w:id="616" w:author="Stephanie Baer" w:date="2015-12-17T15:04:00Z">
              <w:r w:rsidRPr="00FF5AF3">
                <w:rPr>
                  <w:color w:val="000000"/>
                  <w:szCs w:val="20"/>
                </w:rPr>
                <w:t>Hot Water system</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EF8DC" w14:textId="77777777" w:rsidR="005A2459" w:rsidRPr="00FF5AF3" w:rsidRDefault="005A2459" w:rsidP="005A2459">
            <w:pPr>
              <w:widowControl/>
              <w:spacing w:after="0"/>
              <w:jc w:val="center"/>
              <w:rPr>
                <w:ins w:id="617" w:author="Stephanie Baer" w:date="2015-12-17T15:04:00Z"/>
                <w:color w:val="000000"/>
                <w:szCs w:val="20"/>
              </w:rPr>
            </w:pPr>
            <w:ins w:id="618" w:author="Stephanie Baer" w:date="2015-12-17T15:04:00Z">
              <w:r w:rsidRPr="00FF5AF3">
                <w:rPr>
                  <w:color w:val="000000"/>
                  <w:szCs w:val="20"/>
                </w:rPr>
                <w:t>$0.08</w:t>
              </w:r>
            </w:ins>
          </w:p>
        </w:tc>
        <w:tc>
          <w:tcPr>
            <w:tcW w:w="222" w:type="dxa"/>
            <w:tcBorders>
              <w:top w:val="nil"/>
              <w:left w:val="single" w:sz="4" w:space="0" w:color="auto"/>
              <w:bottom w:val="nil"/>
              <w:right w:val="nil"/>
            </w:tcBorders>
            <w:shd w:val="clear" w:color="auto" w:fill="auto"/>
            <w:noWrap/>
            <w:vAlign w:val="bottom"/>
            <w:hideMark/>
          </w:tcPr>
          <w:p w14:paraId="056DC38D" w14:textId="77777777" w:rsidR="005A2459" w:rsidRPr="00FF5AF3" w:rsidRDefault="005A2459" w:rsidP="005A2459">
            <w:pPr>
              <w:widowControl/>
              <w:spacing w:after="0"/>
              <w:jc w:val="left"/>
              <w:rPr>
                <w:ins w:id="619"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5EF3B177" w14:textId="77777777" w:rsidR="005A2459" w:rsidRPr="00FF5AF3" w:rsidRDefault="005A2459" w:rsidP="005A2459">
            <w:pPr>
              <w:widowControl/>
              <w:spacing w:after="0"/>
              <w:jc w:val="left"/>
              <w:rPr>
                <w:ins w:id="620"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C19BE" w14:textId="77777777" w:rsidR="005A2459" w:rsidRPr="00FF5AF3" w:rsidRDefault="005A2459" w:rsidP="005A2459">
            <w:pPr>
              <w:widowControl/>
              <w:spacing w:after="0"/>
              <w:jc w:val="left"/>
              <w:rPr>
                <w:ins w:id="621" w:author="Stephanie Baer" w:date="2015-12-17T15:04:00Z"/>
                <w:color w:val="000000"/>
                <w:szCs w:val="20"/>
              </w:rPr>
            </w:pPr>
            <w:ins w:id="622" w:author="Stephanie Baer" w:date="2015-12-17T15:04:00Z">
              <w:r w:rsidRPr="00FF5AF3">
                <w:rPr>
                  <w:color w:val="000000"/>
                  <w:szCs w:val="20"/>
                </w:rPr>
                <w:t>Low Flow Showerhead</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45D00" w14:textId="77777777" w:rsidR="005A2459" w:rsidRPr="00FF5AF3" w:rsidRDefault="005A2459" w:rsidP="005A2459">
            <w:pPr>
              <w:widowControl/>
              <w:spacing w:after="0"/>
              <w:jc w:val="right"/>
              <w:rPr>
                <w:ins w:id="623" w:author="Stephanie Baer" w:date="2015-12-17T15:04:00Z"/>
                <w:color w:val="000000"/>
                <w:szCs w:val="20"/>
              </w:rPr>
            </w:pPr>
            <w:ins w:id="624" w:author="Stephanie Baer" w:date="2015-12-17T15:04:00Z">
              <w:r w:rsidRPr="00FF5AF3">
                <w:rPr>
                  <w:color w:val="000000"/>
                  <w:szCs w:val="20"/>
                </w:rPr>
                <w:t>$0.07</w:t>
              </w:r>
            </w:ins>
          </w:p>
        </w:tc>
      </w:tr>
      <w:tr w:rsidR="005A2459" w:rsidRPr="00FF5AF3" w14:paraId="4C4965CD" w14:textId="77777777" w:rsidTr="005A2459">
        <w:trPr>
          <w:trHeight w:val="300"/>
          <w:ins w:id="625"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9483F" w14:textId="77777777" w:rsidR="005A2459" w:rsidRPr="00FF5AF3" w:rsidRDefault="005A2459" w:rsidP="005A2459">
            <w:pPr>
              <w:widowControl/>
              <w:spacing w:after="0"/>
              <w:jc w:val="left"/>
              <w:rPr>
                <w:ins w:id="626" w:author="Stephanie Baer" w:date="2015-12-17T15:04:00Z"/>
                <w:color w:val="000000"/>
                <w:szCs w:val="20"/>
              </w:rPr>
            </w:pPr>
            <w:ins w:id="627" w:author="Stephanie Baer" w:date="2015-12-17T15:04:00Z">
              <w:r w:rsidRPr="00FF5AF3">
                <w:rPr>
                  <w:color w:val="000000"/>
                  <w:szCs w:val="20"/>
                </w:rPr>
                <w:t>Insulation</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57D84" w14:textId="77777777" w:rsidR="005A2459" w:rsidRPr="00FF5AF3" w:rsidRDefault="005A2459" w:rsidP="005A2459">
            <w:pPr>
              <w:widowControl/>
              <w:spacing w:after="0"/>
              <w:jc w:val="center"/>
              <w:rPr>
                <w:ins w:id="628" w:author="Stephanie Baer" w:date="2015-12-17T15:04:00Z"/>
                <w:color w:val="000000"/>
                <w:szCs w:val="20"/>
              </w:rPr>
            </w:pPr>
            <w:ins w:id="629" w:author="Stephanie Baer" w:date="2015-12-17T15:04:00Z">
              <w:r w:rsidRPr="00FF5AF3">
                <w:rPr>
                  <w:color w:val="000000"/>
                  <w:szCs w:val="20"/>
                </w:rPr>
                <w:t>$1.76</w:t>
              </w:r>
            </w:ins>
          </w:p>
        </w:tc>
        <w:tc>
          <w:tcPr>
            <w:tcW w:w="222" w:type="dxa"/>
            <w:tcBorders>
              <w:top w:val="nil"/>
              <w:left w:val="single" w:sz="4" w:space="0" w:color="auto"/>
              <w:bottom w:val="nil"/>
              <w:right w:val="nil"/>
            </w:tcBorders>
            <w:shd w:val="clear" w:color="auto" w:fill="auto"/>
            <w:noWrap/>
            <w:vAlign w:val="bottom"/>
            <w:hideMark/>
          </w:tcPr>
          <w:p w14:paraId="4A5D089E" w14:textId="77777777" w:rsidR="005A2459" w:rsidRPr="00FF5AF3" w:rsidRDefault="005A2459" w:rsidP="005A2459">
            <w:pPr>
              <w:widowControl/>
              <w:spacing w:after="0"/>
              <w:jc w:val="left"/>
              <w:rPr>
                <w:ins w:id="630" w:author="Stephanie Baer" w:date="2015-12-17T15:04:00Z"/>
                <w:color w:val="000000"/>
                <w:szCs w:val="20"/>
              </w:rPr>
            </w:pPr>
          </w:p>
        </w:tc>
        <w:tc>
          <w:tcPr>
            <w:tcW w:w="222" w:type="dxa"/>
            <w:tcBorders>
              <w:top w:val="nil"/>
              <w:left w:val="nil"/>
              <w:bottom w:val="nil"/>
              <w:right w:val="single" w:sz="4" w:space="0" w:color="auto"/>
            </w:tcBorders>
            <w:shd w:val="clear" w:color="auto" w:fill="auto"/>
            <w:noWrap/>
            <w:vAlign w:val="bottom"/>
            <w:hideMark/>
          </w:tcPr>
          <w:p w14:paraId="6E20832A" w14:textId="77777777" w:rsidR="005A2459" w:rsidRPr="00FF5AF3" w:rsidRDefault="005A2459" w:rsidP="005A2459">
            <w:pPr>
              <w:widowControl/>
              <w:spacing w:after="0"/>
              <w:jc w:val="left"/>
              <w:rPr>
                <w:ins w:id="631" w:author="Stephanie Baer" w:date="2015-12-17T15:04:00Z"/>
                <w:color w:val="000000"/>
                <w:szCs w:val="20"/>
              </w:rPr>
            </w:pPr>
          </w:p>
        </w:tc>
        <w:tc>
          <w:tcPr>
            <w:tcW w:w="33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4E66E" w14:textId="77777777" w:rsidR="005A2459" w:rsidRPr="00FF5AF3" w:rsidRDefault="005A2459" w:rsidP="005A2459">
            <w:pPr>
              <w:widowControl/>
              <w:spacing w:after="0"/>
              <w:jc w:val="left"/>
              <w:rPr>
                <w:ins w:id="632" w:author="Stephanie Baer" w:date="2015-12-17T15:04:00Z"/>
                <w:color w:val="000000"/>
                <w:szCs w:val="20"/>
              </w:rPr>
            </w:pPr>
            <w:ins w:id="633" w:author="Stephanie Baer" w:date="2015-12-17T15:04:00Z">
              <w:r w:rsidRPr="00FF5AF3">
                <w:rPr>
                  <w:color w:val="000000"/>
                  <w:szCs w:val="20"/>
                </w:rPr>
                <w:t>Programmable Thermostat</w:t>
              </w:r>
            </w:ins>
          </w:p>
        </w:tc>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8F3B0" w14:textId="77777777" w:rsidR="005A2459" w:rsidRPr="00FF5AF3" w:rsidRDefault="005A2459" w:rsidP="005A2459">
            <w:pPr>
              <w:widowControl/>
              <w:spacing w:after="0"/>
              <w:jc w:val="right"/>
              <w:rPr>
                <w:ins w:id="634" w:author="Stephanie Baer" w:date="2015-12-17T15:04:00Z"/>
                <w:color w:val="000000"/>
                <w:szCs w:val="20"/>
              </w:rPr>
            </w:pPr>
            <w:ins w:id="635" w:author="Stephanie Baer" w:date="2015-12-17T15:04:00Z">
              <w:r w:rsidRPr="00FF5AF3">
                <w:rPr>
                  <w:color w:val="000000"/>
                  <w:szCs w:val="20"/>
                </w:rPr>
                <w:t>$0.45</w:t>
              </w:r>
            </w:ins>
          </w:p>
        </w:tc>
      </w:tr>
      <w:tr w:rsidR="005A2459" w:rsidRPr="00FF5AF3" w14:paraId="7F29FA69" w14:textId="77777777" w:rsidTr="005A2459">
        <w:trPr>
          <w:trHeight w:val="300"/>
          <w:ins w:id="636"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35286" w14:textId="77777777" w:rsidR="005A2459" w:rsidRPr="00FF5AF3" w:rsidRDefault="005A2459" w:rsidP="005A2459">
            <w:pPr>
              <w:widowControl/>
              <w:spacing w:after="0"/>
              <w:jc w:val="left"/>
              <w:rPr>
                <w:ins w:id="637" w:author="Stephanie Baer" w:date="2015-12-17T15:04:00Z"/>
                <w:color w:val="000000"/>
                <w:szCs w:val="20"/>
              </w:rPr>
            </w:pPr>
            <w:ins w:id="638" w:author="Stephanie Baer" w:date="2015-12-17T15:04:00Z">
              <w:r w:rsidRPr="00FF5AF3">
                <w:rPr>
                  <w:color w:val="000000"/>
                  <w:szCs w:val="20"/>
                </w:rPr>
                <w:t>Service to heating or cooling</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1AB7B" w14:textId="77777777" w:rsidR="005A2459" w:rsidRPr="00FF5AF3" w:rsidRDefault="005A2459" w:rsidP="005A2459">
            <w:pPr>
              <w:widowControl/>
              <w:spacing w:after="0"/>
              <w:jc w:val="center"/>
              <w:rPr>
                <w:ins w:id="639" w:author="Stephanie Baer" w:date="2015-12-17T15:04:00Z"/>
                <w:color w:val="000000"/>
                <w:szCs w:val="20"/>
              </w:rPr>
            </w:pPr>
            <w:ins w:id="640" w:author="Stephanie Baer" w:date="2015-12-17T15:04:00Z">
              <w:r w:rsidRPr="00FF5AF3">
                <w:rPr>
                  <w:color w:val="000000"/>
                  <w:szCs w:val="20"/>
                </w:rPr>
                <w:t>$0.01</w:t>
              </w:r>
            </w:ins>
          </w:p>
        </w:tc>
        <w:tc>
          <w:tcPr>
            <w:tcW w:w="222" w:type="dxa"/>
            <w:tcBorders>
              <w:top w:val="nil"/>
              <w:left w:val="single" w:sz="4" w:space="0" w:color="auto"/>
              <w:bottom w:val="nil"/>
              <w:right w:val="nil"/>
            </w:tcBorders>
            <w:shd w:val="clear" w:color="auto" w:fill="auto"/>
            <w:noWrap/>
            <w:vAlign w:val="bottom"/>
            <w:hideMark/>
          </w:tcPr>
          <w:p w14:paraId="14EC6E7E" w14:textId="77777777" w:rsidR="005A2459" w:rsidRPr="00FF5AF3" w:rsidRDefault="005A2459" w:rsidP="005A2459">
            <w:pPr>
              <w:widowControl/>
              <w:spacing w:after="0"/>
              <w:jc w:val="left"/>
              <w:rPr>
                <w:ins w:id="641" w:author="Stephanie Baer" w:date="2015-12-17T15:04:00Z"/>
                <w:color w:val="000000"/>
                <w:szCs w:val="20"/>
              </w:rPr>
            </w:pPr>
          </w:p>
        </w:tc>
        <w:tc>
          <w:tcPr>
            <w:tcW w:w="222" w:type="dxa"/>
            <w:tcBorders>
              <w:top w:val="nil"/>
              <w:left w:val="nil"/>
              <w:bottom w:val="nil"/>
              <w:right w:val="nil"/>
            </w:tcBorders>
            <w:shd w:val="clear" w:color="auto" w:fill="auto"/>
            <w:noWrap/>
            <w:vAlign w:val="bottom"/>
            <w:hideMark/>
          </w:tcPr>
          <w:p w14:paraId="4D57A553" w14:textId="77777777" w:rsidR="005A2459" w:rsidRPr="00FF5AF3" w:rsidRDefault="005A2459" w:rsidP="005A2459">
            <w:pPr>
              <w:widowControl/>
              <w:spacing w:after="0"/>
              <w:jc w:val="left"/>
              <w:rPr>
                <w:ins w:id="642" w:author="Stephanie Baer" w:date="2015-12-17T15:04:00Z"/>
                <w:color w:val="000000"/>
                <w:szCs w:val="20"/>
              </w:rPr>
            </w:pPr>
          </w:p>
        </w:tc>
        <w:tc>
          <w:tcPr>
            <w:tcW w:w="3337" w:type="dxa"/>
            <w:tcBorders>
              <w:top w:val="nil"/>
              <w:left w:val="nil"/>
              <w:bottom w:val="nil"/>
              <w:right w:val="nil"/>
            </w:tcBorders>
            <w:shd w:val="clear" w:color="auto" w:fill="auto"/>
            <w:noWrap/>
            <w:vAlign w:val="bottom"/>
            <w:hideMark/>
          </w:tcPr>
          <w:p w14:paraId="366E3AEB" w14:textId="77777777" w:rsidR="005A2459" w:rsidRPr="00FF5AF3" w:rsidRDefault="005A2459" w:rsidP="005A2459">
            <w:pPr>
              <w:widowControl/>
              <w:spacing w:after="0"/>
              <w:jc w:val="left"/>
              <w:rPr>
                <w:ins w:id="643" w:author="Stephanie Baer" w:date="2015-12-17T15:04:00Z"/>
                <w:color w:val="000000"/>
                <w:szCs w:val="20"/>
              </w:rPr>
            </w:pPr>
          </w:p>
        </w:tc>
        <w:tc>
          <w:tcPr>
            <w:tcW w:w="976" w:type="dxa"/>
            <w:tcBorders>
              <w:top w:val="nil"/>
              <w:left w:val="nil"/>
              <w:bottom w:val="nil"/>
              <w:right w:val="nil"/>
            </w:tcBorders>
            <w:shd w:val="clear" w:color="auto" w:fill="auto"/>
            <w:noWrap/>
            <w:vAlign w:val="bottom"/>
            <w:hideMark/>
          </w:tcPr>
          <w:p w14:paraId="3DD71413" w14:textId="77777777" w:rsidR="005A2459" w:rsidRPr="00FF5AF3" w:rsidRDefault="005A2459" w:rsidP="005A2459">
            <w:pPr>
              <w:widowControl/>
              <w:spacing w:after="0"/>
              <w:jc w:val="left"/>
              <w:rPr>
                <w:ins w:id="644" w:author="Stephanie Baer" w:date="2015-12-17T15:04:00Z"/>
                <w:color w:val="000000"/>
                <w:szCs w:val="20"/>
              </w:rPr>
            </w:pPr>
          </w:p>
        </w:tc>
      </w:tr>
      <w:tr w:rsidR="005A2459" w:rsidRPr="00FF5AF3" w14:paraId="325EE16E" w14:textId="77777777" w:rsidTr="005A2459">
        <w:trPr>
          <w:trHeight w:val="300"/>
          <w:ins w:id="645"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8825D" w14:textId="77777777" w:rsidR="005A2459" w:rsidRPr="00FF5AF3" w:rsidRDefault="005A2459" w:rsidP="005A2459">
            <w:pPr>
              <w:widowControl/>
              <w:spacing w:after="0"/>
              <w:jc w:val="left"/>
              <w:rPr>
                <w:ins w:id="646" w:author="Stephanie Baer" w:date="2015-12-17T15:04:00Z"/>
                <w:color w:val="000000"/>
                <w:szCs w:val="20"/>
              </w:rPr>
            </w:pPr>
            <w:ins w:id="647" w:author="Stephanie Baer" w:date="2015-12-17T15:04:00Z">
              <w:r w:rsidRPr="00FF5AF3">
                <w:rPr>
                  <w:color w:val="000000"/>
                  <w:szCs w:val="20"/>
                </w:rPr>
                <w:t>Low Flow Showerhead</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DD2C6" w14:textId="77777777" w:rsidR="005A2459" w:rsidRPr="00FF5AF3" w:rsidRDefault="005A2459" w:rsidP="005A2459">
            <w:pPr>
              <w:widowControl/>
              <w:spacing w:after="0"/>
              <w:jc w:val="center"/>
              <w:rPr>
                <w:ins w:id="648" w:author="Stephanie Baer" w:date="2015-12-17T15:04:00Z"/>
                <w:color w:val="000000"/>
                <w:szCs w:val="20"/>
              </w:rPr>
            </w:pPr>
            <w:ins w:id="649" w:author="Stephanie Baer" w:date="2015-12-17T15:04:00Z">
              <w:r w:rsidRPr="00FF5AF3">
                <w:rPr>
                  <w:color w:val="000000"/>
                  <w:szCs w:val="20"/>
                </w:rPr>
                <w:t>$0.01</w:t>
              </w:r>
            </w:ins>
          </w:p>
        </w:tc>
        <w:tc>
          <w:tcPr>
            <w:tcW w:w="222" w:type="dxa"/>
            <w:tcBorders>
              <w:top w:val="nil"/>
              <w:left w:val="single" w:sz="4" w:space="0" w:color="auto"/>
              <w:bottom w:val="nil"/>
              <w:right w:val="nil"/>
            </w:tcBorders>
            <w:shd w:val="clear" w:color="auto" w:fill="auto"/>
            <w:noWrap/>
            <w:vAlign w:val="bottom"/>
            <w:hideMark/>
          </w:tcPr>
          <w:p w14:paraId="02FBB71F" w14:textId="77777777" w:rsidR="005A2459" w:rsidRPr="00FF5AF3" w:rsidRDefault="005A2459" w:rsidP="005A2459">
            <w:pPr>
              <w:widowControl/>
              <w:spacing w:after="0"/>
              <w:jc w:val="left"/>
              <w:rPr>
                <w:ins w:id="650" w:author="Stephanie Baer" w:date="2015-12-17T15:04:00Z"/>
                <w:color w:val="000000"/>
                <w:szCs w:val="20"/>
              </w:rPr>
            </w:pPr>
          </w:p>
        </w:tc>
        <w:tc>
          <w:tcPr>
            <w:tcW w:w="222" w:type="dxa"/>
            <w:tcBorders>
              <w:top w:val="nil"/>
              <w:left w:val="nil"/>
              <w:bottom w:val="nil"/>
              <w:right w:val="nil"/>
            </w:tcBorders>
            <w:shd w:val="clear" w:color="auto" w:fill="auto"/>
            <w:noWrap/>
            <w:vAlign w:val="bottom"/>
            <w:hideMark/>
          </w:tcPr>
          <w:p w14:paraId="0DACD4CA" w14:textId="77777777" w:rsidR="005A2459" w:rsidRPr="00FF5AF3" w:rsidRDefault="005A2459" w:rsidP="005A2459">
            <w:pPr>
              <w:widowControl/>
              <w:spacing w:after="0"/>
              <w:jc w:val="left"/>
              <w:rPr>
                <w:ins w:id="651" w:author="Stephanie Baer" w:date="2015-12-17T15:04:00Z"/>
                <w:color w:val="000000"/>
                <w:szCs w:val="20"/>
              </w:rPr>
            </w:pPr>
          </w:p>
        </w:tc>
        <w:tc>
          <w:tcPr>
            <w:tcW w:w="3337" w:type="dxa"/>
            <w:tcBorders>
              <w:top w:val="nil"/>
              <w:left w:val="nil"/>
              <w:bottom w:val="nil"/>
              <w:right w:val="nil"/>
            </w:tcBorders>
            <w:shd w:val="clear" w:color="auto" w:fill="auto"/>
            <w:noWrap/>
            <w:vAlign w:val="bottom"/>
            <w:hideMark/>
          </w:tcPr>
          <w:p w14:paraId="3A6C0986" w14:textId="77777777" w:rsidR="005A2459" w:rsidRPr="00FF5AF3" w:rsidRDefault="005A2459" w:rsidP="005A2459">
            <w:pPr>
              <w:widowControl/>
              <w:spacing w:after="0"/>
              <w:jc w:val="left"/>
              <w:rPr>
                <w:ins w:id="652" w:author="Stephanie Baer" w:date="2015-12-17T15:04:00Z"/>
                <w:color w:val="000000"/>
                <w:szCs w:val="20"/>
              </w:rPr>
            </w:pPr>
          </w:p>
        </w:tc>
        <w:tc>
          <w:tcPr>
            <w:tcW w:w="976" w:type="dxa"/>
            <w:tcBorders>
              <w:top w:val="nil"/>
              <w:left w:val="nil"/>
              <w:bottom w:val="nil"/>
              <w:right w:val="nil"/>
            </w:tcBorders>
            <w:shd w:val="clear" w:color="auto" w:fill="auto"/>
            <w:noWrap/>
            <w:vAlign w:val="bottom"/>
            <w:hideMark/>
          </w:tcPr>
          <w:p w14:paraId="5DB636BD" w14:textId="77777777" w:rsidR="005A2459" w:rsidRPr="00FF5AF3" w:rsidRDefault="005A2459" w:rsidP="005A2459">
            <w:pPr>
              <w:widowControl/>
              <w:spacing w:after="0"/>
              <w:jc w:val="left"/>
              <w:rPr>
                <w:ins w:id="653" w:author="Stephanie Baer" w:date="2015-12-17T15:04:00Z"/>
                <w:color w:val="000000"/>
                <w:szCs w:val="20"/>
              </w:rPr>
            </w:pPr>
          </w:p>
        </w:tc>
      </w:tr>
      <w:tr w:rsidR="005A2459" w:rsidRPr="00FF5AF3" w14:paraId="3B91D3BF" w14:textId="77777777" w:rsidTr="005A2459">
        <w:trPr>
          <w:trHeight w:val="300"/>
          <w:ins w:id="654" w:author="Stephanie Baer" w:date="2015-12-17T15:04:00Z"/>
        </w:trPr>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AFA98" w14:textId="77777777" w:rsidR="005A2459" w:rsidRPr="00FF5AF3" w:rsidRDefault="005A2459" w:rsidP="005A2459">
            <w:pPr>
              <w:widowControl/>
              <w:spacing w:after="0"/>
              <w:jc w:val="left"/>
              <w:rPr>
                <w:ins w:id="655" w:author="Stephanie Baer" w:date="2015-12-17T15:04:00Z"/>
                <w:color w:val="000000"/>
                <w:szCs w:val="20"/>
              </w:rPr>
            </w:pPr>
            <w:ins w:id="656" w:author="Stephanie Baer" w:date="2015-12-17T15:04:00Z">
              <w:r w:rsidRPr="00FF5AF3">
                <w:rPr>
                  <w:color w:val="000000"/>
                  <w:szCs w:val="20"/>
                </w:rPr>
                <w:t>Programmable Thermostat</w:t>
              </w:r>
            </w:ins>
          </w:p>
        </w:tc>
        <w:tc>
          <w:tcPr>
            <w:tcW w:w="10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C9DEB" w14:textId="77777777" w:rsidR="005A2459" w:rsidRPr="00FF5AF3" w:rsidRDefault="005A2459" w:rsidP="005A2459">
            <w:pPr>
              <w:widowControl/>
              <w:spacing w:after="0"/>
              <w:jc w:val="center"/>
              <w:rPr>
                <w:ins w:id="657" w:author="Stephanie Baer" w:date="2015-12-17T15:04:00Z"/>
                <w:color w:val="000000"/>
                <w:szCs w:val="20"/>
              </w:rPr>
            </w:pPr>
            <w:ins w:id="658" w:author="Stephanie Baer" w:date="2015-12-17T15:04:00Z">
              <w:r w:rsidRPr="00FF5AF3">
                <w:rPr>
                  <w:color w:val="000000"/>
                  <w:szCs w:val="20"/>
                </w:rPr>
                <w:t>$0.06</w:t>
              </w:r>
            </w:ins>
          </w:p>
        </w:tc>
        <w:tc>
          <w:tcPr>
            <w:tcW w:w="222" w:type="dxa"/>
            <w:tcBorders>
              <w:top w:val="nil"/>
              <w:left w:val="single" w:sz="4" w:space="0" w:color="auto"/>
              <w:bottom w:val="nil"/>
              <w:right w:val="nil"/>
            </w:tcBorders>
            <w:shd w:val="clear" w:color="auto" w:fill="auto"/>
            <w:noWrap/>
            <w:vAlign w:val="bottom"/>
            <w:hideMark/>
          </w:tcPr>
          <w:p w14:paraId="38F30E39" w14:textId="77777777" w:rsidR="005A2459" w:rsidRPr="00FF5AF3" w:rsidRDefault="005A2459" w:rsidP="005A2459">
            <w:pPr>
              <w:widowControl/>
              <w:spacing w:after="0"/>
              <w:jc w:val="left"/>
              <w:rPr>
                <w:ins w:id="659" w:author="Stephanie Baer" w:date="2015-12-17T15:04:00Z"/>
                <w:color w:val="000000"/>
                <w:szCs w:val="20"/>
              </w:rPr>
            </w:pPr>
          </w:p>
        </w:tc>
        <w:tc>
          <w:tcPr>
            <w:tcW w:w="222" w:type="dxa"/>
            <w:tcBorders>
              <w:top w:val="nil"/>
              <w:left w:val="nil"/>
              <w:bottom w:val="nil"/>
              <w:right w:val="nil"/>
            </w:tcBorders>
            <w:shd w:val="clear" w:color="auto" w:fill="auto"/>
            <w:noWrap/>
            <w:vAlign w:val="bottom"/>
            <w:hideMark/>
          </w:tcPr>
          <w:p w14:paraId="5F756FFB" w14:textId="77777777" w:rsidR="005A2459" w:rsidRPr="00FF5AF3" w:rsidRDefault="005A2459" w:rsidP="005A2459">
            <w:pPr>
              <w:widowControl/>
              <w:spacing w:after="0"/>
              <w:jc w:val="left"/>
              <w:rPr>
                <w:ins w:id="660" w:author="Stephanie Baer" w:date="2015-12-17T15:04:00Z"/>
                <w:color w:val="000000"/>
                <w:szCs w:val="20"/>
              </w:rPr>
            </w:pPr>
          </w:p>
        </w:tc>
        <w:tc>
          <w:tcPr>
            <w:tcW w:w="3337" w:type="dxa"/>
            <w:tcBorders>
              <w:top w:val="nil"/>
              <w:left w:val="nil"/>
              <w:bottom w:val="nil"/>
              <w:right w:val="nil"/>
            </w:tcBorders>
            <w:shd w:val="clear" w:color="auto" w:fill="auto"/>
            <w:noWrap/>
            <w:vAlign w:val="bottom"/>
            <w:hideMark/>
          </w:tcPr>
          <w:p w14:paraId="3755D0C4" w14:textId="77777777" w:rsidR="005A2459" w:rsidRPr="00FF5AF3" w:rsidRDefault="005A2459" w:rsidP="005A2459">
            <w:pPr>
              <w:widowControl/>
              <w:spacing w:after="0"/>
              <w:jc w:val="left"/>
              <w:rPr>
                <w:ins w:id="661" w:author="Stephanie Baer" w:date="2015-12-17T15:04:00Z"/>
                <w:color w:val="000000"/>
                <w:szCs w:val="20"/>
              </w:rPr>
            </w:pPr>
          </w:p>
        </w:tc>
        <w:tc>
          <w:tcPr>
            <w:tcW w:w="976" w:type="dxa"/>
            <w:tcBorders>
              <w:top w:val="nil"/>
              <w:left w:val="nil"/>
              <w:bottom w:val="nil"/>
              <w:right w:val="nil"/>
            </w:tcBorders>
            <w:shd w:val="clear" w:color="auto" w:fill="auto"/>
            <w:noWrap/>
            <w:vAlign w:val="bottom"/>
            <w:hideMark/>
          </w:tcPr>
          <w:p w14:paraId="7236CE36" w14:textId="77777777" w:rsidR="005A2459" w:rsidRPr="00FF5AF3" w:rsidRDefault="005A2459" w:rsidP="005A2459">
            <w:pPr>
              <w:widowControl/>
              <w:spacing w:after="0"/>
              <w:jc w:val="left"/>
              <w:rPr>
                <w:ins w:id="662" w:author="Stephanie Baer" w:date="2015-12-17T15:04:00Z"/>
                <w:color w:val="000000"/>
                <w:szCs w:val="20"/>
              </w:rPr>
            </w:pPr>
          </w:p>
        </w:tc>
      </w:tr>
    </w:tbl>
    <w:p w14:paraId="6475100A" w14:textId="77777777" w:rsidR="005A2459" w:rsidRDefault="005A2459" w:rsidP="005A2459">
      <w:pPr>
        <w:jc w:val="left"/>
        <w:rPr>
          <w:ins w:id="663" w:author="Stephanie Baer" w:date="2015-12-17T15:04:00Z"/>
          <w:rFonts w:eastAsia="Franklin Gothic Book"/>
          <w:szCs w:val="20"/>
        </w:rPr>
      </w:pPr>
    </w:p>
    <w:p w14:paraId="455E7CC0" w14:textId="77777777" w:rsidR="005A2459" w:rsidRDefault="005A2459">
      <w:pPr>
        <w:pStyle w:val="Heading2"/>
        <w:rPr>
          <w:ins w:id="664" w:author="Stephanie Baer" w:date="2015-12-17T15:04:00Z"/>
          <w:rFonts w:eastAsia="Franklin Gothic Book"/>
        </w:rPr>
        <w:pPrChange w:id="665" w:author="Stephanie Baer" w:date="2015-12-17T15:06:00Z">
          <w:pPr>
            <w:pStyle w:val="Heading1"/>
          </w:pPr>
        </w:pPrChange>
      </w:pPr>
      <w:bookmarkStart w:id="666" w:name="_Toc438191099"/>
      <w:ins w:id="667" w:author="Stephanie Baer" w:date="2015-12-17T15:04:00Z">
        <w:r w:rsidRPr="0026070A">
          <w:rPr>
            <w:rFonts w:eastAsia="Franklin Gothic Book"/>
          </w:rPr>
          <w:t>Commercial Retrofit Non Energy Benefits</w:t>
        </w:r>
        <w:bookmarkEnd w:id="666"/>
      </w:ins>
    </w:p>
    <w:p w14:paraId="54E4A824" w14:textId="77777777" w:rsidR="005A2459" w:rsidRDefault="005A2459" w:rsidP="005A2459">
      <w:pPr>
        <w:rPr>
          <w:ins w:id="668" w:author="Stephanie Baer" w:date="2015-12-17T15:04:00Z"/>
        </w:rPr>
      </w:pPr>
    </w:p>
    <w:p w14:paraId="63135779" w14:textId="77777777" w:rsidR="005A2459" w:rsidRDefault="005A2459" w:rsidP="005A2459">
      <w:pPr>
        <w:rPr>
          <w:ins w:id="669" w:author="Stephanie Baer" w:date="2015-12-17T15:04:00Z"/>
          <w:i/>
        </w:rPr>
      </w:pPr>
      <w:ins w:id="670" w:author="Stephanie Baer" w:date="2015-12-17T15:04:00Z">
        <w:r>
          <w:t xml:space="preserve">For Commercial Retrofit programs, the following annual non energy benefits (NEBs) were approved through the TAC process. These are based upon another Massachusetts study: </w:t>
        </w:r>
        <w:r w:rsidRPr="00E84FCE">
          <w:rPr>
            <w:i/>
          </w:rPr>
          <w:t>KEMA, Inc, 2012, Massachusetts Program Administrators Final Report – Commercial and Industrial Non-Energy Impacts Study.</w:t>
        </w:r>
        <w:r>
          <w:rPr>
            <w:i/>
          </w:rPr>
          <w:t xml:space="preserve"> </w:t>
        </w:r>
      </w:ins>
    </w:p>
    <w:p w14:paraId="780FBA75" w14:textId="2B7C5A5A" w:rsidR="005A2459" w:rsidRDefault="005A2459" w:rsidP="005A2459">
      <w:ins w:id="671" w:author="Stephanie Baer" w:date="2015-12-17T15:04:00Z">
        <w:r>
          <w:t>VEIC reviewed this study and confirmed that it was appropriately based upon participant benefits and not societal benefits (so carbon emissions were not included), and that water impacts were also handled separately (so as not to double count water savings claimed through the TRM). The values proposed in this study, however, did include O&amp;M benefits, and so the appropriate O&amp;M percentages of total (also provided in the study in tables 4-7 and 4-12) were removed for those measures where these O&amp;M impacts are already being accounted for directly in the TRM (namely lighting and CHP). The resultant values are provided in Figure 4 below:</w:t>
        </w:r>
      </w:ins>
      <w:r>
        <w:br w:type="page"/>
      </w:r>
    </w:p>
    <w:tbl>
      <w:tblPr>
        <w:tblW w:w="10700" w:type="dxa"/>
        <w:tblInd w:w="108" w:type="dxa"/>
        <w:tblLook w:val="04A0" w:firstRow="1" w:lastRow="0" w:firstColumn="1" w:lastColumn="0" w:noHBand="0" w:noVBand="1"/>
      </w:tblPr>
      <w:tblGrid>
        <w:gridCol w:w="10700"/>
      </w:tblGrid>
      <w:tr w:rsidR="005A2459" w:rsidRPr="0059147B" w14:paraId="58596DD7" w14:textId="77777777" w:rsidTr="005A2459">
        <w:trPr>
          <w:trHeight w:val="420"/>
          <w:ins w:id="672" w:author="Stephanie Baer" w:date="2015-12-17T15:04:00Z"/>
        </w:trPr>
        <w:tc>
          <w:tcPr>
            <w:tcW w:w="10700" w:type="dxa"/>
            <w:tcBorders>
              <w:top w:val="nil"/>
              <w:left w:val="nil"/>
              <w:bottom w:val="nil"/>
              <w:right w:val="nil"/>
            </w:tcBorders>
            <w:shd w:val="clear" w:color="auto" w:fill="auto"/>
            <w:noWrap/>
            <w:vAlign w:val="bottom"/>
            <w:hideMark/>
          </w:tcPr>
          <w:p w14:paraId="25877327" w14:textId="77777777" w:rsidR="005A2459" w:rsidRPr="00BA209D" w:rsidRDefault="005A2459" w:rsidP="005A2459">
            <w:pPr>
              <w:widowControl/>
              <w:spacing w:after="0"/>
              <w:jc w:val="left"/>
              <w:rPr>
                <w:ins w:id="673" w:author="Stephanie Baer" w:date="2015-12-17T15:04:00Z"/>
                <w:b/>
                <w:iCs/>
                <w:color w:val="000000"/>
                <w:sz w:val="22"/>
              </w:rPr>
            </w:pPr>
            <w:ins w:id="674" w:author="Stephanie Baer" w:date="2015-12-17T15:04:00Z">
              <w:r w:rsidRPr="00BA209D">
                <w:rPr>
                  <w:b/>
                  <w:iCs/>
                  <w:color w:val="000000"/>
                  <w:sz w:val="22"/>
                </w:rPr>
                <w:lastRenderedPageBreak/>
                <w:t xml:space="preserve">Figure </w:t>
              </w:r>
              <w:r>
                <w:rPr>
                  <w:b/>
                  <w:iCs/>
                  <w:color w:val="000000"/>
                  <w:sz w:val="22"/>
                </w:rPr>
                <w:t>4</w:t>
              </w:r>
              <w:r w:rsidRPr="00BA209D">
                <w:rPr>
                  <w:b/>
                  <w:iCs/>
                  <w:color w:val="000000"/>
                  <w:sz w:val="22"/>
                </w:rPr>
                <w:t xml:space="preserve">: For measures in C&amp;I Retrofit or Direct Install program only </w:t>
              </w:r>
            </w:ins>
          </w:p>
        </w:tc>
      </w:tr>
      <w:tr w:rsidR="005A2459" w:rsidRPr="00FF5AF3" w14:paraId="5FB17A6D" w14:textId="77777777" w:rsidTr="005A2459">
        <w:trPr>
          <w:trHeight w:val="300"/>
          <w:ins w:id="675" w:author="Stephanie Baer" w:date="2015-12-17T15:04:00Z"/>
        </w:trPr>
        <w:tc>
          <w:tcPr>
            <w:tcW w:w="10700" w:type="dxa"/>
            <w:tcBorders>
              <w:top w:val="nil"/>
              <w:left w:val="nil"/>
              <w:bottom w:val="nil"/>
              <w:right w:val="nil"/>
            </w:tcBorders>
            <w:shd w:val="clear" w:color="auto" w:fill="auto"/>
            <w:noWrap/>
            <w:vAlign w:val="bottom"/>
            <w:hideMark/>
          </w:tcPr>
          <w:p w14:paraId="79D7C6AA" w14:textId="77777777" w:rsidR="005A2459" w:rsidRDefault="005A2459" w:rsidP="005A2459">
            <w:pPr>
              <w:widowControl/>
              <w:spacing w:after="0"/>
              <w:jc w:val="left"/>
              <w:rPr>
                <w:ins w:id="676" w:author="Stephanie Baer" w:date="2015-12-17T15:04:00Z"/>
                <w:color w:val="000000"/>
                <w:szCs w:val="20"/>
              </w:rPr>
            </w:pPr>
            <w:ins w:id="677" w:author="Stephanie Baer" w:date="2015-12-17T15:04:00Z">
              <w:r w:rsidRPr="00FF5AF3">
                <w:rPr>
                  <w:color w:val="000000"/>
                  <w:szCs w:val="20"/>
                </w:rPr>
                <w:t>To calculate</w:t>
              </w:r>
              <w:r>
                <w:rPr>
                  <w:color w:val="000000"/>
                  <w:szCs w:val="20"/>
                </w:rPr>
                <w:t xml:space="preserve"> the</w:t>
              </w:r>
              <w:r w:rsidRPr="00FF5AF3">
                <w:rPr>
                  <w:color w:val="000000"/>
                  <w:szCs w:val="20"/>
                </w:rPr>
                <w:t xml:space="preserve"> </w:t>
              </w:r>
              <w:r w:rsidRPr="00224A0F">
                <w:rPr>
                  <w:i/>
                  <w:color w:val="000000"/>
                  <w:szCs w:val="20"/>
                </w:rPr>
                <w:t>annual</w:t>
              </w:r>
              <w:r w:rsidRPr="00FF5AF3">
                <w:rPr>
                  <w:color w:val="000000"/>
                  <w:szCs w:val="20"/>
                </w:rPr>
                <w:t xml:space="preserve"> non-energy benefit, multiply the kWh or therm savings by</w:t>
              </w:r>
              <w:r>
                <w:rPr>
                  <w:color w:val="000000"/>
                  <w:szCs w:val="20"/>
                </w:rPr>
                <w:t xml:space="preserve"> the following multiplier </w:t>
              </w:r>
            </w:ins>
          </w:p>
          <w:p w14:paraId="65ED67BC" w14:textId="77777777" w:rsidR="005A2459" w:rsidRPr="00FF5AF3" w:rsidRDefault="005A2459" w:rsidP="005A2459">
            <w:pPr>
              <w:widowControl/>
              <w:spacing w:after="0"/>
              <w:jc w:val="left"/>
              <w:rPr>
                <w:ins w:id="678" w:author="Stephanie Baer" w:date="2015-12-17T15:04:00Z"/>
                <w:color w:val="000000"/>
                <w:szCs w:val="20"/>
              </w:rPr>
            </w:pPr>
            <w:ins w:id="679" w:author="Stephanie Baer" w:date="2015-12-17T15:04:00Z">
              <w:r>
                <w:rPr>
                  <w:color w:val="000000"/>
                  <w:szCs w:val="20"/>
                </w:rPr>
                <w:t xml:space="preserve">for each year within the measures </w:t>
              </w:r>
              <w:commentRangeStart w:id="680"/>
              <w:r>
                <w:rPr>
                  <w:color w:val="000000"/>
                  <w:szCs w:val="20"/>
                </w:rPr>
                <w:t>lifetime</w:t>
              </w:r>
              <w:commentRangeEnd w:id="680"/>
              <w:r>
                <w:rPr>
                  <w:rStyle w:val="CommentReference"/>
                  <w:rFonts w:eastAsiaTheme="majorEastAsia"/>
                </w:rPr>
                <w:commentReference w:id="680"/>
              </w:r>
              <w:r w:rsidRPr="00FF5AF3">
                <w:rPr>
                  <w:color w:val="000000"/>
                  <w:szCs w:val="20"/>
                </w:rPr>
                <w:t>:</w:t>
              </w:r>
            </w:ins>
          </w:p>
        </w:tc>
      </w:tr>
    </w:tbl>
    <w:p w14:paraId="36B28D5A" w14:textId="77777777" w:rsidR="005A2459" w:rsidRDefault="005A2459" w:rsidP="005A2459">
      <w:pPr>
        <w:rPr>
          <w:ins w:id="681" w:author="Stephanie Baer" w:date="2015-12-17T15:04:00Z"/>
        </w:rPr>
      </w:pPr>
    </w:p>
    <w:tbl>
      <w:tblPr>
        <w:tblW w:w="6860" w:type="dxa"/>
        <w:jc w:val="center"/>
        <w:tblLook w:val="0600" w:firstRow="0" w:lastRow="0" w:firstColumn="0" w:lastColumn="0" w:noHBand="1" w:noVBand="1"/>
      </w:tblPr>
      <w:tblGrid>
        <w:gridCol w:w="1400"/>
        <w:gridCol w:w="1400"/>
        <w:gridCol w:w="2280"/>
        <w:gridCol w:w="1780"/>
      </w:tblGrid>
      <w:tr w:rsidR="005A2459" w:rsidRPr="00224A0F" w14:paraId="794F97D0" w14:textId="77777777" w:rsidTr="004F7320">
        <w:trPr>
          <w:trHeight w:val="630"/>
          <w:jc w:val="center"/>
          <w:ins w:id="682" w:author="Stephanie Baer" w:date="2015-12-17T15:04:00Z"/>
        </w:trPr>
        <w:tc>
          <w:tcPr>
            <w:tcW w:w="1400" w:type="dxa"/>
            <w:tcBorders>
              <w:top w:val="single" w:sz="4" w:space="0" w:color="auto"/>
              <w:left w:val="single" w:sz="4" w:space="0" w:color="auto"/>
              <w:bottom w:val="single" w:sz="4" w:space="0" w:color="auto"/>
              <w:right w:val="single" w:sz="4" w:space="0" w:color="auto"/>
            </w:tcBorders>
            <w:shd w:val="clear" w:color="000000" w:fill="808080"/>
            <w:vAlign w:val="bottom"/>
            <w:hideMark/>
          </w:tcPr>
          <w:p w14:paraId="7AE582CB" w14:textId="77777777" w:rsidR="005A2459" w:rsidRPr="00224A0F" w:rsidRDefault="005A2459" w:rsidP="005A2459">
            <w:pPr>
              <w:widowControl/>
              <w:spacing w:after="0"/>
              <w:jc w:val="center"/>
              <w:rPr>
                <w:ins w:id="683" w:author="Stephanie Baer" w:date="2015-12-17T15:04:00Z"/>
                <w:b/>
                <w:bCs/>
                <w:color w:val="FFFFFF"/>
                <w:szCs w:val="20"/>
              </w:rPr>
            </w:pPr>
            <w:ins w:id="684" w:author="Stephanie Baer" w:date="2015-12-17T15:04:00Z">
              <w:r w:rsidRPr="00224A0F">
                <w:rPr>
                  <w:b/>
                  <w:bCs/>
                  <w:color w:val="FFFFFF"/>
                  <w:szCs w:val="20"/>
                </w:rPr>
                <w:t>Fuel</w:t>
              </w:r>
            </w:ins>
          </w:p>
        </w:tc>
        <w:tc>
          <w:tcPr>
            <w:tcW w:w="1400" w:type="dxa"/>
            <w:tcBorders>
              <w:top w:val="single" w:sz="4" w:space="0" w:color="auto"/>
              <w:left w:val="nil"/>
              <w:bottom w:val="single" w:sz="4" w:space="0" w:color="auto"/>
              <w:right w:val="single" w:sz="4" w:space="0" w:color="auto"/>
            </w:tcBorders>
            <w:shd w:val="clear" w:color="000000" w:fill="808080"/>
            <w:vAlign w:val="bottom"/>
            <w:hideMark/>
          </w:tcPr>
          <w:p w14:paraId="51D7A26D" w14:textId="77777777" w:rsidR="005A2459" w:rsidRPr="00224A0F" w:rsidRDefault="005A2459" w:rsidP="005A2459">
            <w:pPr>
              <w:widowControl/>
              <w:spacing w:after="0"/>
              <w:jc w:val="center"/>
              <w:rPr>
                <w:ins w:id="685" w:author="Stephanie Baer" w:date="2015-12-17T15:04:00Z"/>
                <w:b/>
                <w:bCs/>
                <w:color w:val="FFFFFF"/>
                <w:szCs w:val="20"/>
              </w:rPr>
            </w:pPr>
            <w:ins w:id="686" w:author="Stephanie Baer" w:date="2015-12-17T15:04:00Z">
              <w:r w:rsidRPr="00224A0F">
                <w:rPr>
                  <w:b/>
                  <w:bCs/>
                  <w:color w:val="FFFFFF"/>
                  <w:szCs w:val="20"/>
                </w:rPr>
                <w:t xml:space="preserve"> Program</w:t>
              </w:r>
            </w:ins>
          </w:p>
        </w:tc>
        <w:tc>
          <w:tcPr>
            <w:tcW w:w="2280" w:type="dxa"/>
            <w:tcBorders>
              <w:top w:val="single" w:sz="4" w:space="0" w:color="auto"/>
              <w:left w:val="nil"/>
              <w:bottom w:val="single" w:sz="4" w:space="0" w:color="auto"/>
              <w:right w:val="single" w:sz="4" w:space="0" w:color="auto"/>
            </w:tcBorders>
            <w:shd w:val="clear" w:color="000000" w:fill="808080"/>
            <w:vAlign w:val="bottom"/>
            <w:hideMark/>
          </w:tcPr>
          <w:p w14:paraId="587F1307" w14:textId="77777777" w:rsidR="005A2459" w:rsidRPr="00224A0F" w:rsidRDefault="005A2459" w:rsidP="005A2459">
            <w:pPr>
              <w:widowControl/>
              <w:spacing w:after="0"/>
              <w:jc w:val="center"/>
              <w:rPr>
                <w:ins w:id="687" w:author="Stephanie Baer" w:date="2015-12-17T15:04:00Z"/>
                <w:b/>
                <w:bCs/>
                <w:color w:val="FFFFFF"/>
                <w:szCs w:val="20"/>
              </w:rPr>
            </w:pPr>
            <w:ins w:id="688" w:author="Stephanie Baer" w:date="2015-12-17T15:04:00Z">
              <w:r w:rsidRPr="00224A0F">
                <w:rPr>
                  <w:b/>
                  <w:bCs/>
                  <w:color w:val="FFFFFF"/>
                  <w:szCs w:val="20"/>
                </w:rPr>
                <w:t>Measure/End Use</w:t>
              </w:r>
            </w:ins>
          </w:p>
        </w:tc>
        <w:tc>
          <w:tcPr>
            <w:tcW w:w="1780" w:type="dxa"/>
            <w:tcBorders>
              <w:top w:val="single" w:sz="4" w:space="0" w:color="auto"/>
              <w:left w:val="nil"/>
              <w:bottom w:val="single" w:sz="4" w:space="0" w:color="auto"/>
              <w:right w:val="single" w:sz="4" w:space="0" w:color="auto"/>
            </w:tcBorders>
            <w:shd w:val="clear" w:color="000000" w:fill="808080"/>
            <w:vAlign w:val="center"/>
            <w:hideMark/>
          </w:tcPr>
          <w:p w14:paraId="1E09CECF" w14:textId="77777777" w:rsidR="005A2459" w:rsidRPr="00224A0F" w:rsidRDefault="005A2459" w:rsidP="005A2459">
            <w:pPr>
              <w:widowControl/>
              <w:spacing w:after="0"/>
              <w:jc w:val="center"/>
              <w:rPr>
                <w:ins w:id="689" w:author="Stephanie Baer" w:date="2015-12-17T15:04:00Z"/>
                <w:b/>
                <w:bCs/>
                <w:color w:val="FFFFFF"/>
                <w:szCs w:val="20"/>
              </w:rPr>
            </w:pPr>
            <w:ins w:id="690" w:author="Stephanie Baer" w:date="2015-12-17T15:04:00Z">
              <w:r w:rsidRPr="00224A0F">
                <w:rPr>
                  <w:b/>
                  <w:bCs/>
                  <w:color w:val="FFFFFF"/>
                  <w:szCs w:val="20"/>
                </w:rPr>
                <w:t>Annual $ NEB / kWh</w:t>
              </w:r>
            </w:ins>
          </w:p>
        </w:tc>
      </w:tr>
      <w:tr w:rsidR="005A2459" w:rsidRPr="00224A0F" w14:paraId="6E6263A4" w14:textId="77777777" w:rsidTr="004F7320">
        <w:trPr>
          <w:trHeight w:val="315"/>
          <w:jc w:val="center"/>
          <w:ins w:id="691" w:author="Stephanie Baer" w:date="2015-12-17T15:04:00Z"/>
        </w:trPr>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14:paraId="7D8004BD" w14:textId="77777777" w:rsidR="005A2459" w:rsidRPr="00224A0F" w:rsidRDefault="005A2459" w:rsidP="005A2459">
            <w:pPr>
              <w:widowControl/>
              <w:spacing w:after="0"/>
              <w:jc w:val="center"/>
              <w:rPr>
                <w:ins w:id="692" w:author="Stephanie Baer" w:date="2015-12-17T15:04:00Z"/>
                <w:color w:val="000000"/>
                <w:szCs w:val="20"/>
              </w:rPr>
            </w:pPr>
            <w:ins w:id="693" w:author="Stephanie Baer" w:date="2015-12-17T15:04:00Z">
              <w:r w:rsidRPr="00224A0F">
                <w:rPr>
                  <w:color w:val="000000"/>
                  <w:szCs w:val="20"/>
                </w:rPr>
                <w:t>Electric</w:t>
              </w:r>
            </w:ins>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14:paraId="3342C25E" w14:textId="77777777" w:rsidR="005A2459" w:rsidRPr="00224A0F" w:rsidRDefault="005A2459" w:rsidP="005A2459">
            <w:pPr>
              <w:widowControl/>
              <w:spacing w:after="0"/>
              <w:jc w:val="center"/>
              <w:rPr>
                <w:ins w:id="694" w:author="Stephanie Baer" w:date="2015-12-17T15:04:00Z"/>
                <w:color w:val="000000"/>
                <w:szCs w:val="20"/>
              </w:rPr>
            </w:pPr>
            <w:ins w:id="695" w:author="Stephanie Baer" w:date="2015-12-17T15:04:00Z">
              <w:r w:rsidRPr="00224A0F">
                <w:rPr>
                  <w:color w:val="000000"/>
                  <w:szCs w:val="20"/>
                </w:rPr>
                <w:t>C&amp;I Large Retrofit or Direct Install</w:t>
              </w:r>
            </w:ins>
          </w:p>
        </w:tc>
        <w:tc>
          <w:tcPr>
            <w:tcW w:w="2280" w:type="dxa"/>
            <w:tcBorders>
              <w:top w:val="nil"/>
              <w:left w:val="nil"/>
              <w:bottom w:val="single" w:sz="4" w:space="0" w:color="auto"/>
              <w:right w:val="single" w:sz="4" w:space="0" w:color="auto"/>
            </w:tcBorders>
            <w:shd w:val="clear" w:color="000000" w:fill="E7F4FF"/>
            <w:vAlign w:val="center"/>
            <w:hideMark/>
          </w:tcPr>
          <w:p w14:paraId="232765CB" w14:textId="77777777" w:rsidR="005A2459" w:rsidRPr="00224A0F" w:rsidRDefault="005A2459" w:rsidP="005A2459">
            <w:pPr>
              <w:widowControl/>
              <w:spacing w:after="0"/>
              <w:jc w:val="left"/>
              <w:rPr>
                <w:ins w:id="696" w:author="Stephanie Baer" w:date="2015-12-17T15:04:00Z"/>
                <w:color w:val="000000"/>
                <w:szCs w:val="20"/>
              </w:rPr>
            </w:pPr>
            <w:ins w:id="697" w:author="Stephanie Baer" w:date="2015-12-17T15:04:00Z">
              <w:r w:rsidRPr="00224A0F">
                <w:rPr>
                  <w:color w:val="000000"/>
                  <w:szCs w:val="20"/>
                </w:rPr>
                <w:t>Rx Lighting</w:t>
              </w:r>
            </w:ins>
          </w:p>
        </w:tc>
        <w:tc>
          <w:tcPr>
            <w:tcW w:w="1780" w:type="dxa"/>
            <w:tcBorders>
              <w:top w:val="nil"/>
              <w:left w:val="nil"/>
              <w:bottom w:val="single" w:sz="4" w:space="0" w:color="auto"/>
              <w:right w:val="single" w:sz="4" w:space="0" w:color="auto"/>
            </w:tcBorders>
            <w:shd w:val="clear" w:color="000000" w:fill="E7F4FF"/>
            <w:vAlign w:val="bottom"/>
            <w:hideMark/>
          </w:tcPr>
          <w:p w14:paraId="3978E7D3" w14:textId="77777777" w:rsidR="005A2459" w:rsidRPr="00224A0F" w:rsidRDefault="005A2459" w:rsidP="005A2459">
            <w:pPr>
              <w:widowControl/>
              <w:spacing w:after="0"/>
              <w:jc w:val="center"/>
              <w:rPr>
                <w:ins w:id="698" w:author="Stephanie Baer" w:date="2015-12-17T15:04:00Z"/>
                <w:color w:val="000000"/>
                <w:szCs w:val="20"/>
              </w:rPr>
            </w:pPr>
            <w:ins w:id="699" w:author="Stephanie Baer" w:date="2015-12-17T15:04:00Z">
              <w:r w:rsidRPr="00224A0F">
                <w:rPr>
                  <w:color w:val="000000"/>
                  <w:szCs w:val="20"/>
                </w:rPr>
                <w:t xml:space="preserve">$0.01 </w:t>
              </w:r>
            </w:ins>
          </w:p>
        </w:tc>
      </w:tr>
      <w:tr w:rsidR="005A2459" w:rsidRPr="00224A0F" w14:paraId="7DF31E76" w14:textId="77777777" w:rsidTr="004F7320">
        <w:trPr>
          <w:trHeight w:val="315"/>
          <w:jc w:val="center"/>
          <w:ins w:id="700"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4F956A30" w14:textId="77777777" w:rsidR="005A2459" w:rsidRPr="00224A0F" w:rsidRDefault="005A2459" w:rsidP="005A2459">
            <w:pPr>
              <w:widowControl/>
              <w:spacing w:after="0"/>
              <w:jc w:val="left"/>
              <w:rPr>
                <w:ins w:id="701"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32178496" w14:textId="77777777" w:rsidR="005A2459" w:rsidRPr="00224A0F" w:rsidRDefault="005A2459" w:rsidP="005A2459">
            <w:pPr>
              <w:widowControl/>
              <w:spacing w:after="0"/>
              <w:jc w:val="left"/>
              <w:rPr>
                <w:ins w:id="702"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4B463D77" w14:textId="77777777" w:rsidR="005A2459" w:rsidRPr="00224A0F" w:rsidRDefault="005A2459" w:rsidP="005A2459">
            <w:pPr>
              <w:widowControl/>
              <w:spacing w:after="0"/>
              <w:jc w:val="left"/>
              <w:rPr>
                <w:ins w:id="703" w:author="Stephanie Baer" w:date="2015-12-17T15:04:00Z"/>
                <w:color w:val="000000"/>
                <w:szCs w:val="20"/>
              </w:rPr>
            </w:pPr>
            <w:ins w:id="704" w:author="Stephanie Baer" w:date="2015-12-17T15:04:00Z">
              <w:r w:rsidRPr="00224A0F">
                <w:rPr>
                  <w:color w:val="000000"/>
                  <w:szCs w:val="20"/>
                </w:rPr>
                <w:t>Rx HVAC</w:t>
              </w:r>
            </w:ins>
          </w:p>
        </w:tc>
        <w:tc>
          <w:tcPr>
            <w:tcW w:w="1780" w:type="dxa"/>
            <w:tcBorders>
              <w:top w:val="nil"/>
              <w:left w:val="nil"/>
              <w:bottom w:val="single" w:sz="4" w:space="0" w:color="auto"/>
              <w:right w:val="single" w:sz="4" w:space="0" w:color="auto"/>
            </w:tcBorders>
            <w:shd w:val="clear" w:color="000000" w:fill="E7F4FF"/>
            <w:vAlign w:val="bottom"/>
            <w:hideMark/>
          </w:tcPr>
          <w:p w14:paraId="60B0E94D" w14:textId="77777777" w:rsidR="005A2459" w:rsidRPr="00224A0F" w:rsidRDefault="005A2459" w:rsidP="005A2459">
            <w:pPr>
              <w:widowControl/>
              <w:spacing w:after="0"/>
              <w:jc w:val="center"/>
              <w:rPr>
                <w:ins w:id="705" w:author="Stephanie Baer" w:date="2015-12-17T15:04:00Z"/>
                <w:color w:val="000000"/>
                <w:szCs w:val="20"/>
              </w:rPr>
            </w:pPr>
            <w:ins w:id="706" w:author="Stephanie Baer" w:date="2015-12-17T15:04:00Z">
              <w:r w:rsidRPr="00224A0F">
                <w:rPr>
                  <w:color w:val="000000"/>
                  <w:szCs w:val="20"/>
                </w:rPr>
                <w:t xml:space="preserve">$0.10 </w:t>
              </w:r>
            </w:ins>
          </w:p>
        </w:tc>
      </w:tr>
      <w:tr w:rsidR="005A2459" w:rsidRPr="00224A0F" w14:paraId="6C381F9F" w14:textId="77777777" w:rsidTr="004F7320">
        <w:trPr>
          <w:trHeight w:val="315"/>
          <w:jc w:val="center"/>
          <w:ins w:id="707"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72E49FDB" w14:textId="77777777" w:rsidR="005A2459" w:rsidRPr="00224A0F" w:rsidRDefault="005A2459" w:rsidP="005A2459">
            <w:pPr>
              <w:widowControl/>
              <w:spacing w:after="0"/>
              <w:jc w:val="left"/>
              <w:rPr>
                <w:ins w:id="708"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47D592AA" w14:textId="77777777" w:rsidR="005A2459" w:rsidRPr="00224A0F" w:rsidRDefault="005A2459" w:rsidP="005A2459">
            <w:pPr>
              <w:widowControl/>
              <w:spacing w:after="0"/>
              <w:jc w:val="left"/>
              <w:rPr>
                <w:ins w:id="709"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67685235" w14:textId="77777777" w:rsidR="005A2459" w:rsidRPr="00224A0F" w:rsidRDefault="005A2459" w:rsidP="005A2459">
            <w:pPr>
              <w:widowControl/>
              <w:spacing w:after="0"/>
              <w:jc w:val="left"/>
              <w:rPr>
                <w:ins w:id="710" w:author="Stephanie Baer" w:date="2015-12-17T15:04:00Z"/>
                <w:color w:val="000000"/>
                <w:szCs w:val="20"/>
              </w:rPr>
            </w:pPr>
            <w:ins w:id="711" w:author="Stephanie Baer" w:date="2015-12-17T15:04:00Z">
              <w:r w:rsidRPr="00224A0F">
                <w:rPr>
                  <w:color w:val="000000"/>
                  <w:szCs w:val="20"/>
                </w:rPr>
                <w:t>Custom HVAC</w:t>
              </w:r>
            </w:ins>
          </w:p>
        </w:tc>
        <w:tc>
          <w:tcPr>
            <w:tcW w:w="1780" w:type="dxa"/>
            <w:tcBorders>
              <w:top w:val="nil"/>
              <w:left w:val="nil"/>
              <w:bottom w:val="single" w:sz="4" w:space="0" w:color="auto"/>
              <w:right w:val="single" w:sz="4" w:space="0" w:color="auto"/>
            </w:tcBorders>
            <w:shd w:val="clear" w:color="000000" w:fill="E7F4FF"/>
            <w:vAlign w:val="bottom"/>
            <w:hideMark/>
          </w:tcPr>
          <w:p w14:paraId="28269BEA" w14:textId="77777777" w:rsidR="005A2459" w:rsidRPr="00224A0F" w:rsidRDefault="005A2459" w:rsidP="005A2459">
            <w:pPr>
              <w:widowControl/>
              <w:spacing w:after="0"/>
              <w:jc w:val="center"/>
              <w:rPr>
                <w:ins w:id="712" w:author="Stephanie Baer" w:date="2015-12-17T15:04:00Z"/>
                <w:color w:val="000000"/>
                <w:szCs w:val="20"/>
              </w:rPr>
            </w:pPr>
            <w:ins w:id="713" w:author="Stephanie Baer" w:date="2015-12-17T15:04:00Z">
              <w:r w:rsidRPr="00224A0F">
                <w:rPr>
                  <w:color w:val="000000"/>
                  <w:szCs w:val="20"/>
                </w:rPr>
                <w:t xml:space="preserve">$0.02 </w:t>
              </w:r>
            </w:ins>
          </w:p>
        </w:tc>
      </w:tr>
      <w:tr w:rsidR="005A2459" w:rsidRPr="00224A0F" w14:paraId="46992563" w14:textId="77777777" w:rsidTr="004F7320">
        <w:trPr>
          <w:trHeight w:val="315"/>
          <w:jc w:val="center"/>
          <w:ins w:id="714"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4021F8C5" w14:textId="77777777" w:rsidR="005A2459" w:rsidRPr="00224A0F" w:rsidRDefault="005A2459" w:rsidP="005A2459">
            <w:pPr>
              <w:widowControl/>
              <w:spacing w:after="0"/>
              <w:jc w:val="left"/>
              <w:rPr>
                <w:ins w:id="715"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72516785" w14:textId="77777777" w:rsidR="005A2459" w:rsidRPr="00224A0F" w:rsidRDefault="005A2459" w:rsidP="005A2459">
            <w:pPr>
              <w:widowControl/>
              <w:spacing w:after="0"/>
              <w:jc w:val="left"/>
              <w:rPr>
                <w:ins w:id="716"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37FD3DDF" w14:textId="77777777" w:rsidR="005A2459" w:rsidRPr="00224A0F" w:rsidRDefault="005A2459" w:rsidP="005A2459">
            <w:pPr>
              <w:widowControl/>
              <w:spacing w:after="0"/>
              <w:jc w:val="left"/>
              <w:rPr>
                <w:ins w:id="717" w:author="Stephanie Baer" w:date="2015-12-17T15:04:00Z"/>
                <w:color w:val="000000"/>
                <w:szCs w:val="20"/>
              </w:rPr>
            </w:pPr>
            <w:ins w:id="718" w:author="Stephanie Baer" w:date="2015-12-17T15:04:00Z">
              <w:r w:rsidRPr="00224A0F">
                <w:rPr>
                  <w:color w:val="000000"/>
                  <w:szCs w:val="20"/>
                </w:rPr>
                <w:t>Custom Lighting</w:t>
              </w:r>
            </w:ins>
          </w:p>
        </w:tc>
        <w:tc>
          <w:tcPr>
            <w:tcW w:w="1780" w:type="dxa"/>
            <w:tcBorders>
              <w:top w:val="nil"/>
              <w:left w:val="nil"/>
              <w:bottom w:val="single" w:sz="4" w:space="0" w:color="auto"/>
              <w:right w:val="single" w:sz="4" w:space="0" w:color="auto"/>
            </w:tcBorders>
            <w:shd w:val="clear" w:color="000000" w:fill="E7F4FF"/>
            <w:vAlign w:val="bottom"/>
            <w:hideMark/>
          </w:tcPr>
          <w:p w14:paraId="093B64DD" w14:textId="77777777" w:rsidR="005A2459" w:rsidRPr="00224A0F" w:rsidRDefault="005A2459" w:rsidP="005A2459">
            <w:pPr>
              <w:widowControl/>
              <w:spacing w:after="0"/>
              <w:jc w:val="center"/>
              <w:rPr>
                <w:ins w:id="719" w:author="Stephanie Baer" w:date="2015-12-17T15:04:00Z"/>
                <w:color w:val="000000"/>
                <w:szCs w:val="20"/>
              </w:rPr>
            </w:pPr>
            <w:ins w:id="720" w:author="Stephanie Baer" w:date="2015-12-17T15:04:00Z">
              <w:r w:rsidRPr="00224A0F">
                <w:rPr>
                  <w:color w:val="000000"/>
                  <w:szCs w:val="20"/>
                </w:rPr>
                <w:t xml:space="preserve">$0.02 </w:t>
              </w:r>
            </w:ins>
          </w:p>
        </w:tc>
      </w:tr>
      <w:tr w:rsidR="005A2459" w:rsidRPr="00224A0F" w14:paraId="7469CFFF" w14:textId="77777777" w:rsidTr="004F7320">
        <w:trPr>
          <w:trHeight w:val="315"/>
          <w:jc w:val="center"/>
          <w:ins w:id="721"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7C3C1C28" w14:textId="77777777" w:rsidR="005A2459" w:rsidRPr="00224A0F" w:rsidRDefault="005A2459" w:rsidP="005A2459">
            <w:pPr>
              <w:widowControl/>
              <w:spacing w:after="0"/>
              <w:jc w:val="left"/>
              <w:rPr>
                <w:ins w:id="722"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29111887" w14:textId="77777777" w:rsidR="005A2459" w:rsidRPr="00224A0F" w:rsidRDefault="005A2459" w:rsidP="005A2459">
            <w:pPr>
              <w:widowControl/>
              <w:spacing w:after="0"/>
              <w:jc w:val="left"/>
              <w:rPr>
                <w:ins w:id="723"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0FE6BF66" w14:textId="77777777" w:rsidR="005A2459" w:rsidRPr="00224A0F" w:rsidRDefault="005A2459" w:rsidP="005A2459">
            <w:pPr>
              <w:widowControl/>
              <w:spacing w:after="0"/>
              <w:jc w:val="left"/>
              <w:rPr>
                <w:ins w:id="724" w:author="Stephanie Baer" w:date="2015-12-17T15:04:00Z"/>
                <w:color w:val="000000"/>
                <w:szCs w:val="20"/>
              </w:rPr>
            </w:pPr>
            <w:ins w:id="725" w:author="Stephanie Baer" w:date="2015-12-17T15:04:00Z">
              <w:r w:rsidRPr="00224A0F">
                <w:rPr>
                  <w:color w:val="000000"/>
                  <w:szCs w:val="20"/>
                </w:rPr>
                <w:t>Refrigeration</w:t>
              </w:r>
            </w:ins>
          </w:p>
        </w:tc>
        <w:tc>
          <w:tcPr>
            <w:tcW w:w="1780" w:type="dxa"/>
            <w:tcBorders>
              <w:top w:val="nil"/>
              <w:left w:val="nil"/>
              <w:bottom w:val="single" w:sz="4" w:space="0" w:color="auto"/>
              <w:right w:val="single" w:sz="4" w:space="0" w:color="auto"/>
            </w:tcBorders>
            <w:shd w:val="clear" w:color="000000" w:fill="E7F4FF"/>
            <w:vAlign w:val="bottom"/>
            <w:hideMark/>
          </w:tcPr>
          <w:p w14:paraId="2249630E" w14:textId="77777777" w:rsidR="005A2459" w:rsidRPr="00224A0F" w:rsidRDefault="005A2459" w:rsidP="005A2459">
            <w:pPr>
              <w:widowControl/>
              <w:spacing w:after="0"/>
              <w:jc w:val="center"/>
              <w:rPr>
                <w:ins w:id="726" w:author="Stephanie Baer" w:date="2015-12-17T15:04:00Z"/>
                <w:color w:val="000000"/>
                <w:szCs w:val="20"/>
              </w:rPr>
            </w:pPr>
            <w:ins w:id="727" w:author="Stephanie Baer" w:date="2015-12-17T15:04:00Z">
              <w:r w:rsidRPr="00224A0F">
                <w:rPr>
                  <w:color w:val="000000"/>
                  <w:szCs w:val="20"/>
                </w:rPr>
                <w:t xml:space="preserve">$0.05 </w:t>
              </w:r>
            </w:ins>
          </w:p>
        </w:tc>
      </w:tr>
      <w:tr w:rsidR="005A2459" w:rsidRPr="00224A0F" w14:paraId="3D1323C9" w14:textId="77777777" w:rsidTr="004F7320">
        <w:trPr>
          <w:trHeight w:val="315"/>
          <w:jc w:val="center"/>
          <w:ins w:id="728"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1A5D6785" w14:textId="77777777" w:rsidR="005A2459" w:rsidRPr="00224A0F" w:rsidRDefault="005A2459" w:rsidP="005A2459">
            <w:pPr>
              <w:widowControl/>
              <w:spacing w:after="0"/>
              <w:jc w:val="left"/>
              <w:rPr>
                <w:ins w:id="729"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0C5912CA" w14:textId="77777777" w:rsidR="005A2459" w:rsidRPr="00224A0F" w:rsidRDefault="005A2459" w:rsidP="005A2459">
            <w:pPr>
              <w:widowControl/>
              <w:spacing w:after="0"/>
              <w:jc w:val="left"/>
              <w:rPr>
                <w:ins w:id="730"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50328F12" w14:textId="77777777" w:rsidR="005A2459" w:rsidRPr="00224A0F" w:rsidRDefault="005A2459" w:rsidP="005A2459">
            <w:pPr>
              <w:widowControl/>
              <w:spacing w:after="0"/>
              <w:jc w:val="left"/>
              <w:rPr>
                <w:ins w:id="731" w:author="Stephanie Baer" w:date="2015-12-17T15:04:00Z"/>
                <w:color w:val="000000"/>
                <w:szCs w:val="20"/>
              </w:rPr>
            </w:pPr>
            <w:ins w:id="732" w:author="Stephanie Baer" w:date="2015-12-17T15:04:00Z">
              <w:r w:rsidRPr="00224A0F">
                <w:rPr>
                  <w:color w:val="000000"/>
                  <w:szCs w:val="20"/>
                </w:rPr>
                <w:t>Other</w:t>
              </w:r>
            </w:ins>
          </w:p>
        </w:tc>
        <w:tc>
          <w:tcPr>
            <w:tcW w:w="1780" w:type="dxa"/>
            <w:tcBorders>
              <w:top w:val="nil"/>
              <w:left w:val="nil"/>
              <w:bottom w:val="single" w:sz="4" w:space="0" w:color="auto"/>
              <w:right w:val="single" w:sz="4" w:space="0" w:color="auto"/>
            </w:tcBorders>
            <w:shd w:val="clear" w:color="000000" w:fill="E7F4FF"/>
            <w:vAlign w:val="bottom"/>
            <w:hideMark/>
          </w:tcPr>
          <w:p w14:paraId="3EA78E84" w14:textId="77777777" w:rsidR="005A2459" w:rsidRPr="00224A0F" w:rsidRDefault="005A2459" w:rsidP="005A2459">
            <w:pPr>
              <w:widowControl/>
              <w:spacing w:after="0"/>
              <w:jc w:val="center"/>
              <w:rPr>
                <w:ins w:id="733" w:author="Stephanie Baer" w:date="2015-12-17T15:04:00Z"/>
                <w:color w:val="000000"/>
                <w:szCs w:val="20"/>
              </w:rPr>
            </w:pPr>
            <w:ins w:id="734" w:author="Stephanie Baer" w:date="2015-12-17T15:04:00Z">
              <w:r w:rsidRPr="00224A0F">
                <w:rPr>
                  <w:color w:val="000000"/>
                  <w:szCs w:val="20"/>
                </w:rPr>
                <w:t xml:space="preserve">$0.06 </w:t>
              </w:r>
            </w:ins>
          </w:p>
        </w:tc>
      </w:tr>
      <w:tr w:rsidR="005A2459" w:rsidRPr="00224A0F" w14:paraId="7971E7EA" w14:textId="77777777" w:rsidTr="004F7320">
        <w:trPr>
          <w:trHeight w:val="315"/>
          <w:jc w:val="center"/>
          <w:ins w:id="735"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2250BAF3" w14:textId="77777777" w:rsidR="005A2459" w:rsidRPr="00224A0F" w:rsidRDefault="005A2459" w:rsidP="005A2459">
            <w:pPr>
              <w:widowControl/>
              <w:spacing w:after="0"/>
              <w:jc w:val="left"/>
              <w:rPr>
                <w:ins w:id="736"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0E20C975" w14:textId="77777777" w:rsidR="005A2459" w:rsidRPr="00224A0F" w:rsidRDefault="005A2459" w:rsidP="005A2459">
            <w:pPr>
              <w:widowControl/>
              <w:spacing w:after="0"/>
              <w:jc w:val="left"/>
              <w:rPr>
                <w:ins w:id="737"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1ADD446E" w14:textId="77777777" w:rsidR="005A2459" w:rsidRPr="00224A0F" w:rsidRDefault="005A2459" w:rsidP="005A2459">
            <w:pPr>
              <w:widowControl/>
              <w:spacing w:after="0"/>
              <w:jc w:val="left"/>
              <w:rPr>
                <w:ins w:id="738" w:author="Stephanie Baer" w:date="2015-12-17T15:04:00Z"/>
                <w:color w:val="000000"/>
                <w:szCs w:val="20"/>
              </w:rPr>
            </w:pPr>
            <w:ins w:id="739" w:author="Stephanie Baer" w:date="2015-12-17T15:04:00Z">
              <w:r w:rsidRPr="00224A0F">
                <w:rPr>
                  <w:color w:val="000000"/>
                  <w:szCs w:val="20"/>
                </w:rPr>
                <w:t>CHP</w:t>
              </w:r>
            </w:ins>
          </w:p>
        </w:tc>
        <w:tc>
          <w:tcPr>
            <w:tcW w:w="1780" w:type="dxa"/>
            <w:tcBorders>
              <w:top w:val="nil"/>
              <w:left w:val="nil"/>
              <w:bottom w:val="single" w:sz="4" w:space="0" w:color="auto"/>
              <w:right w:val="single" w:sz="4" w:space="0" w:color="auto"/>
            </w:tcBorders>
            <w:shd w:val="clear" w:color="000000" w:fill="E7F4FF"/>
            <w:vAlign w:val="bottom"/>
            <w:hideMark/>
          </w:tcPr>
          <w:p w14:paraId="3596E8E8" w14:textId="77777777" w:rsidR="005A2459" w:rsidRPr="00224A0F" w:rsidRDefault="005A2459" w:rsidP="005A2459">
            <w:pPr>
              <w:widowControl/>
              <w:spacing w:after="0"/>
              <w:jc w:val="center"/>
              <w:rPr>
                <w:ins w:id="740" w:author="Stephanie Baer" w:date="2015-12-17T15:04:00Z"/>
                <w:color w:val="000000"/>
                <w:szCs w:val="20"/>
              </w:rPr>
            </w:pPr>
            <w:ins w:id="741" w:author="Stephanie Baer" w:date="2015-12-17T15:04:00Z">
              <w:r w:rsidRPr="00224A0F">
                <w:rPr>
                  <w:color w:val="000000"/>
                  <w:szCs w:val="20"/>
                </w:rPr>
                <w:t xml:space="preserve">$0.01 </w:t>
              </w:r>
            </w:ins>
          </w:p>
        </w:tc>
      </w:tr>
      <w:tr w:rsidR="005A2459" w:rsidRPr="00224A0F" w14:paraId="69E20BBD" w14:textId="77777777" w:rsidTr="004F7320">
        <w:trPr>
          <w:trHeight w:val="215"/>
          <w:jc w:val="center"/>
          <w:ins w:id="742" w:author="Stephanie Baer" w:date="2015-12-17T15:04:00Z"/>
        </w:trPr>
        <w:tc>
          <w:tcPr>
            <w:tcW w:w="6860" w:type="dxa"/>
            <w:gridSpan w:val="4"/>
            <w:tcBorders>
              <w:top w:val="single" w:sz="4" w:space="0" w:color="auto"/>
              <w:left w:val="single" w:sz="4" w:space="0" w:color="auto"/>
              <w:bottom w:val="single" w:sz="4" w:space="0" w:color="auto"/>
              <w:right w:val="single" w:sz="4" w:space="0" w:color="000000"/>
            </w:tcBorders>
            <w:shd w:val="clear" w:color="000000" w:fill="E7F4FF"/>
            <w:vAlign w:val="bottom"/>
            <w:hideMark/>
          </w:tcPr>
          <w:p w14:paraId="21DB01D5" w14:textId="77777777" w:rsidR="005A2459" w:rsidRPr="00224A0F" w:rsidRDefault="005A2459" w:rsidP="005A2459">
            <w:pPr>
              <w:widowControl/>
              <w:spacing w:after="0"/>
              <w:jc w:val="center"/>
              <w:rPr>
                <w:ins w:id="743" w:author="Stephanie Baer" w:date="2015-12-17T15:04:00Z"/>
                <w:rFonts w:cs="Arial"/>
                <w:szCs w:val="20"/>
              </w:rPr>
            </w:pPr>
            <w:ins w:id="744" w:author="Stephanie Baer" w:date="2015-12-17T15:04:00Z">
              <w:r w:rsidRPr="00224A0F">
                <w:rPr>
                  <w:rFonts w:cs="Arial"/>
                  <w:szCs w:val="20"/>
                </w:rPr>
                <w:t> </w:t>
              </w:r>
            </w:ins>
          </w:p>
        </w:tc>
      </w:tr>
      <w:tr w:rsidR="005A2459" w:rsidRPr="00224A0F" w14:paraId="17105AEB" w14:textId="77777777" w:rsidTr="004F7320">
        <w:trPr>
          <w:trHeight w:val="630"/>
          <w:jc w:val="center"/>
          <w:ins w:id="745" w:author="Stephanie Baer" w:date="2015-12-17T15:04:00Z"/>
        </w:trPr>
        <w:tc>
          <w:tcPr>
            <w:tcW w:w="1400" w:type="dxa"/>
            <w:tcBorders>
              <w:top w:val="nil"/>
              <w:left w:val="single" w:sz="4" w:space="0" w:color="auto"/>
              <w:bottom w:val="single" w:sz="4" w:space="0" w:color="auto"/>
              <w:right w:val="single" w:sz="4" w:space="0" w:color="auto"/>
            </w:tcBorders>
            <w:shd w:val="clear" w:color="000000" w:fill="808080"/>
            <w:vAlign w:val="bottom"/>
            <w:hideMark/>
          </w:tcPr>
          <w:p w14:paraId="1FE936D1" w14:textId="77777777" w:rsidR="005A2459" w:rsidRPr="00224A0F" w:rsidRDefault="005A2459" w:rsidP="005A2459">
            <w:pPr>
              <w:widowControl/>
              <w:spacing w:after="0"/>
              <w:jc w:val="center"/>
              <w:rPr>
                <w:ins w:id="746" w:author="Stephanie Baer" w:date="2015-12-17T15:04:00Z"/>
                <w:b/>
                <w:bCs/>
                <w:color w:val="FFFFFF"/>
                <w:szCs w:val="20"/>
              </w:rPr>
            </w:pPr>
            <w:ins w:id="747" w:author="Stephanie Baer" w:date="2015-12-17T15:04:00Z">
              <w:r w:rsidRPr="00224A0F">
                <w:rPr>
                  <w:b/>
                  <w:bCs/>
                  <w:color w:val="FFFFFF"/>
                  <w:szCs w:val="20"/>
                </w:rPr>
                <w:t>Fuel</w:t>
              </w:r>
            </w:ins>
          </w:p>
        </w:tc>
        <w:tc>
          <w:tcPr>
            <w:tcW w:w="1400" w:type="dxa"/>
            <w:tcBorders>
              <w:top w:val="nil"/>
              <w:left w:val="nil"/>
              <w:bottom w:val="single" w:sz="4" w:space="0" w:color="auto"/>
              <w:right w:val="single" w:sz="4" w:space="0" w:color="auto"/>
            </w:tcBorders>
            <w:shd w:val="clear" w:color="000000" w:fill="808080"/>
            <w:vAlign w:val="bottom"/>
            <w:hideMark/>
          </w:tcPr>
          <w:p w14:paraId="50E8ABA5" w14:textId="77777777" w:rsidR="005A2459" w:rsidRPr="00224A0F" w:rsidRDefault="005A2459" w:rsidP="005A2459">
            <w:pPr>
              <w:widowControl/>
              <w:spacing w:after="0"/>
              <w:jc w:val="center"/>
              <w:rPr>
                <w:ins w:id="748" w:author="Stephanie Baer" w:date="2015-12-17T15:04:00Z"/>
                <w:b/>
                <w:bCs/>
                <w:color w:val="FFFFFF"/>
                <w:szCs w:val="20"/>
              </w:rPr>
            </w:pPr>
            <w:ins w:id="749" w:author="Stephanie Baer" w:date="2015-12-17T15:04:00Z">
              <w:r w:rsidRPr="00224A0F">
                <w:rPr>
                  <w:b/>
                  <w:bCs/>
                  <w:color w:val="FFFFFF"/>
                  <w:szCs w:val="20"/>
                </w:rPr>
                <w:t xml:space="preserve"> Program</w:t>
              </w:r>
            </w:ins>
          </w:p>
        </w:tc>
        <w:tc>
          <w:tcPr>
            <w:tcW w:w="2280" w:type="dxa"/>
            <w:tcBorders>
              <w:top w:val="nil"/>
              <w:left w:val="nil"/>
              <w:bottom w:val="single" w:sz="4" w:space="0" w:color="auto"/>
              <w:right w:val="single" w:sz="4" w:space="0" w:color="auto"/>
            </w:tcBorders>
            <w:shd w:val="clear" w:color="000000" w:fill="808080"/>
            <w:vAlign w:val="bottom"/>
            <w:hideMark/>
          </w:tcPr>
          <w:p w14:paraId="090DA9DE" w14:textId="77777777" w:rsidR="005A2459" w:rsidRPr="00224A0F" w:rsidRDefault="005A2459" w:rsidP="005A2459">
            <w:pPr>
              <w:widowControl/>
              <w:spacing w:after="0"/>
              <w:jc w:val="center"/>
              <w:rPr>
                <w:ins w:id="750" w:author="Stephanie Baer" w:date="2015-12-17T15:04:00Z"/>
                <w:b/>
                <w:bCs/>
                <w:color w:val="FFFFFF"/>
                <w:szCs w:val="20"/>
              </w:rPr>
            </w:pPr>
            <w:ins w:id="751" w:author="Stephanie Baer" w:date="2015-12-17T15:04:00Z">
              <w:r w:rsidRPr="00224A0F">
                <w:rPr>
                  <w:b/>
                  <w:bCs/>
                  <w:color w:val="FFFFFF"/>
                  <w:szCs w:val="20"/>
                </w:rPr>
                <w:t>Measure/End Use</w:t>
              </w:r>
            </w:ins>
          </w:p>
        </w:tc>
        <w:tc>
          <w:tcPr>
            <w:tcW w:w="1780" w:type="dxa"/>
            <w:tcBorders>
              <w:top w:val="nil"/>
              <w:left w:val="nil"/>
              <w:bottom w:val="single" w:sz="4" w:space="0" w:color="auto"/>
              <w:right w:val="single" w:sz="4" w:space="0" w:color="auto"/>
            </w:tcBorders>
            <w:shd w:val="clear" w:color="000000" w:fill="808080"/>
            <w:vAlign w:val="center"/>
            <w:hideMark/>
          </w:tcPr>
          <w:p w14:paraId="6C3A63B7" w14:textId="77777777" w:rsidR="005A2459" w:rsidRPr="00224A0F" w:rsidRDefault="005A2459" w:rsidP="005A2459">
            <w:pPr>
              <w:widowControl/>
              <w:spacing w:after="0"/>
              <w:jc w:val="center"/>
              <w:rPr>
                <w:ins w:id="752" w:author="Stephanie Baer" w:date="2015-12-17T15:04:00Z"/>
                <w:b/>
                <w:bCs/>
                <w:color w:val="FFFFFF"/>
                <w:szCs w:val="20"/>
              </w:rPr>
            </w:pPr>
            <w:ins w:id="753" w:author="Stephanie Baer" w:date="2015-12-17T15:04:00Z">
              <w:r w:rsidRPr="00224A0F">
                <w:rPr>
                  <w:b/>
                  <w:bCs/>
                  <w:color w:val="FFFFFF"/>
                  <w:szCs w:val="20"/>
                </w:rPr>
                <w:t>Annual $ NEB / First year Therm</w:t>
              </w:r>
            </w:ins>
          </w:p>
        </w:tc>
      </w:tr>
      <w:tr w:rsidR="005A2459" w:rsidRPr="00224A0F" w14:paraId="6736BC92" w14:textId="77777777" w:rsidTr="004F7320">
        <w:trPr>
          <w:trHeight w:val="315"/>
          <w:jc w:val="center"/>
          <w:ins w:id="754" w:author="Stephanie Baer" w:date="2015-12-17T15:04:00Z"/>
        </w:trPr>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14:paraId="697CB186" w14:textId="77777777" w:rsidR="005A2459" w:rsidRPr="00224A0F" w:rsidRDefault="005A2459" w:rsidP="005A2459">
            <w:pPr>
              <w:widowControl/>
              <w:spacing w:after="0"/>
              <w:jc w:val="center"/>
              <w:rPr>
                <w:ins w:id="755" w:author="Stephanie Baer" w:date="2015-12-17T15:04:00Z"/>
                <w:color w:val="000000"/>
                <w:szCs w:val="20"/>
              </w:rPr>
            </w:pPr>
            <w:ins w:id="756" w:author="Stephanie Baer" w:date="2015-12-17T15:04:00Z">
              <w:r w:rsidRPr="00224A0F">
                <w:rPr>
                  <w:color w:val="000000"/>
                  <w:szCs w:val="20"/>
                </w:rPr>
                <w:t>Gas</w:t>
              </w:r>
            </w:ins>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14:paraId="6FB35ECF" w14:textId="77777777" w:rsidR="005A2459" w:rsidRPr="00224A0F" w:rsidRDefault="005A2459" w:rsidP="005A2459">
            <w:pPr>
              <w:widowControl/>
              <w:spacing w:after="0"/>
              <w:jc w:val="center"/>
              <w:rPr>
                <w:ins w:id="757" w:author="Stephanie Baer" w:date="2015-12-17T15:04:00Z"/>
                <w:color w:val="000000"/>
                <w:szCs w:val="20"/>
              </w:rPr>
            </w:pPr>
            <w:ins w:id="758" w:author="Stephanie Baer" w:date="2015-12-17T15:04:00Z">
              <w:r w:rsidRPr="00224A0F">
                <w:rPr>
                  <w:color w:val="000000"/>
                  <w:szCs w:val="20"/>
                </w:rPr>
                <w:t>C&amp;I Large Retrofit</w:t>
              </w:r>
            </w:ins>
          </w:p>
        </w:tc>
        <w:tc>
          <w:tcPr>
            <w:tcW w:w="2280" w:type="dxa"/>
            <w:tcBorders>
              <w:top w:val="nil"/>
              <w:left w:val="nil"/>
              <w:bottom w:val="single" w:sz="4" w:space="0" w:color="auto"/>
              <w:right w:val="single" w:sz="4" w:space="0" w:color="auto"/>
            </w:tcBorders>
            <w:shd w:val="clear" w:color="000000" w:fill="E7F4FF"/>
            <w:vAlign w:val="center"/>
            <w:hideMark/>
          </w:tcPr>
          <w:p w14:paraId="4F491213" w14:textId="77777777" w:rsidR="005A2459" w:rsidRPr="00224A0F" w:rsidRDefault="005A2459" w:rsidP="005A2459">
            <w:pPr>
              <w:widowControl/>
              <w:spacing w:after="0"/>
              <w:jc w:val="left"/>
              <w:rPr>
                <w:ins w:id="759" w:author="Stephanie Baer" w:date="2015-12-17T15:04:00Z"/>
                <w:color w:val="000000"/>
                <w:szCs w:val="20"/>
              </w:rPr>
            </w:pPr>
            <w:ins w:id="760" w:author="Stephanie Baer" w:date="2015-12-17T15:04:00Z">
              <w:r w:rsidRPr="00224A0F">
                <w:rPr>
                  <w:color w:val="000000"/>
                  <w:szCs w:val="20"/>
                </w:rPr>
                <w:t>Boiler Reset Controls</w:t>
              </w:r>
            </w:ins>
          </w:p>
        </w:tc>
        <w:tc>
          <w:tcPr>
            <w:tcW w:w="1780" w:type="dxa"/>
            <w:tcBorders>
              <w:top w:val="nil"/>
              <w:left w:val="nil"/>
              <w:bottom w:val="single" w:sz="4" w:space="0" w:color="auto"/>
              <w:right w:val="single" w:sz="4" w:space="0" w:color="auto"/>
            </w:tcBorders>
            <w:shd w:val="clear" w:color="000000" w:fill="E7F4FF"/>
            <w:vAlign w:val="bottom"/>
            <w:hideMark/>
          </w:tcPr>
          <w:p w14:paraId="41474BE1" w14:textId="77777777" w:rsidR="005A2459" w:rsidRPr="00224A0F" w:rsidRDefault="005A2459" w:rsidP="005A2459">
            <w:pPr>
              <w:widowControl/>
              <w:spacing w:after="0"/>
              <w:jc w:val="center"/>
              <w:rPr>
                <w:ins w:id="761" w:author="Stephanie Baer" w:date="2015-12-17T15:04:00Z"/>
                <w:color w:val="000000"/>
                <w:szCs w:val="20"/>
              </w:rPr>
            </w:pPr>
            <w:ins w:id="762" w:author="Stephanie Baer" w:date="2015-12-17T15:04:00Z">
              <w:r w:rsidRPr="00224A0F">
                <w:rPr>
                  <w:color w:val="000000"/>
                  <w:szCs w:val="20"/>
                </w:rPr>
                <w:t xml:space="preserve">$1.35 </w:t>
              </w:r>
            </w:ins>
          </w:p>
        </w:tc>
      </w:tr>
      <w:tr w:rsidR="005A2459" w:rsidRPr="00224A0F" w14:paraId="0237F601" w14:textId="77777777" w:rsidTr="004F7320">
        <w:trPr>
          <w:trHeight w:val="315"/>
          <w:jc w:val="center"/>
          <w:ins w:id="763"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39ED11F8" w14:textId="77777777" w:rsidR="005A2459" w:rsidRPr="00224A0F" w:rsidRDefault="005A2459" w:rsidP="005A2459">
            <w:pPr>
              <w:widowControl/>
              <w:spacing w:after="0"/>
              <w:jc w:val="left"/>
              <w:rPr>
                <w:ins w:id="764"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56D72445" w14:textId="77777777" w:rsidR="005A2459" w:rsidRPr="00224A0F" w:rsidRDefault="005A2459" w:rsidP="005A2459">
            <w:pPr>
              <w:widowControl/>
              <w:spacing w:after="0"/>
              <w:jc w:val="left"/>
              <w:rPr>
                <w:ins w:id="765"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1697485B" w14:textId="77777777" w:rsidR="005A2459" w:rsidRPr="00224A0F" w:rsidRDefault="005A2459" w:rsidP="005A2459">
            <w:pPr>
              <w:widowControl/>
              <w:spacing w:after="0"/>
              <w:jc w:val="left"/>
              <w:rPr>
                <w:ins w:id="766" w:author="Stephanie Baer" w:date="2015-12-17T15:04:00Z"/>
                <w:color w:val="000000"/>
                <w:szCs w:val="20"/>
              </w:rPr>
            </w:pPr>
            <w:ins w:id="767" w:author="Stephanie Baer" w:date="2015-12-17T15:04:00Z">
              <w:r w:rsidRPr="00224A0F">
                <w:rPr>
                  <w:color w:val="000000"/>
                  <w:szCs w:val="20"/>
                </w:rPr>
                <w:t>Steam Traps</w:t>
              </w:r>
            </w:ins>
          </w:p>
        </w:tc>
        <w:tc>
          <w:tcPr>
            <w:tcW w:w="1780" w:type="dxa"/>
            <w:tcBorders>
              <w:top w:val="nil"/>
              <w:left w:val="nil"/>
              <w:bottom w:val="single" w:sz="4" w:space="0" w:color="auto"/>
              <w:right w:val="single" w:sz="4" w:space="0" w:color="auto"/>
            </w:tcBorders>
            <w:shd w:val="clear" w:color="000000" w:fill="E7F4FF"/>
            <w:vAlign w:val="bottom"/>
            <w:hideMark/>
          </w:tcPr>
          <w:p w14:paraId="44BF8401" w14:textId="77777777" w:rsidR="005A2459" w:rsidRPr="00224A0F" w:rsidRDefault="005A2459" w:rsidP="005A2459">
            <w:pPr>
              <w:widowControl/>
              <w:spacing w:after="0"/>
              <w:jc w:val="center"/>
              <w:rPr>
                <w:ins w:id="768" w:author="Stephanie Baer" w:date="2015-12-17T15:04:00Z"/>
                <w:color w:val="000000"/>
                <w:szCs w:val="20"/>
              </w:rPr>
            </w:pPr>
            <w:ins w:id="769" w:author="Stephanie Baer" w:date="2015-12-17T15:04:00Z">
              <w:r w:rsidRPr="00224A0F">
                <w:rPr>
                  <w:color w:val="000000"/>
                  <w:szCs w:val="20"/>
                </w:rPr>
                <w:t xml:space="preserve">$1.35 </w:t>
              </w:r>
            </w:ins>
          </w:p>
        </w:tc>
      </w:tr>
      <w:tr w:rsidR="005A2459" w:rsidRPr="00224A0F" w14:paraId="39E15B34" w14:textId="77777777" w:rsidTr="004F7320">
        <w:trPr>
          <w:trHeight w:val="315"/>
          <w:jc w:val="center"/>
          <w:ins w:id="770"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37E53D76" w14:textId="77777777" w:rsidR="005A2459" w:rsidRPr="00224A0F" w:rsidRDefault="005A2459" w:rsidP="005A2459">
            <w:pPr>
              <w:widowControl/>
              <w:spacing w:after="0"/>
              <w:jc w:val="left"/>
              <w:rPr>
                <w:ins w:id="771"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70739B14" w14:textId="77777777" w:rsidR="005A2459" w:rsidRPr="00224A0F" w:rsidRDefault="005A2459" w:rsidP="005A2459">
            <w:pPr>
              <w:widowControl/>
              <w:spacing w:after="0"/>
              <w:jc w:val="left"/>
              <w:rPr>
                <w:ins w:id="772"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1E113C7D" w14:textId="77777777" w:rsidR="005A2459" w:rsidRPr="00224A0F" w:rsidRDefault="005A2459" w:rsidP="005A2459">
            <w:pPr>
              <w:widowControl/>
              <w:spacing w:after="0"/>
              <w:jc w:val="left"/>
              <w:rPr>
                <w:ins w:id="773" w:author="Stephanie Baer" w:date="2015-12-17T15:04:00Z"/>
                <w:color w:val="000000"/>
                <w:szCs w:val="20"/>
              </w:rPr>
            </w:pPr>
            <w:ins w:id="774" w:author="Stephanie Baer" w:date="2015-12-17T15:04:00Z">
              <w:r w:rsidRPr="00224A0F">
                <w:rPr>
                  <w:color w:val="000000"/>
                  <w:szCs w:val="20"/>
                </w:rPr>
                <w:t>Thermostats</w:t>
              </w:r>
            </w:ins>
          </w:p>
        </w:tc>
        <w:tc>
          <w:tcPr>
            <w:tcW w:w="1780" w:type="dxa"/>
            <w:tcBorders>
              <w:top w:val="nil"/>
              <w:left w:val="nil"/>
              <w:bottom w:val="single" w:sz="4" w:space="0" w:color="auto"/>
              <w:right w:val="single" w:sz="4" w:space="0" w:color="auto"/>
            </w:tcBorders>
            <w:shd w:val="clear" w:color="000000" w:fill="E7F4FF"/>
            <w:vAlign w:val="bottom"/>
            <w:hideMark/>
          </w:tcPr>
          <w:p w14:paraId="164A4262" w14:textId="77777777" w:rsidR="005A2459" w:rsidRPr="00224A0F" w:rsidRDefault="005A2459" w:rsidP="005A2459">
            <w:pPr>
              <w:widowControl/>
              <w:spacing w:after="0"/>
              <w:jc w:val="center"/>
              <w:rPr>
                <w:ins w:id="775" w:author="Stephanie Baer" w:date="2015-12-17T15:04:00Z"/>
                <w:color w:val="000000"/>
                <w:szCs w:val="20"/>
              </w:rPr>
            </w:pPr>
            <w:ins w:id="776" w:author="Stephanie Baer" w:date="2015-12-17T15:04:00Z">
              <w:r w:rsidRPr="00224A0F">
                <w:rPr>
                  <w:color w:val="000000"/>
                  <w:szCs w:val="20"/>
                </w:rPr>
                <w:t xml:space="preserve">$1.35 </w:t>
              </w:r>
            </w:ins>
          </w:p>
        </w:tc>
      </w:tr>
      <w:tr w:rsidR="005A2459" w:rsidRPr="00224A0F" w14:paraId="38F547DC" w14:textId="77777777" w:rsidTr="004F7320">
        <w:trPr>
          <w:trHeight w:val="315"/>
          <w:jc w:val="center"/>
          <w:ins w:id="777"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1574BD2C" w14:textId="77777777" w:rsidR="005A2459" w:rsidRPr="00224A0F" w:rsidRDefault="005A2459" w:rsidP="005A2459">
            <w:pPr>
              <w:widowControl/>
              <w:spacing w:after="0"/>
              <w:jc w:val="left"/>
              <w:rPr>
                <w:ins w:id="778"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3A8A0E50" w14:textId="77777777" w:rsidR="005A2459" w:rsidRPr="00224A0F" w:rsidRDefault="005A2459" w:rsidP="005A2459">
            <w:pPr>
              <w:widowControl/>
              <w:spacing w:after="0"/>
              <w:jc w:val="left"/>
              <w:rPr>
                <w:ins w:id="779"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5D53D7EC" w14:textId="77777777" w:rsidR="005A2459" w:rsidRPr="00224A0F" w:rsidRDefault="005A2459" w:rsidP="005A2459">
            <w:pPr>
              <w:widowControl/>
              <w:spacing w:after="0"/>
              <w:jc w:val="left"/>
              <w:rPr>
                <w:ins w:id="780" w:author="Stephanie Baer" w:date="2015-12-17T15:04:00Z"/>
                <w:color w:val="000000"/>
                <w:szCs w:val="20"/>
              </w:rPr>
            </w:pPr>
            <w:ins w:id="781" w:author="Stephanie Baer" w:date="2015-12-17T15:04:00Z">
              <w:r w:rsidRPr="00224A0F">
                <w:rPr>
                  <w:color w:val="000000"/>
                  <w:szCs w:val="20"/>
                </w:rPr>
                <w:t>Custom</w:t>
              </w:r>
            </w:ins>
          </w:p>
        </w:tc>
        <w:tc>
          <w:tcPr>
            <w:tcW w:w="1780" w:type="dxa"/>
            <w:tcBorders>
              <w:top w:val="nil"/>
              <w:left w:val="nil"/>
              <w:bottom w:val="single" w:sz="4" w:space="0" w:color="auto"/>
              <w:right w:val="single" w:sz="4" w:space="0" w:color="auto"/>
            </w:tcBorders>
            <w:shd w:val="clear" w:color="000000" w:fill="E7F4FF"/>
            <w:vAlign w:val="bottom"/>
            <w:hideMark/>
          </w:tcPr>
          <w:p w14:paraId="748F4FCC" w14:textId="77777777" w:rsidR="005A2459" w:rsidRPr="00224A0F" w:rsidRDefault="005A2459" w:rsidP="005A2459">
            <w:pPr>
              <w:widowControl/>
              <w:spacing w:after="0"/>
              <w:jc w:val="center"/>
              <w:rPr>
                <w:ins w:id="782" w:author="Stephanie Baer" w:date="2015-12-17T15:04:00Z"/>
                <w:color w:val="000000"/>
                <w:szCs w:val="20"/>
              </w:rPr>
            </w:pPr>
            <w:ins w:id="783" w:author="Stephanie Baer" w:date="2015-12-17T15:04:00Z">
              <w:r w:rsidRPr="00224A0F">
                <w:rPr>
                  <w:color w:val="000000"/>
                  <w:szCs w:val="20"/>
                </w:rPr>
                <w:t xml:space="preserve">$0.25 </w:t>
              </w:r>
            </w:ins>
          </w:p>
        </w:tc>
      </w:tr>
      <w:tr w:rsidR="005A2459" w:rsidRPr="00224A0F" w14:paraId="47E99A41" w14:textId="77777777" w:rsidTr="004F7320">
        <w:trPr>
          <w:trHeight w:val="315"/>
          <w:jc w:val="center"/>
          <w:ins w:id="784"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34D29B6A" w14:textId="77777777" w:rsidR="005A2459" w:rsidRPr="00224A0F" w:rsidRDefault="005A2459" w:rsidP="005A2459">
            <w:pPr>
              <w:widowControl/>
              <w:spacing w:after="0"/>
              <w:jc w:val="left"/>
              <w:rPr>
                <w:ins w:id="785" w:author="Stephanie Baer" w:date="2015-12-17T15:04:00Z"/>
                <w:color w:val="000000"/>
                <w:szCs w:val="20"/>
              </w:rPr>
            </w:pPr>
          </w:p>
        </w:tc>
        <w:tc>
          <w:tcPr>
            <w:tcW w:w="1400" w:type="dxa"/>
            <w:vMerge w:val="restart"/>
            <w:tcBorders>
              <w:top w:val="nil"/>
              <w:left w:val="single" w:sz="4" w:space="0" w:color="auto"/>
              <w:bottom w:val="single" w:sz="4" w:space="0" w:color="auto"/>
              <w:right w:val="single" w:sz="4" w:space="0" w:color="auto"/>
            </w:tcBorders>
            <w:shd w:val="clear" w:color="000000" w:fill="E7F4FF"/>
            <w:vAlign w:val="center"/>
            <w:hideMark/>
          </w:tcPr>
          <w:p w14:paraId="0EA0F8D8" w14:textId="77777777" w:rsidR="005A2459" w:rsidRPr="00224A0F" w:rsidRDefault="005A2459" w:rsidP="005A2459">
            <w:pPr>
              <w:widowControl/>
              <w:spacing w:after="0"/>
              <w:jc w:val="center"/>
              <w:rPr>
                <w:ins w:id="786" w:author="Stephanie Baer" w:date="2015-12-17T15:04:00Z"/>
                <w:color w:val="000000"/>
                <w:szCs w:val="20"/>
              </w:rPr>
            </w:pPr>
            <w:ins w:id="787" w:author="Stephanie Baer" w:date="2015-12-17T15:04:00Z">
              <w:r w:rsidRPr="00224A0F">
                <w:rPr>
                  <w:color w:val="000000"/>
                  <w:szCs w:val="20"/>
                </w:rPr>
                <w:t>C&amp;I Direct Install</w:t>
              </w:r>
            </w:ins>
          </w:p>
        </w:tc>
        <w:tc>
          <w:tcPr>
            <w:tcW w:w="2280" w:type="dxa"/>
            <w:tcBorders>
              <w:top w:val="nil"/>
              <w:left w:val="nil"/>
              <w:bottom w:val="single" w:sz="4" w:space="0" w:color="auto"/>
              <w:right w:val="single" w:sz="4" w:space="0" w:color="auto"/>
            </w:tcBorders>
            <w:shd w:val="clear" w:color="000000" w:fill="E7F4FF"/>
            <w:vAlign w:val="center"/>
            <w:hideMark/>
          </w:tcPr>
          <w:p w14:paraId="507726F2" w14:textId="77777777" w:rsidR="005A2459" w:rsidRPr="00224A0F" w:rsidRDefault="005A2459" w:rsidP="005A2459">
            <w:pPr>
              <w:widowControl/>
              <w:spacing w:after="0"/>
              <w:jc w:val="left"/>
              <w:rPr>
                <w:ins w:id="788" w:author="Stephanie Baer" w:date="2015-12-17T15:04:00Z"/>
                <w:color w:val="000000"/>
                <w:szCs w:val="20"/>
              </w:rPr>
            </w:pPr>
            <w:ins w:id="789" w:author="Stephanie Baer" w:date="2015-12-17T15:04:00Z">
              <w:r w:rsidRPr="00224A0F">
                <w:rPr>
                  <w:color w:val="000000"/>
                  <w:szCs w:val="20"/>
                </w:rPr>
                <w:t>Thermostats</w:t>
              </w:r>
            </w:ins>
          </w:p>
        </w:tc>
        <w:tc>
          <w:tcPr>
            <w:tcW w:w="1780" w:type="dxa"/>
            <w:tcBorders>
              <w:top w:val="nil"/>
              <w:left w:val="nil"/>
              <w:bottom w:val="single" w:sz="4" w:space="0" w:color="auto"/>
              <w:right w:val="single" w:sz="4" w:space="0" w:color="auto"/>
            </w:tcBorders>
            <w:shd w:val="clear" w:color="000000" w:fill="E7F4FF"/>
            <w:vAlign w:val="bottom"/>
            <w:hideMark/>
          </w:tcPr>
          <w:p w14:paraId="061DFFC3" w14:textId="77777777" w:rsidR="005A2459" w:rsidRPr="00224A0F" w:rsidRDefault="005A2459" w:rsidP="005A2459">
            <w:pPr>
              <w:widowControl/>
              <w:spacing w:after="0"/>
              <w:jc w:val="center"/>
              <w:rPr>
                <w:ins w:id="790" w:author="Stephanie Baer" w:date="2015-12-17T15:04:00Z"/>
                <w:color w:val="000000"/>
                <w:szCs w:val="20"/>
              </w:rPr>
            </w:pPr>
            <w:ins w:id="791" w:author="Stephanie Baer" w:date="2015-12-17T15:04:00Z">
              <w:r w:rsidRPr="00224A0F">
                <w:rPr>
                  <w:color w:val="000000"/>
                  <w:szCs w:val="20"/>
                </w:rPr>
                <w:t xml:space="preserve">$1.35 </w:t>
              </w:r>
            </w:ins>
          </w:p>
        </w:tc>
      </w:tr>
      <w:tr w:rsidR="005A2459" w:rsidRPr="00224A0F" w14:paraId="3A354756" w14:textId="77777777" w:rsidTr="004F7320">
        <w:trPr>
          <w:trHeight w:val="315"/>
          <w:jc w:val="center"/>
          <w:ins w:id="792" w:author="Stephanie Baer" w:date="2015-12-17T15:04:00Z"/>
        </w:trPr>
        <w:tc>
          <w:tcPr>
            <w:tcW w:w="1400" w:type="dxa"/>
            <w:vMerge/>
            <w:tcBorders>
              <w:top w:val="nil"/>
              <w:left w:val="single" w:sz="4" w:space="0" w:color="auto"/>
              <w:bottom w:val="single" w:sz="4" w:space="0" w:color="auto"/>
              <w:right w:val="single" w:sz="4" w:space="0" w:color="auto"/>
            </w:tcBorders>
            <w:vAlign w:val="center"/>
            <w:hideMark/>
          </w:tcPr>
          <w:p w14:paraId="67CF9537" w14:textId="77777777" w:rsidR="005A2459" w:rsidRPr="00224A0F" w:rsidRDefault="005A2459" w:rsidP="005A2459">
            <w:pPr>
              <w:widowControl/>
              <w:spacing w:after="0"/>
              <w:jc w:val="left"/>
              <w:rPr>
                <w:ins w:id="793" w:author="Stephanie Baer" w:date="2015-12-17T15:04:00Z"/>
                <w:color w:val="000000"/>
                <w:szCs w:val="20"/>
              </w:rPr>
            </w:pPr>
          </w:p>
        </w:tc>
        <w:tc>
          <w:tcPr>
            <w:tcW w:w="1400" w:type="dxa"/>
            <w:vMerge/>
            <w:tcBorders>
              <w:top w:val="nil"/>
              <w:left w:val="single" w:sz="4" w:space="0" w:color="auto"/>
              <w:bottom w:val="single" w:sz="4" w:space="0" w:color="auto"/>
              <w:right w:val="single" w:sz="4" w:space="0" w:color="auto"/>
            </w:tcBorders>
            <w:vAlign w:val="center"/>
            <w:hideMark/>
          </w:tcPr>
          <w:p w14:paraId="219C4483" w14:textId="77777777" w:rsidR="005A2459" w:rsidRPr="00224A0F" w:rsidRDefault="005A2459" w:rsidP="005A2459">
            <w:pPr>
              <w:widowControl/>
              <w:spacing w:after="0"/>
              <w:jc w:val="left"/>
              <w:rPr>
                <w:ins w:id="794" w:author="Stephanie Baer" w:date="2015-12-17T15:04:00Z"/>
                <w:color w:val="000000"/>
                <w:szCs w:val="20"/>
              </w:rPr>
            </w:pPr>
          </w:p>
        </w:tc>
        <w:tc>
          <w:tcPr>
            <w:tcW w:w="2280" w:type="dxa"/>
            <w:tcBorders>
              <w:top w:val="nil"/>
              <w:left w:val="nil"/>
              <w:bottom w:val="single" w:sz="4" w:space="0" w:color="auto"/>
              <w:right w:val="single" w:sz="4" w:space="0" w:color="auto"/>
            </w:tcBorders>
            <w:shd w:val="clear" w:color="000000" w:fill="E7F4FF"/>
            <w:vAlign w:val="center"/>
            <w:hideMark/>
          </w:tcPr>
          <w:p w14:paraId="02FD0DCA" w14:textId="77777777" w:rsidR="005A2459" w:rsidRPr="00224A0F" w:rsidRDefault="005A2459" w:rsidP="005A2459">
            <w:pPr>
              <w:widowControl/>
              <w:spacing w:after="0"/>
              <w:jc w:val="left"/>
              <w:rPr>
                <w:ins w:id="795" w:author="Stephanie Baer" w:date="2015-12-17T15:04:00Z"/>
                <w:color w:val="000000"/>
                <w:szCs w:val="20"/>
              </w:rPr>
            </w:pPr>
            <w:ins w:id="796" w:author="Stephanie Baer" w:date="2015-12-17T15:04:00Z">
              <w:r w:rsidRPr="00224A0F">
                <w:rPr>
                  <w:color w:val="000000"/>
                  <w:szCs w:val="20"/>
                </w:rPr>
                <w:t>Duct Insulation</w:t>
              </w:r>
            </w:ins>
          </w:p>
        </w:tc>
        <w:tc>
          <w:tcPr>
            <w:tcW w:w="1780" w:type="dxa"/>
            <w:tcBorders>
              <w:top w:val="nil"/>
              <w:left w:val="nil"/>
              <w:bottom w:val="single" w:sz="4" w:space="0" w:color="auto"/>
              <w:right w:val="single" w:sz="4" w:space="0" w:color="auto"/>
            </w:tcBorders>
            <w:shd w:val="clear" w:color="000000" w:fill="E7F4FF"/>
            <w:vAlign w:val="bottom"/>
            <w:hideMark/>
          </w:tcPr>
          <w:p w14:paraId="4106BAB3" w14:textId="77777777" w:rsidR="005A2459" w:rsidRPr="00224A0F" w:rsidRDefault="005A2459" w:rsidP="005A2459">
            <w:pPr>
              <w:widowControl/>
              <w:spacing w:after="0"/>
              <w:jc w:val="center"/>
              <w:rPr>
                <w:ins w:id="797" w:author="Stephanie Baer" w:date="2015-12-17T15:04:00Z"/>
                <w:color w:val="000000"/>
                <w:szCs w:val="20"/>
              </w:rPr>
            </w:pPr>
            <w:ins w:id="798" w:author="Stephanie Baer" w:date="2015-12-17T15:04:00Z">
              <w:r w:rsidRPr="00224A0F">
                <w:rPr>
                  <w:color w:val="000000"/>
                  <w:szCs w:val="20"/>
                </w:rPr>
                <w:t xml:space="preserve">$1.35 </w:t>
              </w:r>
            </w:ins>
          </w:p>
        </w:tc>
      </w:tr>
    </w:tbl>
    <w:p w14:paraId="28FE84B6" w14:textId="77777777" w:rsidR="005A2459" w:rsidRDefault="005A2459" w:rsidP="005A2459">
      <w:pPr>
        <w:rPr>
          <w:ins w:id="799" w:author="Stephanie Baer" w:date="2015-12-17T15:04:00Z"/>
        </w:rPr>
      </w:pPr>
    </w:p>
    <w:p w14:paraId="4736051F" w14:textId="77777777" w:rsidR="005A2459" w:rsidRDefault="005A2459" w:rsidP="005A2459">
      <w:pPr>
        <w:rPr>
          <w:ins w:id="800" w:author="Stephanie Baer" w:date="2015-12-17T15:04:00Z"/>
        </w:rPr>
      </w:pPr>
    </w:p>
    <w:p w14:paraId="7E6F4947" w14:textId="77777777" w:rsidR="005A2459" w:rsidRPr="00E84FCE" w:rsidRDefault="005A2459" w:rsidP="005A2459">
      <w:pPr>
        <w:rPr>
          <w:ins w:id="801" w:author="Stephanie Baer" w:date="2015-12-17T15:04:00Z"/>
        </w:rPr>
      </w:pPr>
      <w:ins w:id="802" w:author="Stephanie Baer" w:date="2015-12-17T15:04:00Z">
        <w:r>
          <w:t>Refining the Non Energy Benefit values presented above and the determination of appropriate values for additional measures should be an area of focus for future evaluation and discussion.</w:t>
        </w:r>
      </w:ins>
    </w:p>
    <w:p w14:paraId="28C47DD7" w14:textId="77777777" w:rsidR="005A2459" w:rsidRDefault="005A2459"/>
    <w:p w14:paraId="256D4B32" w14:textId="77777777" w:rsidR="005A2459" w:rsidRDefault="005A2459"/>
    <w:p w14:paraId="6CEA8D56" w14:textId="77777777" w:rsidR="005A2459" w:rsidRDefault="005A2459">
      <w:pPr>
        <w:sectPr w:rsidR="005A2459" w:rsidSect="005A2459">
          <w:pgSz w:w="12240" w:h="15840"/>
          <w:pgMar w:top="1440" w:right="1440" w:bottom="1440" w:left="1440" w:header="720" w:footer="720" w:gutter="0"/>
          <w:cols w:space="720"/>
          <w:docGrid w:linePitch="360"/>
        </w:sectPr>
      </w:pPr>
    </w:p>
    <w:p w14:paraId="1E994BED" w14:textId="7B15EAC3" w:rsidR="00CC2784" w:rsidRDefault="00CC2784" w:rsidP="00A90F43"/>
    <w:sectPr w:rsidR="00CC2784" w:rsidSect="00E70C6E">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76" w:author="Samuel Dent" w:date="2015-10-23T10:42:00Z" w:initials="SD">
    <w:p w14:paraId="563E7987" w14:textId="77777777" w:rsidR="005A2459" w:rsidRDefault="005A2459" w:rsidP="005A2459">
      <w:pPr>
        <w:pStyle w:val="CommentText"/>
      </w:pPr>
      <w:r>
        <w:rPr>
          <w:rStyle w:val="CommentReference"/>
          <w:rFonts w:eastAsiaTheme="majorEastAsia"/>
        </w:rPr>
        <w:annotationRef/>
      </w:r>
      <w:r>
        <w:t>Note this is language for if/when it is approved – rather than suggesting it already is.</w:t>
      </w:r>
    </w:p>
  </w:comment>
  <w:comment w:id="680" w:author="Samuel Dent" w:date="2015-10-23T10:49:00Z" w:initials="SD">
    <w:p w14:paraId="35C9053D" w14:textId="77777777" w:rsidR="005A2459" w:rsidRDefault="005A2459" w:rsidP="005A2459">
      <w:pPr>
        <w:pStyle w:val="CommentText"/>
      </w:pPr>
      <w:r>
        <w:rPr>
          <w:rStyle w:val="CommentReference"/>
          <w:rFonts w:eastAsiaTheme="majorEastAsia"/>
        </w:rPr>
        <w:annotationRef/>
      </w:r>
      <w:r>
        <w:t xml:space="preserve">Note this is a different form to the RES multipliers. For Res it is a single value based upon multiplying the Lifetime NPV of NEBs by the first year annual savings. For C&amp;I it is an annual adder which would be added each year within the measure life. </w:t>
      </w:r>
    </w:p>
    <w:p w14:paraId="7BDABCCA" w14:textId="77777777" w:rsidR="005A2459" w:rsidRDefault="005A2459" w:rsidP="005A2459">
      <w:pPr>
        <w:pStyle w:val="CommentText"/>
      </w:pPr>
      <w:r>
        <w:t>Ultimately we should likely make these consistent, and the methodology we chose should be determined by which is easier for the program administrators to apply in the screening tools.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3E7987" w15:done="0"/>
  <w15:commentEx w15:paraId="7BDABC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E2F1F" w14:textId="77777777" w:rsidR="005A2459" w:rsidRDefault="005A2459" w:rsidP="009F45F0">
      <w:pPr>
        <w:spacing w:after="0"/>
      </w:pPr>
      <w:r>
        <w:separator/>
      </w:r>
    </w:p>
  </w:endnote>
  <w:endnote w:type="continuationSeparator" w:id="0">
    <w:p w14:paraId="3ADCB9E0" w14:textId="77777777" w:rsidR="005A2459" w:rsidRDefault="005A2459" w:rsidP="009F45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Lucida Grande">
    <w:altName w:val="Arial"/>
    <w:charset w:val="00"/>
    <w:family w:val="auto"/>
    <w:pitch w:val="variable"/>
    <w:sig w:usb0="00000000" w:usb1="5000A1FF" w:usb2="00000000" w:usb3="00000000" w:csb0="000001BF" w:csb1="00000000"/>
  </w:font>
  <w:font w:name="Times-Italic">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906945"/>
      <w:docPartObj>
        <w:docPartGallery w:val="Page Numbers (Top of Page)"/>
        <w:docPartUnique/>
      </w:docPartObj>
    </w:sdtPr>
    <w:sdtEndPr/>
    <w:sdtContent>
      <w:p w14:paraId="495B5DD8" w14:textId="77777777" w:rsidR="005A2459" w:rsidRDefault="005A2459" w:rsidP="00563A0F">
        <w:pPr>
          <w:pStyle w:val="Footer"/>
          <w:jc w:val="center"/>
        </w:pPr>
      </w:p>
      <w:p w14:paraId="512C08E0" w14:textId="37A430EA" w:rsidR="005A2459" w:rsidRDefault="005A2459" w:rsidP="00563A0F">
        <w:pPr>
          <w:pStyle w:val="Footer"/>
          <w:pBdr>
            <w:top w:val="single" w:sz="4" w:space="1" w:color="auto"/>
          </w:pBdr>
          <w:jc w:val="left"/>
        </w:pPr>
        <w:r>
          <w:tab/>
        </w:r>
        <w:r>
          <w:tab/>
        </w:r>
      </w:p>
    </w:sdtContent>
  </w:sdt>
  <w:p w14:paraId="215D5850" w14:textId="77777777" w:rsidR="005A2459" w:rsidRDefault="005A24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000619"/>
      <w:docPartObj>
        <w:docPartGallery w:val="Page Numbers (Top of Page)"/>
        <w:docPartUnique/>
      </w:docPartObj>
    </w:sdtPr>
    <w:sdtEndPr/>
    <w:sdtContent>
      <w:p w14:paraId="02A5C2FF" w14:textId="77777777" w:rsidR="005A2459" w:rsidRDefault="005A2459" w:rsidP="00065C25">
        <w:pPr>
          <w:pStyle w:val="Footer"/>
          <w:jc w:val="left"/>
        </w:pPr>
      </w:p>
      <w:p w14:paraId="2C365295" w14:textId="77777777" w:rsidR="005A2459" w:rsidRDefault="005A2459" w:rsidP="00E70C6E">
        <w:pPr>
          <w:pStyle w:val="Footer"/>
          <w:pBdr>
            <w:top w:val="single" w:sz="4" w:space="1" w:color="auto"/>
          </w:pBdr>
        </w:pPr>
        <w:r>
          <w:tab/>
        </w:r>
        <w:r>
          <w:tab/>
        </w:r>
      </w:p>
    </w:sdtContent>
  </w:sdt>
  <w:sdt>
    <w:sdtPr>
      <w:id w:val="349307988"/>
      <w:docPartObj>
        <w:docPartGallery w:val="Page Numbers (Bottom of Page)"/>
        <w:docPartUnique/>
      </w:docPartObj>
    </w:sdtPr>
    <w:sdtEndPr>
      <w:rPr>
        <w:noProof/>
      </w:rPr>
    </w:sdtEndPr>
    <w:sdtContent>
      <w:p w14:paraId="3B0ADC79" w14:textId="38252688" w:rsidR="005A2459" w:rsidRDefault="005A2459" w:rsidP="005A2459">
        <w:pPr>
          <w:pStyle w:val="Footer"/>
          <w:tabs>
            <w:tab w:val="left" w:pos="9150"/>
          </w:tabs>
          <w:jc w:val="left"/>
        </w:pPr>
        <w:r>
          <w:t>Version 5.0 DRAFT</w:t>
        </w:r>
        <w:r w:rsidR="00A90F43">
          <w:t xml:space="preserve"> ONE</w:t>
        </w:r>
        <w:r>
          <w:t xml:space="preserve"> 12/18/2-15</w:t>
        </w:r>
        <w:r>
          <w:tab/>
        </w:r>
        <w:r>
          <w:tab/>
        </w:r>
        <w:r>
          <w:tab/>
        </w:r>
        <w:r>
          <w:fldChar w:fldCharType="begin"/>
        </w:r>
        <w:r>
          <w:instrText xml:space="preserve"> PAGE   \* MERGEFORMAT </w:instrText>
        </w:r>
        <w:r>
          <w:fldChar w:fldCharType="separate"/>
        </w:r>
        <w:r w:rsidR="00C51BEF">
          <w:rPr>
            <w:noProof/>
          </w:rPr>
          <w:t>ii</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58728"/>
      <w:docPartObj>
        <w:docPartGallery w:val="Page Numbers (Top of Page)"/>
        <w:docPartUnique/>
      </w:docPartObj>
    </w:sdtPr>
    <w:sdtEndPr/>
    <w:sdtContent>
      <w:sdt>
        <w:sdtPr>
          <w:id w:val="-1705238520"/>
          <w:docPartObj>
            <w:docPartGallery w:val="Page Numbers (Top of Page)"/>
            <w:docPartUnique/>
          </w:docPartObj>
        </w:sdtPr>
        <w:sdtEndPr/>
        <w:sdtContent>
          <w:p w14:paraId="07D3C0AA" w14:textId="153D395D" w:rsidR="004D12DD" w:rsidRDefault="004D12DD" w:rsidP="004D12DD">
            <w:pPr>
              <w:pStyle w:val="Footer"/>
              <w:jc w:val="left"/>
            </w:pPr>
            <w:r>
              <w:t>_____________________________________________________________________________________________</w:t>
            </w:r>
          </w:p>
          <w:p w14:paraId="601CE2FB" w14:textId="77777777" w:rsidR="004D12DD" w:rsidRDefault="004D12DD" w:rsidP="004D12DD">
            <w:pPr>
              <w:pStyle w:val="Footer"/>
              <w:jc w:val="left"/>
            </w:pPr>
          </w:p>
          <w:p w14:paraId="678A7161" w14:textId="18720CE1" w:rsidR="005A2459" w:rsidRPr="004D12DD" w:rsidRDefault="004D12DD" w:rsidP="004D12DD">
            <w:pPr>
              <w:pStyle w:val="Footer"/>
              <w:jc w:val="left"/>
              <w:rPr>
                <w:b/>
                <w:bCs/>
                <w:sz w:val="24"/>
                <w:szCs w:val="24"/>
              </w:rPr>
            </w:pPr>
            <w:r>
              <w:t>Version 5.0 DRAFT</w:t>
            </w:r>
            <w:r w:rsidR="00A90F43">
              <w:t xml:space="preserve"> ONE</w:t>
            </w:r>
            <w:r>
              <w:t xml:space="preserve"> 12/18/2015</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sidR="00C51BE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51BEF">
              <w:rPr>
                <w:b/>
                <w:bCs/>
                <w:noProof/>
              </w:rPr>
              <w:t>39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43063" w14:textId="77777777" w:rsidR="005A2459" w:rsidRDefault="005A2459" w:rsidP="009F45F0">
      <w:pPr>
        <w:spacing w:after="0"/>
      </w:pPr>
      <w:r>
        <w:separator/>
      </w:r>
    </w:p>
  </w:footnote>
  <w:footnote w:type="continuationSeparator" w:id="0">
    <w:p w14:paraId="26635C3B" w14:textId="77777777" w:rsidR="005A2459" w:rsidRDefault="005A2459" w:rsidP="009F45F0">
      <w:pPr>
        <w:spacing w:after="0"/>
      </w:pPr>
      <w:r>
        <w:continuationSeparator/>
      </w:r>
    </w:p>
  </w:footnote>
  <w:footnote w:id="1">
    <w:p w14:paraId="42AC7993" w14:textId="77777777" w:rsidR="00BE2808" w:rsidRPr="00817AB1" w:rsidRDefault="00BE2808" w:rsidP="00BE2808">
      <w:pPr>
        <w:pStyle w:val="FootnoteText"/>
        <w:rPr>
          <w:ins w:id="32" w:author="Stephanie Baer" w:date="2015-12-18T17:03:00Z"/>
          <w:sz w:val="18"/>
          <w:szCs w:val="18"/>
        </w:rPr>
      </w:pPr>
      <w:ins w:id="33" w:author="Stephanie Baer" w:date="2015-12-18T17:03:00Z">
        <w:r>
          <w:rPr>
            <w:rStyle w:val="FootnoteReference"/>
          </w:rPr>
          <w:footnoteRef/>
        </w:r>
        <w:r>
          <w:t xml:space="preserve"> </w:t>
        </w:r>
        <w:r>
          <w:rPr>
            <w:sz w:val="18"/>
            <w:szCs w:val="18"/>
          </w:rPr>
          <w:t>The</w:t>
        </w:r>
        <w:r w:rsidRPr="00817AB1">
          <w:rPr>
            <w:sz w:val="18"/>
            <w:szCs w:val="18"/>
          </w:rPr>
          <w:t xml:space="preserve"> protocol outlined here</w:t>
        </w:r>
        <w:r>
          <w:rPr>
            <w:sz w:val="18"/>
            <w:szCs w:val="18"/>
          </w:rPr>
          <w:t xml:space="preserve"> assumes that adjustments to remove the effects of program lift have been made as part of the custom calculation of savings. </w:t>
        </w:r>
      </w:ins>
    </w:p>
  </w:footnote>
  <w:footnote w:id="2">
    <w:p w14:paraId="6DC0DE55" w14:textId="77777777" w:rsidR="00BE2808" w:rsidRDefault="00BE2808" w:rsidP="00BE2808">
      <w:pPr>
        <w:pStyle w:val="FootnoteText"/>
        <w:rPr>
          <w:ins w:id="36" w:author="Stephanie Baer" w:date="2015-12-18T17:03:00Z"/>
        </w:rPr>
      </w:pPr>
      <w:ins w:id="37" w:author="Stephanie Baer" w:date="2015-12-18T17:03:00Z">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 Also see Persistence Analysis Worksheet for specific references: </w:t>
        </w:r>
        <w:r w:rsidRPr="00342EFD">
          <w:rPr>
            <w:sz w:val="18"/>
            <w:szCs w:val="18"/>
          </w:rPr>
          <w:t>IL TRM v.5 Behavior Persistence Analysis</w:t>
        </w:r>
        <w:r>
          <w:rPr>
            <w:sz w:val="18"/>
            <w:szCs w:val="18"/>
          </w:rPr>
          <w:t>.xlsx.</w:t>
        </w:r>
      </w:ins>
    </w:p>
  </w:footnote>
  <w:footnote w:id="3">
    <w:p w14:paraId="1B1E4C3B" w14:textId="77777777" w:rsidR="00BE2808" w:rsidRPr="004F6520" w:rsidRDefault="00BE2808" w:rsidP="00BE2808">
      <w:pPr>
        <w:pStyle w:val="FootnoteText"/>
        <w:rPr>
          <w:ins w:id="61" w:author="Stephanie Baer" w:date="2015-12-18T17:03:00Z"/>
          <w:bCs/>
          <w:sz w:val="18"/>
          <w:szCs w:val="18"/>
        </w:rPr>
      </w:pPr>
      <w:ins w:id="62" w:author="Stephanie Baer" w:date="2015-12-18T17:03:00Z">
        <w:r>
          <w:rPr>
            <w:rStyle w:val="FootnoteReference"/>
          </w:rPr>
          <w:footnoteRef/>
        </w:r>
        <w:r>
          <w:t xml:space="preserve"> </w:t>
        </w:r>
        <w:r w:rsidRPr="004F6520">
          <w:rPr>
            <w:sz w:val="18"/>
            <w:szCs w:val="18"/>
          </w:rPr>
          <w:t xml:space="preserve">ComEd </w:t>
        </w:r>
        <w:r w:rsidRPr="004F6520">
          <w:rPr>
            <w:bCs/>
            <w:sz w:val="18"/>
            <w:szCs w:val="18"/>
          </w:rPr>
          <w:t>Home Energy Reports Program PY6 Evaluation Report, Navigant, January 2015; Nicor Behavioral Energy Savings Programs: Home Energy Reports Persistence Study Part 1</w:t>
        </w:r>
        <w:r>
          <w:rPr>
            <w:bCs/>
            <w:sz w:val="18"/>
            <w:szCs w:val="18"/>
          </w:rPr>
          <w:t>, Navigant, July 2015</w:t>
        </w:r>
        <w:r w:rsidRPr="004F6520">
          <w:rPr>
            <w:bCs/>
            <w:sz w:val="18"/>
            <w:szCs w:val="18"/>
          </w:rPr>
          <w:t>.</w:t>
        </w:r>
      </w:ins>
    </w:p>
  </w:footnote>
  <w:footnote w:id="4">
    <w:p w14:paraId="745F35E4" w14:textId="77777777" w:rsidR="00BE2808" w:rsidRDefault="00BE2808" w:rsidP="00BE2808">
      <w:pPr>
        <w:pStyle w:val="FootnoteText"/>
        <w:rPr>
          <w:ins w:id="65" w:author="Stephanie Baer" w:date="2015-12-18T17:03:00Z"/>
        </w:rPr>
      </w:pPr>
      <w:ins w:id="66" w:author="Stephanie Baer" w:date="2015-12-18T17:03:00Z">
        <w:r>
          <w:rPr>
            <w:rStyle w:val="FootnoteReference"/>
          </w:rPr>
          <w:footnoteRef/>
        </w:r>
        <w:r>
          <w:t xml:space="preserve"> </w:t>
        </w:r>
        <w:r w:rsidRPr="00B05595">
          <w:rPr>
            <w:sz w:val="18"/>
            <w:szCs w:val="18"/>
          </w:rPr>
          <w:t>Long-Run Savings and Cost-Effectiveness of</w:t>
        </w:r>
        <w:r>
          <w:rPr>
            <w:sz w:val="18"/>
            <w:szCs w:val="18"/>
          </w:rPr>
          <w:t xml:space="preserve"> Home Energy Reports Programs, Cadmus, October 2014. Also see Persistence Analysis Worksheet for specific references: </w:t>
        </w:r>
        <w:r w:rsidRPr="00342EFD">
          <w:rPr>
            <w:sz w:val="18"/>
            <w:szCs w:val="18"/>
          </w:rPr>
          <w:t>IL TRM v.5 Behavior Persistence Analysis</w:t>
        </w:r>
        <w:r>
          <w:rPr>
            <w:sz w:val="18"/>
            <w:szCs w:val="18"/>
          </w:rPr>
          <w:t>.xlsx.</w:t>
        </w:r>
      </w:ins>
    </w:p>
  </w:footnote>
  <w:footnote w:id="5">
    <w:p w14:paraId="03A37075" w14:textId="77777777" w:rsidR="00BE2808" w:rsidRPr="00F4248B" w:rsidDel="002D5F9F" w:rsidRDefault="00BE2808" w:rsidP="00BE2808">
      <w:pPr>
        <w:pStyle w:val="FootnoteText"/>
        <w:rPr>
          <w:ins w:id="95" w:author="Stephanie Baer" w:date="2015-12-18T17:03:00Z"/>
          <w:del w:id="96" w:author="Cheryl Jenkins" w:date="2015-12-18T12:29:00Z"/>
          <w:sz w:val="18"/>
          <w:szCs w:val="18"/>
        </w:rPr>
      </w:pPr>
      <w:ins w:id="97" w:author="Stephanie Baer" w:date="2015-12-18T17:03:00Z">
        <w:del w:id="98" w:author="Cheryl Jenkins" w:date="2015-12-18T12:29:00Z">
          <w:r w:rsidRPr="00330A8E" w:rsidDel="002D5F9F">
            <w:rPr>
              <w:rStyle w:val="FootnoteReference"/>
              <w:highlight w:val="yellow"/>
            </w:rPr>
            <w:footnoteRef/>
          </w:r>
          <w:r w:rsidRPr="00330A8E" w:rsidDel="002D5F9F">
            <w:rPr>
              <w:highlight w:val="yellow"/>
            </w:rPr>
            <w:delText xml:space="preserve"> </w:delText>
          </w:r>
          <w:r w:rsidRPr="00330A8E" w:rsidDel="002D5F9F">
            <w:rPr>
              <w:sz w:val="18"/>
              <w:szCs w:val="18"/>
              <w:highlight w:val="yellow"/>
            </w:rPr>
            <w:delText>Consistent with values applied to “unknown” residential CFL lamp measures; based on lighting logger study conducted as part of the PY5/6 ComEd Residential Lighting Program evaluation</w:delText>
          </w:r>
          <w:r w:rsidRPr="00F4248B" w:rsidDel="002D5F9F">
            <w:rPr>
              <w:sz w:val="18"/>
              <w:szCs w:val="18"/>
            </w:rPr>
            <w:delText>.</w:delText>
          </w:r>
        </w:del>
      </w:ins>
    </w:p>
  </w:footnote>
  <w:footnote w:id="6">
    <w:p w14:paraId="301DD919" w14:textId="77777777" w:rsidR="00BE2808" w:rsidDel="00E70A33" w:rsidRDefault="00BE2808" w:rsidP="00BE2808">
      <w:pPr>
        <w:pStyle w:val="FootnoteText"/>
        <w:rPr>
          <w:ins w:id="215" w:author="Stephanie Baer" w:date="2015-12-18T17:03:00Z"/>
          <w:del w:id="216" w:author="Cheryl Jenkins" w:date="2015-12-18T12:31:00Z"/>
        </w:rPr>
      </w:pPr>
      <w:ins w:id="217" w:author="Stephanie Baer" w:date="2015-12-18T17:03:00Z">
        <w:del w:id="218" w:author="Cheryl Jenkins" w:date="2015-12-18T12:31:00Z">
          <w:r w:rsidDel="00E70A33">
            <w:rPr>
              <w:rStyle w:val="FootnoteReference"/>
            </w:rPr>
            <w:footnoteRef/>
          </w:r>
          <w:r w:rsidDel="00E70A33">
            <w:delText xml:space="preserve"> </w:delText>
          </w:r>
          <w:r w:rsidRPr="00F4248B" w:rsidDel="00E70A33">
            <w:rPr>
              <w:sz w:val="18"/>
              <w:szCs w:val="18"/>
            </w:rPr>
            <w:delText xml:space="preserve">Consistent with values applied to “unknown” </w:delText>
          </w:r>
          <w:r w:rsidDel="00E70A33">
            <w:rPr>
              <w:sz w:val="18"/>
              <w:szCs w:val="18"/>
            </w:rPr>
            <w:delText xml:space="preserve">residential </w:delText>
          </w:r>
          <w:r w:rsidRPr="00F4248B" w:rsidDel="00E70A33">
            <w:rPr>
              <w:sz w:val="18"/>
              <w:szCs w:val="18"/>
            </w:rPr>
            <w:delText>CFL lamp measures; based on lighting logger study conducted as part of the PY5/6 ComEd Residential Lighting Program evaluation</w:delText>
          </w:r>
          <w:r w:rsidDel="00E70A33">
            <w:rPr>
              <w:sz w:val="18"/>
              <w:szCs w:val="18"/>
            </w:rPr>
            <w:delText>.</w:delText>
          </w:r>
        </w:del>
      </w:ins>
    </w:p>
  </w:footnote>
  <w:footnote w:id="7">
    <w:p w14:paraId="4D2AFE9A" w14:textId="77777777" w:rsidR="005A2459" w:rsidRPr="00133D3F" w:rsidRDefault="005A2459" w:rsidP="009F45F0">
      <w:pPr>
        <w:spacing w:after="0"/>
        <w:rPr>
          <w:szCs w:val="20"/>
        </w:rPr>
      </w:pPr>
      <w:r w:rsidRPr="00133D3F">
        <w:rPr>
          <w:rStyle w:val="FootnoteReference"/>
          <w:szCs w:val="20"/>
        </w:rPr>
        <w:footnoteRef/>
      </w:r>
      <w:r w:rsidRPr="00133D3F">
        <w:rPr>
          <w:szCs w:val="20"/>
        </w:rPr>
        <w:t xml:space="preserve"> Policy Document for the Illinois Statewide Technical Reference Manual for Energy Efficiency. October 25, 2012. </w:t>
      </w:r>
      <w:hyperlink r:id="rId1" w:history="1">
        <w:r w:rsidRPr="00133D3F">
          <w:rPr>
            <w:rStyle w:val="Hyperlink"/>
            <w:rFonts w:cs="Calibri,Bold"/>
            <w:bCs/>
            <w:szCs w:val="20"/>
          </w:rPr>
          <w:t>http://www.icc.illinois.gov/downloads/public/IL%20TRM%20Policy%20Document.pdf</w:t>
        </w:r>
      </w:hyperlink>
      <w:r w:rsidRPr="00133D3F">
        <w:rPr>
          <w:szCs w:val="20"/>
        </w:rPr>
        <w:t xml:space="preserve"> </w:t>
      </w:r>
    </w:p>
  </w:footnote>
  <w:footnote w:id="8">
    <w:p w14:paraId="05763EE1" w14:textId="77777777" w:rsidR="005A2459" w:rsidRPr="00133D3F" w:rsidRDefault="005A2459" w:rsidP="009F45F0">
      <w:pPr>
        <w:pStyle w:val="FootnoteText"/>
      </w:pPr>
      <w:r w:rsidRPr="00133D3F">
        <w:rPr>
          <w:rStyle w:val="FootnoteReference"/>
        </w:rPr>
        <w:footnoteRef/>
      </w:r>
      <w:r w:rsidRPr="00133D3F">
        <w:t xml:space="preserve"> The Illinois NTG Working Group consists primarily of the subset of Evaluators deliberating on NTG methodologies; however, any interested party may participate in the Illinois NTG Working Group.</w:t>
      </w:r>
    </w:p>
  </w:footnote>
  <w:footnote w:id="9">
    <w:p w14:paraId="2456E48E" w14:textId="77777777" w:rsidR="005A2459" w:rsidRPr="00133D3F" w:rsidRDefault="005A2459" w:rsidP="009F45F0">
      <w:pPr>
        <w:pStyle w:val="FootnoteText"/>
      </w:pPr>
      <w:r w:rsidRPr="00133D3F">
        <w:rPr>
          <w:rStyle w:val="FootnoteReference"/>
        </w:rPr>
        <w:footnoteRef/>
      </w:r>
      <w:r w:rsidRPr="00133D3F">
        <w:t xml:space="preserve"> A probabilistic statement is not the same as the confidence and precision information calculated based on sampling theory. </w:t>
      </w:r>
    </w:p>
  </w:footnote>
  <w:footnote w:id="10">
    <w:p w14:paraId="348AD282" w14:textId="77777777" w:rsidR="005A2459" w:rsidRPr="00133D3F" w:rsidRDefault="005A2459" w:rsidP="009F45F0">
      <w:pPr>
        <w:spacing w:after="0"/>
        <w:rPr>
          <w:szCs w:val="20"/>
        </w:rPr>
      </w:pPr>
      <w:r w:rsidRPr="00133D3F">
        <w:rPr>
          <w:rStyle w:val="FootnoteReference"/>
          <w:szCs w:val="20"/>
        </w:rPr>
        <w:footnoteRef/>
      </w:r>
      <w:r w:rsidRPr="00133D3F">
        <w:rPr>
          <w:szCs w:val="20"/>
        </w:rPr>
        <w:t xml:space="preserve"> Within time-varying free ridership, free ridership may vary over the course of measure life due to respondents’ self-reported timing of implementing actions under the counterfactual scenario (i.e., absence of the program). Free ridership may also vary based on project scope and measure characteristics associated with respondents’ self-reported actions under the counterfactual no-program scenario. As stated above, evaluators may, on a pilot basis, separately calculate the free ridership rate applicable to annualized first year gross energy savings and the free ridership rate applicable to gross energy savings occurring over the li</w:t>
      </w:r>
      <w:r>
        <w:rPr>
          <w:szCs w:val="20"/>
        </w:rPr>
        <w:t>fetime of implemented measures.</w:t>
      </w:r>
    </w:p>
  </w:footnote>
  <w:footnote w:id="11">
    <w:p w14:paraId="4CBAA489" w14:textId="77777777" w:rsidR="005A2459" w:rsidRPr="00133D3F" w:rsidRDefault="005A2459" w:rsidP="009F45F0">
      <w:pPr>
        <w:pStyle w:val="FootnoteText"/>
      </w:pPr>
      <w:r w:rsidRPr="00133D3F">
        <w:rPr>
          <w:rStyle w:val="FootnoteReference"/>
        </w:rPr>
        <w:footnoteRef/>
      </w:r>
      <w:r w:rsidRPr="00133D3F">
        <w:t xml:space="preserve"> Note that such retailer interviews are being conducted annually for the ComEd ARP evaluation, and answers are used directly in the calculation of the NTG ratio in cases where: (1) the respondent planned to have the unit picked up by the retailer; and (2) the retailer was interviewed.</w:t>
      </w:r>
    </w:p>
  </w:footnote>
  <w:footnote w:id="12">
    <w:p w14:paraId="2F46F768" w14:textId="77777777" w:rsidR="005A2459" w:rsidRPr="00133D3F" w:rsidRDefault="005A2459" w:rsidP="009F45F0">
      <w:pPr>
        <w:pStyle w:val="FootnoteText"/>
      </w:pPr>
      <w:r w:rsidRPr="00133D3F">
        <w:rPr>
          <w:rStyle w:val="FootnoteReference"/>
        </w:rPr>
        <w:footnoteRef/>
      </w:r>
      <w:r w:rsidRPr="00133D3F">
        <w:t xml:space="preserve"> ComEd has used this method since EPY2. Ameren began using it in EPY5. </w:t>
      </w:r>
    </w:p>
  </w:footnote>
  <w:footnote w:id="13">
    <w:p w14:paraId="508E303D" w14:textId="77777777" w:rsidR="005A2459" w:rsidRPr="00133D3F" w:rsidRDefault="005A2459" w:rsidP="009F45F0">
      <w:pPr>
        <w:pStyle w:val="FootnoteText"/>
      </w:pPr>
      <w:r w:rsidRPr="00133D3F">
        <w:rPr>
          <w:rStyle w:val="FootnoteReference"/>
        </w:rPr>
        <w:footnoteRef/>
      </w:r>
      <w:r w:rsidRPr="00133D3F">
        <w:t xml:space="preserve"> The function, adjusted monetary score = (monetary score + 10)/2, increases the monetary score using a decreasing linear function. This function results in an increase in the monetary influence score of between 0 and 5 points depending on their original monetary score (i.e., an original score of 0 would become a 5, a 5 would become a 7.5, and a 10 would remain a 10. In past Illinois evaluations, this adjustment has typically changed less than 10% of all monetary scores. </w:t>
      </w:r>
    </w:p>
  </w:footnote>
  <w:footnote w:id="14">
    <w:p w14:paraId="79DD7DBB" w14:textId="77777777" w:rsidR="005A2459" w:rsidRPr="00133D3F" w:rsidRDefault="005A2459" w:rsidP="009F45F0">
      <w:pPr>
        <w:pStyle w:val="FootnoteText"/>
      </w:pPr>
      <w:r w:rsidRPr="00133D3F">
        <w:rPr>
          <w:rStyle w:val="FootnoteReference"/>
        </w:rPr>
        <w:footnoteRef/>
      </w:r>
      <w:r w:rsidRPr="00133D3F">
        <w:t xml:space="preserve"> Net savings are calculated when a comparison or control group of non-treated customers are part of the design. Statistical analyses can also obtain gross savings.</w:t>
      </w:r>
    </w:p>
  </w:footnote>
  <w:footnote w:id="15">
    <w:p w14:paraId="412D6C83" w14:textId="77777777" w:rsidR="005A2459" w:rsidRPr="00133D3F" w:rsidRDefault="005A2459" w:rsidP="009F45F0">
      <w:pPr>
        <w:pStyle w:val="FootnoteText"/>
      </w:pPr>
      <w:r w:rsidRPr="00133D3F">
        <w:rPr>
          <w:rStyle w:val="FootnoteReference"/>
        </w:rPr>
        <w:footnoteRef/>
      </w:r>
      <w:r w:rsidRPr="00133D3F">
        <w:t xml:space="preserve"> Economists strongly support this approach, but among program evaluators, the idea that an RCT is a “gold standard” for attribution research has been hotly debated for decades.</w:t>
      </w:r>
    </w:p>
  </w:footnote>
  <w:footnote w:id="16">
    <w:p w14:paraId="06A8C7EB" w14:textId="77777777" w:rsidR="005A2459" w:rsidRPr="00133D3F" w:rsidRDefault="005A2459" w:rsidP="009F45F0">
      <w:pPr>
        <w:pStyle w:val="FootnoteText"/>
      </w:pPr>
      <w:r w:rsidRPr="00133D3F">
        <w:rPr>
          <w:rStyle w:val="FootnoteReference"/>
        </w:rPr>
        <w:footnoteRef/>
      </w:r>
      <w:r w:rsidRPr="00133D3F">
        <w:t xml:space="preserve"> Evaluators may use logic models to show program processes as well, but this is a program flow chart, not an impact model.</w:t>
      </w:r>
    </w:p>
  </w:footnote>
  <w:footnote w:id="17">
    <w:p w14:paraId="1189841A" w14:textId="77777777" w:rsidR="005A2459" w:rsidRDefault="005A2459" w:rsidP="005A2459">
      <w:pPr>
        <w:pStyle w:val="FootnoteText"/>
        <w:rPr>
          <w:ins w:id="485" w:author="Stephanie Baer" w:date="2015-12-17T15:04:00Z"/>
        </w:rPr>
      </w:pPr>
      <w:ins w:id="486" w:author="Stephanie Baer" w:date="2015-12-17T15:04:00Z">
        <w:r>
          <w:rPr>
            <w:rStyle w:val="FootnoteReference"/>
          </w:rPr>
          <w:footnoteRef/>
        </w:r>
        <w:r>
          <w:t xml:space="preserve"> Email to TRM administrator from Chris Neme, 10/22/2015.</w:t>
        </w:r>
      </w:ins>
    </w:p>
  </w:footnote>
  <w:footnote w:id="18">
    <w:p w14:paraId="639D9084" w14:textId="77777777" w:rsidR="005A2459" w:rsidRDefault="005A2459" w:rsidP="005A2459">
      <w:pPr>
        <w:pStyle w:val="FootnoteText"/>
        <w:rPr>
          <w:ins w:id="489" w:author="Stephanie Baer" w:date="2015-12-17T15:04:00Z"/>
        </w:rPr>
      </w:pPr>
      <w:ins w:id="490" w:author="Stephanie Baer" w:date="2015-12-17T15:04:00Z">
        <w:r>
          <w:rPr>
            <w:rStyle w:val="FootnoteReference"/>
          </w:rPr>
          <w:footnoteRef/>
        </w:r>
        <w:r>
          <w:t xml:space="preserve"> </w:t>
        </w:r>
        <w:r>
          <w:fldChar w:fldCharType="begin"/>
        </w:r>
        <w:r>
          <w:instrText xml:space="preserve"> HYPERLINK "http://www.icc.illinois.gov/publicutility/salesstatistics.aspx?type=e" </w:instrText>
        </w:r>
        <w:r>
          <w:fldChar w:fldCharType="separate"/>
        </w:r>
        <w:r w:rsidRPr="00C56654">
          <w:rPr>
            <w:rStyle w:val="Hyperlink"/>
          </w:rPr>
          <w:t>http://www.icc.illinois.gov/publicutility/salesstatistics.aspx?type=e</w:t>
        </w:r>
        <w:r>
          <w:rPr>
            <w:rStyle w:val="Hyperlink"/>
          </w:rPr>
          <w:fldChar w:fldCharType="end"/>
        </w:r>
      </w:ins>
    </w:p>
  </w:footnote>
  <w:footnote w:id="19">
    <w:p w14:paraId="2EBE0533" w14:textId="77777777" w:rsidR="005A2459" w:rsidRDefault="005A2459" w:rsidP="005A2459">
      <w:pPr>
        <w:pStyle w:val="FootnoteText"/>
        <w:rPr>
          <w:ins w:id="491" w:author="Stephanie Baer" w:date="2015-12-17T15:04:00Z"/>
        </w:rPr>
      </w:pPr>
      <w:ins w:id="492" w:author="Stephanie Baer" w:date="2015-12-17T15:04:00Z">
        <w:r>
          <w:rPr>
            <w:rStyle w:val="FootnoteReference"/>
          </w:rPr>
          <w:footnoteRef/>
        </w:r>
        <w:r>
          <w:t xml:space="preserve"> See ‘Residential Whole House Retrofit NEB factor calculator.xls’ for more details.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2F1D5" w14:textId="54D5B679" w:rsidR="005A2459" w:rsidRPr="00C07E28" w:rsidRDefault="005A2459" w:rsidP="00563A0F">
    <w:pPr>
      <w:pStyle w:val="HeaderIL"/>
      <w:rPr>
        <w:b/>
      </w:rPr>
    </w:pPr>
  </w:p>
  <w:p w14:paraId="20247570" w14:textId="77777777" w:rsidR="005A2459" w:rsidRDefault="005A24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9D415" w14:textId="77777777" w:rsidR="00A90F43" w:rsidRPr="00C07E28" w:rsidRDefault="00A90F43" w:rsidP="00563A0F">
    <w:pPr>
      <w:pStyle w:val="HeaderIL"/>
      <w:rPr>
        <w:b/>
      </w:rPr>
    </w:pPr>
    <w:r w:rsidRPr="00C07E28">
      <w:rPr>
        <w:b/>
      </w:rPr>
      <w:t>Illinois Statewide Technical Reference Manual</w:t>
    </w:r>
    <w:r>
      <w:rPr>
        <w:b/>
      </w:rPr>
      <w:t xml:space="preserve"> </w:t>
    </w:r>
  </w:p>
  <w:p w14:paraId="2169FD53" w14:textId="77777777" w:rsidR="00A90F43" w:rsidRDefault="00A90F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5E4B0" w14:textId="016BB9FA" w:rsidR="00B31A88" w:rsidRPr="00C07E28" w:rsidRDefault="00B31A88" w:rsidP="00563A0F">
    <w:pPr>
      <w:pStyle w:val="HeaderIL"/>
      <w:rPr>
        <w:b/>
      </w:rPr>
    </w:pPr>
    <w:r w:rsidRPr="00C07E28">
      <w:rPr>
        <w:b/>
      </w:rPr>
      <w:t>Illinois Statewide Technical Reference Manual</w:t>
    </w:r>
    <w:r>
      <w:rPr>
        <w:b/>
      </w:rPr>
      <w:t xml:space="preserve"> – 6.1.1 Adjustments to Behavior Savings to Account for Persistence</w:t>
    </w:r>
  </w:p>
  <w:p w14:paraId="62931531" w14:textId="77777777" w:rsidR="00B31A88" w:rsidRDefault="00B31A8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406EC" w14:textId="77777777" w:rsidR="00B31A88" w:rsidRPr="00C07E28" w:rsidRDefault="00B31A88" w:rsidP="00563A0F">
    <w:pPr>
      <w:pStyle w:val="HeaderIL"/>
      <w:rPr>
        <w:b/>
      </w:rPr>
    </w:pPr>
    <w:r w:rsidRPr="00C07E28">
      <w:rPr>
        <w:b/>
      </w:rPr>
      <w:t>Illinois Statewide Technical Reference Manual</w:t>
    </w:r>
    <w:r>
      <w:rPr>
        <w:b/>
      </w:rPr>
      <w:t xml:space="preserve"> </w:t>
    </w:r>
  </w:p>
  <w:p w14:paraId="0ABA7024" w14:textId="77777777" w:rsidR="00B31A88" w:rsidRDefault="00B31A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13B"/>
    <w:multiLevelType w:val="hybridMultilevel"/>
    <w:tmpl w:val="DB5E3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4ED22F9"/>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905A73"/>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A17D14"/>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nsid w:val="29124910"/>
    <w:multiLevelType w:val="hybridMultilevel"/>
    <w:tmpl w:val="4B00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751A2"/>
    <w:multiLevelType w:val="hybridMultilevel"/>
    <w:tmpl w:val="B44C5F1A"/>
    <w:lvl w:ilvl="0" w:tplc="D35E4FE8">
      <w:start w:val="1"/>
      <w:numFmt w:val="bullet"/>
      <w:lvlText w:val=""/>
      <w:lvlJc w:val="left"/>
      <w:pPr>
        <w:ind w:left="720" w:hanging="360"/>
      </w:pPr>
      <w:rPr>
        <w:rFonts w:ascii="Symbol" w:hAnsi="Symbol" w:hint="default"/>
        <w:b/>
        <w:i w:val="0"/>
        <w:color w:val="auto"/>
        <w:spacing w:val="0"/>
        <w:w w:val="100"/>
        <w:kern w:val="16"/>
        <w:position w:val="0"/>
        <w:sz w:val="20"/>
        <w:szCs w:val="28"/>
      </w:rPr>
    </w:lvl>
    <w:lvl w:ilvl="1" w:tplc="31B67098">
      <w:start w:val="1"/>
      <w:numFmt w:val="bullet"/>
      <w:lvlText w:val="o"/>
      <w:lvlJc w:val="left"/>
      <w:pPr>
        <w:tabs>
          <w:tab w:val="num" w:pos="360"/>
        </w:tabs>
        <w:ind w:left="360" w:hanging="360"/>
      </w:pPr>
      <w:rPr>
        <w:rFonts w:ascii="Courier New" w:hAnsi="Courier New" w:cs="Courier New" w:hint="default"/>
      </w:rPr>
    </w:lvl>
    <w:lvl w:ilvl="2" w:tplc="F3602BEA">
      <w:start w:val="1"/>
      <w:numFmt w:val="bullet"/>
      <w:lvlText w:val=""/>
      <w:lvlJc w:val="left"/>
      <w:pPr>
        <w:tabs>
          <w:tab w:val="num" w:pos="1080"/>
        </w:tabs>
        <w:ind w:left="1080" w:hanging="360"/>
      </w:pPr>
      <w:rPr>
        <w:rFonts w:ascii="Wingdings" w:hAnsi="Wingdings" w:hint="default"/>
      </w:rPr>
    </w:lvl>
    <w:lvl w:ilvl="3" w:tplc="3F90CDE0">
      <w:start w:val="1"/>
      <w:numFmt w:val="bullet"/>
      <w:lvlText w:val=""/>
      <w:lvlJc w:val="left"/>
      <w:pPr>
        <w:tabs>
          <w:tab w:val="num" w:pos="1800"/>
        </w:tabs>
        <w:ind w:left="1800" w:hanging="360"/>
      </w:pPr>
      <w:rPr>
        <w:rFonts w:ascii="Symbol" w:hAnsi="Symbol" w:hint="default"/>
      </w:rPr>
    </w:lvl>
    <w:lvl w:ilvl="4" w:tplc="908E1E4E">
      <w:start w:val="1"/>
      <w:numFmt w:val="bullet"/>
      <w:lvlText w:val="o"/>
      <w:lvlJc w:val="left"/>
      <w:pPr>
        <w:tabs>
          <w:tab w:val="num" w:pos="2520"/>
        </w:tabs>
        <w:ind w:left="2520" w:hanging="360"/>
      </w:pPr>
      <w:rPr>
        <w:rFonts w:ascii="Courier New" w:hAnsi="Courier New" w:cs="Courier New" w:hint="default"/>
      </w:rPr>
    </w:lvl>
    <w:lvl w:ilvl="5" w:tplc="03DA10E4">
      <w:start w:val="1"/>
      <w:numFmt w:val="bullet"/>
      <w:lvlText w:val=""/>
      <w:lvlJc w:val="left"/>
      <w:pPr>
        <w:tabs>
          <w:tab w:val="num" w:pos="3240"/>
        </w:tabs>
        <w:ind w:left="3240" w:hanging="360"/>
      </w:pPr>
      <w:rPr>
        <w:rFonts w:ascii="Wingdings" w:hAnsi="Wingdings" w:hint="default"/>
      </w:rPr>
    </w:lvl>
    <w:lvl w:ilvl="6" w:tplc="669C0286">
      <w:start w:val="1"/>
      <w:numFmt w:val="bullet"/>
      <w:lvlText w:val=""/>
      <w:lvlJc w:val="left"/>
      <w:pPr>
        <w:tabs>
          <w:tab w:val="num" w:pos="3960"/>
        </w:tabs>
        <w:ind w:left="3960" w:hanging="360"/>
      </w:pPr>
      <w:rPr>
        <w:rFonts w:ascii="Symbol" w:hAnsi="Symbol" w:hint="default"/>
      </w:rPr>
    </w:lvl>
    <w:lvl w:ilvl="7" w:tplc="10AAB30E">
      <w:start w:val="1"/>
      <w:numFmt w:val="bullet"/>
      <w:lvlText w:val="o"/>
      <w:lvlJc w:val="left"/>
      <w:pPr>
        <w:tabs>
          <w:tab w:val="num" w:pos="4680"/>
        </w:tabs>
        <w:ind w:left="4680" w:hanging="360"/>
      </w:pPr>
      <w:rPr>
        <w:rFonts w:ascii="Courier New" w:hAnsi="Courier New" w:cs="Courier New" w:hint="default"/>
      </w:rPr>
    </w:lvl>
    <w:lvl w:ilvl="8" w:tplc="9BFA5836">
      <w:start w:val="1"/>
      <w:numFmt w:val="bullet"/>
      <w:lvlText w:val=""/>
      <w:lvlJc w:val="left"/>
      <w:pPr>
        <w:tabs>
          <w:tab w:val="num" w:pos="5400"/>
        </w:tabs>
        <w:ind w:left="5400" w:hanging="360"/>
      </w:pPr>
      <w:rPr>
        <w:rFonts w:ascii="Wingdings" w:hAnsi="Wingdings" w:hint="default"/>
      </w:rPr>
    </w:lvl>
  </w:abstractNum>
  <w:abstractNum w:abstractNumId="6">
    <w:nsid w:val="379B79E9"/>
    <w:multiLevelType w:val="multilevel"/>
    <w:tmpl w:val="8AB2455C"/>
    <w:lvl w:ilvl="0">
      <w:start w:val="1"/>
      <w:numFmt w:val="decimal"/>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nsid w:val="381A7457"/>
    <w:multiLevelType w:val="multilevel"/>
    <w:tmpl w:val="B35EB4D8"/>
    <w:lvl w:ilvl="0">
      <w:start w:val="1"/>
      <w:numFmt w:val="upperRoman"/>
      <w:lvlText w:val="%1."/>
      <w:lvlJc w:val="right"/>
      <w:pPr>
        <w:ind w:left="360" w:hanging="36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nsid w:val="3F030AC2"/>
    <w:multiLevelType w:val="hybridMultilevel"/>
    <w:tmpl w:val="BA4C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A67774"/>
    <w:multiLevelType w:val="hybridMultilevel"/>
    <w:tmpl w:val="BF0CD5A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460E42AE"/>
    <w:multiLevelType w:val="hybridMultilevel"/>
    <w:tmpl w:val="9878D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3721070"/>
    <w:multiLevelType w:val="hybridMultilevel"/>
    <w:tmpl w:val="F884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883E63"/>
    <w:multiLevelType w:val="hybridMultilevel"/>
    <w:tmpl w:val="5ABEA2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nsid w:val="5FB4576F"/>
    <w:multiLevelType w:val="hybridMultilevel"/>
    <w:tmpl w:val="D43691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86F3882"/>
    <w:multiLevelType w:val="hybridMultilevel"/>
    <w:tmpl w:val="12FED8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6D6F135E"/>
    <w:multiLevelType w:val="hybridMultilevel"/>
    <w:tmpl w:val="861E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AA6B2E"/>
    <w:multiLevelType w:val="hybridMultilevel"/>
    <w:tmpl w:val="0ED8E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B95630C"/>
    <w:multiLevelType w:val="hybridMultilevel"/>
    <w:tmpl w:val="CD6C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7"/>
  </w:num>
  <w:num w:numId="5">
    <w:abstractNumId w:val="8"/>
  </w:num>
  <w:num w:numId="6">
    <w:abstractNumId w:val="16"/>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5"/>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Baer">
    <w15:presenceInfo w15:providerId="AD" w15:userId="S-1-5-21-2487853956-2226488063-3524254994-32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5F0"/>
    <w:rsid w:val="00065C25"/>
    <w:rsid w:val="0007657F"/>
    <w:rsid w:val="000C22C8"/>
    <w:rsid w:val="001F3733"/>
    <w:rsid w:val="002839AC"/>
    <w:rsid w:val="002D645D"/>
    <w:rsid w:val="00325727"/>
    <w:rsid w:val="004841F9"/>
    <w:rsid w:val="004D12DD"/>
    <w:rsid w:val="004F7320"/>
    <w:rsid w:val="00527271"/>
    <w:rsid w:val="00554AA1"/>
    <w:rsid w:val="00563A0F"/>
    <w:rsid w:val="005A2459"/>
    <w:rsid w:val="005C4498"/>
    <w:rsid w:val="006336B1"/>
    <w:rsid w:val="00713D61"/>
    <w:rsid w:val="00724905"/>
    <w:rsid w:val="009857AA"/>
    <w:rsid w:val="009F45F0"/>
    <w:rsid w:val="00A26390"/>
    <w:rsid w:val="00A90F43"/>
    <w:rsid w:val="00A976C5"/>
    <w:rsid w:val="00AA4E13"/>
    <w:rsid w:val="00B31A88"/>
    <w:rsid w:val="00BE2808"/>
    <w:rsid w:val="00C51BEF"/>
    <w:rsid w:val="00C572E1"/>
    <w:rsid w:val="00CC2784"/>
    <w:rsid w:val="00D216EB"/>
    <w:rsid w:val="00D8783D"/>
    <w:rsid w:val="00DD78C2"/>
    <w:rsid w:val="00E47F19"/>
    <w:rsid w:val="00E70C6E"/>
    <w:rsid w:val="00EC2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8C80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5A2459"/>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1F3733"/>
    <w:pPr>
      <w:keepNext/>
      <w:keepLines/>
      <w:spacing w:before="120" w:after="0"/>
      <w:ind w:left="576" w:hanging="576"/>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1F3733"/>
    <w:pPr>
      <w:keepNext/>
      <w:keepLines/>
      <w:spacing w:before="120" w:after="0" w:line="276" w:lineRule="auto"/>
      <w:ind w:left="720" w:right="-288" w:hanging="720"/>
      <w:outlineLvl w:val="2"/>
    </w:pPr>
    <w:rPr>
      <w:rFonts w:eastAsiaTheme="majorEastAsia" w:cstheme="majorBidi"/>
      <w:sz w:val="24"/>
      <w:szCs w:val="24"/>
    </w:rPr>
  </w:style>
  <w:style w:type="paragraph" w:styleId="Heading4">
    <w:name w:val="heading 4"/>
    <w:basedOn w:val="Normal"/>
    <w:next w:val="Normal"/>
    <w:link w:val="Heading4Char"/>
    <w:uiPriority w:val="9"/>
    <w:semiHidden/>
    <w:unhideWhenUsed/>
    <w:qFormat/>
    <w:rsid w:val="001F37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1F373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9F45F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F45F0"/>
    <w:rPr>
      <w:rFonts w:eastAsia="Times New Roman" w:cs="Times New Roman"/>
      <w:sz w:val="20"/>
    </w:rPr>
  </w:style>
  <w:style w:type="character" w:styleId="FootnoteReference">
    <w:name w:val="footnote reference"/>
    <w:aliases w:val="Footnote_Reference,o,fr"/>
    <w:uiPriority w:val="99"/>
    <w:qFormat/>
    <w:rsid w:val="009F45F0"/>
    <w:rPr>
      <w:rFonts w:ascii="Arial" w:hAnsi="Arial" w:cs="Times New Roman"/>
      <w:sz w:val="20"/>
      <w:vertAlign w:val="superscript"/>
    </w:rPr>
  </w:style>
  <w:style w:type="character" w:styleId="Hyperlink">
    <w:name w:val="Hyperlink"/>
    <w:uiPriority w:val="99"/>
    <w:rsid w:val="009F45F0"/>
    <w:rPr>
      <w:rFonts w:cs="Times New Roman"/>
      <w:color w:val="0000FF"/>
      <w:u w:val="single"/>
    </w:rPr>
  </w:style>
  <w:style w:type="paragraph" w:styleId="ListParagraph">
    <w:name w:val="List Paragraph"/>
    <w:aliases w:val="TT - List Paragraph"/>
    <w:basedOn w:val="Normal"/>
    <w:link w:val="ListParagraphChar"/>
    <w:uiPriority w:val="34"/>
    <w:qFormat/>
    <w:rsid w:val="009F45F0"/>
    <w:pPr>
      <w:ind w:left="720"/>
      <w:contextualSpacing/>
    </w:pPr>
  </w:style>
  <w:style w:type="table" w:customStyle="1" w:styleId="GridTable1Light1">
    <w:name w:val="Grid Table 1 Light1"/>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ListParagraphChar">
    <w:name w:val="List Paragraph Char"/>
    <w:aliases w:val="TT - List Paragraph Char"/>
    <w:basedOn w:val="DefaultParagraphFont"/>
    <w:link w:val="ListParagraph"/>
    <w:uiPriority w:val="34"/>
    <w:locked/>
    <w:rsid w:val="009F45F0"/>
    <w:rPr>
      <w:rFonts w:eastAsia="Times New Roman" w:cs="Times New Roman"/>
      <w:sz w:val="20"/>
    </w:rPr>
  </w:style>
  <w:style w:type="table" w:customStyle="1" w:styleId="GridTable1Light3">
    <w:name w:val="Grid Table 1 Light3"/>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C572E1"/>
    <w:pPr>
      <w:spacing w:after="100"/>
    </w:pPr>
  </w:style>
  <w:style w:type="paragraph" w:styleId="TOC2">
    <w:name w:val="toc 2"/>
    <w:basedOn w:val="Normal"/>
    <w:next w:val="Normal"/>
    <w:autoRedefine/>
    <w:uiPriority w:val="39"/>
    <w:unhideWhenUsed/>
    <w:rsid w:val="00C572E1"/>
    <w:pPr>
      <w:spacing w:after="100"/>
      <w:ind w:left="200"/>
    </w:pPr>
  </w:style>
  <w:style w:type="paragraph" w:styleId="TOC3">
    <w:name w:val="toc 3"/>
    <w:basedOn w:val="Normal"/>
    <w:next w:val="Normal"/>
    <w:autoRedefine/>
    <w:uiPriority w:val="39"/>
    <w:unhideWhenUsed/>
    <w:rsid w:val="00C572E1"/>
    <w:pPr>
      <w:spacing w:after="100"/>
      <w:ind w:left="400"/>
    </w:pPr>
  </w:style>
  <w:style w:type="paragraph" w:styleId="Header">
    <w:name w:val="header"/>
    <w:basedOn w:val="Normal"/>
    <w:link w:val="HeaderChar"/>
    <w:uiPriority w:val="99"/>
    <w:unhideWhenUsed/>
    <w:rsid w:val="00563A0F"/>
    <w:pPr>
      <w:tabs>
        <w:tab w:val="center" w:pos="4680"/>
        <w:tab w:val="right" w:pos="9360"/>
      </w:tabs>
      <w:spacing w:after="0"/>
    </w:pPr>
  </w:style>
  <w:style w:type="character" w:customStyle="1" w:styleId="HeaderChar">
    <w:name w:val="Header Char"/>
    <w:basedOn w:val="DefaultParagraphFont"/>
    <w:link w:val="Header"/>
    <w:uiPriority w:val="99"/>
    <w:rsid w:val="00563A0F"/>
    <w:rPr>
      <w:rFonts w:eastAsia="Times New Roman" w:cs="Times New Roman"/>
      <w:sz w:val="20"/>
    </w:rPr>
  </w:style>
  <w:style w:type="paragraph" w:styleId="Footer">
    <w:name w:val="footer"/>
    <w:basedOn w:val="Normal"/>
    <w:link w:val="FooterChar"/>
    <w:uiPriority w:val="99"/>
    <w:unhideWhenUsed/>
    <w:rsid w:val="00563A0F"/>
    <w:pPr>
      <w:tabs>
        <w:tab w:val="center" w:pos="4680"/>
        <w:tab w:val="right" w:pos="9360"/>
      </w:tabs>
      <w:spacing w:after="0"/>
    </w:pPr>
  </w:style>
  <w:style w:type="character" w:customStyle="1" w:styleId="FooterChar">
    <w:name w:val="Footer Char"/>
    <w:basedOn w:val="DefaultParagraphFont"/>
    <w:link w:val="Footer"/>
    <w:uiPriority w:val="99"/>
    <w:rsid w:val="00563A0F"/>
    <w:rPr>
      <w:rFonts w:eastAsia="Times New Roman" w:cs="Times New Roman"/>
      <w:sz w:val="20"/>
    </w:rPr>
  </w:style>
  <w:style w:type="character" w:customStyle="1" w:styleId="FooterChar1">
    <w:name w:val="Footer Char1"/>
    <w:uiPriority w:val="99"/>
    <w:locked/>
    <w:rsid w:val="00563A0F"/>
    <w:rPr>
      <w:rFonts w:eastAsia="Times New Roman" w:cs="Times New Roman"/>
      <w:sz w:val="20"/>
    </w:rPr>
  </w:style>
  <w:style w:type="paragraph" w:customStyle="1" w:styleId="HeaderIL">
    <w:name w:val="Header IL"/>
    <w:basedOn w:val="Header"/>
    <w:link w:val="HeaderILChar"/>
    <w:qFormat/>
    <w:rsid w:val="00563A0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63A0F"/>
    <w:rPr>
      <w:rFonts w:eastAsia="Times New Roman" w:cs="Times New Roman"/>
      <w:sz w:val="20"/>
    </w:rPr>
  </w:style>
  <w:style w:type="character" w:customStyle="1" w:styleId="Heading1Char">
    <w:name w:val="Heading 1 Char"/>
    <w:basedOn w:val="DefaultParagraphFont"/>
    <w:link w:val="Heading1"/>
    <w:uiPriority w:val="9"/>
    <w:rsid w:val="005A2459"/>
    <w:rPr>
      <w:rFonts w:eastAsiaTheme="majorEastAsia" w:cstheme="majorBidi"/>
      <w:sz w:val="32"/>
      <w:szCs w:val="32"/>
    </w:rPr>
  </w:style>
  <w:style w:type="paragraph" w:styleId="TOCHeading">
    <w:name w:val="TOC Heading"/>
    <w:basedOn w:val="Heading1"/>
    <w:next w:val="Normal"/>
    <w:uiPriority w:val="39"/>
    <w:unhideWhenUsed/>
    <w:qFormat/>
    <w:rsid w:val="00CC2784"/>
    <w:pPr>
      <w:outlineLvl w:val="9"/>
    </w:pPr>
  </w:style>
  <w:style w:type="character" w:customStyle="1" w:styleId="Heading2Char">
    <w:name w:val="Heading 2 Char"/>
    <w:basedOn w:val="DefaultParagraphFont"/>
    <w:link w:val="Heading2"/>
    <w:uiPriority w:val="9"/>
    <w:rsid w:val="001F3733"/>
    <w:rPr>
      <w:rFonts w:eastAsiaTheme="majorEastAsia" w:cstheme="majorBidi"/>
      <w:sz w:val="26"/>
      <w:szCs w:val="26"/>
    </w:rPr>
  </w:style>
  <w:style w:type="character" w:customStyle="1" w:styleId="Heading3Char">
    <w:name w:val="Heading 3 Char"/>
    <w:basedOn w:val="DefaultParagraphFont"/>
    <w:link w:val="Heading3"/>
    <w:uiPriority w:val="9"/>
    <w:rsid w:val="001F3733"/>
    <w:rPr>
      <w:rFonts w:eastAsiaTheme="majorEastAsia" w:cstheme="majorBidi"/>
      <w:sz w:val="24"/>
      <w:szCs w:val="24"/>
    </w:rPr>
  </w:style>
  <w:style w:type="character" w:customStyle="1" w:styleId="Heading6Char">
    <w:name w:val="Heading 6 Char"/>
    <w:basedOn w:val="DefaultParagraphFont"/>
    <w:link w:val="Heading6"/>
    <w:uiPriority w:val="9"/>
    <w:semiHidden/>
    <w:rsid w:val="001F3733"/>
    <w:rPr>
      <w:rFonts w:asciiTheme="majorHAnsi" w:eastAsiaTheme="majorEastAsia" w:hAnsiTheme="majorHAnsi" w:cstheme="majorBidi"/>
      <w:color w:val="1F4D78" w:themeColor="accent1" w:themeShade="7F"/>
      <w:sz w:val="20"/>
    </w:rPr>
  </w:style>
  <w:style w:type="paragraph" w:styleId="BodyText">
    <w:name w:val="Body Text"/>
    <w:basedOn w:val="Normal"/>
    <w:link w:val="BodyTextChar"/>
    <w:uiPriority w:val="99"/>
    <w:rsid w:val="001F3733"/>
    <w:pPr>
      <w:spacing w:after="240"/>
    </w:pPr>
    <w:rPr>
      <w:sz w:val="28"/>
    </w:rPr>
  </w:style>
  <w:style w:type="character" w:customStyle="1" w:styleId="BodyTextChar">
    <w:name w:val="Body Text Char"/>
    <w:basedOn w:val="DefaultParagraphFont"/>
    <w:link w:val="BodyText"/>
    <w:uiPriority w:val="99"/>
    <w:rsid w:val="001F3733"/>
    <w:rPr>
      <w:rFonts w:eastAsia="Times New Roman" w:cs="Times New Roman"/>
      <w:sz w:val="28"/>
    </w:rPr>
  </w:style>
  <w:style w:type="paragraph" w:styleId="CommentText">
    <w:name w:val="annotation text"/>
    <w:basedOn w:val="Normal"/>
    <w:link w:val="CommentTextChar"/>
    <w:uiPriority w:val="99"/>
    <w:rsid w:val="001F3733"/>
    <w:pPr>
      <w:spacing w:after="240"/>
    </w:pPr>
  </w:style>
  <w:style w:type="character" w:customStyle="1" w:styleId="CommentTextChar">
    <w:name w:val="Comment Text Char"/>
    <w:basedOn w:val="DefaultParagraphFont"/>
    <w:link w:val="CommentText"/>
    <w:uiPriority w:val="99"/>
    <w:rsid w:val="001F3733"/>
    <w:rPr>
      <w:rFonts w:eastAsia="Times New Roman" w:cs="Times New Roman"/>
      <w:sz w:val="20"/>
    </w:rPr>
  </w:style>
  <w:style w:type="character" w:styleId="CommentReference">
    <w:name w:val="annotation reference"/>
    <w:uiPriority w:val="99"/>
    <w:rsid w:val="001F3733"/>
    <w:rPr>
      <w:rFonts w:cs="Times New Roman"/>
      <w:sz w:val="16"/>
      <w:szCs w:val="16"/>
    </w:rPr>
  </w:style>
  <w:style w:type="character" w:customStyle="1" w:styleId="Heading4Char">
    <w:name w:val="Heading 4 Char"/>
    <w:basedOn w:val="DefaultParagraphFont"/>
    <w:link w:val="Heading4"/>
    <w:uiPriority w:val="9"/>
    <w:semiHidden/>
    <w:rsid w:val="001F3733"/>
    <w:rPr>
      <w:rFonts w:asciiTheme="majorHAnsi" w:eastAsiaTheme="majorEastAsia" w:hAnsiTheme="majorHAnsi" w:cstheme="majorBidi"/>
      <w:i/>
      <w:iCs/>
      <w:color w:val="2E74B5" w:themeColor="accent1" w:themeShade="BF"/>
      <w:sz w:val="20"/>
    </w:rPr>
  </w:style>
  <w:style w:type="paragraph" w:customStyle="1" w:styleId="Style1">
    <w:name w:val="Style1"/>
    <w:basedOn w:val="Heading6"/>
    <w:qFormat/>
    <w:rsid w:val="009857AA"/>
    <w:pPr>
      <w:spacing w:before="200" w:after="120" w:line="276" w:lineRule="auto"/>
    </w:pPr>
    <w:rPr>
      <w:rFonts w:asciiTheme="minorHAnsi" w:hAnsiTheme="minorHAnsi"/>
      <w:b/>
      <w:smallCaps/>
      <w:color w:val="auto"/>
    </w:rPr>
  </w:style>
  <w:style w:type="paragraph" w:styleId="BalloonText">
    <w:name w:val="Balloon Text"/>
    <w:basedOn w:val="Normal"/>
    <w:link w:val="BalloonTextChar"/>
    <w:uiPriority w:val="99"/>
    <w:semiHidden/>
    <w:unhideWhenUsed/>
    <w:rsid w:val="009857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7AA"/>
    <w:rPr>
      <w:rFonts w:ascii="Segoe UI" w:eastAsia="Times New Roman" w:hAnsi="Segoe UI" w:cs="Segoe UI"/>
      <w:sz w:val="18"/>
      <w:szCs w:val="18"/>
    </w:rPr>
  </w:style>
  <w:style w:type="paragraph" w:customStyle="1" w:styleId="AlgorithmHeading">
    <w:name w:val="Algorithm Heading"/>
    <w:basedOn w:val="Normal"/>
    <w:link w:val="AlgorithmHeadingChar"/>
    <w:qFormat/>
    <w:rsid w:val="009857AA"/>
    <w:pPr>
      <w:pBdr>
        <w:top w:val="double" w:sz="4" w:space="1" w:color="auto"/>
        <w:bottom w:val="double" w:sz="4" w:space="1" w:color="auto"/>
      </w:pBdr>
      <w:spacing w:after="240"/>
      <w:jc w:val="center"/>
    </w:pPr>
    <w:rPr>
      <w:rFonts w:cstheme="minorHAnsi"/>
      <w:b/>
      <w:szCs w:val="20"/>
    </w:rPr>
  </w:style>
  <w:style w:type="character" w:customStyle="1" w:styleId="AlgorithmHeadingChar">
    <w:name w:val="Algorithm Heading Char"/>
    <w:basedOn w:val="DefaultParagraphFont"/>
    <w:link w:val="AlgorithmHeading"/>
    <w:rsid w:val="009857AA"/>
    <w:rPr>
      <w:rFonts w:eastAsia="Times New Roman" w:cstheme="minorHAnsi"/>
      <w:b/>
      <w:sz w:val="20"/>
      <w:szCs w:val="20"/>
    </w:rPr>
  </w:style>
  <w:style w:type="table" w:styleId="TableGrid">
    <w:name w:val="Table Grid"/>
    <w:basedOn w:val="TableNormal"/>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F0"/>
    <w:pPr>
      <w:widowControl w:val="0"/>
      <w:spacing w:after="120" w:line="240" w:lineRule="auto"/>
      <w:jc w:val="both"/>
    </w:pPr>
    <w:rPr>
      <w:rFonts w:eastAsia="Times New Roman" w:cs="Times New Roman"/>
      <w:sz w:val="20"/>
    </w:rPr>
  </w:style>
  <w:style w:type="paragraph" w:styleId="Heading1">
    <w:name w:val="heading 1"/>
    <w:basedOn w:val="Normal"/>
    <w:next w:val="Normal"/>
    <w:link w:val="Heading1Char"/>
    <w:uiPriority w:val="9"/>
    <w:qFormat/>
    <w:rsid w:val="005A2459"/>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1F3733"/>
    <w:pPr>
      <w:keepNext/>
      <w:keepLines/>
      <w:spacing w:before="120" w:after="0"/>
      <w:ind w:left="576" w:hanging="576"/>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1F3733"/>
    <w:pPr>
      <w:keepNext/>
      <w:keepLines/>
      <w:spacing w:before="120" w:after="0" w:line="276" w:lineRule="auto"/>
      <w:ind w:left="720" w:right="-288" w:hanging="720"/>
      <w:outlineLvl w:val="2"/>
    </w:pPr>
    <w:rPr>
      <w:rFonts w:eastAsiaTheme="majorEastAsia" w:cstheme="majorBidi"/>
      <w:sz w:val="24"/>
      <w:szCs w:val="24"/>
    </w:rPr>
  </w:style>
  <w:style w:type="paragraph" w:styleId="Heading4">
    <w:name w:val="heading 4"/>
    <w:basedOn w:val="Normal"/>
    <w:next w:val="Normal"/>
    <w:link w:val="Heading4Char"/>
    <w:uiPriority w:val="9"/>
    <w:semiHidden/>
    <w:unhideWhenUsed/>
    <w:qFormat/>
    <w:rsid w:val="001F37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1F373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9F45F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9F45F0"/>
    <w:rPr>
      <w:rFonts w:eastAsia="Times New Roman" w:cs="Times New Roman"/>
      <w:sz w:val="20"/>
    </w:rPr>
  </w:style>
  <w:style w:type="character" w:styleId="FootnoteReference">
    <w:name w:val="footnote reference"/>
    <w:aliases w:val="Footnote_Reference,o,fr"/>
    <w:uiPriority w:val="99"/>
    <w:qFormat/>
    <w:rsid w:val="009F45F0"/>
    <w:rPr>
      <w:rFonts w:ascii="Arial" w:hAnsi="Arial" w:cs="Times New Roman"/>
      <w:sz w:val="20"/>
      <w:vertAlign w:val="superscript"/>
    </w:rPr>
  </w:style>
  <w:style w:type="character" w:styleId="Hyperlink">
    <w:name w:val="Hyperlink"/>
    <w:uiPriority w:val="99"/>
    <w:rsid w:val="009F45F0"/>
    <w:rPr>
      <w:rFonts w:cs="Times New Roman"/>
      <w:color w:val="0000FF"/>
      <w:u w:val="single"/>
    </w:rPr>
  </w:style>
  <w:style w:type="paragraph" w:styleId="ListParagraph">
    <w:name w:val="List Paragraph"/>
    <w:aliases w:val="TT - List Paragraph"/>
    <w:basedOn w:val="Normal"/>
    <w:link w:val="ListParagraphChar"/>
    <w:uiPriority w:val="34"/>
    <w:qFormat/>
    <w:rsid w:val="009F45F0"/>
    <w:pPr>
      <w:ind w:left="720"/>
      <w:contextualSpacing/>
    </w:pPr>
  </w:style>
  <w:style w:type="table" w:customStyle="1" w:styleId="GridTable1Light1">
    <w:name w:val="Grid Table 1 Light1"/>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ListParagraphChar">
    <w:name w:val="List Paragraph Char"/>
    <w:aliases w:val="TT - List Paragraph Char"/>
    <w:basedOn w:val="DefaultParagraphFont"/>
    <w:link w:val="ListParagraph"/>
    <w:uiPriority w:val="34"/>
    <w:locked/>
    <w:rsid w:val="009F45F0"/>
    <w:rPr>
      <w:rFonts w:eastAsia="Times New Roman" w:cs="Times New Roman"/>
      <w:sz w:val="20"/>
    </w:rPr>
  </w:style>
  <w:style w:type="table" w:customStyle="1" w:styleId="GridTable1Light3">
    <w:name w:val="Grid Table 1 Light3"/>
    <w:basedOn w:val="TableNormal"/>
    <w:uiPriority w:val="46"/>
    <w:rsid w:val="009F45F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TOC1">
    <w:name w:val="toc 1"/>
    <w:basedOn w:val="Normal"/>
    <w:next w:val="Normal"/>
    <w:autoRedefine/>
    <w:uiPriority w:val="39"/>
    <w:unhideWhenUsed/>
    <w:rsid w:val="00C572E1"/>
    <w:pPr>
      <w:spacing w:after="100"/>
    </w:pPr>
  </w:style>
  <w:style w:type="paragraph" w:styleId="TOC2">
    <w:name w:val="toc 2"/>
    <w:basedOn w:val="Normal"/>
    <w:next w:val="Normal"/>
    <w:autoRedefine/>
    <w:uiPriority w:val="39"/>
    <w:unhideWhenUsed/>
    <w:rsid w:val="00C572E1"/>
    <w:pPr>
      <w:spacing w:after="100"/>
      <w:ind w:left="200"/>
    </w:pPr>
  </w:style>
  <w:style w:type="paragraph" w:styleId="TOC3">
    <w:name w:val="toc 3"/>
    <w:basedOn w:val="Normal"/>
    <w:next w:val="Normal"/>
    <w:autoRedefine/>
    <w:uiPriority w:val="39"/>
    <w:unhideWhenUsed/>
    <w:rsid w:val="00C572E1"/>
    <w:pPr>
      <w:spacing w:after="100"/>
      <w:ind w:left="400"/>
    </w:pPr>
  </w:style>
  <w:style w:type="paragraph" w:styleId="Header">
    <w:name w:val="header"/>
    <w:basedOn w:val="Normal"/>
    <w:link w:val="HeaderChar"/>
    <w:uiPriority w:val="99"/>
    <w:unhideWhenUsed/>
    <w:rsid w:val="00563A0F"/>
    <w:pPr>
      <w:tabs>
        <w:tab w:val="center" w:pos="4680"/>
        <w:tab w:val="right" w:pos="9360"/>
      </w:tabs>
      <w:spacing w:after="0"/>
    </w:pPr>
  </w:style>
  <w:style w:type="character" w:customStyle="1" w:styleId="HeaderChar">
    <w:name w:val="Header Char"/>
    <w:basedOn w:val="DefaultParagraphFont"/>
    <w:link w:val="Header"/>
    <w:uiPriority w:val="99"/>
    <w:rsid w:val="00563A0F"/>
    <w:rPr>
      <w:rFonts w:eastAsia="Times New Roman" w:cs="Times New Roman"/>
      <w:sz w:val="20"/>
    </w:rPr>
  </w:style>
  <w:style w:type="paragraph" w:styleId="Footer">
    <w:name w:val="footer"/>
    <w:basedOn w:val="Normal"/>
    <w:link w:val="FooterChar"/>
    <w:uiPriority w:val="99"/>
    <w:unhideWhenUsed/>
    <w:rsid w:val="00563A0F"/>
    <w:pPr>
      <w:tabs>
        <w:tab w:val="center" w:pos="4680"/>
        <w:tab w:val="right" w:pos="9360"/>
      </w:tabs>
      <w:spacing w:after="0"/>
    </w:pPr>
  </w:style>
  <w:style w:type="character" w:customStyle="1" w:styleId="FooterChar">
    <w:name w:val="Footer Char"/>
    <w:basedOn w:val="DefaultParagraphFont"/>
    <w:link w:val="Footer"/>
    <w:uiPriority w:val="99"/>
    <w:rsid w:val="00563A0F"/>
    <w:rPr>
      <w:rFonts w:eastAsia="Times New Roman" w:cs="Times New Roman"/>
      <w:sz w:val="20"/>
    </w:rPr>
  </w:style>
  <w:style w:type="character" w:customStyle="1" w:styleId="FooterChar1">
    <w:name w:val="Footer Char1"/>
    <w:uiPriority w:val="99"/>
    <w:locked/>
    <w:rsid w:val="00563A0F"/>
    <w:rPr>
      <w:rFonts w:eastAsia="Times New Roman" w:cs="Times New Roman"/>
      <w:sz w:val="20"/>
    </w:rPr>
  </w:style>
  <w:style w:type="paragraph" w:customStyle="1" w:styleId="HeaderIL">
    <w:name w:val="Header IL"/>
    <w:basedOn w:val="Header"/>
    <w:link w:val="HeaderILChar"/>
    <w:qFormat/>
    <w:rsid w:val="00563A0F"/>
    <w:pPr>
      <w:pBdr>
        <w:bottom w:val="single" w:sz="4" w:space="0" w:color="auto"/>
      </w:pBdr>
      <w:tabs>
        <w:tab w:val="clear" w:pos="4680"/>
        <w:tab w:val="clear" w:pos="9360"/>
        <w:tab w:val="center" w:pos="4320"/>
        <w:tab w:val="right" w:pos="8640"/>
      </w:tabs>
      <w:spacing w:after="120"/>
      <w:jc w:val="left"/>
    </w:pPr>
  </w:style>
  <w:style w:type="character" w:customStyle="1" w:styleId="HeaderILChar">
    <w:name w:val="Header IL Char"/>
    <w:basedOn w:val="HeaderChar"/>
    <w:link w:val="HeaderIL"/>
    <w:rsid w:val="00563A0F"/>
    <w:rPr>
      <w:rFonts w:eastAsia="Times New Roman" w:cs="Times New Roman"/>
      <w:sz w:val="20"/>
    </w:rPr>
  </w:style>
  <w:style w:type="character" w:customStyle="1" w:styleId="Heading1Char">
    <w:name w:val="Heading 1 Char"/>
    <w:basedOn w:val="DefaultParagraphFont"/>
    <w:link w:val="Heading1"/>
    <w:uiPriority w:val="9"/>
    <w:rsid w:val="005A2459"/>
    <w:rPr>
      <w:rFonts w:eastAsiaTheme="majorEastAsia" w:cstheme="majorBidi"/>
      <w:sz w:val="32"/>
      <w:szCs w:val="32"/>
    </w:rPr>
  </w:style>
  <w:style w:type="paragraph" w:styleId="TOCHeading">
    <w:name w:val="TOC Heading"/>
    <w:basedOn w:val="Heading1"/>
    <w:next w:val="Normal"/>
    <w:uiPriority w:val="39"/>
    <w:unhideWhenUsed/>
    <w:qFormat/>
    <w:rsid w:val="00CC2784"/>
    <w:pPr>
      <w:outlineLvl w:val="9"/>
    </w:pPr>
  </w:style>
  <w:style w:type="character" w:customStyle="1" w:styleId="Heading2Char">
    <w:name w:val="Heading 2 Char"/>
    <w:basedOn w:val="DefaultParagraphFont"/>
    <w:link w:val="Heading2"/>
    <w:uiPriority w:val="9"/>
    <w:rsid w:val="001F3733"/>
    <w:rPr>
      <w:rFonts w:eastAsiaTheme="majorEastAsia" w:cstheme="majorBidi"/>
      <w:sz w:val="26"/>
      <w:szCs w:val="26"/>
    </w:rPr>
  </w:style>
  <w:style w:type="character" w:customStyle="1" w:styleId="Heading3Char">
    <w:name w:val="Heading 3 Char"/>
    <w:basedOn w:val="DefaultParagraphFont"/>
    <w:link w:val="Heading3"/>
    <w:uiPriority w:val="9"/>
    <w:rsid w:val="001F3733"/>
    <w:rPr>
      <w:rFonts w:eastAsiaTheme="majorEastAsia" w:cstheme="majorBidi"/>
      <w:sz w:val="24"/>
      <w:szCs w:val="24"/>
    </w:rPr>
  </w:style>
  <w:style w:type="character" w:customStyle="1" w:styleId="Heading6Char">
    <w:name w:val="Heading 6 Char"/>
    <w:basedOn w:val="DefaultParagraphFont"/>
    <w:link w:val="Heading6"/>
    <w:uiPriority w:val="9"/>
    <w:semiHidden/>
    <w:rsid w:val="001F3733"/>
    <w:rPr>
      <w:rFonts w:asciiTheme="majorHAnsi" w:eastAsiaTheme="majorEastAsia" w:hAnsiTheme="majorHAnsi" w:cstheme="majorBidi"/>
      <w:color w:val="1F4D78" w:themeColor="accent1" w:themeShade="7F"/>
      <w:sz w:val="20"/>
    </w:rPr>
  </w:style>
  <w:style w:type="paragraph" w:styleId="BodyText">
    <w:name w:val="Body Text"/>
    <w:basedOn w:val="Normal"/>
    <w:link w:val="BodyTextChar"/>
    <w:uiPriority w:val="99"/>
    <w:rsid w:val="001F3733"/>
    <w:pPr>
      <w:spacing w:after="240"/>
    </w:pPr>
    <w:rPr>
      <w:sz w:val="28"/>
    </w:rPr>
  </w:style>
  <w:style w:type="character" w:customStyle="1" w:styleId="BodyTextChar">
    <w:name w:val="Body Text Char"/>
    <w:basedOn w:val="DefaultParagraphFont"/>
    <w:link w:val="BodyText"/>
    <w:uiPriority w:val="99"/>
    <w:rsid w:val="001F3733"/>
    <w:rPr>
      <w:rFonts w:eastAsia="Times New Roman" w:cs="Times New Roman"/>
      <w:sz w:val="28"/>
    </w:rPr>
  </w:style>
  <w:style w:type="paragraph" w:styleId="CommentText">
    <w:name w:val="annotation text"/>
    <w:basedOn w:val="Normal"/>
    <w:link w:val="CommentTextChar"/>
    <w:uiPriority w:val="99"/>
    <w:rsid w:val="001F3733"/>
    <w:pPr>
      <w:spacing w:after="240"/>
    </w:pPr>
  </w:style>
  <w:style w:type="character" w:customStyle="1" w:styleId="CommentTextChar">
    <w:name w:val="Comment Text Char"/>
    <w:basedOn w:val="DefaultParagraphFont"/>
    <w:link w:val="CommentText"/>
    <w:uiPriority w:val="99"/>
    <w:rsid w:val="001F3733"/>
    <w:rPr>
      <w:rFonts w:eastAsia="Times New Roman" w:cs="Times New Roman"/>
      <w:sz w:val="20"/>
    </w:rPr>
  </w:style>
  <w:style w:type="character" w:styleId="CommentReference">
    <w:name w:val="annotation reference"/>
    <w:uiPriority w:val="99"/>
    <w:rsid w:val="001F3733"/>
    <w:rPr>
      <w:rFonts w:cs="Times New Roman"/>
      <w:sz w:val="16"/>
      <w:szCs w:val="16"/>
    </w:rPr>
  </w:style>
  <w:style w:type="character" w:customStyle="1" w:styleId="Heading4Char">
    <w:name w:val="Heading 4 Char"/>
    <w:basedOn w:val="DefaultParagraphFont"/>
    <w:link w:val="Heading4"/>
    <w:uiPriority w:val="9"/>
    <w:semiHidden/>
    <w:rsid w:val="001F3733"/>
    <w:rPr>
      <w:rFonts w:asciiTheme="majorHAnsi" w:eastAsiaTheme="majorEastAsia" w:hAnsiTheme="majorHAnsi" w:cstheme="majorBidi"/>
      <w:i/>
      <w:iCs/>
      <w:color w:val="2E74B5" w:themeColor="accent1" w:themeShade="BF"/>
      <w:sz w:val="20"/>
    </w:rPr>
  </w:style>
  <w:style w:type="paragraph" w:customStyle="1" w:styleId="Style1">
    <w:name w:val="Style1"/>
    <w:basedOn w:val="Heading6"/>
    <w:qFormat/>
    <w:rsid w:val="009857AA"/>
    <w:pPr>
      <w:spacing w:before="200" w:after="120" w:line="276" w:lineRule="auto"/>
    </w:pPr>
    <w:rPr>
      <w:rFonts w:asciiTheme="minorHAnsi" w:hAnsiTheme="minorHAnsi"/>
      <w:b/>
      <w:smallCaps/>
      <w:color w:val="auto"/>
    </w:rPr>
  </w:style>
  <w:style w:type="paragraph" w:styleId="BalloonText">
    <w:name w:val="Balloon Text"/>
    <w:basedOn w:val="Normal"/>
    <w:link w:val="BalloonTextChar"/>
    <w:uiPriority w:val="99"/>
    <w:semiHidden/>
    <w:unhideWhenUsed/>
    <w:rsid w:val="009857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7AA"/>
    <w:rPr>
      <w:rFonts w:ascii="Segoe UI" w:eastAsia="Times New Roman" w:hAnsi="Segoe UI" w:cs="Segoe UI"/>
      <w:sz w:val="18"/>
      <w:szCs w:val="18"/>
    </w:rPr>
  </w:style>
  <w:style w:type="paragraph" w:customStyle="1" w:styleId="AlgorithmHeading">
    <w:name w:val="Algorithm Heading"/>
    <w:basedOn w:val="Normal"/>
    <w:link w:val="AlgorithmHeadingChar"/>
    <w:qFormat/>
    <w:rsid w:val="009857AA"/>
    <w:pPr>
      <w:pBdr>
        <w:top w:val="double" w:sz="4" w:space="1" w:color="auto"/>
        <w:bottom w:val="double" w:sz="4" w:space="1" w:color="auto"/>
      </w:pBdr>
      <w:spacing w:after="240"/>
      <w:jc w:val="center"/>
    </w:pPr>
    <w:rPr>
      <w:rFonts w:cstheme="minorHAnsi"/>
      <w:b/>
      <w:szCs w:val="20"/>
    </w:rPr>
  </w:style>
  <w:style w:type="character" w:customStyle="1" w:styleId="AlgorithmHeadingChar">
    <w:name w:val="Algorithm Heading Char"/>
    <w:basedOn w:val="DefaultParagraphFont"/>
    <w:link w:val="AlgorithmHeading"/>
    <w:rsid w:val="009857AA"/>
    <w:rPr>
      <w:rFonts w:eastAsia="Times New Roman" w:cstheme="minorHAnsi"/>
      <w:b/>
      <w:sz w:val="20"/>
      <w:szCs w:val="20"/>
    </w:rPr>
  </w:style>
  <w:style w:type="table" w:styleId="TableGrid">
    <w:name w:val="Table Grid"/>
    <w:basedOn w:val="TableNormal"/>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85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comments" Target="comments.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icc.illinois.gov/downloads/public/IL%20TRM%20Policy%20Docu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14138</Words>
  <Characters>80589</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94538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Cheryl Jenkins</cp:lastModifiedBy>
  <cp:revision>2</cp:revision>
  <dcterms:created xsi:type="dcterms:W3CDTF">2015-12-18T22:47:00Z</dcterms:created>
  <dcterms:modified xsi:type="dcterms:W3CDTF">2015-12-18T22:47:00Z</dcterms:modified>
</cp:coreProperties>
</file>