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9D7" w:rsidRDefault="008329D7" w:rsidP="008329D7">
      <w:pPr>
        <w:pStyle w:val="Heading3"/>
        <w:numPr>
          <w:ilvl w:val="2"/>
          <w:numId w:val="2"/>
        </w:numPr>
      </w:pPr>
      <w:bookmarkStart w:id="0" w:name="_Toc371346715"/>
      <w:bookmarkStart w:id="1" w:name="_Ref376491828"/>
      <w:bookmarkStart w:id="2" w:name="_Ref376491837"/>
      <w:bookmarkStart w:id="3" w:name="_Toc411593571"/>
      <w:r>
        <w:t>LED Screw Based Omnidirectional Bulbs</w:t>
      </w:r>
      <w:bookmarkEnd w:id="0"/>
      <w:bookmarkEnd w:id="1"/>
      <w:bookmarkEnd w:id="2"/>
      <w:bookmarkEnd w:id="3"/>
      <w:r>
        <w:t xml:space="preserve"> </w: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Description </w:t>
      </w:r>
    </w:p>
    <w:p w:rsidR="008329D7" w:rsidRPr="00E432E0" w:rsidRDefault="008329D7" w:rsidP="008329D7">
      <w:pPr>
        <w:spacing w:after="240"/>
      </w:pPr>
      <w:r w:rsidRPr="00E432E0">
        <w:t xml:space="preserve">This characterization provides savings assumptions for LED Screw Based Omnidirectional (e.g. A-Type lamps) lamps within the residential and multifamily sectors. </w:t>
      </w:r>
      <w:r w:rsidRPr="00E432E0">
        <w:rPr>
          <w:rFonts w:cstheme="minorHAnsi"/>
        </w:rPr>
        <w:t xml:space="preserve">This characterization assumes that the LED lamp or fixture is installed in a residential location. </w:t>
      </w:r>
      <w:r w:rsidRPr="00E432E0">
        <w:rPr>
          <w:rFonts w:cstheme="minorHAnsi"/>
          <w:iCs/>
        </w:rPr>
        <w:t xml:space="preserve">Where the implementation strategy does not allow for the installation location to be known </w:t>
      </w:r>
      <w:r w:rsidRPr="00E432E0">
        <w:rPr>
          <w:rFonts w:cstheme="minorHAnsi"/>
        </w:rPr>
        <w:t xml:space="preserve">(e.g. an upstream retail program) </w:t>
      </w:r>
      <w:r w:rsidRPr="00E432E0">
        <w:rPr>
          <w:rFonts w:cstheme="minorHAnsi"/>
          <w:iCs/>
        </w:rPr>
        <w:t xml:space="preserve">evaluation data </w:t>
      </w:r>
      <w:r w:rsidRPr="00E432E0">
        <w:rPr>
          <w:rFonts w:cstheme="minorHAnsi"/>
        </w:rPr>
        <w:t xml:space="preserve">could be used to determine an </w:t>
      </w:r>
      <w:r w:rsidRPr="00E432E0">
        <w:rPr>
          <w:rFonts w:cstheme="minorHAnsi"/>
          <w:iCs/>
        </w:rPr>
        <w:t xml:space="preserve">appropriate residential v commercial split. </w:t>
      </w:r>
      <w:r w:rsidRPr="00E432E0">
        <w:rPr>
          <w:rFonts w:cstheme="minorHAnsi"/>
        </w:rPr>
        <w:t>If this is not available,</w:t>
      </w:r>
      <w:r w:rsidRPr="00E432E0">
        <w:rPr>
          <w:rFonts w:cstheme="minorHAnsi"/>
          <w:iCs/>
        </w:rPr>
        <w:t xml:space="preserve"> it is recommended to use this residential characterization for all </w:t>
      </w:r>
      <w:r w:rsidRPr="00E432E0">
        <w:rPr>
          <w:rFonts w:cstheme="minorHAnsi"/>
        </w:rPr>
        <w:t xml:space="preserve">installs in unknown locations </w:t>
      </w:r>
      <w:r w:rsidRPr="00E432E0">
        <w:rPr>
          <w:rFonts w:cstheme="minorHAnsi"/>
          <w:iCs/>
        </w:rPr>
        <w:t>to be appropriately conservative in savings assumptions.</w:t>
      </w:r>
    </w:p>
    <w:p w:rsidR="008329D7" w:rsidRPr="00E432E0" w:rsidRDefault="008329D7" w:rsidP="008329D7">
      <w:pPr>
        <w:rPr>
          <w:rFonts w:ascii="Calibri" w:hAnsi="Calibri" w:cs="Calibri"/>
          <w:szCs w:val="20"/>
        </w:rPr>
      </w:pPr>
      <w:r w:rsidRPr="00E432E0">
        <w:rPr>
          <w:rFonts w:ascii="Calibri" w:hAnsi="Calibri" w:cs="Calibri"/>
          <w:szCs w:val="20"/>
        </w:rPr>
        <w:t xml:space="preserve">This measure was developed to be applicable to the following program types:  TOS, NC, RF.  </w:t>
      </w:r>
    </w:p>
    <w:p w:rsidR="008329D7" w:rsidRPr="00E432E0" w:rsidRDefault="008329D7" w:rsidP="008329D7">
      <w:pPr>
        <w:rPr>
          <w:rFonts w:ascii="Calibri" w:hAnsi="Calibri" w:cs="Calibri"/>
          <w:szCs w:val="20"/>
        </w:rPr>
      </w:pPr>
      <w:r w:rsidRPr="00E432E0">
        <w:rPr>
          <w:rFonts w:ascii="Calibri" w:hAnsi="Calibri" w:cs="Calibri"/>
          <w:szCs w:val="20"/>
        </w:rPr>
        <w:t>If applied to other program types, the measure savings should be verified.</w: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Efficient Equipment </w:t>
      </w:r>
    </w:p>
    <w:p w:rsidR="008329D7" w:rsidRPr="00E432E0" w:rsidRDefault="008329D7" w:rsidP="008329D7">
      <w:pPr>
        <w:spacing w:after="240"/>
      </w:pPr>
      <w:r w:rsidRPr="00E432E0">
        <w:t xml:space="preserve">In order for this characterization to apply, new lamps must be Energy Star labeled. </w: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Definition of Baseline Equipment </w:t>
      </w:r>
    </w:p>
    <w:p w:rsidR="008329D7" w:rsidRPr="00E432E0" w:rsidRDefault="008329D7" w:rsidP="008329D7">
      <w:pPr>
        <w:spacing w:after="240"/>
        <w:rPr>
          <w:b/>
          <w:iCs/>
        </w:rPr>
      </w:pPr>
      <w:r w:rsidRPr="00E432E0">
        <w:t>In 2012, Federal legislation stemming from the Energy Independence and Security Act of 2007 (EIAS) will require all general-purpose light bulbs between 40 watts and 100 watts to have ~30% increased efficiency, essentially phasing out standard incandescent technology.  In 2012, the 100 w lamp standards apply; in 2013 the 75 w lamp standards will apply, followed by restrictions on the 60 w and 40 w lamps in 2014. Since measures installed under this TRM all occur after 2014, baseline equipment are the values after EISA. These are shown in the baseline table below.</w:t>
      </w:r>
    </w:p>
    <w:p w:rsidR="008329D7" w:rsidRPr="00E432E0" w:rsidRDefault="008329D7" w:rsidP="008329D7">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Lifetime of Efficient Equipment </w:t>
      </w:r>
    </w:p>
    <w:p w:rsidR="008329D7" w:rsidRPr="00E432E0" w:rsidRDefault="008329D7" w:rsidP="008329D7">
      <w:pPr>
        <w:spacing w:after="240"/>
        <w:rPr>
          <w:b/>
          <w:iCs/>
        </w:rPr>
      </w:pPr>
      <w:r w:rsidRPr="00E432E0">
        <w:t>13.7 years (exterior) to 26 years (residential home), however all installations are capped at 10 years</w:t>
      </w:r>
      <w:r w:rsidRPr="00E432E0">
        <w:rPr>
          <w:rFonts w:ascii="Arial" w:hAnsi="Arial"/>
          <w:vertAlign w:val="superscript"/>
        </w:rPr>
        <w:footnoteReference w:id="1"/>
      </w:r>
      <w:r w:rsidRPr="00E432E0">
        <w:t>.</w:t>
      </w:r>
    </w:p>
    <w:p w:rsidR="008329D7" w:rsidRPr="00E432E0" w:rsidRDefault="008329D7" w:rsidP="008329D7">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Measure Cost </w:t>
      </w:r>
    </w:p>
    <w:p w:rsidR="008329D7" w:rsidRPr="00E432E0" w:rsidRDefault="008329D7" w:rsidP="008329D7">
      <w:pPr>
        <w:spacing w:after="240"/>
        <w:rPr>
          <w:b/>
          <w:iCs/>
        </w:rPr>
      </w:pPr>
      <w:r w:rsidRPr="00E432E0">
        <w:t>Wherever possible, actual incremental costs should be used. Refer to reference table “Residential LED component Cost &amp; Lifetime” for defaults.</w:t>
      </w:r>
    </w:p>
    <w:p w:rsidR="008329D7" w:rsidRPr="00E432E0" w:rsidRDefault="008329D7" w:rsidP="008329D7">
      <w:pPr>
        <w:keepNext/>
        <w:keepLines/>
        <w:spacing w:before="200"/>
        <w:outlineLvl w:val="5"/>
        <w:rPr>
          <w:rFonts w:eastAsiaTheme="majorEastAsia" w:cstheme="majorBidi"/>
          <w:b/>
          <w:smallCaps/>
          <w:sz w:val="22"/>
        </w:rPr>
      </w:pPr>
      <w:proofErr w:type="spellStart"/>
      <w:r w:rsidRPr="00E432E0">
        <w:rPr>
          <w:rFonts w:eastAsiaTheme="majorEastAsia" w:cstheme="majorBidi"/>
          <w:b/>
          <w:iCs/>
          <w:smallCaps/>
          <w:sz w:val="22"/>
        </w:rPr>
        <w:t>Loadshape</w:t>
      </w:r>
      <w:proofErr w:type="spellEnd"/>
    </w:p>
    <w:tbl>
      <w:tblPr>
        <w:tblW w:w="8120" w:type="dxa"/>
        <w:tblInd w:w="93" w:type="dxa"/>
        <w:tblLook w:val="04A0" w:firstRow="1" w:lastRow="0" w:firstColumn="1" w:lastColumn="0" w:noHBand="0" w:noVBand="1"/>
      </w:tblPr>
      <w:tblGrid>
        <w:gridCol w:w="8120"/>
      </w:tblGrid>
      <w:tr w:rsidR="008329D7" w:rsidRPr="00E432E0" w:rsidTr="00785D9A">
        <w:trPr>
          <w:trHeight w:val="300"/>
        </w:trPr>
        <w:tc>
          <w:tcPr>
            <w:tcW w:w="8120" w:type="dxa"/>
            <w:noWrap/>
            <w:vAlign w:val="center"/>
            <w:hideMark/>
          </w:tcPr>
          <w:p w:rsidR="008329D7" w:rsidRPr="00E432E0" w:rsidRDefault="008329D7" w:rsidP="00785D9A">
            <w:pPr>
              <w:spacing w:line="276" w:lineRule="auto"/>
              <w:rPr>
                <w:rFonts w:ascii="Calibri" w:hAnsi="Calibri" w:cs="Calibri"/>
                <w:color w:val="000000"/>
                <w:szCs w:val="20"/>
              </w:rPr>
            </w:pPr>
            <w:proofErr w:type="spellStart"/>
            <w:r w:rsidRPr="00E432E0">
              <w:rPr>
                <w:rFonts w:ascii="Calibri" w:hAnsi="Calibri" w:cs="Calibri"/>
                <w:color w:val="000000"/>
                <w:szCs w:val="20"/>
              </w:rPr>
              <w:t>Loadshape</w:t>
            </w:r>
            <w:proofErr w:type="spellEnd"/>
            <w:r w:rsidRPr="00E432E0">
              <w:rPr>
                <w:rFonts w:ascii="Calibri" w:hAnsi="Calibri" w:cs="Calibri"/>
                <w:color w:val="000000"/>
                <w:szCs w:val="20"/>
              </w:rPr>
              <w:t xml:space="preserve"> R06 – Residential Indoor Lighting</w:t>
            </w:r>
          </w:p>
        </w:tc>
      </w:tr>
      <w:tr w:rsidR="008329D7" w:rsidRPr="00E432E0" w:rsidTr="00785D9A">
        <w:trPr>
          <w:trHeight w:val="300"/>
        </w:trPr>
        <w:tc>
          <w:tcPr>
            <w:tcW w:w="8120" w:type="dxa"/>
            <w:noWrap/>
            <w:vAlign w:val="center"/>
            <w:hideMark/>
          </w:tcPr>
          <w:p w:rsidR="008329D7" w:rsidRPr="00E432E0" w:rsidRDefault="008329D7" w:rsidP="00785D9A">
            <w:pPr>
              <w:spacing w:line="276" w:lineRule="auto"/>
              <w:rPr>
                <w:rFonts w:ascii="Calibri" w:hAnsi="Calibri" w:cs="Calibri"/>
                <w:color w:val="000000"/>
                <w:szCs w:val="20"/>
              </w:rPr>
            </w:pPr>
            <w:proofErr w:type="spellStart"/>
            <w:r w:rsidRPr="00E432E0">
              <w:rPr>
                <w:rFonts w:ascii="Calibri" w:hAnsi="Calibri" w:cs="Calibri"/>
                <w:color w:val="000000"/>
                <w:szCs w:val="20"/>
              </w:rPr>
              <w:t>Loadshape</w:t>
            </w:r>
            <w:proofErr w:type="spellEnd"/>
            <w:r w:rsidRPr="00E432E0">
              <w:rPr>
                <w:rFonts w:ascii="Calibri" w:hAnsi="Calibri" w:cs="Calibri"/>
                <w:color w:val="000000"/>
                <w:szCs w:val="20"/>
              </w:rPr>
              <w:t xml:space="preserve"> R07 – Residential Outdoor Lighting</w:t>
            </w:r>
          </w:p>
        </w:tc>
      </w:tr>
    </w:tbl>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Coincidence Factor </w:t>
      </w:r>
    </w:p>
    <w:p w:rsidR="008329D7" w:rsidRPr="00E432E0" w:rsidRDefault="008329D7" w:rsidP="008329D7">
      <w:pPr>
        <w:spacing w:after="240"/>
        <w:rPr>
          <w:rFonts w:cstheme="minorHAnsi"/>
        </w:rPr>
      </w:pPr>
      <w:r w:rsidRPr="00E432E0">
        <w:rPr>
          <w:rFonts w:cstheme="minorHAnsi"/>
        </w:rPr>
        <w:t>The summer peak coincidence factor is assumed to be 7.1% for Residential and in-unit Multi Family bulbs, 27.3% for exterior bulbs and 8.1% for unknown</w:t>
      </w:r>
      <w:r w:rsidRPr="00E432E0">
        <w:rPr>
          <w:rFonts w:ascii="Arial" w:eastAsiaTheme="majorEastAsia" w:hAnsi="Arial"/>
          <w:vertAlign w:val="superscript"/>
        </w:rPr>
        <w:footnoteReference w:id="2"/>
      </w:r>
      <w:r w:rsidRPr="00E432E0">
        <w:rPr>
          <w:rFonts w:cstheme="minorHAnsi"/>
        </w:rPr>
        <w:t>.</w:t>
      </w:r>
    </w:p>
    <w:p w:rsidR="008329D7" w:rsidRPr="00E432E0" w:rsidRDefault="008329D7" w:rsidP="008329D7">
      <w:pPr>
        <w:spacing w:after="240"/>
        <w:rPr>
          <w:rFonts w:cstheme="minorHAnsi"/>
        </w:rPr>
      </w:pPr>
    </w:p>
    <w:p w:rsidR="008329D7" w:rsidRPr="00E432E0" w:rsidRDefault="008329D7" w:rsidP="008329D7">
      <w:pPr>
        <w:keepNext/>
        <w:pBdr>
          <w:top w:val="double" w:sz="4" w:space="1" w:color="auto"/>
          <w:bottom w:val="double" w:sz="4" w:space="1" w:color="auto"/>
        </w:pBdr>
        <w:spacing w:after="240"/>
        <w:jc w:val="center"/>
        <w:rPr>
          <w:rFonts w:cstheme="minorHAnsi"/>
          <w:b/>
          <w:szCs w:val="20"/>
        </w:rPr>
      </w:pPr>
      <w:r w:rsidRPr="00E432E0">
        <w:rPr>
          <w:rFonts w:cstheme="minorHAnsi"/>
          <w:b/>
          <w:szCs w:val="20"/>
        </w:rPr>
        <w:lastRenderedPageBreak/>
        <w:t>Algorithm</w: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Calculation of Savings</w: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Electric Energy Savings </w:t>
      </w:r>
    </w:p>
    <w:p w:rsidR="008329D7" w:rsidRPr="00E432E0" w:rsidRDefault="008329D7" w:rsidP="008329D7">
      <w:pPr>
        <w:spacing w:after="240"/>
        <w:ind w:left="1440" w:firstLine="720"/>
        <w:rPr>
          <w:noProof/>
        </w:rPr>
      </w:pPr>
      <w:bookmarkStart w:id="4" w:name="OLE_LINK1"/>
      <w:r w:rsidRPr="00E432E0">
        <w:rPr>
          <w:noProof/>
        </w:rPr>
        <w:t>ΔkWh  = ((Watts</w:t>
      </w:r>
      <w:r w:rsidRPr="00E432E0">
        <w:rPr>
          <w:noProof/>
          <w:vertAlign w:val="subscript"/>
        </w:rPr>
        <w:t>base</w:t>
      </w:r>
      <w:r w:rsidRPr="00E432E0">
        <w:rPr>
          <w:noProof/>
        </w:rPr>
        <w:t>-Watts</w:t>
      </w:r>
      <w:r w:rsidRPr="00E432E0">
        <w:rPr>
          <w:noProof/>
          <w:vertAlign w:val="subscript"/>
        </w:rPr>
        <w:t>EE</w:t>
      </w:r>
      <w:r w:rsidRPr="00E432E0">
        <w:rPr>
          <w:noProof/>
        </w:rPr>
        <w:t>)/1000) * ISR  * (1-Leakage) * Hours *WHF</w:t>
      </w:r>
      <w:r w:rsidRPr="00E432E0">
        <w:rPr>
          <w:noProof/>
          <w:vertAlign w:val="subscript"/>
        </w:rPr>
        <w:t>e</w:t>
      </w:r>
      <w:r w:rsidRPr="00E432E0">
        <w:rPr>
          <w:noProof/>
        </w:rPr>
        <w:t xml:space="preserve"> </w:t>
      </w:r>
    </w:p>
    <w:bookmarkEnd w:id="4"/>
    <w:p w:rsidR="008329D7" w:rsidRPr="00E432E0" w:rsidRDefault="008329D7" w:rsidP="008329D7">
      <w:pPr>
        <w:spacing w:after="240"/>
        <w:rPr>
          <w:noProof/>
        </w:rPr>
      </w:pPr>
      <w:r w:rsidRPr="00E432E0">
        <w:rPr>
          <w:noProof/>
        </w:rPr>
        <w:t>Where:</w:t>
      </w:r>
    </w:p>
    <w:p w:rsidR="008329D7" w:rsidRPr="00E432E0" w:rsidRDefault="008329D7" w:rsidP="008329D7">
      <w:pPr>
        <w:spacing w:after="240"/>
        <w:ind w:left="2160" w:hanging="1440"/>
        <w:rPr>
          <w:noProof/>
        </w:rPr>
      </w:pPr>
      <w:r w:rsidRPr="00E432E0">
        <w:rPr>
          <w:noProof/>
        </w:rPr>
        <w:t>Watts</w:t>
      </w:r>
      <w:r w:rsidRPr="00E432E0">
        <w:rPr>
          <w:noProof/>
          <w:vertAlign w:val="subscript"/>
        </w:rPr>
        <w:t>base</w:t>
      </w:r>
      <w:r w:rsidRPr="00E432E0">
        <w:rPr>
          <w:noProof/>
        </w:rPr>
        <w:t xml:space="preserve"> </w:t>
      </w:r>
      <w:r w:rsidRPr="00E432E0">
        <w:rPr>
          <w:noProof/>
        </w:rPr>
        <w:tab/>
        <w:t xml:space="preserve">= Input wattage of the existing </w:t>
      </w:r>
      <w:r>
        <w:rPr>
          <w:noProof/>
        </w:rPr>
        <w:t xml:space="preserve">or baseline </w:t>
      </w:r>
      <w:r w:rsidRPr="00E432E0">
        <w:rPr>
          <w:noProof/>
        </w:rPr>
        <w:t>system. Reference the “</w:t>
      </w:r>
      <w:r w:rsidRPr="00E432E0">
        <w:t>LED New and Baseline Assumptions</w:t>
      </w:r>
      <w:r w:rsidRPr="00E432E0">
        <w:rPr>
          <w:noProof/>
        </w:rPr>
        <w:t>” table for default values.</w:t>
      </w:r>
    </w:p>
    <w:p w:rsidR="008329D7" w:rsidRPr="00E432E0" w:rsidRDefault="008329D7" w:rsidP="008329D7">
      <w:pPr>
        <w:spacing w:after="240"/>
        <w:ind w:left="2160" w:hanging="1440"/>
        <w:rPr>
          <w:rFonts w:cstheme="minorHAnsi"/>
          <w:noProof/>
        </w:rPr>
      </w:pPr>
      <w:r w:rsidRPr="00E432E0">
        <w:rPr>
          <w:noProof/>
        </w:rPr>
        <w:t>Watts</w:t>
      </w:r>
      <w:r w:rsidRPr="00E432E0">
        <w:rPr>
          <w:noProof/>
          <w:vertAlign w:val="subscript"/>
        </w:rPr>
        <w:t>EE</w:t>
      </w:r>
      <w:r w:rsidRPr="00E432E0">
        <w:rPr>
          <w:noProof/>
        </w:rPr>
        <w:tab/>
      </w:r>
      <w:r w:rsidRPr="00E432E0">
        <w:rPr>
          <w:rFonts w:cstheme="minorHAnsi"/>
          <w:noProof/>
        </w:rPr>
        <w:t>= Actual wattage of LED purchased / installed. If unknown, use default provided below:</w:t>
      </w:r>
    </w:p>
    <w:p w:rsidR="008329D7" w:rsidRPr="00E432E0" w:rsidRDefault="008329D7" w:rsidP="008329D7">
      <w:pPr>
        <w:ind w:left="2880" w:hanging="1440"/>
        <w:rPr>
          <w:b/>
          <w:noProof/>
        </w:rPr>
      </w:pPr>
      <w:r w:rsidRPr="00E432E0">
        <w:rPr>
          <w:noProof/>
        </w:rPr>
        <w:tab/>
      </w:r>
      <w:r w:rsidRPr="00E432E0">
        <w:rPr>
          <w:b/>
          <w:noProof/>
        </w:rPr>
        <w:t>LED New and Baseline Assumptions Table</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1141"/>
        <w:gridCol w:w="1533"/>
        <w:gridCol w:w="1200"/>
        <w:gridCol w:w="1324"/>
        <w:gridCol w:w="1221"/>
        <w:gridCol w:w="1553"/>
        <w:gridCol w:w="1298"/>
      </w:tblGrid>
      <w:tr w:rsidR="008329D7" w:rsidRPr="00E432E0" w:rsidTr="00785D9A">
        <w:trPr>
          <w:trHeight w:val="432"/>
        </w:trPr>
        <w:tc>
          <w:tcPr>
            <w:tcW w:w="1158"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Minimum Lumens</w:t>
            </w:r>
          </w:p>
        </w:tc>
        <w:tc>
          <w:tcPr>
            <w:tcW w:w="1141"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Maximum Lumens</w:t>
            </w:r>
          </w:p>
        </w:tc>
        <w:tc>
          <w:tcPr>
            <w:tcW w:w="1533"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Lumens used to calculate LED Wattage</w:t>
            </w:r>
          </w:p>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(midpoint)</w:t>
            </w:r>
          </w:p>
        </w:tc>
        <w:tc>
          <w:tcPr>
            <w:tcW w:w="1200"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 xml:space="preserve">LED Wattage </w:t>
            </w:r>
            <w:r w:rsidRPr="00E432E0">
              <w:rPr>
                <w:rFonts w:ascii="Arial" w:hAnsi="Arial"/>
                <w:b/>
                <w:bCs/>
                <w:color w:val="FFFFFF"/>
                <w:vertAlign w:val="superscript"/>
              </w:rPr>
              <w:footnoteReference w:id="3"/>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c>
          <w:tcPr>
            <w:tcW w:w="1324"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Baseline 2014-2019</w:t>
            </w:r>
            <w:r w:rsidRPr="00E432E0">
              <w:rPr>
                <w:rFonts w:ascii="Calibri" w:hAnsi="Calibri"/>
                <w:b/>
                <w:bCs/>
                <w:color w:val="FFFFFF"/>
                <w:szCs w:val="20"/>
              </w:rPr>
              <w:br/>
              <w:t>(</w:t>
            </w:r>
            <w:proofErr w:type="spellStart"/>
            <w:r w:rsidRPr="00E432E0">
              <w:rPr>
                <w:rFonts w:ascii="Calibri" w:hAnsi="Calibri"/>
                <w:b/>
                <w:bCs/>
                <w:color w:val="FFFFFF"/>
                <w:szCs w:val="20"/>
              </w:rPr>
              <w:t>WattsBase</w:t>
            </w:r>
            <w:proofErr w:type="spellEnd"/>
            <w:r w:rsidRPr="00E432E0">
              <w:rPr>
                <w:rFonts w:ascii="Calibri" w:hAnsi="Calibri"/>
                <w:b/>
                <w:bCs/>
                <w:color w:val="FFFFFF"/>
                <w:szCs w:val="20"/>
              </w:rPr>
              <w:t>)</w:t>
            </w:r>
          </w:p>
        </w:tc>
        <w:tc>
          <w:tcPr>
            <w:tcW w:w="1221"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Delta Watts 2014-2019</w:t>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c>
          <w:tcPr>
            <w:tcW w:w="1553"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Baseline Post EISA 2020 requirement</w:t>
            </w:r>
            <w:r w:rsidRPr="00E432E0">
              <w:rPr>
                <w:rFonts w:ascii="Arial" w:hAnsi="Arial"/>
                <w:b/>
                <w:bCs/>
                <w:color w:val="FFFFFF"/>
                <w:vertAlign w:val="superscript"/>
              </w:rPr>
              <w:footnoteReference w:id="4"/>
            </w:r>
            <w:r w:rsidRPr="00E432E0">
              <w:rPr>
                <w:rFonts w:ascii="Calibri" w:hAnsi="Calibri"/>
                <w:b/>
                <w:bCs/>
                <w:color w:val="FFFFFF"/>
                <w:szCs w:val="20"/>
              </w:rPr>
              <w:t xml:space="preserve"> </w:t>
            </w:r>
            <w:r w:rsidRPr="00E432E0">
              <w:rPr>
                <w:rFonts w:ascii="Calibri" w:hAnsi="Calibri"/>
                <w:b/>
                <w:bCs/>
                <w:color w:val="FFFFFF"/>
                <w:szCs w:val="20"/>
              </w:rPr>
              <w:br/>
              <w:t>(</w:t>
            </w:r>
            <w:proofErr w:type="spellStart"/>
            <w:r w:rsidRPr="00E432E0">
              <w:rPr>
                <w:rFonts w:ascii="Calibri" w:hAnsi="Calibri"/>
                <w:b/>
                <w:bCs/>
                <w:color w:val="FFFFFF"/>
                <w:szCs w:val="20"/>
              </w:rPr>
              <w:t>WattsBase</w:t>
            </w:r>
            <w:proofErr w:type="spellEnd"/>
            <w:r w:rsidRPr="00E432E0">
              <w:rPr>
                <w:rFonts w:ascii="Calibri" w:hAnsi="Calibri"/>
                <w:b/>
                <w:bCs/>
                <w:color w:val="FFFFFF"/>
                <w:szCs w:val="20"/>
              </w:rPr>
              <w:t>)</w:t>
            </w:r>
          </w:p>
        </w:tc>
        <w:tc>
          <w:tcPr>
            <w:tcW w:w="1298" w:type="dxa"/>
            <w:vMerge w:val="restart"/>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Delta Watts Post 2020</w:t>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r>
      <w:tr w:rsidR="008329D7" w:rsidRPr="00E432E0" w:rsidTr="00785D9A">
        <w:trPr>
          <w:trHeight w:val="510"/>
        </w:trPr>
        <w:tc>
          <w:tcPr>
            <w:tcW w:w="1158" w:type="dxa"/>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r>
      <w:tr w:rsidR="008329D7" w:rsidRPr="00E432E0" w:rsidTr="00785D9A">
        <w:trPr>
          <w:trHeight w:val="364"/>
        </w:trPr>
        <w:tc>
          <w:tcPr>
            <w:tcW w:w="1158" w:type="dxa"/>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c>
          <w:tcPr>
            <w:tcW w:w="0" w:type="auto"/>
            <w:vMerge/>
            <w:hideMark/>
          </w:tcPr>
          <w:p w:rsidR="008329D7" w:rsidRPr="00E432E0" w:rsidRDefault="008329D7" w:rsidP="00785D9A">
            <w:pPr>
              <w:widowControl/>
              <w:jc w:val="left"/>
              <w:rPr>
                <w:rFonts w:ascii="Calibri" w:hAnsi="Calibri"/>
                <w:b/>
                <w:bCs/>
                <w:color w:val="FFFFFF"/>
                <w:szCs w:val="20"/>
              </w:rPr>
            </w:pP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5280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6209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5745</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104.4</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300.0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195.6</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300.0</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195.6</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3000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5279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4140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75.3</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200.0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124.7</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200.0</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124.7</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2601</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2999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2800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50.9</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150.0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99.1</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150.0</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99.1</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1490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2600</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2045</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37.2</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72.0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34.8</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45.4</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8.3</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1050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1489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1270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23.1</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53.0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29.9</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28.2</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5.1</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750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1049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900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16.4</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43.0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26.6</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20.0</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3.6</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310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749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530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9.6</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29.0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19.4</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11.8</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2.1</w:t>
            </w:r>
          </w:p>
        </w:tc>
      </w:tr>
      <w:tr w:rsidR="008329D7" w:rsidRPr="00E432E0" w:rsidTr="00785D9A">
        <w:trPr>
          <w:trHeight w:val="300"/>
        </w:trPr>
        <w:tc>
          <w:tcPr>
            <w:tcW w:w="115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250</w:t>
            </w:r>
          </w:p>
        </w:tc>
        <w:tc>
          <w:tcPr>
            <w:tcW w:w="114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309</w:t>
            </w:r>
          </w:p>
        </w:tc>
        <w:tc>
          <w:tcPr>
            <w:tcW w:w="153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280</w:t>
            </w:r>
          </w:p>
        </w:tc>
        <w:tc>
          <w:tcPr>
            <w:tcW w:w="1200"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5.6</w:t>
            </w:r>
          </w:p>
        </w:tc>
        <w:tc>
          <w:tcPr>
            <w:tcW w:w="1324"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25.0</w:t>
            </w:r>
          </w:p>
        </w:tc>
        <w:tc>
          <w:tcPr>
            <w:tcW w:w="1221"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19.4</w:t>
            </w:r>
          </w:p>
        </w:tc>
        <w:tc>
          <w:tcPr>
            <w:tcW w:w="1553"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25.0</w:t>
            </w:r>
          </w:p>
        </w:tc>
        <w:tc>
          <w:tcPr>
            <w:tcW w:w="1298" w:type="dxa"/>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19.4</w:t>
            </w:r>
          </w:p>
        </w:tc>
      </w:tr>
    </w:tbl>
    <w:p w:rsidR="008329D7" w:rsidRPr="00E432E0" w:rsidRDefault="008329D7" w:rsidP="008329D7">
      <w:pPr>
        <w:keepNext/>
        <w:ind w:left="2880" w:hanging="1440"/>
        <w:rPr>
          <w:b/>
          <w:noProof/>
        </w:rPr>
      </w:pPr>
    </w:p>
    <w:p w:rsidR="008329D7" w:rsidRPr="00E432E0" w:rsidRDefault="008329D7" w:rsidP="008329D7">
      <w:pPr>
        <w:spacing w:after="240"/>
        <w:ind w:left="2880" w:hanging="1440"/>
        <w:rPr>
          <w:rFonts w:cstheme="minorHAnsi"/>
          <w:noProof/>
        </w:rPr>
      </w:pPr>
      <w:r w:rsidRPr="00E432E0">
        <w:rPr>
          <w:rFonts w:cstheme="minorHAnsi"/>
          <w:noProof/>
        </w:rPr>
        <w:t>ISR</w:t>
      </w:r>
      <w:r w:rsidRPr="00E432E0">
        <w:rPr>
          <w:rFonts w:cstheme="minorHAnsi"/>
          <w:noProof/>
        </w:rPr>
        <w:tab/>
        <w:t>= In Service Rate, the percentage of units rebated that are actually in service.</w:t>
      </w:r>
    </w:p>
    <w:tbl>
      <w:tblPr>
        <w:tblW w:w="7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2022"/>
        <w:gridCol w:w="1088"/>
        <w:gridCol w:w="1272"/>
        <w:gridCol w:w="1272"/>
        <w:gridCol w:w="966"/>
      </w:tblGrid>
      <w:tr w:rsidR="008329D7" w:rsidRPr="00E432E0" w:rsidTr="00785D9A">
        <w:trPr>
          <w:jc w:val="center"/>
        </w:trPr>
        <w:tc>
          <w:tcPr>
            <w:tcW w:w="3071" w:type="dxa"/>
            <w:gridSpan w:val="2"/>
            <w:shd w:val="clear" w:color="auto" w:fill="7F7F7F" w:themeFill="text1" w:themeFillTint="80"/>
            <w:vAlign w:val="center"/>
            <w:hideMark/>
          </w:tcPr>
          <w:p w:rsidR="008329D7" w:rsidRPr="00E432E0" w:rsidRDefault="008329D7" w:rsidP="00785D9A">
            <w:pPr>
              <w:keepNext/>
              <w:keepLines/>
              <w:jc w:val="center"/>
              <w:rPr>
                <w:rFonts w:cstheme="minorHAnsi"/>
                <w:b/>
                <w:color w:val="FFFFFF" w:themeColor="background1"/>
                <w:szCs w:val="16"/>
              </w:rPr>
            </w:pPr>
            <w:r w:rsidRPr="00E432E0">
              <w:rPr>
                <w:rFonts w:cstheme="minorHAnsi"/>
                <w:b/>
                <w:color w:val="FFFFFF" w:themeColor="background1"/>
                <w:szCs w:val="20"/>
              </w:rPr>
              <w:lastRenderedPageBreak/>
              <w:t>Program</w:t>
            </w:r>
          </w:p>
        </w:tc>
        <w:tc>
          <w:tcPr>
            <w:tcW w:w="1088" w:type="dxa"/>
            <w:shd w:val="clear" w:color="auto" w:fill="7F7F7F" w:themeFill="text1" w:themeFillTint="80"/>
            <w:vAlign w:val="center"/>
            <w:hideMark/>
          </w:tcPr>
          <w:p w:rsidR="008329D7" w:rsidRPr="00E432E0" w:rsidRDefault="008329D7" w:rsidP="00785D9A">
            <w:pPr>
              <w:keepNext/>
              <w:keepLines/>
              <w:jc w:val="center"/>
              <w:rPr>
                <w:rFonts w:cstheme="minorHAnsi"/>
                <w:b/>
                <w:color w:val="FFFFFF" w:themeColor="background1"/>
              </w:rPr>
            </w:pPr>
            <w:r w:rsidRPr="00E432E0">
              <w:rPr>
                <w:rFonts w:cstheme="minorHAnsi"/>
                <w:b/>
                <w:color w:val="FFFFFF" w:themeColor="background1"/>
                <w:szCs w:val="20"/>
              </w:rPr>
              <w:t>Weighted Average 1</w:t>
            </w:r>
            <w:r w:rsidRPr="00E432E0">
              <w:rPr>
                <w:rFonts w:cstheme="minorHAnsi"/>
                <w:b/>
                <w:noProof/>
                <w:color w:val="FFFFFF" w:themeColor="background1"/>
                <w:szCs w:val="20"/>
                <w:vertAlign w:val="superscript"/>
              </w:rPr>
              <w:t>st</w:t>
            </w:r>
            <w:r w:rsidRPr="00E432E0">
              <w:rPr>
                <w:rFonts w:cstheme="minorHAnsi"/>
                <w:b/>
                <w:color w:val="FFFFFF" w:themeColor="background1"/>
                <w:szCs w:val="20"/>
              </w:rPr>
              <w:t xml:space="preserve"> year In Service Rate (ISR)</w:t>
            </w:r>
          </w:p>
        </w:tc>
        <w:tc>
          <w:tcPr>
            <w:tcW w:w="1272" w:type="dxa"/>
            <w:shd w:val="clear" w:color="auto" w:fill="7F7F7F" w:themeFill="text1" w:themeFillTint="80"/>
            <w:vAlign w:val="center"/>
            <w:hideMark/>
          </w:tcPr>
          <w:p w:rsidR="008329D7" w:rsidRPr="00E432E0" w:rsidRDefault="008329D7" w:rsidP="00785D9A">
            <w:pPr>
              <w:keepNext/>
              <w:keepLines/>
              <w:jc w:val="center"/>
              <w:rPr>
                <w:rFonts w:cstheme="minorHAnsi"/>
                <w:b/>
                <w:color w:val="FFFFFF" w:themeColor="background1"/>
              </w:rPr>
            </w:pPr>
            <w:r w:rsidRPr="00E432E0">
              <w:rPr>
                <w:rFonts w:cstheme="minorHAnsi"/>
                <w:b/>
                <w:color w:val="FFFFFF" w:themeColor="background1"/>
                <w:szCs w:val="20"/>
              </w:rPr>
              <w:t>2</w:t>
            </w:r>
            <w:r w:rsidRPr="00E432E0">
              <w:rPr>
                <w:rFonts w:cstheme="minorHAnsi"/>
                <w:b/>
                <w:noProof/>
                <w:color w:val="FFFFFF" w:themeColor="background1"/>
                <w:szCs w:val="20"/>
                <w:vertAlign w:val="superscript"/>
              </w:rPr>
              <w:t>nd</w:t>
            </w:r>
            <w:r w:rsidRPr="00E432E0">
              <w:rPr>
                <w:rFonts w:cstheme="minorHAnsi"/>
                <w:b/>
                <w:color w:val="FFFFFF" w:themeColor="background1"/>
                <w:szCs w:val="20"/>
              </w:rPr>
              <w:t xml:space="preserve"> year Installations</w:t>
            </w:r>
          </w:p>
        </w:tc>
        <w:tc>
          <w:tcPr>
            <w:tcW w:w="1272" w:type="dxa"/>
            <w:shd w:val="clear" w:color="auto" w:fill="7F7F7F" w:themeFill="text1" w:themeFillTint="80"/>
            <w:vAlign w:val="center"/>
            <w:hideMark/>
          </w:tcPr>
          <w:p w:rsidR="008329D7" w:rsidRPr="00E432E0" w:rsidRDefault="008329D7" w:rsidP="00785D9A">
            <w:pPr>
              <w:keepNext/>
              <w:keepLines/>
              <w:jc w:val="center"/>
              <w:rPr>
                <w:rFonts w:cstheme="minorHAnsi"/>
                <w:b/>
                <w:color w:val="FFFFFF" w:themeColor="background1"/>
              </w:rPr>
            </w:pPr>
            <w:r w:rsidRPr="00E432E0">
              <w:rPr>
                <w:rFonts w:cstheme="minorHAnsi"/>
                <w:b/>
                <w:color w:val="FFFFFF" w:themeColor="background1"/>
                <w:szCs w:val="20"/>
              </w:rPr>
              <w:t>3</w:t>
            </w:r>
            <w:r w:rsidRPr="00E432E0">
              <w:rPr>
                <w:rFonts w:cstheme="minorHAnsi"/>
                <w:b/>
                <w:noProof/>
                <w:color w:val="FFFFFF" w:themeColor="background1"/>
                <w:szCs w:val="20"/>
                <w:vertAlign w:val="superscript"/>
              </w:rPr>
              <w:t>rd</w:t>
            </w:r>
            <w:r w:rsidRPr="00E432E0">
              <w:rPr>
                <w:rFonts w:cstheme="minorHAnsi"/>
                <w:b/>
                <w:color w:val="FFFFFF" w:themeColor="background1"/>
                <w:szCs w:val="20"/>
              </w:rPr>
              <w:t xml:space="preserve"> year Installations</w:t>
            </w:r>
          </w:p>
        </w:tc>
        <w:tc>
          <w:tcPr>
            <w:tcW w:w="966" w:type="dxa"/>
            <w:shd w:val="clear" w:color="auto" w:fill="7F7F7F" w:themeFill="text1" w:themeFillTint="80"/>
            <w:vAlign w:val="center"/>
            <w:hideMark/>
          </w:tcPr>
          <w:p w:rsidR="008329D7" w:rsidRPr="00E432E0" w:rsidRDefault="008329D7" w:rsidP="00785D9A">
            <w:pPr>
              <w:keepNext/>
              <w:keepLines/>
              <w:jc w:val="center"/>
              <w:rPr>
                <w:rFonts w:cstheme="minorHAnsi"/>
                <w:b/>
                <w:color w:val="FFFFFF" w:themeColor="background1"/>
              </w:rPr>
            </w:pPr>
            <w:r w:rsidRPr="00E432E0">
              <w:rPr>
                <w:rFonts w:cstheme="minorHAnsi"/>
                <w:b/>
                <w:color w:val="FFFFFF" w:themeColor="background1"/>
                <w:szCs w:val="20"/>
              </w:rPr>
              <w:t>Final Lifetime In Service Rate</w:t>
            </w:r>
          </w:p>
        </w:tc>
      </w:tr>
      <w:tr w:rsidR="008329D7" w:rsidRPr="00E432E0" w:rsidTr="00785D9A">
        <w:trPr>
          <w:trHeight w:val="467"/>
          <w:jc w:val="center"/>
        </w:trPr>
        <w:tc>
          <w:tcPr>
            <w:tcW w:w="3071" w:type="dxa"/>
            <w:gridSpan w:val="2"/>
            <w:vAlign w:val="center"/>
            <w:hideMark/>
          </w:tcPr>
          <w:p w:rsidR="008329D7" w:rsidRPr="00E432E0" w:rsidRDefault="008329D7" w:rsidP="00785D9A">
            <w:r w:rsidRPr="00E432E0">
              <w:rPr>
                <w:szCs w:val="20"/>
              </w:rPr>
              <w:t xml:space="preserve">Retail (Time of Sale) </w:t>
            </w:r>
          </w:p>
        </w:tc>
        <w:tc>
          <w:tcPr>
            <w:tcW w:w="1088" w:type="dxa"/>
            <w:vAlign w:val="center"/>
            <w:hideMark/>
          </w:tcPr>
          <w:p w:rsidR="008329D7" w:rsidRPr="00EC1B62" w:rsidRDefault="008329D7" w:rsidP="00785D9A">
            <w:pPr>
              <w:jc w:val="center"/>
              <w:rPr>
                <w:szCs w:val="20"/>
              </w:rPr>
            </w:pPr>
            <w:r w:rsidRPr="00E432E0">
              <w:rPr>
                <w:szCs w:val="20"/>
              </w:rPr>
              <w:t>95%</w:t>
            </w:r>
            <w:r w:rsidRPr="00E432E0">
              <w:rPr>
                <w:rFonts w:eastAsiaTheme="majorEastAsia"/>
                <w:szCs w:val="20"/>
                <w:vertAlign w:val="superscript"/>
              </w:rPr>
              <w:footnoteReference w:id="5"/>
            </w:r>
          </w:p>
        </w:tc>
        <w:tc>
          <w:tcPr>
            <w:tcW w:w="1272" w:type="dxa"/>
            <w:vAlign w:val="center"/>
            <w:hideMark/>
          </w:tcPr>
          <w:p w:rsidR="008329D7" w:rsidRPr="00E432E0" w:rsidRDefault="008329D7" w:rsidP="00785D9A">
            <w:pPr>
              <w:jc w:val="center"/>
              <w:rPr>
                <w:szCs w:val="16"/>
              </w:rPr>
            </w:pPr>
            <w:r w:rsidRPr="00E432E0">
              <w:rPr>
                <w:szCs w:val="20"/>
              </w:rPr>
              <w:t>1.6%</w:t>
            </w:r>
          </w:p>
        </w:tc>
        <w:tc>
          <w:tcPr>
            <w:tcW w:w="1272" w:type="dxa"/>
            <w:vAlign w:val="center"/>
            <w:hideMark/>
          </w:tcPr>
          <w:p w:rsidR="008329D7" w:rsidRPr="00E432E0" w:rsidRDefault="008329D7" w:rsidP="00785D9A">
            <w:pPr>
              <w:jc w:val="center"/>
              <w:rPr>
                <w:szCs w:val="16"/>
              </w:rPr>
            </w:pPr>
            <w:r w:rsidRPr="00E432E0">
              <w:rPr>
                <w:szCs w:val="20"/>
              </w:rPr>
              <w:t>1.4%</w:t>
            </w:r>
          </w:p>
        </w:tc>
        <w:tc>
          <w:tcPr>
            <w:tcW w:w="966" w:type="dxa"/>
            <w:vAlign w:val="center"/>
            <w:hideMark/>
          </w:tcPr>
          <w:p w:rsidR="008329D7" w:rsidRPr="00E432E0" w:rsidRDefault="008329D7" w:rsidP="00785D9A">
            <w:pPr>
              <w:jc w:val="center"/>
              <w:rPr>
                <w:szCs w:val="16"/>
              </w:rPr>
            </w:pPr>
            <w:r w:rsidRPr="00E432E0">
              <w:rPr>
                <w:szCs w:val="20"/>
              </w:rPr>
              <w:t>98.0%</w:t>
            </w:r>
            <w:r w:rsidRPr="00E432E0">
              <w:rPr>
                <w:rFonts w:eastAsiaTheme="majorEastAsia"/>
                <w:szCs w:val="20"/>
                <w:vertAlign w:val="superscript"/>
              </w:rPr>
              <w:footnoteReference w:id="6"/>
            </w:r>
          </w:p>
        </w:tc>
      </w:tr>
      <w:tr w:rsidR="008329D7" w:rsidRPr="00E432E0" w:rsidTr="00785D9A">
        <w:trPr>
          <w:trHeight w:val="260"/>
          <w:jc w:val="center"/>
        </w:trPr>
        <w:tc>
          <w:tcPr>
            <w:tcW w:w="3071" w:type="dxa"/>
            <w:gridSpan w:val="2"/>
            <w:vAlign w:val="center"/>
            <w:hideMark/>
          </w:tcPr>
          <w:p w:rsidR="008329D7" w:rsidRPr="00E432E0" w:rsidRDefault="008329D7" w:rsidP="00785D9A">
            <w:pPr>
              <w:rPr>
                <w:szCs w:val="16"/>
              </w:rPr>
            </w:pPr>
            <w:r w:rsidRPr="00E432E0">
              <w:rPr>
                <w:szCs w:val="20"/>
              </w:rPr>
              <w:t>Direct Install</w:t>
            </w:r>
          </w:p>
        </w:tc>
        <w:tc>
          <w:tcPr>
            <w:tcW w:w="1088" w:type="dxa"/>
            <w:vAlign w:val="center"/>
            <w:hideMark/>
          </w:tcPr>
          <w:p w:rsidR="008329D7" w:rsidRPr="00E432E0" w:rsidRDefault="008329D7" w:rsidP="00785D9A">
            <w:pPr>
              <w:jc w:val="center"/>
              <w:rPr>
                <w:szCs w:val="16"/>
              </w:rPr>
            </w:pPr>
            <w:r w:rsidRPr="00E432E0">
              <w:rPr>
                <w:szCs w:val="20"/>
              </w:rPr>
              <w:t>96.9%</w:t>
            </w:r>
            <w:r w:rsidRPr="00E432E0">
              <w:rPr>
                <w:rFonts w:eastAsiaTheme="majorEastAsia"/>
                <w:szCs w:val="20"/>
                <w:vertAlign w:val="superscript"/>
              </w:rPr>
              <w:footnoteReference w:id="7"/>
            </w:r>
          </w:p>
        </w:tc>
        <w:tc>
          <w:tcPr>
            <w:tcW w:w="1272" w:type="dxa"/>
            <w:shd w:val="clear" w:color="auto" w:fill="A6A6A6" w:themeFill="background1" w:themeFillShade="A6"/>
            <w:vAlign w:val="center"/>
          </w:tcPr>
          <w:p w:rsidR="008329D7" w:rsidRPr="00E432E0" w:rsidRDefault="008329D7" w:rsidP="00785D9A">
            <w:pPr>
              <w:jc w:val="center"/>
            </w:pPr>
          </w:p>
        </w:tc>
        <w:tc>
          <w:tcPr>
            <w:tcW w:w="1272" w:type="dxa"/>
            <w:shd w:val="clear" w:color="auto" w:fill="A6A6A6" w:themeFill="background1" w:themeFillShade="A6"/>
            <w:vAlign w:val="center"/>
          </w:tcPr>
          <w:p w:rsidR="008329D7" w:rsidRPr="00E432E0" w:rsidRDefault="008329D7" w:rsidP="00785D9A">
            <w:pPr>
              <w:jc w:val="center"/>
            </w:pPr>
          </w:p>
        </w:tc>
        <w:tc>
          <w:tcPr>
            <w:tcW w:w="966" w:type="dxa"/>
            <w:shd w:val="clear" w:color="auto" w:fill="A6A6A6" w:themeFill="background1" w:themeFillShade="A6"/>
            <w:vAlign w:val="center"/>
          </w:tcPr>
          <w:p w:rsidR="008329D7" w:rsidRPr="00E432E0" w:rsidRDefault="008329D7" w:rsidP="00785D9A">
            <w:pPr>
              <w:jc w:val="center"/>
            </w:pPr>
          </w:p>
        </w:tc>
      </w:tr>
      <w:tr w:rsidR="008329D7" w:rsidRPr="00E432E0" w:rsidTr="00785D9A">
        <w:trPr>
          <w:trHeight w:val="260"/>
          <w:jc w:val="center"/>
        </w:trPr>
        <w:tc>
          <w:tcPr>
            <w:tcW w:w="1049" w:type="dxa"/>
            <w:vMerge w:val="restart"/>
          </w:tcPr>
          <w:p w:rsidR="008329D7" w:rsidRPr="00E432E0" w:rsidRDefault="008329D7" w:rsidP="00785D9A">
            <w:pPr>
              <w:rPr>
                <w:szCs w:val="20"/>
              </w:rPr>
            </w:pPr>
            <w:r w:rsidRPr="00E432E0">
              <w:rPr>
                <w:szCs w:val="20"/>
              </w:rPr>
              <w:t>Efficiency Kits</w:t>
            </w:r>
            <w:r w:rsidRPr="00E432E0">
              <w:rPr>
                <w:szCs w:val="20"/>
                <w:vertAlign w:val="superscript"/>
              </w:rPr>
              <w:footnoteReference w:id="8"/>
            </w:r>
          </w:p>
        </w:tc>
        <w:tc>
          <w:tcPr>
            <w:tcW w:w="2022" w:type="dxa"/>
          </w:tcPr>
          <w:p w:rsidR="008329D7" w:rsidRPr="005A5D75" w:rsidRDefault="008329D7" w:rsidP="00785D9A">
            <w:pPr>
              <w:rPr>
                <w:szCs w:val="20"/>
              </w:rPr>
            </w:pPr>
            <w:r w:rsidRPr="009C362B">
              <w:rPr>
                <w:color w:val="000000"/>
                <w:szCs w:val="20"/>
              </w:rPr>
              <w:t>CFL Distribution</w:t>
            </w:r>
            <w:r w:rsidRPr="009C362B">
              <w:rPr>
                <w:color w:val="000000"/>
                <w:szCs w:val="20"/>
                <w:vertAlign w:val="superscript"/>
              </w:rPr>
              <w:footnoteReference w:id="9"/>
            </w:r>
          </w:p>
        </w:tc>
        <w:tc>
          <w:tcPr>
            <w:tcW w:w="1088" w:type="dxa"/>
          </w:tcPr>
          <w:p w:rsidR="008329D7" w:rsidRPr="00E432E0" w:rsidRDefault="008329D7" w:rsidP="00785D9A">
            <w:pPr>
              <w:jc w:val="center"/>
              <w:rPr>
                <w:szCs w:val="20"/>
              </w:rPr>
            </w:pPr>
            <w:r w:rsidRPr="00E432E0">
              <w:rPr>
                <w:color w:val="000000"/>
                <w:szCs w:val="20"/>
              </w:rPr>
              <w:t>59%</w:t>
            </w:r>
          </w:p>
        </w:tc>
        <w:tc>
          <w:tcPr>
            <w:tcW w:w="1272" w:type="dxa"/>
            <w:shd w:val="clear" w:color="auto" w:fill="auto"/>
          </w:tcPr>
          <w:p w:rsidR="008329D7" w:rsidRPr="00C108C8" w:rsidRDefault="008329D7" w:rsidP="00785D9A">
            <w:pPr>
              <w:jc w:val="center"/>
              <w:rPr>
                <w:szCs w:val="20"/>
              </w:rPr>
            </w:pPr>
            <w:r w:rsidRPr="00C108C8">
              <w:rPr>
                <w:color w:val="000000"/>
                <w:szCs w:val="20"/>
              </w:rPr>
              <w:t>13%</w:t>
            </w:r>
          </w:p>
        </w:tc>
        <w:tc>
          <w:tcPr>
            <w:tcW w:w="1272" w:type="dxa"/>
            <w:shd w:val="clear" w:color="auto" w:fill="auto"/>
          </w:tcPr>
          <w:p w:rsidR="008329D7" w:rsidRPr="00C108C8" w:rsidRDefault="008329D7" w:rsidP="00785D9A">
            <w:pPr>
              <w:jc w:val="center"/>
              <w:rPr>
                <w:szCs w:val="20"/>
              </w:rPr>
            </w:pPr>
            <w:r w:rsidRPr="00C108C8">
              <w:rPr>
                <w:color w:val="000000"/>
                <w:szCs w:val="20"/>
              </w:rPr>
              <w:t>11%</w:t>
            </w:r>
          </w:p>
        </w:tc>
        <w:tc>
          <w:tcPr>
            <w:tcW w:w="966" w:type="dxa"/>
            <w:shd w:val="clear" w:color="auto" w:fill="auto"/>
          </w:tcPr>
          <w:p w:rsidR="008329D7" w:rsidRPr="00C108C8" w:rsidRDefault="008329D7" w:rsidP="00785D9A">
            <w:pPr>
              <w:jc w:val="center"/>
              <w:rPr>
                <w:szCs w:val="20"/>
              </w:rPr>
            </w:pPr>
            <w:r w:rsidRPr="00C108C8">
              <w:rPr>
                <w:color w:val="000000"/>
                <w:szCs w:val="20"/>
              </w:rPr>
              <w:t>83%</w:t>
            </w:r>
          </w:p>
        </w:tc>
      </w:tr>
      <w:tr w:rsidR="008329D7" w:rsidRPr="00E432E0" w:rsidTr="00785D9A">
        <w:trPr>
          <w:trHeight w:val="260"/>
          <w:jc w:val="center"/>
        </w:trPr>
        <w:tc>
          <w:tcPr>
            <w:tcW w:w="1049" w:type="dxa"/>
            <w:vMerge/>
          </w:tcPr>
          <w:p w:rsidR="008329D7" w:rsidRPr="00E432E0" w:rsidRDefault="008329D7" w:rsidP="00785D9A">
            <w:pPr>
              <w:rPr>
                <w:szCs w:val="20"/>
              </w:rPr>
            </w:pPr>
          </w:p>
        </w:tc>
        <w:tc>
          <w:tcPr>
            <w:tcW w:w="2022" w:type="dxa"/>
          </w:tcPr>
          <w:p w:rsidR="008329D7" w:rsidRPr="005A5D75" w:rsidRDefault="008329D7" w:rsidP="00785D9A">
            <w:pPr>
              <w:rPr>
                <w:szCs w:val="20"/>
              </w:rPr>
            </w:pPr>
            <w:r w:rsidRPr="009C362B">
              <w:rPr>
                <w:color w:val="000000"/>
                <w:szCs w:val="20"/>
              </w:rPr>
              <w:t>School Kits</w:t>
            </w:r>
            <w:r w:rsidRPr="009C362B">
              <w:rPr>
                <w:color w:val="000000"/>
                <w:szCs w:val="20"/>
                <w:vertAlign w:val="superscript"/>
              </w:rPr>
              <w:footnoteReference w:id="10"/>
            </w:r>
          </w:p>
        </w:tc>
        <w:tc>
          <w:tcPr>
            <w:tcW w:w="1088" w:type="dxa"/>
          </w:tcPr>
          <w:p w:rsidR="008329D7" w:rsidRPr="00E432E0" w:rsidRDefault="008329D7" w:rsidP="00785D9A">
            <w:pPr>
              <w:jc w:val="center"/>
              <w:rPr>
                <w:szCs w:val="20"/>
              </w:rPr>
            </w:pPr>
            <w:r w:rsidRPr="00E432E0">
              <w:rPr>
                <w:color w:val="000000"/>
              </w:rPr>
              <w:t>61%</w:t>
            </w:r>
          </w:p>
        </w:tc>
        <w:tc>
          <w:tcPr>
            <w:tcW w:w="1272" w:type="dxa"/>
            <w:shd w:val="clear" w:color="auto" w:fill="auto"/>
          </w:tcPr>
          <w:p w:rsidR="008329D7" w:rsidRPr="00C108C8" w:rsidRDefault="008329D7" w:rsidP="00785D9A">
            <w:pPr>
              <w:jc w:val="center"/>
              <w:rPr>
                <w:szCs w:val="20"/>
              </w:rPr>
            </w:pPr>
            <w:r w:rsidRPr="00C108C8">
              <w:rPr>
                <w:color w:val="000000"/>
              </w:rPr>
              <w:t>13%</w:t>
            </w:r>
          </w:p>
        </w:tc>
        <w:tc>
          <w:tcPr>
            <w:tcW w:w="1272" w:type="dxa"/>
            <w:shd w:val="clear" w:color="auto" w:fill="auto"/>
          </w:tcPr>
          <w:p w:rsidR="008329D7" w:rsidRPr="00C108C8" w:rsidRDefault="008329D7" w:rsidP="00785D9A">
            <w:pPr>
              <w:jc w:val="center"/>
              <w:rPr>
                <w:szCs w:val="20"/>
              </w:rPr>
            </w:pPr>
            <w:r w:rsidRPr="00C108C8">
              <w:rPr>
                <w:color w:val="000000"/>
              </w:rPr>
              <w:t>11%</w:t>
            </w:r>
          </w:p>
        </w:tc>
        <w:tc>
          <w:tcPr>
            <w:tcW w:w="966" w:type="dxa"/>
            <w:shd w:val="clear" w:color="auto" w:fill="auto"/>
          </w:tcPr>
          <w:p w:rsidR="008329D7" w:rsidRPr="00C108C8" w:rsidRDefault="008329D7" w:rsidP="00785D9A">
            <w:pPr>
              <w:jc w:val="center"/>
              <w:rPr>
                <w:szCs w:val="20"/>
              </w:rPr>
            </w:pPr>
            <w:r w:rsidRPr="00C108C8">
              <w:rPr>
                <w:color w:val="000000"/>
              </w:rPr>
              <w:t>86%</w:t>
            </w:r>
          </w:p>
        </w:tc>
      </w:tr>
      <w:tr w:rsidR="008329D7" w:rsidRPr="00E432E0" w:rsidTr="00785D9A">
        <w:trPr>
          <w:trHeight w:val="260"/>
          <w:jc w:val="center"/>
        </w:trPr>
        <w:tc>
          <w:tcPr>
            <w:tcW w:w="1049" w:type="dxa"/>
            <w:vMerge/>
          </w:tcPr>
          <w:p w:rsidR="008329D7" w:rsidRPr="00E432E0" w:rsidRDefault="008329D7" w:rsidP="00785D9A">
            <w:pPr>
              <w:rPr>
                <w:szCs w:val="20"/>
              </w:rPr>
            </w:pPr>
          </w:p>
        </w:tc>
        <w:tc>
          <w:tcPr>
            <w:tcW w:w="2022" w:type="dxa"/>
          </w:tcPr>
          <w:p w:rsidR="008329D7" w:rsidRPr="005A5D75" w:rsidRDefault="008329D7" w:rsidP="00785D9A">
            <w:pPr>
              <w:rPr>
                <w:szCs w:val="20"/>
              </w:rPr>
            </w:pPr>
            <w:r w:rsidRPr="009C362B">
              <w:rPr>
                <w:color w:val="000000"/>
                <w:szCs w:val="20"/>
              </w:rPr>
              <w:t>Direct Mail Kits</w:t>
            </w:r>
            <w:r w:rsidRPr="009C362B">
              <w:rPr>
                <w:color w:val="000000"/>
                <w:szCs w:val="20"/>
                <w:vertAlign w:val="superscript"/>
              </w:rPr>
              <w:footnoteReference w:id="11"/>
            </w:r>
          </w:p>
        </w:tc>
        <w:tc>
          <w:tcPr>
            <w:tcW w:w="1088" w:type="dxa"/>
          </w:tcPr>
          <w:p w:rsidR="008329D7" w:rsidRPr="00E432E0" w:rsidRDefault="008329D7" w:rsidP="00785D9A">
            <w:pPr>
              <w:jc w:val="center"/>
              <w:rPr>
                <w:szCs w:val="20"/>
              </w:rPr>
            </w:pPr>
            <w:r w:rsidRPr="00E432E0">
              <w:rPr>
                <w:color w:val="000000"/>
              </w:rPr>
              <w:t>66%</w:t>
            </w:r>
          </w:p>
        </w:tc>
        <w:tc>
          <w:tcPr>
            <w:tcW w:w="1272" w:type="dxa"/>
            <w:shd w:val="clear" w:color="auto" w:fill="auto"/>
          </w:tcPr>
          <w:p w:rsidR="008329D7" w:rsidRPr="00C108C8" w:rsidRDefault="008329D7" w:rsidP="00785D9A">
            <w:pPr>
              <w:jc w:val="center"/>
              <w:rPr>
                <w:szCs w:val="20"/>
              </w:rPr>
            </w:pPr>
            <w:r w:rsidRPr="00C108C8">
              <w:rPr>
                <w:color w:val="000000"/>
              </w:rPr>
              <w:t>14%</w:t>
            </w:r>
          </w:p>
        </w:tc>
        <w:tc>
          <w:tcPr>
            <w:tcW w:w="1272" w:type="dxa"/>
            <w:shd w:val="clear" w:color="auto" w:fill="auto"/>
          </w:tcPr>
          <w:p w:rsidR="008329D7" w:rsidRPr="00C108C8" w:rsidRDefault="008329D7" w:rsidP="00785D9A">
            <w:pPr>
              <w:jc w:val="center"/>
              <w:rPr>
                <w:szCs w:val="20"/>
              </w:rPr>
            </w:pPr>
            <w:r w:rsidRPr="00C108C8">
              <w:rPr>
                <w:color w:val="000000"/>
              </w:rPr>
              <w:t>12%</w:t>
            </w:r>
          </w:p>
        </w:tc>
        <w:tc>
          <w:tcPr>
            <w:tcW w:w="966" w:type="dxa"/>
            <w:shd w:val="clear" w:color="auto" w:fill="auto"/>
          </w:tcPr>
          <w:p w:rsidR="008329D7" w:rsidRPr="00C108C8" w:rsidRDefault="008329D7" w:rsidP="00785D9A">
            <w:pPr>
              <w:jc w:val="center"/>
              <w:rPr>
                <w:szCs w:val="20"/>
              </w:rPr>
            </w:pPr>
            <w:r w:rsidRPr="00C108C8">
              <w:rPr>
                <w:color w:val="000000"/>
              </w:rPr>
              <w:t>93%</w:t>
            </w:r>
          </w:p>
        </w:tc>
      </w:tr>
    </w:tbl>
    <w:p w:rsidR="008329D7" w:rsidRPr="00E432E0" w:rsidRDefault="008329D7" w:rsidP="008329D7">
      <w:pPr>
        <w:spacing w:after="240"/>
        <w:ind w:left="1440"/>
        <w:rPr>
          <w:rFonts w:cstheme="minorHAnsi"/>
          <w:noProof/>
        </w:rPr>
      </w:pPr>
    </w:p>
    <w:p w:rsidR="008329D7" w:rsidRPr="00E432E0" w:rsidRDefault="008329D7" w:rsidP="008329D7">
      <w:pPr>
        <w:spacing w:after="240"/>
        <w:ind w:left="2160" w:hanging="1440"/>
        <w:rPr>
          <w:rFonts w:cstheme="minorHAnsi"/>
          <w:noProof/>
        </w:rPr>
      </w:pPr>
      <w:r w:rsidRPr="00E432E0">
        <w:rPr>
          <w:rFonts w:cstheme="minorHAnsi"/>
          <w:noProof/>
        </w:rPr>
        <w:t>Leakage</w:t>
      </w:r>
      <w:r w:rsidRPr="00E432E0">
        <w:rPr>
          <w:rFonts w:cstheme="minorHAnsi"/>
          <w:noProof/>
        </w:rPr>
        <w:tab/>
        <w:t xml:space="preserve">= Adjustment to account for the percentage of bulbs purchased that move out (and in if deemed appropriate) of the Utility Jurisdiction. </w:t>
      </w:r>
    </w:p>
    <w:p w:rsidR="008329D7" w:rsidRPr="00E432E0" w:rsidRDefault="008329D7" w:rsidP="008329D7">
      <w:pPr>
        <w:spacing w:after="240"/>
        <w:ind w:left="2160" w:hanging="720"/>
        <w:rPr>
          <w:rFonts w:cstheme="minorHAnsi"/>
          <w:noProof/>
        </w:rPr>
      </w:pPr>
      <w:r w:rsidRPr="00E432E0">
        <w:rPr>
          <w:rFonts w:cstheme="minorHAnsi"/>
          <w:noProof/>
        </w:rPr>
        <w:t xml:space="preserve">Upstream (TOS) Lighting programs </w:t>
      </w:r>
      <w:r w:rsidRPr="00E432E0">
        <w:rPr>
          <w:rFonts w:cstheme="minorHAnsi"/>
          <w:noProof/>
        </w:rPr>
        <w:tab/>
        <w:t>=  Determined through evaluation</w:t>
      </w:r>
      <w:r w:rsidRPr="00E432E0">
        <w:rPr>
          <w:rFonts w:ascii="Arial" w:hAnsi="Arial"/>
          <w:noProof/>
          <w:vertAlign w:val="superscript"/>
        </w:rPr>
        <w:footnoteReference w:id="12"/>
      </w:r>
      <w:r w:rsidRPr="00E432E0">
        <w:rPr>
          <w:rFonts w:cstheme="minorHAnsi"/>
          <w:noProof/>
        </w:rPr>
        <w:t xml:space="preserve">. </w:t>
      </w:r>
    </w:p>
    <w:p w:rsidR="008329D7" w:rsidRPr="00E432E0" w:rsidRDefault="008329D7" w:rsidP="008329D7">
      <w:pPr>
        <w:spacing w:after="240"/>
        <w:ind w:left="2160" w:hanging="720"/>
        <w:rPr>
          <w:rFonts w:cstheme="minorHAnsi"/>
          <w:noProof/>
        </w:rPr>
      </w:pPr>
      <w:r w:rsidRPr="00E432E0">
        <w:rPr>
          <w:rFonts w:cstheme="minorHAnsi"/>
          <w:noProof/>
        </w:rPr>
        <w:t>All other programs</w:t>
      </w:r>
      <w:r w:rsidRPr="00E432E0">
        <w:rPr>
          <w:rFonts w:cstheme="minorHAnsi"/>
          <w:noProof/>
        </w:rPr>
        <w:tab/>
      </w:r>
      <w:r w:rsidRPr="00E432E0">
        <w:rPr>
          <w:rFonts w:cstheme="minorHAnsi"/>
          <w:noProof/>
        </w:rPr>
        <w:tab/>
        <w:t>= 0</w:t>
      </w:r>
    </w:p>
    <w:p w:rsidR="008329D7" w:rsidRDefault="008329D7" w:rsidP="008329D7">
      <w:pPr>
        <w:spacing w:after="240"/>
        <w:ind w:left="720"/>
        <w:rPr>
          <w:rFonts w:cstheme="minorHAnsi"/>
          <w:noProof/>
        </w:rPr>
      </w:pPr>
      <w:r w:rsidRPr="00E432E0">
        <w:rPr>
          <w:rFonts w:cstheme="minorHAnsi"/>
          <w:noProof/>
        </w:rPr>
        <w:t xml:space="preserve">Hours </w:t>
      </w:r>
      <w:r w:rsidRPr="00E432E0">
        <w:rPr>
          <w:rFonts w:cstheme="minorHAnsi"/>
          <w:noProof/>
        </w:rPr>
        <w:tab/>
      </w:r>
      <w:r w:rsidRPr="00E432E0">
        <w:rPr>
          <w:rFonts w:cstheme="minorHAnsi"/>
          <w:noProof/>
        </w:rPr>
        <w:tab/>
        <w:t>= Average hours of use per year</w:t>
      </w:r>
    </w:p>
    <w:tbl>
      <w:tblPr>
        <w:tblW w:w="4928" w:type="dxa"/>
        <w:jc w:val="center"/>
        <w:tblInd w:w="2988" w:type="dxa"/>
        <w:tblLook w:val="04A0" w:firstRow="1" w:lastRow="0" w:firstColumn="1" w:lastColumn="0" w:noHBand="0" w:noVBand="1"/>
      </w:tblPr>
      <w:tblGrid>
        <w:gridCol w:w="3477"/>
        <w:gridCol w:w="1451"/>
      </w:tblGrid>
      <w:tr w:rsidR="008329D7" w:rsidRPr="00E432E0" w:rsidTr="00785D9A">
        <w:trPr>
          <w:jc w:val="center"/>
        </w:trPr>
        <w:tc>
          <w:tcPr>
            <w:tcW w:w="347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Installation Location</w:t>
            </w:r>
          </w:p>
        </w:tc>
        <w:tc>
          <w:tcPr>
            <w:tcW w:w="145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Hours</w:t>
            </w:r>
            <w:r w:rsidRPr="009C362B">
              <w:rPr>
                <w:rFonts w:eastAsiaTheme="majorEastAsia"/>
                <w:b/>
                <w:color w:val="FFFFFF" w:themeColor="background1"/>
                <w:vertAlign w:val="superscript"/>
              </w:rPr>
              <w:footnoteReference w:id="13"/>
            </w:r>
          </w:p>
        </w:tc>
      </w:tr>
      <w:tr w:rsidR="008329D7" w:rsidRPr="00E432E0" w:rsidTr="00785D9A">
        <w:trPr>
          <w:trHeight w:val="323"/>
          <w:jc w:val="center"/>
        </w:trPr>
        <w:tc>
          <w:tcPr>
            <w:tcW w:w="3477"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Residential and in-unit Multi Family</w:t>
            </w:r>
          </w:p>
        </w:tc>
        <w:tc>
          <w:tcPr>
            <w:tcW w:w="145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759 </w:t>
            </w:r>
          </w:p>
        </w:tc>
      </w:tr>
      <w:tr w:rsidR="008329D7" w:rsidRPr="00E432E0" w:rsidTr="00785D9A">
        <w:trPr>
          <w:jc w:val="center"/>
        </w:trPr>
        <w:tc>
          <w:tcPr>
            <w:tcW w:w="3477"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left"/>
            </w:pPr>
            <w:r w:rsidRPr="00E432E0">
              <w:t>Exterior</w:t>
            </w:r>
          </w:p>
        </w:tc>
        <w:tc>
          <w:tcPr>
            <w:tcW w:w="145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2475 </w:t>
            </w:r>
          </w:p>
        </w:tc>
      </w:tr>
      <w:tr w:rsidR="008329D7" w:rsidRPr="00E432E0" w:rsidTr="00785D9A">
        <w:trPr>
          <w:jc w:val="center"/>
        </w:trPr>
        <w:tc>
          <w:tcPr>
            <w:tcW w:w="3477"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Unknown</w:t>
            </w:r>
          </w:p>
        </w:tc>
        <w:tc>
          <w:tcPr>
            <w:tcW w:w="145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847</w:t>
            </w:r>
          </w:p>
        </w:tc>
      </w:tr>
    </w:tbl>
    <w:p w:rsidR="008329D7" w:rsidRPr="00E432E0" w:rsidRDefault="008329D7" w:rsidP="008329D7">
      <w:pPr>
        <w:ind w:firstLine="720"/>
        <w:rPr>
          <w:rFonts w:cstheme="minorHAnsi"/>
          <w:noProof/>
        </w:rPr>
      </w:pPr>
      <w:r w:rsidRPr="00E432E0">
        <w:rPr>
          <w:rFonts w:cstheme="minorHAnsi"/>
          <w:noProof/>
        </w:rPr>
        <w:lastRenderedPageBreak/>
        <w:t>WHFe</w:t>
      </w:r>
      <w:r w:rsidRPr="00E432E0">
        <w:rPr>
          <w:rFonts w:cstheme="minorHAnsi"/>
          <w:noProof/>
        </w:rPr>
        <w:tab/>
        <w:t xml:space="preserve">= Waste heat factor for energy to account for cooling energy savings from efficient lighting </w:t>
      </w:r>
    </w:p>
    <w:tbl>
      <w:tblPr>
        <w:tblW w:w="5175" w:type="dxa"/>
        <w:jc w:val="center"/>
        <w:tblInd w:w="2988" w:type="dxa"/>
        <w:tblLook w:val="04A0" w:firstRow="1" w:lastRow="0" w:firstColumn="1" w:lastColumn="0" w:noHBand="0" w:noVBand="1"/>
      </w:tblPr>
      <w:tblGrid>
        <w:gridCol w:w="3800"/>
        <w:gridCol w:w="1375"/>
      </w:tblGrid>
      <w:tr w:rsidR="008329D7" w:rsidRPr="00E432E0" w:rsidTr="00785D9A">
        <w:trPr>
          <w:jc w:val="center"/>
        </w:trPr>
        <w:tc>
          <w:tcPr>
            <w:tcW w:w="3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Bulb Location</w:t>
            </w:r>
          </w:p>
        </w:tc>
        <w:tc>
          <w:tcPr>
            <w:tcW w:w="13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proofErr w:type="spellStart"/>
            <w:r w:rsidRPr="00E432E0">
              <w:rPr>
                <w:b/>
                <w:color w:val="FFFFFF" w:themeColor="background1"/>
              </w:rPr>
              <w:t>WHFe</w:t>
            </w:r>
            <w:proofErr w:type="spellEnd"/>
          </w:p>
        </w:tc>
      </w:tr>
      <w:tr w:rsidR="008329D7" w:rsidRPr="00E432E0" w:rsidTr="00785D9A">
        <w:trPr>
          <w:jc w:val="center"/>
        </w:trPr>
        <w:tc>
          <w:tcPr>
            <w:tcW w:w="3800"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Interior single family or unknown location</w:t>
            </w:r>
          </w:p>
        </w:tc>
        <w:tc>
          <w:tcPr>
            <w:tcW w:w="1375"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1.06 </w:t>
            </w:r>
            <w:r w:rsidRPr="005472A0">
              <w:rPr>
                <w:rFonts w:eastAsiaTheme="majorEastAsia"/>
                <w:vertAlign w:val="superscript"/>
              </w:rPr>
              <w:footnoteReference w:id="14"/>
            </w:r>
          </w:p>
        </w:tc>
      </w:tr>
      <w:tr w:rsidR="008329D7" w:rsidRPr="00E432E0" w:rsidTr="00785D9A">
        <w:trPr>
          <w:jc w:val="center"/>
        </w:trPr>
        <w:tc>
          <w:tcPr>
            <w:tcW w:w="3800"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roofErr w:type="spellStart"/>
            <w:r w:rsidRPr="00E432E0">
              <w:t>Multi family</w:t>
            </w:r>
            <w:proofErr w:type="spellEnd"/>
            <w:r w:rsidRPr="00E432E0">
              <w:t xml:space="preserve"> in unit</w:t>
            </w:r>
          </w:p>
        </w:tc>
        <w:tc>
          <w:tcPr>
            <w:tcW w:w="1375"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1.04 </w:t>
            </w:r>
            <w:r w:rsidRPr="005472A0">
              <w:rPr>
                <w:rFonts w:eastAsiaTheme="majorEastAsia"/>
                <w:vertAlign w:val="superscript"/>
              </w:rPr>
              <w:footnoteReference w:id="15"/>
            </w:r>
          </w:p>
        </w:tc>
      </w:tr>
      <w:tr w:rsidR="008329D7" w:rsidRPr="00E432E0" w:rsidTr="00785D9A">
        <w:trPr>
          <w:jc w:val="center"/>
        </w:trPr>
        <w:tc>
          <w:tcPr>
            <w:tcW w:w="3800"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left"/>
            </w:pPr>
            <w:r w:rsidRPr="00E432E0">
              <w:t>Exterior or uncooled location</w:t>
            </w:r>
          </w:p>
        </w:tc>
        <w:tc>
          <w:tcPr>
            <w:tcW w:w="1375"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1.0</w:t>
            </w:r>
          </w:p>
        </w:tc>
      </w:tr>
    </w:tbl>
    <w:p w:rsidR="008329D7" w:rsidRPr="00E432E0" w:rsidRDefault="008329D7" w:rsidP="008329D7">
      <w:pPr>
        <w:spacing w:after="240"/>
        <w:ind w:left="2160" w:firstLine="720"/>
        <w:rPr>
          <w:rFonts w:cstheme="minorHAnsi"/>
          <w:noProof/>
        </w:rPr>
      </w:pPr>
    </w:p>
    <w:p w:rsidR="008329D7" w:rsidRPr="00E432E0" w:rsidRDefault="008329D7" w:rsidP="008329D7">
      <w:pPr>
        <w:spacing w:after="240"/>
        <w:rPr>
          <w:rFonts w:cstheme="minorHAnsi"/>
          <w:b/>
        </w:rPr>
      </w:pPr>
      <w:r w:rsidRPr="00E432E0">
        <w:rPr>
          <w:rFonts w:cstheme="minorHAnsi"/>
          <w:b/>
        </w:rPr>
        <w:t>Mid Life Baseline Adjustment</w:t>
      </w:r>
    </w:p>
    <w:p w:rsidR="008329D7" w:rsidRPr="00E432E0" w:rsidRDefault="008329D7" w:rsidP="008329D7">
      <w:pPr>
        <w:spacing w:after="240"/>
        <w:rPr>
          <w:rFonts w:cstheme="minorHAnsi"/>
        </w:rPr>
      </w:pPr>
      <w:r w:rsidRPr="00E432E0">
        <w:rPr>
          <w:rFonts w:cstheme="minorHAnsi"/>
        </w:rPr>
        <w:t xml:space="preserve">During the lifetime of a standard Omnidirectional LED, the baseline incandescent/halogen bulb would need to be replaced multiple times. Since the baseline bulb changes over time (except for &lt;300 and 2600+ lumen lamps) the annual savings claim must be reduced within the life of the measure to account for this baseline shift.  </w:t>
      </w:r>
    </w:p>
    <w:p w:rsidR="008329D7" w:rsidRDefault="008329D7" w:rsidP="008329D7">
      <w:pPr>
        <w:spacing w:after="240"/>
        <w:rPr>
          <w:rFonts w:cstheme="minorHAnsi"/>
        </w:rPr>
      </w:pPr>
      <w:r w:rsidRPr="00E432E0">
        <w:rPr>
          <w:rFonts w:cstheme="minorHAnsi"/>
        </w:rPr>
        <w:t xml:space="preserve">For example, for 60W equivalent bulbs installed in 2014, the full savings (as calculated above in the Algorithm) should be claimed for the first six years, but a reduced annual savings (calculated energy savings above multiplied by the adjustment factor in the table below) claimed for the remainder of the measure life. </w:t>
      </w:r>
    </w:p>
    <w:p w:rsidR="008329D7" w:rsidRPr="00E432E0" w:rsidRDefault="008329D7" w:rsidP="008329D7">
      <w:pPr>
        <w:spacing w:after="240"/>
        <w:rPr>
          <w:rFonts w:cstheme="minorHAnsi"/>
        </w:rPr>
      </w:pPr>
    </w:p>
    <w:tbl>
      <w:tblPr>
        <w:tblW w:w="7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148"/>
        <w:gridCol w:w="1206"/>
        <w:gridCol w:w="1227"/>
        <w:gridCol w:w="1303"/>
        <w:gridCol w:w="1833"/>
      </w:tblGrid>
      <w:tr w:rsidR="008329D7" w:rsidRPr="00E432E0" w:rsidTr="00785D9A">
        <w:trPr>
          <w:trHeight w:val="864"/>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Minimum Lumens</w:t>
            </w:r>
          </w:p>
        </w:tc>
        <w:tc>
          <w:tcPr>
            <w:tcW w:w="1148"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Maximum Lumens</w:t>
            </w:r>
          </w:p>
        </w:tc>
        <w:tc>
          <w:tcPr>
            <w:tcW w:w="1206"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LED Wattage</w:t>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c>
          <w:tcPr>
            <w:tcW w:w="1227"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Delta Watts 2014-2019</w:t>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c>
          <w:tcPr>
            <w:tcW w:w="1303"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rFonts w:ascii="Calibri" w:hAnsi="Calibri"/>
                <w:b/>
                <w:bCs/>
                <w:color w:val="FFFFFF"/>
                <w:szCs w:val="20"/>
              </w:rPr>
              <w:t>Delta Watts Post 2020</w:t>
            </w:r>
            <w:r w:rsidRPr="00E432E0">
              <w:rPr>
                <w:rFonts w:ascii="Calibri" w:hAnsi="Calibri"/>
                <w:b/>
                <w:bCs/>
                <w:color w:val="FFFFFF"/>
                <w:szCs w:val="20"/>
              </w:rPr>
              <w:br/>
              <w:t>(</w:t>
            </w:r>
            <w:proofErr w:type="spellStart"/>
            <w:r w:rsidRPr="00E432E0">
              <w:rPr>
                <w:rFonts w:ascii="Calibri" w:hAnsi="Calibri"/>
                <w:b/>
                <w:bCs/>
                <w:color w:val="FFFFFF"/>
                <w:szCs w:val="20"/>
              </w:rPr>
              <w:t>WattsEE</w:t>
            </w:r>
            <w:proofErr w:type="spellEnd"/>
            <w:r w:rsidRPr="00E432E0">
              <w:rPr>
                <w:rFonts w:ascii="Calibri" w:hAnsi="Calibri"/>
                <w:b/>
                <w:bCs/>
                <w:color w:val="FFFFFF"/>
                <w:szCs w:val="20"/>
              </w:rPr>
              <w:t>)</w:t>
            </w:r>
          </w:p>
        </w:tc>
        <w:tc>
          <w:tcPr>
            <w:tcW w:w="1833" w:type="dxa"/>
            <w:tcBorders>
              <w:top w:val="single" w:sz="4" w:space="0" w:color="auto"/>
              <w:left w:val="single" w:sz="4" w:space="0" w:color="auto"/>
              <w:bottom w:val="single" w:sz="4" w:space="0" w:color="auto"/>
              <w:right w:val="single" w:sz="4" w:space="0" w:color="auto"/>
            </w:tcBorders>
            <w:shd w:val="clear" w:color="auto" w:fill="7F7F7F"/>
            <w:vAlign w:val="center"/>
            <w:hideMark/>
          </w:tcPr>
          <w:p w:rsidR="008329D7" w:rsidRPr="00E432E0" w:rsidRDefault="008329D7" w:rsidP="00785D9A">
            <w:pPr>
              <w:spacing w:line="276" w:lineRule="auto"/>
              <w:jc w:val="center"/>
              <w:rPr>
                <w:rFonts w:ascii="Calibri" w:hAnsi="Calibri"/>
                <w:b/>
                <w:bCs/>
                <w:color w:val="FFFFFF"/>
                <w:szCs w:val="20"/>
              </w:rPr>
            </w:pPr>
            <w:r w:rsidRPr="00E432E0">
              <w:rPr>
                <w:b/>
                <w:color w:val="FFFFFF" w:themeColor="background1"/>
              </w:rPr>
              <w:t>Mid Life adjustment  (made from June 2020) to first year savings</w:t>
            </w:r>
          </w:p>
        </w:tc>
      </w:tr>
      <w:tr w:rsidR="008329D7" w:rsidRPr="00E432E0" w:rsidTr="00785D9A">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1490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2600</w:t>
            </w:r>
          </w:p>
        </w:tc>
        <w:tc>
          <w:tcPr>
            <w:tcW w:w="1206"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37.2</w:t>
            </w:r>
          </w:p>
        </w:tc>
        <w:tc>
          <w:tcPr>
            <w:tcW w:w="1227"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34.8</w:t>
            </w:r>
          </w:p>
        </w:tc>
        <w:tc>
          <w:tcPr>
            <w:tcW w:w="130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8.3</w:t>
            </w:r>
          </w:p>
        </w:tc>
        <w:tc>
          <w:tcPr>
            <w:tcW w:w="183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23.8%</w:t>
            </w:r>
          </w:p>
        </w:tc>
      </w:tr>
      <w:tr w:rsidR="008329D7" w:rsidRPr="00E432E0" w:rsidTr="00785D9A">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1050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1489</w:t>
            </w:r>
          </w:p>
        </w:tc>
        <w:tc>
          <w:tcPr>
            <w:tcW w:w="1206"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23.1</w:t>
            </w:r>
          </w:p>
        </w:tc>
        <w:tc>
          <w:tcPr>
            <w:tcW w:w="1227"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29.9</w:t>
            </w:r>
          </w:p>
        </w:tc>
        <w:tc>
          <w:tcPr>
            <w:tcW w:w="130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5.1</w:t>
            </w:r>
          </w:p>
        </w:tc>
        <w:tc>
          <w:tcPr>
            <w:tcW w:w="183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17.1%</w:t>
            </w:r>
          </w:p>
        </w:tc>
      </w:tr>
      <w:tr w:rsidR="008329D7" w:rsidRPr="00E432E0" w:rsidTr="00785D9A">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750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1049</w:t>
            </w:r>
          </w:p>
        </w:tc>
        <w:tc>
          <w:tcPr>
            <w:tcW w:w="1206"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16.4</w:t>
            </w:r>
          </w:p>
        </w:tc>
        <w:tc>
          <w:tcPr>
            <w:tcW w:w="1227"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26.6</w:t>
            </w:r>
          </w:p>
        </w:tc>
        <w:tc>
          <w:tcPr>
            <w:tcW w:w="130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3.6</w:t>
            </w:r>
          </w:p>
        </w:tc>
        <w:tc>
          <w:tcPr>
            <w:tcW w:w="183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13.5%</w:t>
            </w:r>
          </w:p>
        </w:tc>
      </w:tr>
      <w:tr w:rsidR="008329D7" w:rsidRPr="00E432E0" w:rsidTr="00785D9A">
        <w:trPr>
          <w:trHeight w:val="300"/>
          <w:jc w:val="center"/>
        </w:trPr>
        <w:tc>
          <w:tcPr>
            <w:tcW w:w="1151"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310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749</w:t>
            </w:r>
          </w:p>
        </w:tc>
        <w:tc>
          <w:tcPr>
            <w:tcW w:w="1206"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9.6</w:t>
            </w:r>
          </w:p>
        </w:tc>
        <w:tc>
          <w:tcPr>
            <w:tcW w:w="1227"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19.4</w:t>
            </w:r>
          </w:p>
        </w:tc>
        <w:tc>
          <w:tcPr>
            <w:tcW w:w="130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2.1</w:t>
            </w:r>
          </w:p>
        </w:tc>
        <w:tc>
          <w:tcPr>
            <w:tcW w:w="1833"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spacing w:line="276" w:lineRule="auto"/>
              <w:jc w:val="center"/>
              <w:rPr>
                <w:rFonts w:ascii="Calibri" w:hAnsi="Calibri"/>
                <w:color w:val="000000"/>
                <w:szCs w:val="20"/>
              </w:rPr>
            </w:pPr>
            <w:r w:rsidRPr="00E432E0">
              <w:rPr>
                <w:rFonts w:ascii="Calibri" w:hAnsi="Calibri"/>
                <w:color w:val="000000"/>
                <w:szCs w:val="20"/>
              </w:rPr>
              <w:t>10.8%</w:t>
            </w:r>
          </w:p>
        </w:tc>
      </w:tr>
    </w:tbl>
    <w:p w:rsidR="008329D7" w:rsidRPr="00E432E0" w:rsidRDefault="008329D7" w:rsidP="008329D7">
      <w:pPr>
        <w:spacing w:after="240"/>
        <w:ind w:left="720"/>
        <w:rPr>
          <w:rFonts w:cstheme="minorHAnsi"/>
        </w:rPr>
      </w:pPr>
    </w:p>
    <w:p w:rsidR="008329D7" w:rsidRPr="00E432E0" w:rsidRDefault="008329D7" w:rsidP="008329D7">
      <w:pPr>
        <w:spacing w:after="240"/>
        <w:rPr>
          <w:rFonts w:cstheme="minorHAnsi"/>
        </w:rPr>
      </w:pPr>
      <w:r w:rsidRPr="00E432E0">
        <w:rPr>
          <w:noProof/>
        </w:rPr>
        <w:lastRenderedPageBreak/>
        <mc:AlternateContent>
          <mc:Choice Requires="wps">
            <w:drawing>
              <wp:inline distT="0" distB="0" distL="0" distR="0" wp14:anchorId="43BB5D74" wp14:editId="05FD0429">
                <wp:extent cx="5695950" cy="1710690"/>
                <wp:effectExtent l="0" t="0" r="19050" b="14605"/>
                <wp:docPr id="478"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710055"/>
                        </a:xfrm>
                        <a:prstGeom prst="rect">
                          <a:avLst/>
                        </a:prstGeom>
                        <a:solidFill>
                          <a:srgbClr val="FFFFFF"/>
                        </a:solidFill>
                        <a:ln w="9525">
                          <a:solidFill>
                            <a:srgbClr val="000000"/>
                          </a:solidFill>
                          <a:miter lim="800000"/>
                          <a:headEnd/>
                          <a:tailEnd/>
                        </a:ln>
                      </wps:spPr>
                      <wps:txbx>
                        <w:txbxContent>
                          <w:p w:rsidR="008329D7" w:rsidRDefault="008329D7" w:rsidP="008329D7">
                            <w:pPr>
                              <w:rPr>
                                <w:rFonts w:cstheme="minorHAnsi"/>
                              </w:rPr>
                            </w:pPr>
                            <w:r>
                              <w:rPr>
                                <w:rFonts w:cstheme="minorHAnsi"/>
                              </w:rPr>
                              <w:t>For example, an 8W LED lamp, 450 lumens, is installed in the interior of a home in 2014. The customer purchased the lamp through an upstream program:</w:t>
                            </w:r>
                          </w:p>
                          <w:p w:rsidR="008329D7" w:rsidRDefault="008329D7" w:rsidP="008329D7">
                            <w:pPr>
                              <w:ind w:left="1440"/>
                              <w:rPr>
                                <w:rFonts w:cstheme="minorHAnsi"/>
                              </w:rPr>
                            </w:pPr>
                            <w:r>
                              <w:rPr>
                                <w:rFonts w:cstheme="minorHAnsi"/>
                                <w:noProof/>
                              </w:rPr>
                              <w:t>ΔkWH</w:t>
                            </w:r>
                            <w:r>
                              <w:rPr>
                                <w:rFonts w:cstheme="minorHAnsi"/>
                              </w:rPr>
                              <w:t xml:space="preserve"> </w:t>
                            </w:r>
                            <w:r>
                              <w:rPr>
                                <w:rFonts w:cstheme="minorHAnsi"/>
                              </w:rPr>
                              <w:tab/>
                              <w:t xml:space="preserve">= </w:t>
                            </w:r>
                            <w:r>
                              <w:rPr>
                                <w:rFonts w:cstheme="minorHAnsi"/>
                                <w:noProof/>
                              </w:rPr>
                              <w:t>((29-8 /1000) * 847 * 1.06 * 0.92</w:t>
                            </w:r>
                          </w:p>
                          <w:p w:rsidR="008329D7" w:rsidRDefault="008329D7" w:rsidP="008329D7">
                            <w:pPr>
                              <w:ind w:left="2160"/>
                              <w:rPr>
                                <w:rFonts w:cstheme="minorHAnsi"/>
                              </w:rPr>
                            </w:pPr>
                            <w:r>
                              <w:rPr>
                                <w:rFonts w:cstheme="minorHAnsi"/>
                              </w:rPr>
                              <w:t>= 17.3 kWh</w:t>
                            </w:r>
                          </w:p>
                          <w:p w:rsidR="008329D7" w:rsidRDefault="008329D7" w:rsidP="008329D7">
                            <w:pPr>
                              <w:rPr>
                                <w:rFonts w:cstheme="minorHAnsi"/>
                              </w:rPr>
                            </w:pPr>
                            <w:r>
                              <w:rPr>
                                <w:rFonts w:cstheme="minorHAnsi"/>
                                <w:szCs w:val="20"/>
                              </w:rPr>
                              <w:t>Th</w:t>
                            </w:r>
                            <w:r>
                              <w:rPr>
                                <w:rFonts w:cstheme="minorHAnsi"/>
                              </w:rPr>
                              <w:t>is value should be claimed for six years, i.e. June 2014 – May 2020, but from May 2020 until the end of the measure life for that same bulb, savings should be reduced to (17.3 * 0.108 =) 1.9 kWh for the remainder of the measure life. Note these adjustments should be applied to kW and fuel impacts as well.</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478" o:spid="_x0000_s1026" type="#_x0000_t202" style="width:448.5pt;height:13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dULJQIAAEkEAAAOAAAAZHJzL2Uyb0RvYy54bWysVNuO2yAQfa/Uf0C8N7ajeLOx4qy22aaq&#10;tL1Iu/0AgnGMCgwFEnv79R2wN01vL1X9gBhmOMycM+P1zaAVOQnnJZiaFrOcEmE4NNIcavr5cffq&#10;mhIfmGmYAiNq+iQ8vdm8fLHubSXm0IFqhCMIYnzV25p2IdgqyzzvhGZ+BlYYdLbgNAtoukPWONYj&#10;ulbZPM+vsh5cYx1w4T2e3o1Oukn4bSt4+Ni2XgSiaoq5hbS6tO7jmm3WrDo4ZjvJpzTYP2ShmTT4&#10;6BnqjgVGjk7+BqUld+ChDTMOOoO2lVykGrCaIv+lmoeOWZFqQXK8PdPk/x8s/3D65IhsarpYolSG&#10;aRTpUQyBvIaBxDNkqLe+wsAHi6FhQAcqnar19h74F08MbDtmDuLWOeg7wRrMsIg3s4urI46PIPv+&#10;PTT4EDsGSEBD63SkDwkhiI5KPZ3ViclwPCyvVuWqRBdHX7Es8rws0xuser5unQ9vBWgSNzV1KH+C&#10;Z6d7H2I6rHoOia95ULLZSaWS4Q77rXLkxLBVdumb0H8KU4b0NV2V83Jk4K8Qefr+BKFlwJ5XUtf0&#10;+hzEqsjbG9OkjgxMqnGPKSszERm5G1kMw36YhNlD84SUOhh7G2cRNx24b5T02Nc19V+PzAlK1DuD&#10;sqyKxSIOQjIW5XKOhrv07C89zHCEqmmgZNxuQxqeRJi9Rfl2MhEbdR4zmXLFfk18T7MVB+LSTlE/&#10;/gCb7wAAAP//AwBQSwMEFAAGAAgAAAAhAOveA33cAAAABQEAAA8AAABkcnMvZG93bnJldi54bWxM&#10;j8FOwzAQRO9I/IO1SNyoQwWlDXEqRNUzpSAhbo69jaPG6xC7acrXs/QCl5FGs5p5WyxH34oB+9gE&#10;UnA7yUAgmWAbqhW8v61v5iBi0mR1GwgVnDDCsry8KHRuw5FecdimWnAJxVwrcCl1uZTROPQ6TkKH&#10;xNku9F4ntn0tba+PXO5bOc2ymfS6IV5wusNnh2a/PXgFcbX56sxuU+2dPX2/rIZ787H+VOr6anx6&#10;BJFwTH/H8IvP6FAyUxUOZKNoFfAj6ayczRcPbCsF09niDmRZyP/05Q8AAAD//wMAUEsBAi0AFAAG&#10;AAgAAAAhALaDOJL+AAAA4QEAABMAAAAAAAAAAAAAAAAAAAAAAFtDb250ZW50X1R5cGVzXS54bWxQ&#10;SwECLQAUAAYACAAAACEAOP0h/9YAAACUAQAACwAAAAAAAAAAAAAAAAAvAQAAX3JlbHMvLnJlbHNQ&#10;SwECLQAUAAYACAAAACEAFIXVCyUCAABJBAAADgAAAAAAAAAAAAAAAAAuAgAAZHJzL2Uyb0RvYy54&#10;bWxQSwECLQAUAAYACAAAACEA694DfdwAAAAFAQAADwAAAAAAAAAAAAAAAAB/BAAAZHJzL2Rvd25y&#10;ZXYueG1sUEsFBgAAAAAEAAQA8wAAAIgFAAAAAA==&#10;">
                <v:textbox style="mso-fit-shape-to-text:t">
                  <w:txbxContent>
                    <w:p w:rsidR="008329D7" w:rsidRDefault="008329D7" w:rsidP="008329D7">
                      <w:pPr>
                        <w:rPr>
                          <w:rFonts w:cstheme="minorHAnsi"/>
                        </w:rPr>
                      </w:pPr>
                      <w:r>
                        <w:rPr>
                          <w:rFonts w:cstheme="minorHAnsi"/>
                        </w:rPr>
                        <w:t>For example, an 8W LED lamp, 450 lumens, is installed in the interior of a home in 2014. The customer purchased the lamp through an upstream program:</w:t>
                      </w:r>
                    </w:p>
                    <w:p w:rsidR="008329D7" w:rsidRDefault="008329D7" w:rsidP="008329D7">
                      <w:pPr>
                        <w:ind w:left="1440"/>
                        <w:rPr>
                          <w:rFonts w:cstheme="minorHAnsi"/>
                        </w:rPr>
                      </w:pPr>
                      <w:r>
                        <w:rPr>
                          <w:rFonts w:cstheme="minorHAnsi"/>
                          <w:noProof/>
                        </w:rPr>
                        <w:t>ΔkWH</w:t>
                      </w:r>
                      <w:r>
                        <w:rPr>
                          <w:rFonts w:cstheme="minorHAnsi"/>
                        </w:rPr>
                        <w:t xml:space="preserve"> </w:t>
                      </w:r>
                      <w:r>
                        <w:rPr>
                          <w:rFonts w:cstheme="minorHAnsi"/>
                        </w:rPr>
                        <w:tab/>
                        <w:t xml:space="preserve">= </w:t>
                      </w:r>
                      <w:r>
                        <w:rPr>
                          <w:rFonts w:cstheme="minorHAnsi"/>
                          <w:noProof/>
                        </w:rPr>
                        <w:t>((29-8 /1000) * 847 * 1.06 * 0.92</w:t>
                      </w:r>
                    </w:p>
                    <w:p w:rsidR="008329D7" w:rsidRDefault="008329D7" w:rsidP="008329D7">
                      <w:pPr>
                        <w:ind w:left="2160"/>
                        <w:rPr>
                          <w:rFonts w:cstheme="minorHAnsi"/>
                        </w:rPr>
                      </w:pPr>
                      <w:r>
                        <w:rPr>
                          <w:rFonts w:cstheme="minorHAnsi"/>
                        </w:rPr>
                        <w:t>= 17.3 kWh</w:t>
                      </w:r>
                    </w:p>
                    <w:p w:rsidR="008329D7" w:rsidRDefault="008329D7" w:rsidP="008329D7">
                      <w:pPr>
                        <w:rPr>
                          <w:rFonts w:cstheme="minorHAnsi"/>
                        </w:rPr>
                      </w:pPr>
                      <w:r>
                        <w:rPr>
                          <w:rFonts w:cstheme="minorHAnsi"/>
                          <w:szCs w:val="20"/>
                        </w:rPr>
                        <w:t>Th</w:t>
                      </w:r>
                      <w:r>
                        <w:rPr>
                          <w:rFonts w:cstheme="minorHAnsi"/>
                        </w:rPr>
                        <w:t>is value should be claimed for six years, i.e. June 2014 – May 2020, but from May 2020 until the end of the measure life for that same bulb, savings should be reduced to (17.3 * 0.108 =) 1.9 kWh for the remainder of the measure life. Note these adjustments should be applied to kW and fuel impacts as well.</w:t>
                      </w:r>
                    </w:p>
                  </w:txbxContent>
                </v:textbox>
                <w10:anchorlock/>
              </v:shape>
            </w:pict>
          </mc:Fallback>
        </mc:AlternateConten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Deferred Installs</w:t>
      </w:r>
    </w:p>
    <w:p w:rsidR="008329D7" w:rsidRPr="00E432E0" w:rsidRDefault="008329D7" w:rsidP="008329D7">
      <w:pPr>
        <w:spacing w:after="240"/>
      </w:pPr>
      <w:r w:rsidRPr="00E432E0">
        <w:t xml:space="preserve">As presented above, the characterization assumes that a percentage of bulbs purchased are not installed until Year 2 and Year 3 (see ISR assumption above). The Illinois Technical Advisory Committee has determined the following methodology for calculating the savings of </w:t>
      </w:r>
      <w:proofErr w:type="gramStart"/>
      <w:r w:rsidRPr="00E432E0">
        <w:t>these future</w:t>
      </w:r>
      <w:proofErr w:type="gramEnd"/>
      <w:r w:rsidRPr="00E432E0">
        <w:t xml:space="preserve"> installs.</w:t>
      </w:r>
    </w:p>
    <w:p w:rsidR="008329D7" w:rsidRPr="00E432E0" w:rsidRDefault="008329D7" w:rsidP="008329D7">
      <w:pPr>
        <w:spacing w:after="240"/>
        <w:ind w:left="3600" w:hanging="2880"/>
      </w:pPr>
      <w:r w:rsidRPr="00E432E0">
        <w:t>Year 1 (Purchase Year) installs:</w:t>
      </w:r>
      <w:r w:rsidRPr="00E432E0">
        <w:tab/>
        <w:t>Characterized using assumptions provided above or evaluated assumptions if available.</w:t>
      </w:r>
    </w:p>
    <w:p w:rsidR="008329D7" w:rsidRPr="00E432E0" w:rsidRDefault="008329D7" w:rsidP="008329D7">
      <w:pPr>
        <w:spacing w:after="240"/>
        <w:ind w:left="3600" w:hanging="2880"/>
      </w:pPr>
      <w:r w:rsidRPr="00E432E0">
        <w:t xml:space="preserve">Year 2 and 3 installs: </w:t>
      </w:r>
      <w:r w:rsidRPr="00E432E0">
        <w:tab/>
        <w:t xml:space="preserve">Characterized using delta watts assumption and hours of use from the Install Year i.e. the actual deemed (or evaluated if available) assumptions active in Year 2 and 3 should be applied. </w:t>
      </w:r>
    </w:p>
    <w:p w:rsidR="008329D7" w:rsidRPr="00E432E0" w:rsidRDefault="008329D7" w:rsidP="008329D7">
      <w:pPr>
        <w:spacing w:after="240"/>
        <w:ind w:left="3600"/>
      </w:pPr>
      <w:r w:rsidRPr="00E432E0">
        <w:t>The NTG factor for the Purchase Year should be applied.</w:t>
      </w:r>
    </w:p>
    <w:p w:rsidR="008329D7" w:rsidRPr="00E432E0" w:rsidRDefault="008329D7" w:rsidP="008329D7">
      <w:pPr>
        <w:spacing w:after="240"/>
      </w:pPr>
      <w:r w:rsidRPr="00E432E0">
        <w:rPr>
          <w:noProof/>
        </w:rPr>
        <mc:AlternateContent>
          <mc:Choice Requires="wps">
            <w:drawing>
              <wp:inline distT="0" distB="0" distL="0" distR="0" wp14:anchorId="56954447" wp14:editId="37693827">
                <wp:extent cx="5943600" cy="1664898"/>
                <wp:effectExtent l="0" t="0" r="19050" b="12065"/>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64898"/>
                        </a:xfrm>
                        <a:prstGeom prst="rect">
                          <a:avLst/>
                        </a:prstGeom>
                        <a:solidFill>
                          <a:srgbClr val="FFFFFF"/>
                        </a:solidFill>
                        <a:ln w="9525">
                          <a:solidFill>
                            <a:srgbClr val="000000"/>
                          </a:solidFill>
                          <a:miter lim="800000"/>
                          <a:headEnd/>
                          <a:tailEnd/>
                        </a:ln>
                      </wps:spPr>
                      <wps:txbx>
                        <w:txbxContent>
                          <w:p w:rsidR="008329D7" w:rsidRDefault="008329D7" w:rsidP="008329D7">
                            <w:r>
                              <w:t>Using the example from above, for an 8W LED, 450 Lumens purchased for the interior of a residential homes through an upstream program in 2014.</w:t>
                            </w:r>
                          </w:p>
                          <w:p w:rsidR="008329D7" w:rsidRDefault="008329D7" w:rsidP="008329D7">
                            <w:pPr>
                              <w:ind w:firstLine="720"/>
                              <w:rPr>
                                <w:rFonts w:cstheme="minorHAnsi"/>
                              </w:rPr>
                            </w:pPr>
                            <w:r>
                              <w:rPr>
                                <w:rFonts w:cstheme="minorHAnsi"/>
                                <w:noProof/>
                              </w:rPr>
                              <w:t>ΔkWH</w:t>
                            </w:r>
                            <w:r>
                              <w:rPr>
                                <w:rFonts w:cstheme="minorHAnsi"/>
                                <w:noProof/>
                                <w:vertAlign w:val="subscript"/>
                              </w:rPr>
                              <w:t>1st year installs</w:t>
                            </w:r>
                            <w:r>
                              <w:rPr>
                                <w:rFonts w:cstheme="minorHAnsi"/>
                              </w:rPr>
                              <w:tab/>
                            </w:r>
                            <w:r>
                              <w:rPr>
                                <w:rFonts w:cstheme="minorHAnsi"/>
                              </w:rPr>
                              <w:tab/>
                              <w:t xml:space="preserve">= </w:t>
                            </w:r>
                            <w:r>
                              <w:rPr>
                                <w:rFonts w:cstheme="minorHAnsi"/>
                                <w:noProof/>
                              </w:rPr>
                              <w:t>((29-8/1000)*847*1.06*0.92</w:t>
                            </w:r>
                          </w:p>
                          <w:p w:rsidR="008329D7" w:rsidRDefault="008329D7" w:rsidP="008329D7">
                            <w:pPr>
                              <w:ind w:left="2160" w:firstLine="720"/>
                              <w:rPr>
                                <w:rFonts w:cstheme="minorHAnsi"/>
                              </w:rPr>
                            </w:pPr>
                            <w:r>
                              <w:rPr>
                                <w:rFonts w:cstheme="minorHAnsi"/>
                              </w:rPr>
                              <w:t xml:space="preserve">= </w:t>
                            </w:r>
                            <w:r>
                              <w:rPr>
                                <w:rFonts w:cstheme="minorHAnsi"/>
                                <w:noProof/>
                              </w:rPr>
                              <w:t xml:space="preserve">17.3 </w:t>
                            </w:r>
                            <w:r>
                              <w:rPr>
                                <w:rFonts w:cstheme="minorHAnsi"/>
                              </w:rPr>
                              <w:t>kWh</w:t>
                            </w:r>
                          </w:p>
                          <w:p w:rsidR="008329D7" w:rsidRDefault="008329D7" w:rsidP="008329D7">
                            <w:pPr>
                              <w:ind w:firstLine="720"/>
                              <w:rPr>
                                <w:rFonts w:cstheme="minorHAnsi"/>
                              </w:rPr>
                            </w:pPr>
                            <w:r>
                              <w:rPr>
                                <w:rFonts w:cstheme="minorHAnsi"/>
                                <w:noProof/>
                              </w:rPr>
                              <w:t>ΔkWH</w:t>
                            </w:r>
                            <w:r>
                              <w:rPr>
                                <w:rFonts w:cstheme="minorHAnsi"/>
                                <w:noProof/>
                                <w:vertAlign w:val="subscript"/>
                              </w:rPr>
                              <w:t>2nd year installs</w:t>
                            </w:r>
                            <w:r>
                              <w:rPr>
                                <w:rFonts w:cstheme="minorHAnsi"/>
                              </w:rPr>
                              <w:tab/>
                            </w:r>
                            <w:r>
                              <w:rPr>
                                <w:rFonts w:cstheme="minorHAnsi"/>
                              </w:rPr>
                              <w:tab/>
                              <w:t xml:space="preserve">= </w:t>
                            </w:r>
                            <w:r>
                              <w:rPr>
                                <w:rFonts w:cstheme="minorHAnsi"/>
                                <w:noProof/>
                              </w:rPr>
                              <w:t>((29-8/1000)*847*1.06*0.032</w:t>
                            </w:r>
                          </w:p>
                          <w:p w:rsidR="008329D7" w:rsidRDefault="008329D7" w:rsidP="008329D7">
                            <w:pPr>
                              <w:ind w:left="2160" w:firstLine="720"/>
                              <w:rPr>
                                <w:rFonts w:cstheme="minorHAnsi"/>
                              </w:rPr>
                            </w:pPr>
                            <w:r>
                              <w:rPr>
                                <w:rFonts w:cstheme="minorHAnsi"/>
                              </w:rPr>
                              <w:t>= 0.6 kWh</w:t>
                            </w:r>
                          </w:p>
                          <w:p w:rsidR="008329D7" w:rsidRDefault="008329D7" w:rsidP="008329D7">
                            <w:r>
                              <w:t xml:space="preserve">Note: Here we assume no change in </w:t>
                            </w:r>
                            <w:proofErr w:type="gramStart"/>
                            <w:r>
                              <w:t>hours</w:t>
                            </w:r>
                            <w:proofErr w:type="gramEnd"/>
                            <w:r>
                              <w:t xml:space="preserve"> assumption. NTG value from Purchase year applied.</w:t>
                            </w:r>
                          </w:p>
                          <w:p w:rsidR="008329D7" w:rsidRDefault="008329D7" w:rsidP="008329D7">
                            <w:pPr>
                              <w:ind w:firstLine="720"/>
                              <w:rPr>
                                <w:rFonts w:cstheme="minorHAnsi"/>
                              </w:rPr>
                            </w:pPr>
                            <w:r>
                              <w:rPr>
                                <w:rFonts w:cstheme="minorHAnsi"/>
                                <w:noProof/>
                              </w:rPr>
                              <w:t>ΔkWH</w:t>
                            </w:r>
                            <w:r>
                              <w:rPr>
                                <w:rFonts w:cstheme="minorHAnsi"/>
                                <w:noProof/>
                                <w:vertAlign w:val="subscript"/>
                              </w:rPr>
                              <w:t>3rd year installs</w:t>
                            </w:r>
                            <w:r>
                              <w:rPr>
                                <w:rFonts w:cstheme="minorHAnsi"/>
                              </w:rPr>
                              <w:tab/>
                            </w:r>
                            <w:r>
                              <w:rPr>
                                <w:rFonts w:cstheme="minorHAnsi"/>
                              </w:rPr>
                              <w:tab/>
                              <w:t xml:space="preserve">= </w:t>
                            </w:r>
                            <w:r>
                              <w:rPr>
                                <w:rFonts w:cstheme="minorHAnsi"/>
                                <w:noProof/>
                              </w:rPr>
                              <w:t>((29-8/1000)*847*1.06*0.028</w:t>
                            </w:r>
                          </w:p>
                          <w:p w:rsidR="008329D7" w:rsidRDefault="008329D7" w:rsidP="008329D7">
                            <w:pPr>
                              <w:ind w:left="2160" w:firstLine="720"/>
                              <w:rPr>
                                <w:rFonts w:cstheme="minorHAnsi"/>
                              </w:rPr>
                            </w:pPr>
                            <w:r>
                              <w:rPr>
                                <w:rFonts w:cstheme="minorHAnsi"/>
                              </w:rPr>
                              <w:t>= 0.5 kWh</w:t>
                            </w:r>
                          </w:p>
                          <w:p w:rsidR="008329D7" w:rsidRDefault="008329D7" w:rsidP="008329D7">
                            <w:pPr>
                              <w:ind w:left="1440" w:firstLine="720"/>
                              <w:rPr>
                                <w:rFonts w:cstheme="minorHAnsi"/>
                              </w:rPr>
                            </w:pPr>
                          </w:p>
                        </w:txbxContent>
                      </wps:txbx>
                      <wps:bodyPr rot="0" vert="horz" wrap="square" lIns="91440" tIns="45720" rIns="91440" bIns="45720" anchor="t" anchorCtr="0">
                        <a:noAutofit/>
                      </wps:bodyPr>
                    </wps:wsp>
                  </a:graphicData>
                </a:graphic>
              </wp:inline>
            </w:drawing>
          </mc:Choice>
          <mc:Fallback>
            <w:pict>
              <v:shape id="Text Box 41" o:spid="_x0000_s1027" type="#_x0000_t202" style="width:468pt;height:13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c2/JwIAAE4EAAAOAAAAZHJzL2Uyb0RvYy54bWysVNuO2yAQfa/Uf0C8N3ZSJ02sOKtttqkq&#10;bS/Sbj8AYxyjAkOBxE6/vgPOpuntpaofEMMMh5lzZry+GbQiR+G8BFPR6SSnRBgOjTT7in5+3L1Y&#10;UuIDMw1TYERFT8LTm83zZ+velmIGHahGOIIgxpe9rWgXgi2zzPNOaOYnYIVBZwtOs4Cm22eNYz2i&#10;a5XN8nyR9eAa64AL7/H0bnTSTcJvW8HDx7b1IhBVUcwtpNWltY5rtlmzcu+Y7SQ/p8H+IQvNpMFH&#10;L1B3LDBycPI3KC25Aw9tmHDQGbSt5CLVgNVM81+qeeiYFakWJMfbC03+/8HyD8dPjsimosWUEsM0&#10;avQohkBew0DwCPnprS8x7MFiYBjwHHVOtXp7D/yLJwa2HTN7cesc9J1gDeaXbmZXV0ccH0Hq/j00&#10;+A47BEhAQ+t0JA/pIIiOOp0u2sRcOB7OV8XLRY4ujr7pYlEsV8uYXcbKp+vW+fBWgCZxU1GH4id4&#10;drz3YQx9ComveVCy2UmlkuH29VY5cmTYKLv0ndF/ClOG9BVdzWfzkYG/QuTp+xOElgE7Xkld0eUl&#10;iJWRtzemSf0YmFTjHqtTBouMREbuRhbDUA9Js4s+NTQnZNbB2OA4kLjpwH2jpMfmrqj/emBOUKLe&#10;GVRnNS2KOA3JKOavZmi4a0997WGGI1RFAyXjdhvSBEXeDNyiiq1M/MYsx0zOKWPTJoXOAxan4tpO&#10;UT9+A5vvAAAA//8DAFBLAwQUAAYACAAAACEA4zJw+9wAAAAFAQAADwAAAGRycy9kb3ducmV2Lnht&#10;bEyPwU7DMBBE70j8g7VIXFDrkKLQhjgVQgLBDUoFVzfeJhH2OthuGv6ehQtcRhrNauZttZ6cFSOG&#10;2HtScDnPQCA13vTUKti+3s+WIGLSZLT1hAq+MMK6Pj2pdGn8kV5w3KRWcAnFUivoUhpKKWPTodNx&#10;7gckzvY+OJ3YhlaaoI9c7qzMs6yQTvfEC50e8K7D5mNzcAqWV4/je3xaPL81xd6u0sX1+PAZlDo/&#10;m25vQCSc0t8x/OAzOtTMtPMHMlFYBfxI+lXOVouC7U5BXuQ5yLqS/+nrbwAAAP//AwBQSwECLQAU&#10;AAYACAAAACEAtoM4kv4AAADhAQAAEwAAAAAAAAAAAAAAAAAAAAAAW0NvbnRlbnRfVHlwZXNdLnht&#10;bFBLAQItABQABgAIAAAAIQA4/SH/1gAAAJQBAAALAAAAAAAAAAAAAAAAAC8BAABfcmVscy8ucmVs&#10;c1BLAQItABQABgAIAAAAIQByYc2/JwIAAE4EAAAOAAAAAAAAAAAAAAAAAC4CAABkcnMvZTJvRG9j&#10;LnhtbFBLAQItABQABgAIAAAAIQDjMnD73AAAAAUBAAAPAAAAAAAAAAAAAAAAAIEEAABkcnMvZG93&#10;bnJldi54bWxQSwUGAAAAAAQABADzAAAAigUAAAAA&#10;">
                <v:textbox>
                  <w:txbxContent>
                    <w:p w:rsidR="008329D7" w:rsidRDefault="008329D7" w:rsidP="008329D7">
                      <w:r>
                        <w:t>Using the example from above, for an 8W LED, 450 Lumens purchased for the interior of a residential homes through an upstream program in 2014.</w:t>
                      </w:r>
                    </w:p>
                    <w:p w:rsidR="008329D7" w:rsidRDefault="008329D7" w:rsidP="008329D7">
                      <w:pPr>
                        <w:ind w:firstLine="720"/>
                        <w:rPr>
                          <w:rFonts w:cstheme="minorHAnsi"/>
                        </w:rPr>
                      </w:pPr>
                      <w:r>
                        <w:rPr>
                          <w:rFonts w:cstheme="minorHAnsi"/>
                          <w:noProof/>
                        </w:rPr>
                        <w:t>ΔkWH</w:t>
                      </w:r>
                      <w:r>
                        <w:rPr>
                          <w:rFonts w:cstheme="minorHAnsi"/>
                          <w:noProof/>
                          <w:vertAlign w:val="subscript"/>
                        </w:rPr>
                        <w:t>1st year installs</w:t>
                      </w:r>
                      <w:r>
                        <w:rPr>
                          <w:rFonts w:cstheme="minorHAnsi"/>
                        </w:rPr>
                        <w:tab/>
                      </w:r>
                      <w:r>
                        <w:rPr>
                          <w:rFonts w:cstheme="minorHAnsi"/>
                        </w:rPr>
                        <w:tab/>
                        <w:t xml:space="preserve">= </w:t>
                      </w:r>
                      <w:r>
                        <w:rPr>
                          <w:rFonts w:cstheme="minorHAnsi"/>
                          <w:noProof/>
                        </w:rPr>
                        <w:t>((29-8/1000)*847*1.06*0.92</w:t>
                      </w:r>
                    </w:p>
                    <w:p w:rsidR="008329D7" w:rsidRDefault="008329D7" w:rsidP="008329D7">
                      <w:pPr>
                        <w:ind w:left="2160" w:firstLine="720"/>
                        <w:rPr>
                          <w:rFonts w:cstheme="minorHAnsi"/>
                        </w:rPr>
                      </w:pPr>
                      <w:r>
                        <w:rPr>
                          <w:rFonts w:cstheme="minorHAnsi"/>
                        </w:rPr>
                        <w:t xml:space="preserve">= </w:t>
                      </w:r>
                      <w:r>
                        <w:rPr>
                          <w:rFonts w:cstheme="minorHAnsi"/>
                          <w:noProof/>
                        </w:rPr>
                        <w:t xml:space="preserve">17.3 </w:t>
                      </w:r>
                      <w:r>
                        <w:rPr>
                          <w:rFonts w:cstheme="minorHAnsi"/>
                        </w:rPr>
                        <w:t>kWh</w:t>
                      </w:r>
                    </w:p>
                    <w:p w:rsidR="008329D7" w:rsidRDefault="008329D7" w:rsidP="008329D7">
                      <w:pPr>
                        <w:ind w:firstLine="720"/>
                        <w:rPr>
                          <w:rFonts w:cstheme="minorHAnsi"/>
                        </w:rPr>
                      </w:pPr>
                      <w:r>
                        <w:rPr>
                          <w:rFonts w:cstheme="minorHAnsi"/>
                          <w:noProof/>
                        </w:rPr>
                        <w:t>ΔkWH</w:t>
                      </w:r>
                      <w:r>
                        <w:rPr>
                          <w:rFonts w:cstheme="minorHAnsi"/>
                          <w:noProof/>
                          <w:vertAlign w:val="subscript"/>
                        </w:rPr>
                        <w:t>2nd year installs</w:t>
                      </w:r>
                      <w:r>
                        <w:rPr>
                          <w:rFonts w:cstheme="minorHAnsi"/>
                        </w:rPr>
                        <w:tab/>
                      </w:r>
                      <w:r>
                        <w:rPr>
                          <w:rFonts w:cstheme="minorHAnsi"/>
                        </w:rPr>
                        <w:tab/>
                        <w:t xml:space="preserve">= </w:t>
                      </w:r>
                      <w:r>
                        <w:rPr>
                          <w:rFonts w:cstheme="minorHAnsi"/>
                          <w:noProof/>
                        </w:rPr>
                        <w:t>((29-8/1000)*847*1.06*0.032</w:t>
                      </w:r>
                    </w:p>
                    <w:p w:rsidR="008329D7" w:rsidRDefault="008329D7" w:rsidP="008329D7">
                      <w:pPr>
                        <w:ind w:left="2160" w:firstLine="720"/>
                        <w:rPr>
                          <w:rFonts w:cstheme="minorHAnsi"/>
                        </w:rPr>
                      </w:pPr>
                      <w:r>
                        <w:rPr>
                          <w:rFonts w:cstheme="minorHAnsi"/>
                        </w:rPr>
                        <w:t>= 0.6 kWh</w:t>
                      </w:r>
                    </w:p>
                    <w:p w:rsidR="008329D7" w:rsidRDefault="008329D7" w:rsidP="008329D7">
                      <w:r>
                        <w:t xml:space="preserve">Note: Here we assume no change in </w:t>
                      </w:r>
                      <w:proofErr w:type="gramStart"/>
                      <w:r>
                        <w:t>hours</w:t>
                      </w:r>
                      <w:proofErr w:type="gramEnd"/>
                      <w:r>
                        <w:t xml:space="preserve"> assumption. NTG value from Purchase year applied.</w:t>
                      </w:r>
                    </w:p>
                    <w:p w:rsidR="008329D7" w:rsidRDefault="008329D7" w:rsidP="008329D7">
                      <w:pPr>
                        <w:ind w:firstLine="720"/>
                        <w:rPr>
                          <w:rFonts w:cstheme="minorHAnsi"/>
                        </w:rPr>
                      </w:pPr>
                      <w:r>
                        <w:rPr>
                          <w:rFonts w:cstheme="minorHAnsi"/>
                          <w:noProof/>
                        </w:rPr>
                        <w:t>ΔkWH</w:t>
                      </w:r>
                      <w:r>
                        <w:rPr>
                          <w:rFonts w:cstheme="minorHAnsi"/>
                          <w:noProof/>
                          <w:vertAlign w:val="subscript"/>
                        </w:rPr>
                        <w:t>3rd year installs</w:t>
                      </w:r>
                      <w:r>
                        <w:rPr>
                          <w:rFonts w:cstheme="minorHAnsi"/>
                        </w:rPr>
                        <w:tab/>
                      </w:r>
                      <w:r>
                        <w:rPr>
                          <w:rFonts w:cstheme="minorHAnsi"/>
                        </w:rPr>
                        <w:tab/>
                        <w:t xml:space="preserve">= </w:t>
                      </w:r>
                      <w:r>
                        <w:rPr>
                          <w:rFonts w:cstheme="minorHAnsi"/>
                          <w:noProof/>
                        </w:rPr>
                        <w:t>((29-8/1000)*847*1.06*0.028</w:t>
                      </w:r>
                    </w:p>
                    <w:p w:rsidR="008329D7" w:rsidRDefault="008329D7" w:rsidP="008329D7">
                      <w:pPr>
                        <w:ind w:left="2160" w:firstLine="720"/>
                        <w:rPr>
                          <w:rFonts w:cstheme="minorHAnsi"/>
                        </w:rPr>
                      </w:pPr>
                      <w:r>
                        <w:rPr>
                          <w:rFonts w:cstheme="minorHAnsi"/>
                        </w:rPr>
                        <w:t>= 0.5 kWh</w:t>
                      </w:r>
                    </w:p>
                    <w:p w:rsidR="008329D7" w:rsidRDefault="008329D7" w:rsidP="008329D7">
                      <w:pPr>
                        <w:ind w:left="1440" w:firstLine="720"/>
                        <w:rPr>
                          <w:rFonts w:cstheme="minorHAnsi"/>
                        </w:rPr>
                      </w:pPr>
                    </w:p>
                  </w:txbxContent>
                </v:textbox>
                <w10:anchorlock/>
              </v:shape>
            </w:pict>
          </mc:Fallback>
        </mc:AlternateContent>
      </w:r>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Heating Penalty</w:t>
      </w:r>
    </w:p>
    <w:p w:rsidR="008329D7" w:rsidRPr="00E432E0" w:rsidRDefault="008329D7" w:rsidP="008329D7">
      <w:pPr>
        <w:spacing w:after="240"/>
        <w:rPr>
          <w:rFonts w:cstheme="minorHAnsi"/>
          <w:noProof/>
        </w:rPr>
      </w:pPr>
      <w:r w:rsidRPr="00E432E0">
        <w:rPr>
          <w:rFonts w:cstheme="minorHAnsi"/>
          <w:noProof/>
        </w:rPr>
        <w:t>If electric heated home (if heating fuel is unknown assume gas, see Natural Gas section):</w:t>
      </w:r>
    </w:p>
    <w:p w:rsidR="008329D7" w:rsidRPr="00E432E0" w:rsidRDefault="008329D7" w:rsidP="008329D7">
      <w:pPr>
        <w:spacing w:after="240"/>
        <w:ind w:left="1440"/>
        <w:rPr>
          <w:rFonts w:cstheme="minorHAnsi"/>
          <w:noProof/>
        </w:rPr>
      </w:pPr>
      <w:bookmarkStart w:id="5" w:name="OLE_LINK3"/>
      <w:r w:rsidRPr="00E432E0">
        <w:rPr>
          <w:rFonts w:cstheme="minorHAnsi"/>
          <w:noProof/>
        </w:rPr>
        <w:t>∆kWh</w:t>
      </w:r>
      <w:r w:rsidRPr="00E432E0">
        <w:rPr>
          <w:rFonts w:ascii="Arial" w:eastAsiaTheme="majorEastAsia" w:hAnsi="Arial"/>
          <w:noProof/>
          <w:vertAlign w:val="superscript"/>
        </w:rPr>
        <w:footnoteReference w:id="16"/>
      </w:r>
      <w:r w:rsidRPr="00E432E0">
        <w:rPr>
          <w:rFonts w:cstheme="minorHAnsi"/>
          <w:noProof/>
        </w:rPr>
        <w:t xml:space="preserve">  = - (((WattsBase - WattsEE) / 1000) * ISR * Hours * HF) / ηHeat</w:t>
      </w:r>
      <w:bookmarkEnd w:id="5"/>
      <w:r w:rsidRPr="00E432E0">
        <w:rPr>
          <w:rFonts w:cstheme="minorHAnsi"/>
          <w:noProof/>
        </w:rPr>
        <w:tab/>
      </w:r>
    </w:p>
    <w:p w:rsidR="008329D7" w:rsidRPr="00E432E0" w:rsidRDefault="008329D7" w:rsidP="008329D7">
      <w:pPr>
        <w:spacing w:after="240"/>
        <w:ind w:left="720" w:hanging="720"/>
        <w:rPr>
          <w:rFonts w:cstheme="minorHAnsi"/>
          <w:noProof/>
          <w:lang w:val="nl-NL"/>
        </w:rPr>
      </w:pPr>
      <w:r w:rsidRPr="00E432E0">
        <w:rPr>
          <w:rFonts w:cstheme="minorHAnsi"/>
          <w:noProof/>
          <w:lang w:val="nl-NL"/>
        </w:rPr>
        <w:t>Where:</w:t>
      </w:r>
    </w:p>
    <w:p w:rsidR="008329D7" w:rsidRPr="00E432E0" w:rsidRDefault="008329D7" w:rsidP="008329D7">
      <w:pPr>
        <w:spacing w:after="240"/>
        <w:ind w:left="720" w:hanging="720"/>
        <w:rPr>
          <w:rFonts w:cstheme="minorHAnsi"/>
          <w:noProof/>
          <w:lang w:val="nl-NL"/>
        </w:rPr>
      </w:pPr>
      <w:r w:rsidRPr="00E432E0">
        <w:rPr>
          <w:rFonts w:cstheme="minorHAnsi"/>
          <w:noProof/>
          <w:lang w:val="nl-NL"/>
        </w:rPr>
        <w:tab/>
        <w:t>HF</w:t>
      </w:r>
      <w:r w:rsidRPr="00E432E0">
        <w:rPr>
          <w:rFonts w:cstheme="minorHAnsi"/>
          <w:noProof/>
          <w:lang w:val="nl-NL"/>
        </w:rPr>
        <w:tab/>
      </w:r>
      <w:r w:rsidRPr="00E432E0">
        <w:rPr>
          <w:rFonts w:cstheme="minorHAnsi"/>
          <w:noProof/>
          <w:lang w:val="nl-NL"/>
        </w:rPr>
        <w:tab/>
        <w:t>= Heating Factor or percentage of light savings that must be heated</w:t>
      </w:r>
    </w:p>
    <w:p w:rsidR="008329D7" w:rsidRPr="00E432E0" w:rsidRDefault="008329D7" w:rsidP="008329D7">
      <w:pPr>
        <w:spacing w:after="240"/>
        <w:ind w:left="720" w:hanging="720"/>
        <w:rPr>
          <w:rFonts w:cstheme="minorHAnsi"/>
          <w:noProof/>
          <w:lang w:val="nl-NL"/>
        </w:rPr>
      </w:pPr>
      <w:r w:rsidRPr="00E432E0">
        <w:rPr>
          <w:rFonts w:cstheme="minorHAnsi"/>
          <w:noProof/>
          <w:lang w:val="nl-NL"/>
        </w:rPr>
        <w:tab/>
      </w:r>
      <w:r w:rsidRPr="00E432E0">
        <w:rPr>
          <w:rFonts w:cstheme="minorHAnsi"/>
          <w:noProof/>
          <w:lang w:val="nl-NL"/>
        </w:rPr>
        <w:tab/>
      </w:r>
      <w:r w:rsidRPr="00E432E0">
        <w:rPr>
          <w:rFonts w:cstheme="minorHAnsi"/>
          <w:noProof/>
          <w:lang w:val="nl-NL"/>
        </w:rPr>
        <w:tab/>
        <w:t>= 49%</w:t>
      </w:r>
      <w:r w:rsidRPr="00E432E0">
        <w:rPr>
          <w:rFonts w:ascii="Arial" w:eastAsiaTheme="majorEastAsia" w:hAnsi="Arial"/>
          <w:noProof/>
          <w:vertAlign w:val="superscript"/>
          <w:lang w:val="nl-NL"/>
        </w:rPr>
        <w:footnoteReference w:id="17"/>
      </w:r>
      <w:r w:rsidRPr="00E432E0">
        <w:rPr>
          <w:rFonts w:cstheme="minorHAnsi"/>
          <w:noProof/>
          <w:lang w:val="nl-NL"/>
        </w:rPr>
        <w:t xml:space="preserve"> for interior </w:t>
      </w:r>
      <w:r w:rsidRPr="00E432E0">
        <w:rPr>
          <w:rFonts w:cstheme="minorHAnsi"/>
          <w:noProof/>
        </w:rPr>
        <w:t>or unknown</w:t>
      </w:r>
      <w:r w:rsidRPr="00E432E0">
        <w:rPr>
          <w:rFonts w:cstheme="minorHAnsi"/>
          <w:noProof/>
          <w:lang w:val="nl-NL"/>
        </w:rPr>
        <w:t xml:space="preserve"> location</w:t>
      </w:r>
    </w:p>
    <w:p w:rsidR="008329D7" w:rsidRPr="00E432E0" w:rsidRDefault="008329D7" w:rsidP="008329D7">
      <w:pPr>
        <w:spacing w:after="240"/>
        <w:ind w:left="720" w:hanging="720"/>
        <w:rPr>
          <w:rFonts w:cstheme="minorHAnsi"/>
          <w:noProof/>
        </w:rPr>
      </w:pPr>
      <w:r w:rsidRPr="00E432E0">
        <w:rPr>
          <w:rFonts w:cstheme="minorHAnsi"/>
          <w:noProof/>
          <w:lang w:val="nl-NL"/>
        </w:rPr>
        <w:lastRenderedPageBreak/>
        <w:tab/>
      </w:r>
      <w:r w:rsidRPr="00E432E0">
        <w:rPr>
          <w:rFonts w:cstheme="minorHAnsi"/>
          <w:noProof/>
          <w:lang w:val="nl-NL"/>
        </w:rPr>
        <w:tab/>
      </w:r>
      <w:r w:rsidRPr="00E432E0">
        <w:rPr>
          <w:rFonts w:cstheme="minorHAnsi"/>
          <w:noProof/>
          <w:lang w:val="nl-NL"/>
        </w:rPr>
        <w:tab/>
        <w:t xml:space="preserve">= 0% for exterior </w:t>
      </w:r>
      <w:r w:rsidRPr="00E432E0">
        <w:rPr>
          <w:rFonts w:cstheme="minorHAnsi"/>
          <w:noProof/>
        </w:rPr>
        <w:t xml:space="preserve">or unheated </w:t>
      </w:r>
      <w:r w:rsidRPr="00E432E0">
        <w:rPr>
          <w:rFonts w:cstheme="minorHAnsi"/>
          <w:noProof/>
          <w:lang w:val="nl-NL"/>
        </w:rPr>
        <w:t>location</w:t>
      </w:r>
    </w:p>
    <w:p w:rsidR="008329D7" w:rsidRPr="00E432E0" w:rsidRDefault="008329D7" w:rsidP="008329D7">
      <w:pPr>
        <w:spacing w:after="240"/>
        <w:ind w:firstLine="720"/>
        <w:rPr>
          <w:rFonts w:cstheme="minorHAnsi"/>
          <w:noProof/>
        </w:rPr>
      </w:pPr>
      <w:r w:rsidRPr="00E432E0">
        <w:rPr>
          <w:rFonts w:cstheme="minorHAnsi"/>
          <w:noProof/>
        </w:rPr>
        <w:t xml:space="preserve">ηHeat </w:t>
      </w:r>
      <w:r w:rsidRPr="00E432E0">
        <w:rPr>
          <w:rFonts w:cstheme="minorHAnsi"/>
          <w:noProof/>
        </w:rPr>
        <w:tab/>
      </w:r>
      <w:r w:rsidRPr="00E432E0">
        <w:rPr>
          <w:rFonts w:cstheme="minorHAnsi"/>
          <w:noProof/>
        </w:rPr>
        <w:tab/>
        <w:t xml:space="preserve">= Efficiency in COP of Heating equipment </w:t>
      </w:r>
    </w:p>
    <w:p w:rsidR="008329D7" w:rsidRPr="00E432E0" w:rsidRDefault="008329D7" w:rsidP="008329D7">
      <w:pPr>
        <w:spacing w:after="240"/>
        <w:ind w:left="1440" w:firstLine="720"/>
        <w:rPr>
          <w:rFonts w:cstheme="minorHAnsi"/>
        </w:rPr>
      </w:pPr>
      <w:r w:rsidRPr="00E432E0">
        <w:rPr>
          <w:rFonts w:cstheme="minorHAnsi"/>
          <w:noProof/>
        </w:rPr>
        <w:t>= actual.</w:t>
      </w:r>
      <w:r w:rsidRPr="00E432E0">
        <w:rPr>
          <w:rFonts w:cstheme="minorHAnsi"/>
        </w:rPr>
        <w:t xml:space="preserve"> If not available use</w:t>
      </w:r>
      <w:r w:rsidRPr="00E432E0">
        <w:rPr>
          <w:rFonts w:ascii="Arial" w:eastAsiaTheme="majorEastAsia" w:hAnsi="Arial"/>
          <w:vertAlign w:val="superscript"/>
        </w:rPr>
        <w:footnoteReference w:id="18"/>
      </w:r>
      <w:r w:rsidRPr="00E432E0">
        <w:rPr>
          <w:rFonts w:cstheme="minorHAnsi"/>
        </w:rPr>
        <w:t>:</w:t>
      </w:r>
    </w:p>
    <w:tbl>
      <w:tblPr>
        <w:tblStyle w:val="TableGrid16"/>
        <w:tblW w:w="0" w:type="auto"/>
        <w:tblInd w:w="2448" w:type="dxa"/>
        <w:tblLayout w:type="fixed"/>
        <w:tblLook w:val="04A0" w:firstRow="1" w:lastRow="0" w:firstColumn="1" w:lastColumn="0" w:noHBand="0" w:noVBand="1"/>
      </w:tblPr>
      <w:tblGrid>
        <w:gridCol w:w="1350"/>
        <w:gridCol w:w="1732"/>
        <w:gridCol w:w="1379"/>
        <w:gridCol w:w="1479"/>
      </w:tblGrid>
      <w:tr w:rsidR="008329D7" w:rsidRPr="00E432E0" w:rsidTr="00785D9A">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rPr>
            </w:pPr>
            <w:r w:rsidRPr="00E432E0">
              <w:rPr>
                <w:rFonts w:asciiTheme="minorHAnsi" w:hAnsiTheme="minorHAnsi"/>
                <w:b/>
                <w:color w:val="FFFFFF" w:themeColor="background1"/>
              </w:rPr>
              <w:t>System Type</w:t>
            </w:r>
          </w:p>
        </w:tc>
        <w:tc>
          <w:tcPr>
            <w:tcW w:w="173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rPr>
            </w:pPr>
            <w:r w:rsidRPr="00E432E0">
              <w:rPr>
                <w:rFonts w:asciiTheme="minorHAnsi" w:hAnsiTheme="minorHAnsi"/>
                <w:b/>
                <w:color w:val="FFFFFF" w:themeColor="background1"/>
              </w:rPr>
              <w:t>Age of Equipment</w:t>
            </w:r>
          </w:p>
        </w:tc>
        <w:tc>
          <w:tcPr>
            <w:tcW w:w="13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rPr>
            </w:pPr>
            <w:r w:rsidRPr="00E432E0">
              <w:rPr>
                <w:rFonts w:asciiTheme="minorHAnsi" w:hAnsiTheme="minorHAnsi"/>
                <w:b/>
                <w:color w:val="FFFFFF" w:themeColor="background1"/>
              </w:rPr>
              <w:t>HSPF Estimate</w:t>
            </w:r>
          </w:p>
        </w:tc>
        <w:tc>
          <w:tcPr>
            <w:tcW w:w="147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rPr>
            </w:pPr>
            <w:proofErr w:type="spellStart"/>
            <w:r w:rsidRPr="00E432E0">
              <w:rPr>
                <w:rFonts w:asciiTheme="minorHAnsi" w:hAnsiTheme="minorHAnsi"/>
                <w:b/>
                <w:color w:val="FFFFFF" w:themeColor="background1"/>
              </w:rPr>
              <w:t>ηHeat</w:t>
            </w:r>
            <w:proofErr w:type="spellEnd"/>
          </w:p>
          <w:p w:rsidR="008329D7" w:rsidRPr="00E432E0" w:rsidRDefault="008329D7" w:rsidP="00785D9A">
            <w:pPr>
              <w:jc w:val="center"/>
              <w:rPr>
                <w:rFonts w:asciiTheme="minorHAnsi" w:hAnsiTheme="minorHAnsi"/>
                <w:b/>
                <w:color w:val="FFFFFF" w:themeColor="background1"/>
              </w:rPr>
            </w:pPr>
            <w:r w:rsidRPr="00E432E0">
              <w:rPr>
                <w:rFonts w:asciiTheme="minorHAnsi" w:hAnsiTheme="minorHAnsi"/>
                <w:b/>
                <w:color w:val="FFFFFF" w:themeColor="background1"/>
              </w:rPr>
              <w:t>(COP Estimate)</w:t>
            </w:r>
          </w:p>
        </w:tc>
      </w:tr>
      <w:tr w:rsidR="008329D7" w:rsidRPr="00E432E0" w:rsidTr="00785D9A">
        <w:trPr>
          <w:trHeight w:val="323"/>
        </w:trPr>
        <w:tc>
          <w:tcPr>
            <w:tcW w:w="1350" w:type="dxa"/>
            <w:vMerge w:val="restart"/>
            <w:tcBorders>
              <w:top w:val="single" w:sz="4" w:space="0" w:color="auto"/>
              <w:left w:val="single" w:sz="4" w:space="0" w:color="auto"/>
              <w:right w:val="single" w:sz="4" w:space="0" w:color="auto"/>
            </w:tcBorders>
            <w:vAlign w:val="center"/>
            <w:hideMark/>
          </w:tcPr>
          <w:p w:rsidR="008329D7" w:rsidRPr="00E432E0" w:rsidRDefault="008329D7" w:rsidP="00785D9A">
            <w:pPr>
              <w:rPr>
                <w:rFonts w:asciiTheme="minorHAnsi" w:hAnsiTheme="minorHAnsi"/>
              </w:rPr>
            </w:pPr>
            <w:r w:rsidRPr="00E432E0">
              <w:rPr>
                <w:rFonts w:asciiTheme="minorHAnsi" w:hAnsiTheme="minorHAnsi"/>
              </w:rPr>
              <w:t>Heat Pump</w:t>
            </w:r>
          </w:p>
        </w:tc>
        <w:tc>
          <w:tcPr>
            <w:tcW w:w="1732"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rPr>
                <w:rFonts w:asciiTheme="minorHAnsi" w:hAnsiTheme="minorHAnsi"/>
              </w:rPr>
            </w:pPr>
            <w:r w:rsidRPr="00E432E0">
              <w:rPr>
                <w:rFonts w:asciiTheme="minorHAnsi" w:hAnsiTheme="minorHAnsi"/>
              </w:rPr>
              <w:t>Before 2006</w:t>
            </w:r>
          </w:p>
        </w:tc>
        <w:tc>
          <w:tcPr>
            <w:tcW w:w="13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6.8</w:t>
            </w:r>
          </w:p>
        </w:tc>
        <w:tc>
          <w:tcPr>
            <w:tcW w:w="14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2.00</w:t>
            </w:r>
          </w:p>
        </w:tc>
      </w:tr>
      <w:tr w:rsidR="008329D7" w:rsidRPr="00E432E0" w:rsidTr="00785D9A">
        <w:tc>
          <w:tcPr>
            <w:tcW w:w="1350" w:type="dxa"/>
            <w:vMerge/>
            <w:tcBorders>
              <w:left w:val="single" w:sz="4" w:space="0" w:color="auto"/>
              <w:right w:val="single" w:sz="4" w:space="0" w:color="auto"/>
            </w:tcBorders>
            <w:vAlign w:val="center"/>
            <w:hideMark/>
          </w:tcPr>
          <w:p w:rsidR="008329D7" w:rsidRPr="00E432E0" w:rsidRDefault="008329D7" w:rsidP="00785D9A">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rPr>
                <w:rFonts w:asciiTheme="minorHAnsi" w:hAnsiTheme="minorHAnsi"/>
              </w:rPr>
            </w:pPr>
            <w:r w:rsidRPr="00E432E0" w:rsidDel="00A6468F">
              <w:rPr>
                <w:rFonts w:asciiTheme="minorHAnsi" w:hAnsiTheme="minorHAnsi"/>
              </w:rPr>
              <w:t xml:space="preserve">After </w:t>
            </w:r>
            <w:r w:rsidRPr="00E432E0">
              <w:rPr>
                <w:rFonts w:asciiTheme="minorHAnsi" w:hAnsiTheme="minorHAnsi"/>
              </w:rPr>
              <w:t>2006 - 2014</w:t>
            </w:r>
          </w:p>
        </w:tc>
        <w:tc>
          <w:tcPr>
            <w:tcW w:w="13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7.7</w:t>
            </w:r>
          </w:p>
        </w:tc>
        <w:tc>
          <w:tcPr>
            <w:tcW w:w="14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2.26</w:t>
            </w:r>
          </w:p>
        </w:tc>
      </w:tr>
      <w:tr w:rsidR="008329D7" w:rsidRPr="00E432E0" w:rsidTr="00785D9A">
        <w:tc>
          <w:tcPr>
            <w:tcW w:w="1350" w:type="dxa"/>
            <w:vMerge/>
            <w:tcBorders>
              <w:left w:val="single" w:sz="4" w:space="0" w:color="auto"/>
              <w:bottom w:val="single" w:sz="4" w:space="0" w:color="auto"/>
              <w:right w:val="single" w:sz="4" w:space="0" w:color="auto"/>
            </w:tcBorders>
            <w:vAlign w:val="center"/>
          </w:tcPr>
          <w:p w:rsidR="008329D7" w:rsidRPr="00E432E0" w:rsidRDefault="008329D7" w:rsidP="00785D9A">
            <w:pPr>
              <w:rPr>
                <w:rFonts w:asciiTheme="minorHAnsi" w:hAnsiTheme="minorHAnsi"/>
              </w:rPr>
            </w:pPr>
          </w:p>
        </w:tc>
        <w:tc>
          <w:tcPr>
            <w:tcW w:w="1732" w:type="dxa"/>
            <w:tcBorders>
              <w:top w:val="single" w:sz="4" w:space="0" w:color="auto"/>
              <w:left w:val="single" w:sz="4" w:space="0" w:color="auto"/>
              <w:bottom w:val="single" w:sz="4" w:space="0" w:color="auto"/>
              <w:right w:val="single" w:sz="4" w:space="0" w:color="auto"/>
            </w:tcBorders>
          </w:tcPr>
          <w:p w:rsidR="008329D7" w:rsidRPr="00E432E0" w:rsidRDefault="008329D7" w:rsidP="00785D9A">
            <w:pPr>
              <w:rPr>
                <w:rFonts w:asciiTheme="minorHAnsi" w:hAnsiTheme="minorHAnsi"/>
              </w:rPr>
            </w:pPr>
            <w:r w:rsidRPr="00E432E0">
              <w:rPr>
                <w:rFonts w:asciiTheme="minorHAnsi" w:hAnsiTheme="minorHAnsi"/>
              </w:rPr>
              <w:t xml:space="preserve">2015 on </w:t>
            </w:r>
          </w:p>
        </w:tc>
        <w:tc>
          <w:tcPr>
            <w:tcW w:w="1379" w:type="dxa"/>
            <w:tcBorders>
              <w:top w:val="single" w:sz="4" w:space="0" w:color="auto"/>
              <w:left w:val="single" w:sz="4" w:space="0" w:color="auto"/>
              <w:bottom w:val="single" w:sz="4" w:space="0" w:color="auto"/>
              <w:right w:val="single" w:sz="4" w:space="0" w:color="auto"/>
            </w:tcBorders>
          </w:tcPr>
          <w:p w:rsidR="008329D7" w:rsidRPr="00E432E0" w:rsidRDefault="008329D7" w:rsidP="00785D9A">
            <w:pPr>
              <w:jc w:val="center"/>
              <w:rPr>
                <w:rFonts w:asciiTheme="minorHAnsi" w:hAnsiTheme="minorHAnsi"/>
                <w:szCs w:val="22"/>
              </w:rPr>
            </w:pPr>
            <w:r w:rsidRPr="00E432E0">
              <w:rPr>
                <w:rFonts w:asciiTheme="minorHAnsi" w:hAnsiTheme="minorHAnsi"/>
              </w:rPr>
              <w:t>8.2</w:t>
            </w:r>
          </w:p>
        </w:tc>
        <w:tc>
          <w:tcPr>
            <w:tcW w:w="1479" w:type="dxa"/>
            <w:tcBorders>
              <w:top w:val="single" w:sz="4" w:space="0" w:color="auto"/>
              <w:left w:val="single" w:sz="4" w:space="0" w:color="auto"/>
              <w:bottom w:val="single" w:sz="4" w:space="0" w:color="auto"/>
              <w:right w:val="single" w:sz="4" w:space="0" w:color="auto"/>
            </w:tcBorders>
          </w:tcPr>
          <w:p w:rsidR="008329D7" w:rsidRPr="00E432E0" w:rsidRDefault="008329D7" w:rsidP="00785D9A">
            <w:pPr>
              <w:jc w:val="center"/>
              <w:rPr>
                <w:rFonts w:asciiTheme="minorHAnsi" w:hAnsiTheme="minorHAnsi"/>
                <w:szCs w:val="22"/>
              </w:rPr>
            </w:pPr>
            <w:r w:rsidRPr="00E432E0">
              <w:rPr>
                <w:rFonts w:asciiTheme="minorHAnsi" w:hAnsiTheme="minorHAnsi"/>
              </w:rPr>
              <w:t>2.40</w:t>
            </w:r>
          </w:p>
        </w:tc>
      </w:tr>
      <w:tr w:rsidR="008329D7" w:rsidRPr="00E432E0" w:rsidTr="00785D9A">
        <w:tc>
          <w:tcPr>
            <w:tcW w:w="1350"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rPr>
                <w:rFonts w:asciiTheme="minorHAnsi" w:hAnsiTheme="minorHAnsi"/>
              </w:rPr>
            </w:pPr>
            <w:r w:rsidRPr="00E432E0">
              <w:rPr>
                <w:rFonts w:asciiTheme="minorHAnsi" w:hAnsiTheme="minorHAnsi"/>
              </w:rPr>
              <w:t>Resistance</w:t>
            </w:r>
          </w:p>
        </w:tc>
        <w:tc>
          <w:tcPr>
            <w:tcW w:w="1732"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rPr>
                <w:rFonts w:asciiTheme="minorHAnsi" w:hAnsiTheme="minorHAnsi"/>
              </w:rPr>
            </w:pPr>
            <w:r w:rsidRPr="00E432E0">
              <w:rPr>
                <w:rFonts w:asciiTheme="minorHAnsi" w:hAnsiTheme="minorHAnsi"/>
              </w:rPr>
              <w:t>N/A</w:t>
            </w:r>
          </w:p>
        </w:tc>
        <w:tc>
          <w:tcPr>
            <w:tcW w:w="13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N/A</w:t>
            </w:r>
          </w:p>
        </w:tc>
        <w:tc>
          <w:tcPr>
            <w:tcW w:w="1479"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1.00</w:t>
            </w:r>
          </w:p>
        </w:tc>
      </w:tr>
    </w:tbl>
    <w:p w:rsidR="008329D7" w:rsidRPr="00E432E0" w:rsidRDefault="008329D7" w:rsidP="008329D7">
      <w:pPr>
        <w:spacing w:after="240"/>
        <w:ind w:left="1440" w:hanging="720"/>
        <w:rPr>
          <w:rFonts w:cstheme="minorHAnsi"/>
          <w:b/>
          <w:szCs w:val="20"/>
        </w:rPr>
      </w:pPr>
    </w:p>
    <w:p w:rsidR="008329D7" w:rsidRPr="00E432E0" w:rsidRDefault="008329D7" w:rsidP="008329D7">
      <w:pPr>
        <w:spacing w:after="240"/>
        <w:ind w:left="1440" w:hanging="1440"/>
        <w:rPr>
          <w:rFonts w:cstheme="minorHAnsi"/>
          <w:b/>
          <w:szCs w:val="20"/>
        </w:rPr>
      </w:pPr>
      <w:r w:rsidRPr="00E432E0">
        <w:rPr>
          <w:noProof/>
        </w:rPr>
        <mc:AlternateContent>
          <mc:Choice Requires="wps">
            <w:drawing>
              <wp:inline distT="0" distB="0" distL="0" distR="0" wp14:anchorId="719CCA97" wp14:editId="2714EBD5">
                <wp:extent cx="5852160" cy="1254642"/>
                <wp:effectExtent l="0" t="0" r="15240" b="22225"/>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1254642"/>
                        </a:xfrm>
                        <a:prstGeom prst="rect">
                          <a:avLst/>
                        </a:prstGeom>
                        <a:solidFill>
                          <a:srgbClr val="FFFFFF"/>
                        </a:solidFill>
                        <a:ln w="9525">
                          <a:solidFill>
                            <a:srgbClr val="000000"/>
                          </a:solidFill>
                          <a:miter lim="800000"/>
                          <a:headEnd/>
                          <a:tailEnd/>
                        </a:ln>
                      </wps:spPr>
                      <wps:txbx>
                        <w:txbxContent>
                          <w:p w:rsidR="008329D7" w:rsidRDefault="008329D7" w:rsidP="008329D7">
                            <w:pPr>
                              <w:rPr>
                                <w:rFonts w:cstheme="minorHAnsi"/>
                                <w:highlight w:val="yellow"/>
                              </w:rPr>
                            </w:pPr>
                            <w:r>
                              <w:rPr>
                                <w:rFonts w:cstheme="minorHAnsi"/>
                              </w:rPr>
                              <w:t>Using the same 8 W LED that is installed in home with 2.0 COP Heat Pump (i.e., the heat pump was installed prior to 2006):</w:t>
                            </w:r>
                          </w:p>
                          <w:p w:rsidR="008329D7" w:rsidRDefault="008329D7" w:rsidP="008329D7">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(((29-8) / 1000) * 0.92 * 759 * 0.49) / 2.0</w:t>
                            </w:r>
                          </w:p>
                          <w:p w:rsidR="008329D7" w:rsidRDefault="008329D7" w:rsidP="008329D7">
                            <w:pPr>
                              <w:rPr>
                                <w:rFonts w:cstheme="minorHAnsi"/>
                              </w:rPr>
                            </w:pPr>
                            <w:r>
                              <w:rPr>
                                <w:rFonts w:cstheme="minorHAnsi"/>
                              </w:rPr>
                              <w:tab/>
                            </w:r>
                            <w:r>
                              <w:rPr>
                                <w:rFonts w:cstheme="minorHAnsi"/>
                              </w:rPr>
                              <w:tab/>
                            </w:r>
                            <w:r>
                              <w:rPr>
                                <w:rFonts w:cstheme="minorHAnsi"/>
                              </w:rPr>
                              <w:tab/>
                              <w:t>= - 3.6 kWh</w:t>
                            </w:r>
                          </w:p>
                          <w:p w:rsidR="008329D7" w:rsidRDefault="008329D7" w:rsidP="008329D7">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p w:rsidR="008329D7" w:rsidRDefault="008329D7" w:rsidP="008329D7"/>
                        </w:txbxContent>
                      </wps:txbx>
                      <wps:bodyPr rot="0" vert="horz" wrap="square" lIns="91440" tIns="45720" rIns="91440" bIns="45720" anchor="t" anchorCtr="0">
                        <a:noAutofit/>
                      </wps:bodyPr>
                    </wps:wsp>
                  </a:graphicData>
                </a:graphic>
              </wp:inline>
            </w:drawing>
          </mc:Choice>
          <mc:Fallback>
            <w:pict>
              <v:shape id="Text Box 44" o:spid="_x0000_s1028" type="#_x0000_t202" style="width:460.8pt;height:98.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uNHJgIAAE4EAAAOAAAAZHJzL2Uyb0RvYy54bWysVNuO2yAQfa/Uf0C8N44tO9214qy22aaq&#10;tL1Iu/0AgnGMCgwFEjv9+g44m01vL1X9gBhmOJw5M+PlzagVOQjnJZiG5rM5JcJwaKXZNfTL4+bV&#10;FSU+MNMyBUY09Cg8vVm9fLEcbC0K6EG1whEEMb4ebEP7EGydZZ73QjM/AysMOjtwmgU03S5rHRsQ&#10;XausmM8X2QCutQ648B5P7yYnXSX8rhM8fOo6LwJRDUVuIa0urdu4Zqslq3eO2V7yEw32Dyw0kwYf&#10;PUPdscDI3snfoLTkDjx0YcZBZ9B1kouUA2aTz3/J5qFnVqRcUBxvzzL5/wfLPx4+OyLbhpYlJYZp&#10;rNGjGAN5AyPBI9RnsL7GsAeLgWHEc6xzytXbe+BfPTGw7pnZiVvnYOgFa5FfHm9mF1cnHB9BtsMH&#10;aPEdtg+QgMbO6SgeykEQHet0PNcmcuF4WF1VRb5AF0dfXlTloizSG6x+um6dD+8EaBI3DXVY/ATP&#10;Dvc+RDqsfgqJr3lQst1IpZLhdtu1cuTAsFE26Tuh/xSmDBkael0V1aTAXyHm6fsThJYBO15J3dCr&#10;cxCro25vTZv6MTCppj1SVuYkZNRuUjGM2zHVLCkQRd5Ce0RlHUwNjgOJmx7cd0oGbO6G+m975gQl&#10;6r3B6lznZRmnIRll9bpAw116tpceZjhCNTRQMm3XIU1Q1M3ALVaxk0nfZyYnyti0SfbTgMWpuLRT&#10;1PNvYPUDAAD//wMAUEsDBBQABgAIAAAAIQCLKUWH3AAAAAUBAAAPAAAAZHJzL2Rvd25yZXYueG1s&#10;TI/BTsMwEETvSPyDtUhcEHVaUNqEOBVCAsGtFARXN94mEfY62G4a/p6FC1xGWs1o5m21npwVI4bY&#10;e1Iwn2UgkBpvemoVvL7cX65AxKTJaOsJFXxhhHV9elLp0vgjPeO4Ta3gEoqlVtClNJRSxqZDp+PM&#10;D0js7X1wOvEZWmmCPnK5s3KRZbl0uide6PSAdx02H9uDU7C6fhzf49PV5q3J97ZIF8vx4TModX42&#10;3d6ASDilvzD84DM61My08wcyUVgF/Ej6VfaKxTwHseNQscxB1pX8T19/AwAA//8DAFBLAQItABQA&#10;BgAIAAAAIQC2gziS/gAAAOEBAAATAAAAAAAAAAAAAAAAAAAAAABbQ29udGVudF9UeXBlc10ueG1s&#10;UEsBAi0AFAAGAAgAAAAhADj9If/WAAAAlAEAAAsAAAAAAAAAAAAAAAAALwEAAF9yZWxzLy5yZWxz&#10;UEsBAi0AFAAGAAgAAAAhAKhq40cmAgAATgQAAA4AAAAAAAAAAAAAAAAALgIAAGRycy9lMm9Eb2Mu&#10;eG1sUEsBAi0AFAAGAAgAAAAhAIspRYfcAAAABQEAAA8AAAAAAAAAAAAAAAAAgAQAAGRycy9kb3du&#10;cmV2LnhtbFBLBQYAAAAABAAEAPMAAACJBQAAAAA=&#10;">
                <v:textbox>
                  <w:txbxContent>
                    <w:p w:rsidR="008329D7" w:rsidRDefault="008329D7" w:rsidP="008329D7">
                      <w:pPr>
                        <w:rPr>
                          <w:rFonts w:cstheme="minorHAnsi"/>
                          <w:highlight w:val="yellow"/>
                        </w:rPr>
                      </w:pPr>
                      <w:r>
                        <w:rPr>
                          <w:rFonts w:cstheme="minorHAnsi"/>
                        </w:rPr>
                        <w:t>Using the same 8 W LED that is installed in home with 2.0 COP Heat Pump (i.e., the heat pump was installed prior to 2006):</w:t>
                      </w:r>
                    </w:p>
                    <w:p w:rsidR="008329D7" w:rsidRDefault="008329D7" w:rsidP="008329D7">
                      <w:pPr>
                        <w:ind w:firstLine="720"/>
                        <w:rPr>
                          <w:rFonts w:cstheme="minorHAnsi"/>
                          <w:noProof/>
                        </w:rPr>
                      </w:pPr>
                      <w:r>
                        <w:rPr>
                          <w:rFonts w:cstheme="minorHAnsi"/>
                          <w:noProof/>
                        </w:rPr>
                        <w:t>∆kWh</w:t>
                      </w:r>
                      <w:r>
                        <w:rPr>
                          <w:rFonts w:cstheme="minorHAnsi"/>
                          <w:noProof/>
                          <w:vertAlign w:val="subscript"/>
                        </w:rPr>
                        <w:t>1st year</w:t>
                      </w:r>
                      <w:r>
                        <w:rPr>
                          <w:rFonts w:cstheme="minorHAnsi"/>
                          <w:noProof/>
                        </w:rPr>
                        <w:t xml:space="preserve">  </w:t>
                      </w:r>
                      <w:r>
                        <w:rPr>
                          <w:rFonts w:cstheme="minorHAnsi"/>
                          <w:noProof/>
                        </w:rPr>
                        <w:tab/>
                        <w:t>= - (((29-8) / 1000) * 0.92 * 759 * 0.49) / 2.0</w:t>
                      </w:r>
                    </w:p>
                    <w:p w:rsidR="008329D7" w:rsidRDefault="008329D7" w:rsidP="008329D7">
                      <w:pPr>
                        <w:rPr>
                          <w:rFonts w:cstheme="minorHAnsi"/>
                        </w:rPr>
                      </w:pPr>
                      <w:r>
                        <w:rPr>
                          <w:rFonts w:cstheme="minorHAnsi"/>
                        </w:rPr>
                        <w:tab/>
                      </w:r>
                      <w:r>
                        <w:rPr>
                          <w:rFonts w:cstheme="minorHAnsi"/>
                        </w:rPr>
                        <w:tab/>
                      </w:r>
                      <w:r>
                        <w:rPr>
                          <w:rFonts w:cstheme="minorHAnsi"/>
                        </w:rPr>
                        <w:tab/>
                        <w:t>= - 3.6 kWh</w:t>
                      </w:r>
                    </w:p>
                    <w:p w:rsidR="008329D7" w:rsidRDefault="008329D7" w:rsidP="008329D7">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p w:rsidR="008329D7" w:rsidRDefault="008329D7" w:rsidP="008329D7"/>
                  </w:txbxContent>
                </v:textbox>
                <w10:anchorlock/>
              </v:shape>
            </w:pict>
          </mc:Fallback>
        </mc:AlternateContent>
      </w:r>
    </w:p>
    <w:p w:rsidR="008329D7" w:rsidRPr="00E432E0" w:rsidRDefault="008329D7" w:rsidP="008329D7">
      <w:pPr>
        <w:widowControl/>
        <w:spacing w:after="200" w:line="276" w:lineRule="auto"/>
        <w:jc w:val="left"/>
        <w:rPr>
          <w:rFonts w:eastAsiaTheme="majorEastAsia" w:cstheme="majorBidi"/>
          <w:b/>
          <w:iCs/>
          <w:smallCaps/>
          <w:sz w:val="22"/>
        </w:rPr>
      </w:pPr>
      <w:del w:id="6" w:author="Samuel Dent" w:date="2015-12-17T06:09:00Z">
        <w:r w:rsidDel="008329D7">
          <w:rPr>
            <w:rFonts w:eastAsiaTheme="majorEastAsia" w:cstheme="majorBidi"/>
            <w:b/>
            <w:iCs/>
            <w:smallCaps/>
            <w:sz w:val="22"/>
          </w:rPr>
          <w:br w:type="page"/>
        </w:r>
      </w:del>
      <w:r w:rsidRPr="00E432E0">
        <w:rPr>
          <w:rFonts w:eastAsiaTheme="majorEastAsia" w:cstheme="majorBidi"/>
          <w:b/>
          <w:iCs/>
          <w:smallCaps/>
          <w:sz w:val="22"/>
        </w:rPr>
        <w:t>Summer Coincident Peak Demand Savings</w:t>
      </w:r>
    </w:p>
    <w:p w:rsidR="008329D7" w:rsidRPr="00E432E0" w:rsidRDefault="008329D7" w:rsidP="008329D7">
      <w:pPr>
        <w:spacing w:after="240"/>
        <w:ind w:left="1440"/>
        <w:rPr>
          <w:rFonts w:cstheme="minorHAnsi"/>
          <w:noProof/>
          <w:szCs w:val="20"/>
          <w:lang w:val="nl-NL"/>
        </w:rPr>
      </w:pPr>
      <w:r w:rsidRPr="00E432E0">
        <w:rPr>
          <w:rFonts w:cstheme="minorHAnsi"/>
          <w:noProof/>
        </w:rPr>
        <w:t>∆kW</w:t>
      </w:r>
      <w:r w:rsidRPr="00E432E0">
        <w:rPr>
          <w:rFonts w:cstheme="minorHAnsi"/>
          <w:noProof/>
        </w:rPr>
        <w:tab/>
        <w:t>= ((WattsBase - WattsEE) / 1 000) * ISR * WHFd * CF</w:t>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r w:rsidRPr="00E432E0">
        <w:rPr>
          <w:rFonts w:cstheme="minorHAnsi"/>
          <w:noProof/>
        </w:rPr>
        <w:tab/>
      </w:r>
    </w:p>
    <w:p w:rsidR="008329D7" w:rsidRPr="00E432E0" w:rsidRDefault="008329D7" w:rsidP="008329D7">
      <w:pPr>
        <w:spacing w:after="240"/>
        <w:rPr>
          <w:rFonts w:cstheme="minorHAnsi"/>
          <w:noProof/>
          <w:lang w:val="nl-NL"/>
        </w:rPr>
      </w:pPr>
      <w:r w:rsidRPr="00E432E0">
        <w:rPr>
          <w:rFonts w:cstheme="minorHAnsi"/>
          <w:noProof/>
          <w:lang w:val="nl-NL"/>
        </w:rPr>
        <w:t>Where:</w:t>
      </w:r>
    </w:p>
    <w:p w:rsidR="008329D7" w:rsidRPr="00E432E0" w:rsidRDefault="008329D7" w:rsidP="008329D7">
      <w:pPr>
        <w:spacing w:after="240"/>
        <w:ind w:firstLine="720"/>
        <w:rPr>
          <w:rFonts w:cstheme="minorHAnsi"/>
          <w:noProof/>
        </w:rPr>
      </w:pPr>
      <w:r w:rsidRPr="00E432E0">
        <w:rPr>
          <w:rFonts w:cstheme="minorHAnsi"/>
          <w:noProof/>
        </w:rPr>
        <w:t>WHFd</w:t>
      </w:r>
      <w:r w:rsidRPr="00E432E0">
        <w:rPr>
          <w:rFonts w:cstheme="minorHAnsi"/>
          <w:noProof/>
        </w:rPr>
        <w:tab/>
      </w:r>
      <w:r>
        <w:rPr>
          <w:rFonts w:cstheme="minorHAnsi"/>
          <w:noProof/>
        </w:rPr>
        <w:tab/>
      </w:r>
      <w:r w:rsidRPr="00E432E0">
        <w:rPr>
          <w:rFonts w:cstheme="minorHAnsi"/>
          <w:noProof/>
        </w:rPr>
        <w:t xml:space="preserve">= Waste heat factor for demand to account for cooling savings from efficient lighting. </w:t>
      </w:r>
    </w:p>
    <w:tbl>
      <w:tblPr>
        <w:tblW w:w="0" w:type="auto"/>
        <w:jc w:val="center"/>
        <w:tblInd w:w="2160" w:type="dxa"/>
        <w:tblLook w:val="04A0" w:firstRow="1" w:lastRow="0" w:firstColumn="1" w:lastColumn="0" w:noHBand="0" w:noVBand="1"/>
      </w:tblPr>
      <w:tblGrid>
        <w:gridCol w:w="3888"/>
        <w:gridCol w:w="1170"/>
      </w:tblGrid>
      <w:tr w:rsidR="008329D7" w:rsidRPr="00E432E0" w:rsidTr="00785D9A">
        <w:trPr>
          <w:jc w:val="center"/>
        </w:trPr>
        <w:tc>
          <w:tcPr>
            <w:tcW w:w="388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Bulb Location</w:t>
            </w:r>
          </w:p>
        </w:tc>
        <w:tc>
          <w:tcPr>
            <w:tcW w:w="117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proofErr w:type="spellStart"/>
            <w:r w:rsidRPr="00E432E0">
              <w:rPr>
                <w:b/>
                <w:color w:val="FFFFFF" w:themeColor="background1"/>
              </w:rPr>
              <w:t>WHFd</w:t>
            </w:r>
            <w:proofErr w:type="spellEnd"/>
          </w:p>
        </w:tc>
      </w:tr>
      <w:tr w:rsidR="008329D7" w:rsidRPr="00E432E0" w:rsidTr="00785D9A">
        <w:trPr>
          <w:jc w:val="center"/>
        </w:trPr>
        <w:tc>
          <w:tcPr>
            <w:tcW w:w="388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r w:rsidRPr="00E432E0">
              <w:t>Interior single family or unknown location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pPr>
            <w:r w:rsidRPr="00E432E0">
              <w:t>1.11</w:t>
            </w:r>
            <w:r w:rsidRPr="009C362B">
              <w:rPr>
                <w:rFonts w:eastAsiaTheme="majorEastAsia"/>
                <w:vertAlign w:val="superscript"/>
              </w:rPr>
              <w:footnoteReference w:id="19"/>
            </w:r>
          </w:p>
        </w:tc>
      </w:tr>
      <w:tr w:rsidR="008329D7" w:rsidRPr="00E432E0" w:rsidTr="00785D9A">
        <w:trPr>
          <w:jc w:val="center"/>
        </w:trPr>
        <w:tc>
          <w:tcPr>
            <w:tcW w:w="388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roofErr w:type="spellStart"/>
            <w:r w:rsidRPr="00E432E0">
              <w:t>Multi family</w:t>
            </w:r>
            <w:proofErr w:type="spellEnd"/>
            <w:r w:rsidRPr="00E432E0">
              <w:t xml:space="preserve"> in unit</w:t>
            </w:r>
          </w:p>
        </w:tc>
        <w:tc>
          <w:tcPr>
            <w:tcW w:w="1170"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pPr>
            <w:r w:rsidRPr="00E432E0">
              <w:t>1.07</w:t>
            </w:r>
            <w:r w:rsidRPr="009C362B">
              <w:rPr>
                <w:rFonts w:eastAsiaTheme="majorEastAsia"/>
                <w:vertAlign w:val="superscript"/>
              </w:rPr>
              <w:footnoteReference w:id="20"/>
            </w:r>
          </w:p>
        </w:tc>
      </w:tr>
      <w:tr w:rsidR="008329D7" w:rsidRPr="00E432E0" w:rsidTr="00785D9A">
        <w:trPr>
          <w:jc w:val="center"/>
        </w:trPr>
        <w:tc>
          <w:tcPr>
            <w:tcW w:w="3888" w:type="dxa"/>
            <w:tcBorders>
              <w:top w:val="single" w:sz="4" w:space="0" w:color="auto"/>
              <w:left w:val="single" w:sz="4" w:space="0" w:color="auto"/>
              <w:bottom w:val="single" w:sz="4" w:space="0" w:color="auto"/>
              <w:right w:val="single" w:sz="4" w:space="0" w:color="auto"/>
            </w:tcBorders>
            <w:vAlign w:val="center"/>
          </w:tcPr>
          <w:p w:rsidR="008329D7" w:rsidRPr="00E432E0" w:rsidRDefault="008329D7" w:rsidP="00785D9A">
            <w:r w:rsidRPr="00E432E0">
              <w:t>Exterior or uncooled location</w:t>
            </w:r>
          </w:p>
        </w:tc>
        <w:tc>
          <w:tcPr>
            <w:tcW w:w="1170" w:type="dxa"/>
            <w:tcBorders>
              <w:top w:val="single" w:sz="4" w:space="0" w:color="auto"/>
              <w:left w:val="single" w:sz="4" w:space="0" w:color="auto"/>
              <w:bottom w:val="single" w:sz="4" w:space="0" w:color="auto"/>
              <w:right w:val="single" w:sz="4" w:space="0" w:color="auto"/>
            </w:tcBorders>
            <w:vAlign w:val="center"/>
          </w:tcPr>
          <w:p w:rsidR="008329D7" w:rsidRPr="00E432E0" w:rsidRDefault="008329D7" w:rsidP="00785D9A">
            <w:pPr>
              <w:jc w:val="center"/>
            </w:pPr>
            <w:r w:rsidRPr="00E432E0">
              <w:t>1.0</w:t>
            </w:r>
          </w:p>
        </w:tc>
      </w:tr>
    </w:tbl>
    <w:p w:rsidR="008329D7" w:rsidRPr="00E432E0" w:rsidDel="008329D7" w:rsidRDefault="008329D7" w:rsidP="008329D7">
      <w:pPr>
        <w:spacing w:after="240"/>
        <w:ind w:left="1440"/>
        <w:rPr>
          <w:del w:id="7" w:author="Samuel Dent" w:date="2015-12-17T06:09:00Z"/>
          <w:rFonts w:cstheme="minorHAnsi"/>
          <w:noProof/>
        </w:rPr>
      </w:pPr>
    </w:p>
    <w:p w:rsidR="008329D7" w:rsidRPr="00E432E0" w:rsidRDefault="008329D7" w:rsidP="008329D7">
      <w:pPr>
        <w:spacing w:after="240"/>
        <w:ind w:firstLine="720"/>
        <w:rPr>
          <w:rFonts w:cstheme="minorHAnsi"/>
        </w:rPr>
      </w:pPr>
      <w:r w:rsidRPr="00E432E0">
        <w:rPr>
          <w:rFonts w:cstheme="minorHAnsi"/>
          <w:noProof/>
        </w:rPr>
        <w:t xml:space="preserve">CF </w:t>
      </w:r>
      <w:r w:rsidRPr="00E432E0">
        <w:rPr>
          <w:rFonts w:cstheme="minorHAnsi"/>
          <w:noProof/>
        </w:rPr>
        <w:tab/>
      </w:r>
      <w:r w:rsidRPr="00E432E0">
        <w:rPr>
          <w:rFonts w:cstheme="minorHAnsi"/>
          <w:noProof/>
        </w:rPr>
        <w:tab/>
        <w:t>= Summer Peak Coincidence Factor for measure.</w:t>
      </w:r>
    </w:p>
    <w:tbl>
      <w:tblPr>
        <w:tblW w:w="6948" w:type="dxa"/>
        <w:jc w:val="center"/>
        <w:tblInd w:w="2160" w:type="dxa"/>
        <w:tblLook w:val="04A0" w:firstRow="1" w:lastRow="0" w:firstColumn="1" w:lastColumn="0" w:noHBand="0" w:noVBand="1"/>
      </w:tblPr>
      <w:tblGrid>
        <w:gridCol w:w="5868"/>
        <w:gridCol w:w="1080"/>
      </w:tblGrid>
      <w:tr w:rsidR="008329D7" w:rsidRPr="00E432E0" w:rsidTr="00785D9A">
        <w:trPr>
          <w:jc w:val="center"/>
        </w:trPr>
        <w:tc>
          <w:tcPr>
            <w:tcW w:w="586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Bulb Location</w:t>
            </w: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CF</w:t>
            </w:r>
            <w:r w:rsidRPr="009C362B">
              <w:rPr>
                <w:rFonts w:eastAsiaTheme="majorEastAsia"/>
                <w:b/>
                <w:color w:val="FFFFFF" w:themeColor="background1"/>
                <w:vertAlign w:val="superscript"/>
              </w:rPr>
              <w:footnoteReference w:id="21"/>
            </w:r>
          </w:p>
        </w:tc>
      </w:tr>
      <w:tr w:rsidR="008329D7" w:rsidRPr="00E432E0" w:rsidTr="00785D9A">
        <w:trPr>
          <w:jc w:val="center"/>
        </w:trPr>
        <w:tc>
          <w:tcPr>
            <w:tcW w:w="586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r w:rsidRPr="00E432E0">
              <w:t xml:space="preserve">Interior single family or unknown location or </w:t>
            </w:r>
            <w:proofErr w:type="spellStart"/>
            <w:r w:rsidRPr="00E432E0">
              <w:t>Multi family</w:t>
            </w:r>
            <w:proofErr w:type="spellEnd"/>
            <w:r w:rsidRPr="00E432E0">
              <w:t xml:space="preserve"> in unit</w:t>
            </w:r>
          </w:p>
        </w:tc>
        <w:tc>
          <w:tcPr>
            <w:tcW w:w="1080"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pPr>
            <w:r w:rsidRPr="00E432E0">
              <w:t xml:space="preserve">7.1% </w:t>
            </w:r>
          </w:p>
        </w:tc>
      </w:tr>
      <w:tr w:rsidR="008329D7" w:rsidRPr="00E432E0" w:rsidTr="00785D9A">
        <w:trPr>
          <w:jc w:val="center"/>
        </w:trPr>
        <w:tc>
          <w:tcPr>
            <w:tcW w:w="5868"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left"/>
            </w:pPr>
            <w:r w:rsidRPr="00E432E0">
              <w:t>Exterior</w:t>
            </w:r>
          </w:p>
        </w:tc>
        <w:tc>
          <w:tcPr>
            <w:tcW w:w="1080"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27.3%</w:t>
            </w:r>
          </w:p>
        </w:tc>
      </w:tr>
      <w:tr w:rsidR="008329D7" w:rsidRPr="00E432E0" w:rsidTr="00785D9A">
        <w:trPr>
          <w:jc w:val="center"/>
        </w:trPr>
        <w:tc>
          <w:tcPr>
            <w:tcW w:w="5868"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Unknown</w:t>
            </w:r>
          </w:p>
        </w:tc>
        <w:tc>
          <w:tcPr>
            <w:tcW w:w="1080"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8.1%</w:t>
            </w:r>
          </w:p>
        </w:tc>
      </w:tr>
    </w:tbl>
    <w:p w:rsidR="008329D7" w:rsidRDefault="008329D7" w:rsidP="008329D7">
      <w:pPr>
        <w:tabs>
          <w:tab w:val="left" w:pos="2160"/>
        </w:tabs>
        <w:spacing w:after="240"/>
        <w:ind w:left="2160" w:hanging="720"/>
        <w:rPr>
          <w:rFonts w:cstheme="minorHAnsi"/>
        </w:rPr>
      </w:pPr>
      <w:r>
        <w:rPr>
          <w:rFonts w:cstheme="minorHAnsi"/>
        </w:rPr>
        <w:tab/>
      </w:r>
    </w:p>
    <w:p w:rsidR="008329D7" w:rsidRPr="00E432E0" w:rsidRDefault="008329D7" w:rsidP="008329D7">
      <w:pPr>
        <w:tabs>
          <w:tab w:val="left" w:pos="2160"/>
        </w:tabs>
        <w:spacing w:after="240"/>
        <w:ind w:left="2160" w:hanging="720"/>
        <w:rPr>
          <w:rFonts w:cstheme="minorHAnsi"/>
        </w:rPr>
      </w:pPr>
      <w:r>
        <w:rPr>
          <w:rFonts w:cstheme="minorHAnsi"/>
        </w:rPr>
        <w:tab/>
      </w:r>
      <w:r w:rsidRPr="00E432E0">
        <w:rPr>
          <w:rFonts w:cstheme="minorHAnsi"/>
        </w:rPr>
        <w:t>Other factors as defined above</w:t>
      </w:r>
    </w:p>
    <w:p w:rsidR="008329D7" w:rsidRPr="00E432E0" w:rsidRDefault="008329D7" w:rsidP="008329D7">
      <w:pPr>
        <w:spacing w:after="240"/>
        <w:rPr>
          <w:rFonts w:cstheme="minorHAnsi"/>
        </w:rPr>
      </w:pPr>
      <w:r w:rsidRPr="00E432E0">
        <w:rPr>
          <w:noProof/>
        </w:rPr>
        <mc:AlternateContent>
          <mc:Choice Requires="wps">
            <w:drawing>
              <wp:inline distT="0" distB="0" distL="0" distR="0" wp14:anchorId="2713F7C1" wp14:editId="44147C02">
                <wp:extent cx="5669280" cy="1275907"/>
                <wp:effectExtent l="0" t="0" r="26670" b="19685"/>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275907"/>
                        </a:xfrm>
                        <a:prstGeom prst="rect">
                          <a:avLst/>
                        </a:prstGeom>
                        <a:solidFill>
                          <a:srgbClr val="FFFFFF"/>
                        </a:solidFill>
                        <a:ln w="9525">
                          <a:solidFill>
                            <a:srgbClr val="000000"/>
                          </a:solidFill>
                          <a:miter lim="800000"/>
                          <a:headEnd/>
                          <a:tailEnd/>
                        </a:ln>
                      </wps:spPr>
                      <wps:txbx>
                        <w:txbxContent>
                          <w:p w:rsidR="008329D7" w:rsidRDefault="008329D7" w:rsidP="008329D7">
                            <w:pPr>
                              <w:rPr>
                                <w:rFonts w:cstheme="minorHAnsi"/>
                              </w:rPr>
                            </w:pPr>
                            <w:r>
                              <w:rPr>
                                <w:rFonts w:cstheme="minorHAnsi"/>
                              </w:rPr>
                              <w:t>For the same 8 W LED that is installed in a single family interior location in 2014, the demand savings are:</w:t>
                            </w:r>
                          </w:p>
                          <w:p w:rsidR="008329D7" w:rsidRDefault="008329D7" w:rsidP="008329D7">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 xml:space="preserve">((29-8) / 1000) * 0.92* 1.11 * 0.071 </w:t>
                            </w:r>
                          </w:p>
                          <w:p w:rsidR="008329D7" w:rsidRDefault="008329D7" w:rsidP="008329D7">
                            <w:pPr>
                              <w:ind w:left="720" w:firstLine="720"/>
                              <w:rPr>
                                <w:rFonts w:cstheme="minorHAnsi"/>
                              </w:rPr>
                            </w:pPr>
                            <w:r>
                              <w:rPr>
                                <w:rFonts w:cstheme="minorHAnsi"/>
                              </w:rPr>
                              <w:t>= 0.0015 kW</w:t>
                            </w:r>
                          </w:p>
                          <w:p w:rsidR="008329D7" w:rsidRDefault="008329D7" w:rsidP="008329D7">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txbxContent>
                      </wps:txbx>
                      <wps:bodyPr rot="0" vert="horz" wrap="square" lIns="91440" tIns="45720" rIns="91440" bIns="45720" anchor="t" anchorCtr="0">
                        <a:noAutofit/>
                      </wps:bodyPr>
                    </wps:wsp>
                  </a:graphicData>
                </a:graphic>
              </wp:inline>
            </w:drawing>
          </mc:Choice>
          <mc:Fallback>
            <w:pict>
              <v:shape id="Text Box 45" o:spid="_x0000_s1029" type="#_x0000_t202" style="width:446.4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S+hKAIAAE4EAAAOAAAAZHJzL2Uyb0RvYy54bWysVMmO2zAMvRfoPwi6N3bcOIsRZzDNNEWB&#10;6QLM9ANkWY6FSqIrKbHTry8lZzLpdinqgyAueiQfSa9vBq3IUVgnwZR0OkkpEYZDLc2+pF8ed6+W&#10;lDjPTM0UGFHSk3D0ZvPyxbrvCpFBC6oWliCIcUXflbT1viuSxPFWaOYm0AmDxgasZh5Fu09qy3pE&#10;1yrJ0nSe9GDrzgIXzqH2bjTSTcRvGsH9p6ZxwhNVUszNx9PGswpnslmzYm9Z10p+ToP9QxaaSYNB&#10;L1B3zDNysPI3KC25BQeNn3DQCTSN5CLWgNVM01+qeWhZJ2ItSI7rLjS5/wfLPx4/WyLrks5ySgzT&#10;2KNHMXjyBgaCKuSn71yBbg8dOvoB9djnWKvr7oF/dcTAtmVmL26thb4VrMb8puFlcvV0xHEBpOo/&#10;QI1x2MFDBBoaqwN5SAdBdOzT6dKbkAtHZT6fr7IlmjjaptkiX6WLGIMVT8876/w7AZqES0ktNj/C&#10;s+O98yEdVjy5hGgOlKx3Uqko2H21VZYcGQ7KLn5n9J/clCF9SVd5lo8M/BUijd+fILT0OPFK6pIu&#10;L06sCLy9NXWcR8+kGu+YsjJnIgN3I4t+qIbYs9chQCC5gvqEzFoYBxwXEi8t2O+U9DjcJXXfDswK&#10;StR7g91ZTWezsA1RmOWLDAV7bamuLcxwhCqpp2S8bn3coMCbgVvsYiMjv8+ZnFPGoY20nxcsbMW1&#10;HL2efwObHwAAAP//AwBQSwMEFAAGAAgAAAAhAHxg5XnbAAAABQEAAA8AAABkcnMvZG93bnJldi54&#10;bWxMj8FOwzAQRO9I/IO1SFxQ61BQm4Q4FUICwa0UBFc33iYR9jrYbhr+noULXFZazWjmTbWenBUj&#10;hth7UnA5z0AgNd701Cp4fbmf5SBi0mS09YQKvjDCuj49qXRp/JGecdymVnAIxVIr6FIaSilj06HT&#10;ce4HJNb2Pjid+A2tNEEfOdxZuciypXS6J27o9IB3HTYf24NTkF8/ju/x6Wrz1iz3tkgXq/HhMyh1&#10;fjbd3oBIOKU/M/zgMzrUzLTzBzJRWAU8JP1e1vJiwTN2CriyAFlX8j99/Q0AAP//AwBQSwECLQAU&#10;AAYACAAAACEAtoM4kv4AAADhAQAAEwAAAAAAAAAAAAAAAAAAAAAAW0NvbnRlbnRfVHlwZXNdLnht&#10;bFBLAQItABQABgAIAAAAIQA4/SH/1gAAAJQBAAALAAAAAAAAAAAAAAAAAC8BAABfcmVscy8ucmVs&#10;c1BLAQItABQABgAIAAAAIQBAvS+hKAIAAE4EAAAOAAAAAAAAAAAAAAAAAC4CAABkcnMvZTJvRG9j&#10;LnhtbFBLAQItABQABgAIAAAAIQB8YOV52wAAAAUBAAAPAAAAAAAAAAAAAAAAAIIEAABkcnMvZG93&#10;bnJldi54bWxQSwUGAAAAAAQABADzAAAAigUAAAAA&#10;">
                <v:textbox>
                  <w:txbxContent>
                    <w:p w:rsidR="008329D7" w:rsidRDefault="008329D7" w:rsidP="008329D7">
                      <w:pPr>
                        <w:rPr>
                          <w:rFonts w:cstheme="minorHAnsi"/>
                        </w:rPr>
                      </w:pPr>
                      <w:r>
                        <w:rPr>
                          <w:rFonts w:cstheme="minorHAnsi"/>
                        </w:rPr>
                        <w:t>For the same 8 W LED that is installed in a single family interior location in 2014, the demand savings are:</w:t>
                      </w:r>
                    </w:p>
                    <w:p w:rsidR="008329D7" w:rsidRDefault="008329D7" w:rsidP="008329D7">
                      <w:pPr>
                        <w:ind w:firstLine="720"/>
                        <w:rPr>
                          <w:rFonts w:cstheme="minorHAnsi"/>
                          <w:noProof/>
                        </w:rPr>
                      </w:pPr>
                      <w:r>
                        <w:rPr>
                          <w:rFonts w:cstheme="minorHAnsi"/>
                          <w:noProof/>
                        </w:rPr>
                        <w:t>ΔkW</w:t>
                      </w:r>
                      <w:r>
                        <w:rPr>
                          <w:rFonts w:cstheme="minorHAnsi"/>
                        </w:rPr>
                        <w:t xml:space="preserve"> </w:t>
                      </w:r>
                      <w:r>
                        <w:rPr>
                          <w:rFonts w:cstheme="minorHAnsi"/>
                        </w:rPr>
                        <w:tab/>
                        <w:t xml:space="preserve">= </w:t>
                      </w:r>
                      <w:r>
                        <w:rPr>
                          <w:rFonts w:cstheme="minorHAnsi"/>
                          <w:noProof/>
                        </w:rPr>
                        <w:t xml:space="preserve">((29-8) / 1000) * 0.92* 1.11 * 0.071 </w:t>
                      </w:r>
                    </w:p>
                    <w:p w:rsidR="008329D7" w:rsidRDefault="008329D7" w:rsidP="008329D7">
                      <w:pPr>
                        <w:ind w:left="720" w:firstLine="720"/>
                        <w:rPr>
                          <w:rFonts w:cstheme="minorHAnsi"/>
                        </w:rPr>
                      </w:pPr>
                      <w:r>
                        <w:rPr>
                          <w:rFonts w:cstheme="minorHAnsi"/>
                        </w:rPr>
                        <w:t>= 0.0015 kW</w:t>
                      </w:r>
                    </w:p>
                    <w:p w:rsidR="008329D7" w:rsidRDefault="008329D7" w:rsidP="008329D7">
                      <w:pPr>
                        <w:rPr>
                          <w:rFonts w:cstheme="minorHAnsi"/>
                        </w:rPr>
                      </w:pPr>
                      <w:r>
                        <w:rPr>
                          <w:rFonts w:cstheme="minorHAnsi"/>
                        </w:rPr>
                        <w:t>Second and third year install savings should be calculated using the appropriate ISR and the delta watts and hours from the install year. The appropriate baseline shift adjustment should then be applied to all installs.</w:t>
                      </w:r>
                    </w:p>
                  </w:txbxContent>
                </v:textbox>
                <w10:anchorlock/>
              </v:shape>
            </w:pict>
          </mc:Fallback>
        </mc:AlternateContent>
      </w:r>
    </w:p>
    <w:p w:rsidR="008329D7" w:rsidRPr="008329D7" w:rsidRDefault="008329D7" w:rsidP="008329D7">
      <w:pPr>
        <w:keepNext/>
        <w:keepLines/>
        <w:spacing w:before="200"/>
        <w:outlineLvl w:val="5"/>
        <w:rPr>
          <w:ins w:id="8" w:author="Samuel Dent" w:date="2015-12-17T06:09:00Z"/>
          <w:rFonts w:eastAsiaTheme="majorEastAsia"/>
          <w:b/>
          <w:iCs/>
          <w:smallCaps/>
          <w:sz w:val="22"/>
        </w:rPr>
      </w:pPr>
      <w:ins w:id="9" w:author="Samuel Dent" w:date="2015-12-17T06:09:00Z">
        <w:r w:rsidRPr="008329D7">
          <w:rPr>
            <w:rFonts w:eastAsiaTheme="majorEastAsia"/>
            <w:b/>
            <w:iCs/>
            <w:smallCaps/>
            <w:sz w:val="22"/>
          </w:rPr>
          <w:t>Natural Gas Savings</w:t>
        </w:r>
      </w:ins>
    </w:p>
    <w:p w:rsidR="008329D7" w:rsidRPr="008329D7" w:rsidRDefault="008329D7" w:rsidP="008329D7">
      <w:pPr>
        <w:spacing w:after="240"/>
        <w:ind w:left="630" w:hanging="630"/>
        <w:rPr>
          <w:ins w:id="10" w:author="Samuel Dent" w:date="2015-12-17T06:09:00Z"/>
          <w:rFonts w:cs="Calibri"/>
        </w:rPr>
      </w:pPr>
      <w:proofErr w:type="gramStart"/>
      <w:ins w:id="11" w:author="Samuel Dent" w:date="2015-12-17T06:09:00Z">
        <w:r w:rsidRPr="008329D7">
          <w:rPr>
            <w:rFonts w:cs="Calibri"/>
          </w:rPr>
          <w:t>Heating penalty if Natural Gas heated home, or if heating fuel is unknown.</w:t>
        </w:r>
        <w:proofErr w:type="gramEnd"/>
      </w:ins>
    </w:p>
    <w:p w:rsidR="008329D7" w:rsidRPr="008329D7" w:rsidRDefault="008329D7" w:rsidP="008329D7">
      <w:pPr>
        <w:spacing w:after="240"/>
        <w:ind w:left="1440" w:hanging="630"/>
        <w:rPr>
          <w:ins w:id="12" w:author="Samuel Dent" w:date="2015-12-17T06:09:00Z"/>
          <w:rFonts w:cs="Calibri"/>
        </w:rPr>
      </w:pPr>
      <w:proofErr w:type="spellStart"/>
      <w:ins w:id="13" w:author="Samuel Dent" w:date="2015-12-17T06:09:00Z">
        <w:r w:rsidRPr="008329D7">
          <w:rPr>
            <w:rFonts w:cs="Calibri"/>
          </w:rPr>
          <w:t>Δ</w:t>
        </w:r>
        <w:r>
          <w:rPr>
            <w:rFonts w:cs="Calibri"/>
          </w:rPr>
          <w:t>T</w:t>
        </w:r>
        <w:r w:rsidRPr="008329D7">
          <w:rPr>
            <w:rFonts w:cs="Calibri"/>
          </w:rPr>
          <w:t>herms</w:t>
        </w:r>
        <w:proofErr w:type="spellEnd"/>
        <w:r w:rsidRPr="008329D7">
          <w:rPr>
            <w:rFonts w:cs="Calibri"/>
          </w:rPr>
          <w:tab/>
          <w:t>= - (((</w:t>
        </w:r>
        <w:proofErr w:type="spellStart"/>
        <w:r w:rsidRPr="008329D7">
          <w:rPr>
            <w:rFonts w:cs="Calibri"/>
          </w:rPr>
          <w:t>WattsBase</w:t>
        </w:r>
        <w:proofErr w:type="spellEnd"/>
        <w:r w:rsidRPr="008329D7">
          <w:rPr>
            <w:rFonts w:cs="Calibri"/>
          </w:rPr>
          <w:t xml:space="preserve"> - </w:t>
        </w:r>
        <w:proofErr w:type="spellStart"/>
        <w:r w:rsidRPr="008329D7">
          <w:rPr>
            <w:rFonts w:cs="Calibri"/>
          </w:rPr>
          <w:t>WattsEE</w:t>
        </w:r>
        <w:proofErr w:type="spellEnd"/>
        <w:r w:rsidRPr="008329D7">
          <w:rPr>
            <w:rFonts w:cs="Calibri"/>
          </w:rPr>
          <w:t xml:space="preserve">) / 1000) * ISR * Hours * HF * 0.03412) / </w:t>
        </w:r>
        <w:proofErr w:type="spellStart"/>
        <w:r w:rsidRPr="008329D7">
          <w:rPr>
            <w:rFonts w:cs="Calibri"/>
          </w:rPr>
          <w:t>ηHeat</w:t>
        </w:r>
        <w:proofErr w:type="spellEnd"/>
      </w:ins>
    </w:p>
    <w:p w:rsidR="008329D7" w:rsidRPr="008329D7" w:rsidRDefault="008329D7" w:rsidP="008329D7">
      <w:pPr>
        <w:spacing w:after="240"/>
        <w:ind w:left="720" w:hanging="720"/>
        <w:rPr>
          <w:ins w:id="14" w:author="Samuel Dent" w:date="2015-12-17T06:09:00Z"/>
          <w:rFonts w:cs="Calibri"/>
          <w:noProof/>
          <w:lang w:val="nl-NL"/>
        </w:rPr>
      </w:pPr>
      <w:ins w:id="15" w:author="Samuel Dent" w:date="2015-12-17T06:09:00Z">
        <w:r w:rsidRPr="008329D7">
          <w:rPr>
            <w:rFonts w:cs="Calibri"/>
            <w:noProof/>
            <w:lang w:val="nl-NL"/>
          </w:rPr>
          <w:t>Where:</w:t>
        </w:r>
      </w:ins>
    </w:p>
    <w:p w:rsidR="008329D7" w:rsidRPr="008329D7" w:rsidRDefault="008329D7" w:rsidP="008329D7">
      <w:pPr>
        <w:ind w:left="2160" w:hanging="1440"/>
        <w:rPr>
          <w:ins w:id="16" w:author="Samuel Dent" w:date="2015-12-17T06:09:00Z"/>
          <w:rFonts w:cs="Calibri"/>
          <w:noProof/>
        </w:rPr>
      </w:pPr>
      <w:ins w:id="17" w:author="Samuel Dent" w:date="2015-12-17T06:09:00Z">
        <w:r w:rsidRPr="008329D7">
          <w:rPr>
            <w:rFonts w:cs="Calibri"/>
            <w:noProof/>
          </w:rPr>
          <w:t>HF</w:t>
        </w:r>
        <w:r w:rsidRPr="008329D7">
          <w:rPr>
            <w:rFonts w:cs="Calibri"/>
            <w:noProof/>
          </w:rPr>
          <w:tab/>
          <w:t>= Heating factor, or percentage of lighting savings that must be replaced by heating system.</w:t>
        </w:r>
      </w:ins>
    </w:p>
    <w:p w:rsidR="008329D7" w:rsidRPr="008329D7" w:rsidRDefault="008329D7" w:rsidP="008329D7">
      <w:pPr>
        <w:ind w:left="1440" w:firstLine="720"/>
        <w:rPr>
          <w:ins w:id="18" w:author="Samuel Dent" w:date="2015-12-17T06:09:00Z"/>
          <w:rFonts w:cs="Calibri"/>
          <w:noProof/>
        </w:rPr>
      </w:pPr>
      <w:ins w:id="19" w:author="Samuel Dent" w:date="2015-12-17T06:09:00Z">
        <w:r w:rsidRPr="008329D7">
          <w:rPr>
            <w:rFonts w:cs="Calibri"/>
            <w:noProof/>
          </w:rPr>
          <w:t xml:space="preserve">= 49% </w:t>
        </w:r>
        <w:r w:rsidRPr="008329D7">
          <w:rPr>
            <w:rFonts w:ascii="Arial" w:hAnsi="Arial"/>
            <w:noProof/>
            <w:vertAlign w:val="superscript"/>
          </w:rPr>
          <w:footnoteReference w:id="22"/>
        </w:r>
        <w:r w:rsidRPr="008329D7">
          <w:rPr>
            <w:rFonts w:cs="Calibri"/>
            <w:noProof/>
          </w:rPr>
          <w:t xml:space="preserve"> for interior or unknown location</w:t>
        </w:r>
      </w:ins>
    </w:p>
    <w:p w:rsidR="008329D7" w:rsidRPr="008329D7" w:rsidRDefault="008329D7" w:rsidP="008329D7">
      <w:pPr>
        <w:ind w:left="1440" w:firstLine="720"/>
        <w:rPr>
          <w:ins w:id="22" w:author="Samuel Dent" w:date="2015-12-17T06:09:00Z"/>
          <w:rFonts w:cs="Calibri"/>
          <w:noProof/>
        </w:rPr>
      </w:pPr>
      <w:ins w:id="23" w:author="Samuel Dent" w:date="2015-12-17T06:09:00Z">
        <w:r w:rsidRPr="008329D7">
          <w:rPr>
            <w:rFonts w:cs="Calibri"/>
            <w:noProof/>
          </w:rPr>
          <w:t>= 0% for exterior location</w:t>
        </w:r>
      </w:ins>
    </w:p>
    <w:p w:rsidR="008329D7" w:rsidRPr="008329D7" w:rsidRDefault="008329D7" w:rsidP="008329D7">
      <w:pPr>
        <w:ind w:left="720"/>
        <w:rPr>
          <w:ins w:id="24" w:author="Samuel Dent" w:date="2015-12-17T06:09:00Z"/>
          <w:rFonts w:cs="Calibri"/>
          <w:noProof/>
          <w:lang w:val="nl-NL"/>
        </w:rPr>
      </w:pPr>
      <w:ins w:id="25" w:author="Samuel Dent" w:date="2015-12-17T06:09:00Z">
        <w:r w:rsidRPr="008329D7">
          <w:rPr>
            <w:rFonts w:cs="Calibri"/>
            <w:noProof/>
            <w:lang w:val="nl-NL"/>
          </w:rPr>
          <w:t>0.03412</w:t>
        </w:r>
        <w:r w:rsidRPr="008329D7">
          <w:rPr>
            <w:rFonts w:cs="Calibri"/>
            <w:noProof/>
            <w:lang w:val="nl-NL"/>
          </w:rPr>
          <w:tab/>
        </w:r>
        <w:r w:rsidRPr="008329D7">
          <w:rPr>
            <w:rFonts w:cs="Calibri"/>
            <w:noProof/>
            <w:lang w:val="nl-NL"/>
          </w:rPr>
          <w:tab/>
          <w:t>= Converts kWh to Therms</w:t>
        </w:r>
      </w:ins>
    </w:p>
    <w:p w:rsidR="008329D7" w:rsidRPr="008329D7" w:rsidRDefault="008329D7" w:rsidP="008329D7">
      <w:pPr>
        <w:ind w:left="720"/>
        <w:rPr>
          <w:ins w:id="26" w:author="Samuel Dent" w:date="2015-12-17T06:09:00Z"/>
          <w:rFonts w:cs="Calibri"/>
        </w:rPr>
      </w:pPr>
      <w:proofErr w:type="spellStart"/>
      <w:proofErr w:type="gramStart"/>
      <w:ins w:id="27" w:author="Samuel Dent" w:date="2015-12-17T06:09:00Z">
        <w:r w:rsidRPr="008329D7">
          <w:rPr>
            <w:rFonts w:cs="Calibri"/>
          </w:rPr>
          <w:t>ηHeat</w:t>
        </w:r>
        <w:proofErr w:type="spellEnd"/>
        <w:proofErr w:type="gramEnd"/>
        <w:r w:rsidRPr="008329D7">
          <w:rPr>
            <w:rFonts w:cs="Calibri"/>
            <w:noProof/>
          </w:rPr>
          <w:t xml:space="preserve"> </w:t>
        </w:r>
        <w:r w:rsidRPr="008329D7">
          <w:rPr>
            <w:rFonts w:cs="Calibri"/>
            <w:noProof/>
          </w:rPr>
          <w:tab/>
        </w:r>
        <w:r w:rsidRPr="008329D7">
          <w:rPr>
            <w:rFonts w:cs="Calibri"/>
            <w:noProof/>
          </w:rPr>
          <w:tab/>
          <w:t>= Average heating system efficiency.</w:t>
        </w:r>
        <w:r w:rsidRPr="008329D7">
          <w:rPr>
            <w:rFonts w:cs="Calibri"/>
          </w:rPr>
          <w:t xml:space="preserve"> </w:t>
        </w:r>
      </w:ins>
    </w:p>
    <w:p w:rsidR="008329D7" w:rsidRPr="008329D7" w:rsidRDefault="008329D7" w:rsidP="008329D7">
      <w:pPr>
        <w:ind w:left="720" w:hanging="720"/>
        <w:rPr>
          <w:ins w:id="28" w:author="Samuel Dent" w:date="2015-12-17T06:09:00Z"/>
          <w:rFonts w:cs="Calibri"/>
        </w:rPr>
      </w:pPr>
      <w:ins w:id="29" w:author="Samuel Dent" w:date="2015-12-17T06:09:00Z">
        <w:r w:rsidRPr="008329D7">
          <w:rPr>
            <w:rFonts w:cs="Calibri"/>
          </w:rPr>
          <w:tab/>
        </w:r>
        <w:r w:rsidRPr="008329D7">
          <w:rPr>
            <w:rFonts w:cs="Calibri"/>
          </w:rPr>
          <w:tab/>
        </w:r>
        <w:r w:rsidRPr="008329D7">
          <w:rPr>
            <w:rFonts w:cs="Calibri"/>
          </w:rPr>
          <w:tab/>
          <w:t xml:space="preserve">= 0.70 </w:t>
        </w:r>
        <w:r w:rsidRPr="008329D7">
          <w:rPr>
            <w:rFonts w:ascii="Arial" w:hAnsi="Arial"/>
            <w:vertAlign w:val="superscript"/>
          </w:rPr>
          <w:footnoteReference w:id="23"/>
        </w:r>
      </w:ins>
    </w:p>
    <w:p w:rsidR="008329D7" w:rsidRPr="00E432E0" w:rsidRDefault="008329D7" w:rsidP="008329D7">
      <w:pPr>
        <w:keepNext/>
        <w:keepLines/>
        <w:spacing w:before="200"/>
        <w:outlineLvl w:val="5"/>
        <w:rPr>
          <w:rFonts w:eastAsiaTheme="majorEastAsia" w:cstheme="majorBidi"/>
          <w:b/>
          <w:iCs/>
          <w:smallCaps/>
          <w:sz w:val="22"/>
        </w:rPr>
      </w:pPr>
      <w:r w:rsidRPr="00E432E0">
        <w:rPr>
          <w:rFonts w:eastAsiaTheme="majorEastAsia" w:cstheme="majorBidi"/>
          <w:b/>
          <w:iCs/>
          <w:smallCaps/>
          <w:sz w:val="22"/>
        </w:rPr>
        <w:t xml:space="preserve">Water Impact Descriptions and Calculation  </w:t>
      </w:r>
    </w:p>
    <w:p w:rsidR="008329D7" w:rsidRPr="00E432E0" w:rsidRDefault="008329D7" w:rsidP="008329D7">
      <w:pPr>
        <w:rPr>
          <w:iCs/>
        </w:rPr>
      </w:pPr>
      <w:r w:rsidRPr="00E432E0">
        <w:t>N/A</w:t>
      </w:r>
    </w:p>
    <w:p w:rsidR="008329D7" w:rsidRPr="00E432E0" w:rsidRDefault="008329D7" w:rsidP="008329D7">
      <w:pPr>
        <w:keepNext/>
        <w:keepLines/>
        <w:spacing w:before="200"/>
        <w:outlineLvl w:val="5"/>
        <w:rPr>
          <w:rFonts w:eastAsiaTheme="majorEastAsia" w:cstheme="majorBidi"/>
          <w:b/>
          <w:smallCaps/>
          <w:sz w:val="22"/>
        </w:rPr>
      </w:pPr>
      <w:r w:rsidRPr="00E432E0">
        <w:rPr>
          <w:rFonts w:eastAsiaTheme="majorEastAsia" w:cstheme="majorBidi"/>
          <w:b/>
          <w:iCs/>
          <w:smallCaps/>
          <w:sz w:val="22"/>
        </w:rPr>
        <w:t xml:space="preserve">Deemed O&amp;M Cost Adjustment Calculation </w:t>
      </w:r>
    </w:p>
    <w:p w:rsidR="008329D7" w:rsidRPr="00E432E0" w:rsidRDefault="008329D7" w:rsidP="008329D7">
      <w:pPr>
        <w:spacing w:after="240"/>
      </w:pPr>
      <w:r w:rsidRPr="00E432E0">
        <w:t>Bulb replacement costs assumed in the O&amp;M calculations are provided below</w:t>
      </w:r>
      <w:r w:rsidRPr="00E432E0">
        <w:rPr>
          <w:rFonts w:ascii="Arial" w:hAnsi="Arial"/>
          <w:vertAlign w:val="superscript"/>
        </w:rPr>
        <w:footnoteReference w:id="24"/>
      </w:r>
      <w:r w:rsidRPr="00E432E0">
        <w:t>.</w:t>
      </w:r>
    </w:p>
    <w:tbl>
      <w:tblPr>
        <w:tblStyle w:val="TableGrid17"/>
        <w:tblW w:w="7740" w:type="dxa"/>
        <w:jc w:val="center"/>
        <w:tblLook w:val="04A0" w:firstRow="1" w:lastRow="0" w:firstColumn="1" w:lastColumn="0" w:noHBand="0" w:noVBand="1"/>
      </w:tblPr>
      <w:tblGrid>
        <w:gridCol w:w="2068"/>
        <w:gridCol w:w="1308"/>
        <w:gridCol w:w="1748"/>
        <w:gridCol w:w="1308"/>
        <w:gridCol w:w="1308"/>
      </w:tblGrid>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8329D7" w:rsidRPr="00E432E0" w:rsidRDefault="008329D7" w:rsidP="00785D9A">
            <w:pPr>
              <w:rPr>
                <w:rFonts w:asciiTheme="minorHAnsi" w:hAnsiTheme="minorHAnsi"/>
                <w:b/>
                <w:color w:val="FFFFFF" w:themeColor="background1"/>
              </w:rPr>
            </w:pPr>
            <w:bookmarkStart w:id="36" w:name="OLE_LINK4"/>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szCs w:val="22"/>
              </w:rPr>
            </w:pPr>
            <w:proofErr w:type="spellStart"/>
            <w:r w:rsidRPr="00E432E0">
              <w:rPr>
                <w:rFonts w:asciiTheme="minorHAnsi" w:hAnsiTheme="minorHAnsi"/>
                <w:b/>
                <w:color w:val="FFFFFF" w:themeColor="background1"/>
              </w:rPr>
              <w:t>Std</w:t>
            </w:r>
            <w:proofErr w:type="spellEnd"/>
            <w:r w:rsidRPr="00E432E0">
              <w:rPr>
                <w:rFonts w:asciiTheme="minorHAnsi" w:hAnsiTheme="minorHAnsi"/>
                <w:b/>
                <w:color w:val="FFFFFF" w:themeColor="background1"/>
              </w:rPr>
              <w:t xml:space="preserve"> Inc.</w:t>
            </w:r>
          </w:p>
        </w:tc>
        <w:tc>
          <w:tcPr>
            <w:tcW w:w="17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8329D7" w:rsidRPr="00E432E0" w:rsidRDefault="008329D7" w:rsidP="00785D9A">
            <w:pPr>
              <w:jc w:val="center"/>
              <w:rPr>
                <w:rFonts w:asciiTheme="minorHAnsi" w:hAnsiTheme="minorHAnsi"/>
                <w:b/>
                <w:color w:val="FFFFFF" w:themeColor="background1"/>
                <w:szCs w:val="22"/>
              </w:rPr>
            </w:pPr>
            <w:r w:rsidRPr="00E432E0">
              <w:rPr>
                <w:rFonts w:asciiTheme="minorHAnsi" w:hAnsiTheme="minorHAnsi"/>
                <w:b/>
                <w:color w:val="FFFFFF" w:themeColor="background1"/>
              </w:rPr>
              <w:t>EISA Compliant Halogen</w:t>
            </w: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rFonts w:asciiTheme="minorHAnsi" w:hAnsiTheme="minorHAnsi"/>
                <w:b/>
                <w:color w:val="FFFFFF" w:themeColor="background1"/>
                <w:szCs w:val="22"/>
              </w:rPr>
            </w:pPr>
            <w:r w:rsidRPr="00E432E0">
              <w:rPr>
                <w:rFonts w:asciiTheme="minorHAnsi" w:hAnsiTheme="minorHAnsi"/>
                <w:b/>
                <w:color w:val="FFFFFF" w:themeColor="background1"/>
              </w:rPr>
              <w:t>CFL</w:t>
            </w:r>
          </w:p>
        </w:tc>
        <w:tc>
          <w:tcPr>
            <w:tcW w:w="130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8329D7" w:rsidRPr="00E432E0" w:rsidRDefault="008329D7" w:rsidP="00785D9A">
            <w:pPr>
              <w:jc w:val="center"/>
              <w:rPr>
                <w:rFonts w:asciiTheme="minorHAnsi" w:hAnsiTheme="minorHAnsi"/>
                <w:b/>
                <w:color w:val="FFFFFF" w:themeColor="background1"/>
                <w:szCs w:val="22"/>
              </w:rPr>
            </w:pPr>
            <w:r w:rsidRPr="00E432E0">
              <w:rPr>
                <w:rFonts w:asciiTheme="minorHAnsi" w:hAnsiTheme="minorHAnsi"/>
                <w:b/>
                <w:color w:val="FFFFFF" w:themeColor="background1"/>
              </w:rPr>
              <w:t>LED-A</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2014</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$1.25</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$13.81</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2015</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$0.90</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$10.86</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2016</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$0.80</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$8.60</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2017</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$0.70</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$7.74</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2018</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$0.60</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$6.96</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2019</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$0.60</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$6.27</w:t>
            </w:r>
          </w:p>
        </w:tc>
      </w:tr>
      <w:tr w:rsidR="008329D7" w:rsidRPr="00E432E0" w:rsidTr="00785D9A">
        <w:trPr>
          <w:trHeight w:val="300"/>
          <w:jc w:val="center"/>
        </w:trPr>
        <w:tc>
          <w:tcPr>
            <w:tcW w:w="206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rPr>
                <w:rFonts w:asciiTheme="minorHAnsi" w:hAnsiTheme="minorHAnsi"/>
              </w:rPr>
            </w:pPr>
            <w:r w:rsidRPr="00E432E0">
              <w:rPr>
                <w:rFonts w:asciiTheme="minorHAnsi" w:hAnsiTheme="minorHAnsi"/>
              </w:rPr>
              <w:t>2020 &amp; after</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$0.34</w:t>
            </w:r>
          </w:p>
        </w:tc>
        <w:tc>
          <w:tcPr>
            <w:tcW w:w="174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N/A</w:t>
            </w:r>
          </w:p>
        </w:tc>
        <w:tc>
          <w:tcPr>
            <w:tcW w:w="1308" w:type="dxa"/>
            <w:tcBorders>
              <w:top w:val="single" w:sz="4" w:space="0" w:color="auto"/>
              <w:left w:val="single" w:sz="4" w:space="0" w:color="auto"/>
              <w:bottom w:val="single" w:sz="4" w:space="0" w:color="auto"/>
              <w:right w:val="single" w:sz="4" w:space="0" w:color="auto"/>
            </w:tcBorders>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$2.50</w:t>
            </w:r>
          </w:p>
        </w:tc>
        <w:tc>
          <w:tcPr>
            <w:tcW w:w="1308" w:type="dxa"/>
            <w:tcBorders>
              <w:top w:val="single" w:sz="4" w:space="0" w:color="auto"/>
              <w:left w:val="single" w:sz="4" w:space="0" w:color="auto"/>
              <w:bottom w:val="single" w:sz="4" w:space="0" w:color="auto"/>
              <w:right w:val="single" w:sz="4" w:space="0" w:color="auto"/>
            </w:tcBorders>
            <w:noWrap/>
            <w:vAlign w:val="center"/>
            <w:hideMark/>
          </w:tcPr>
          <w:p w:rsidR="008329D7" w:rsidRPr="00E432E0" w:rsidRDefault="008329D7" w:rsidP="00785D9A">
            <w:pPr>
              <w:jc w:val="center"/>
              <w:rPr>
                <w:rFonts w:asciiTheme="minorHAnsi" w:hAnsiTheme="minorHAnsi"/>
                <w:szCs w:val="22"/>
              </w:rPr>
            </w:pPr>
            <w:r w:rsidRPr="00E432E0">
              <w:rPr>
                <w:rFonts w:asciiTheme="minorHAnsi" w:hAnsiTheme="minorHAnsi"/>
              </w:rPr>
              <w:t>$5.64</w:t>
            </w:r>
          </w:p>
        </w:tc>
      </w:tr>
      <w:bookmarkEnd w:id="36"/>
    </w:tbl>
    <w:p w:rsidR="008329D7" w:rsidRPr="00E432E0" w:rsidRDefault="008329D7" w:rsidP="008329D7">
      <w:pPr>
        <w:spacing w:after="240"/>
      </w:pPr>
    </w:p>
    <w:p w:rsidR="008329D7" w:rsidRPr="00E432E0" w:rsidRDefault="008329D7" w:rsidP="008329D7">
      <w:pPr>
        <w:spacing w:after="240"/>
      </w:pPr>
      <w:r w:rsidRPr="00E432E0">
        <w:t xml:space="preserve">In order to account for the shift in baseline due to the Energy Independence and Security Act of 2007, an equivalent annual </w:t>
      </w:r>
      <w:proofErr w:type="spellStart"/>
      <w:r w:rsidRPr="00E432E0">
        <w:t>levelized</w:t>
      </w:r>
      <w:proofErr w:type="spellEnd"/>
      <w:r w:rsidRPr="00E432E0">
        <w:t xml:space="preserve"> baseline replacement cost over the lifetime of the LED bulb is calculated. The key assumptions used in this calculation are documented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611"/>
        <w:gridCol w:w="1611"/>
        <w:gridCol w:w="1552"/>
      </w:tblGrid>
      <w:tr w:rsidR="008329D7" w:rsidRPr="00E432E0" w:rsidTr="00785D9A">
        <w:trPr>
          <w:tblHeader/>
          <w:jc w:val="center"/>
        </w:trPr>
        <w:tc>
          <w:tcPr>
            <w:tcW w:w="314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lastRenderedPageBreak/>
              <w:t>Installation Location</w:t>
            </w:r>
          </w:p>
        </w:tc>
        <w:tc>
          <w:tcPr>
            <w:tcW w:w="16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Omnidirectional LED Measure Hours</w:t>
            </w:r>
          </w:p>
        </w:tc>
        <w:tc>
          <w:tcPr>
            <w:tcW w:w="161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 xml:space="preserve">Hours of Use per year </w:t>
            </w:r>
            <w:r w:rsidRPr="009C362B">
              <w:rPr>
                <w:rFonts w:eastAsiaTheme="majorEastAsia"/>
                <w:b/>
                <w:color w:val="FFFFFF" w:themeColor="background1"/>
                <w:vertAlign w:val="superscript"/>
              </w:rPr>
              <w:footnoteReference w:id="25"/>
            </w:r>
          </w:p>
        </w:tc>
        <w:tc>
          <w:tcPr>
            <w:tcW w:w="15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8329D7" w:rsidRPr="00E432E0" w:rsidRDefault="008329D7" w:rsidP="00785D9A">
            <w:pPr>
              <w:jc w:val="center"/>
              <w:rPr>
                <w:b/>
                <w:color w:val="FFFFFF" w:themeColor="background1"/>
              </w:rPr>
            </w:pPr>
            <w:r w:rsidRPr="00E432E0">
              <w:rPr>
                <w:b/>
                <w:color w:val="FFFFFF" w:themeColor="background1"/>
              </w:rPr>
              <w:t>Measure Life in Years</w:t>
            </w:r>
          </w:p>
          <w:p w:rsidR="008329D7" w:rsidRPr="00E432E0" w:rsidRDefault="008329D7" w:rsidP="00785D9A">
            <w:pPr>
              <w:jc w:val="center"/>
              <w:rPr>
                <w:b/>
                <w:color w:val="FFFFFF" w:themeColor="background1"/>
              </w:rPr>
            </w:pPr>
            <w:r w:rsidRPr="00E432E0">
              <w:rPr>
                <w:b/>
                <w:color w:val="FFFFFF" w:themeColor="background1"/>
              </w:rPr>
              <w:t>(capped at 10)</w:t>
            </w:r>
          </w:p>
        </w:tc>
      </w:tr>
      <w:tr w:rsidR="008329D7" w:rsidRPr="00E432E0" w:rsidTr="00785D9A">
        <w:trPr>
          <w:trHeight w:val="359"/>
          <w:jc w:val="center"/>
        </w:trPr>
        <w:tc>
          <w:tcPr>
            <w:tcW w:w="3146"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Residential and in-unit Multi Family</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759 </w:t>
            </w:r>
          </w:p>
        </w:tc>
        <w:tc>
          <w:tcPr>
            <w:tcW w:w="1552"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10</w:t>
            </w:r>
          </w:p>
        </w:tc>
      </w:tr>
      <w:tr w:rsidR="008329D7" w:rsidRPr="00E432E0" w:rsidTr="00785D9A">
        <w:trPr>
          <w:jc w:val="center"/>
        </w:trPr>
        <w:tc>
          <w:tcPr>
            <w:tcW w:w="3146"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left"/>
            </w:pPr>
            <w:r w:rsidRPr="00E432E0">
              <w:t>Exterior</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2475 </w:t>
            </w:r>
          </w:p>
        </w:tc>
        <w:tc>
          <w:tcPr>
            <w:tcW w:w="1552"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10</w:t>
            </w:r>
          </w:p>
        </w:tc>
      </w:tr>
      <w:tr w:rsidR="008329D7" w:rsidRPr="00E432E0" w:rsidTr="00785D9A">
        <w:trPr>
          <w:jc w:val="center"/>
        </w:trPr>
        <w:tc>
          <w:tcPr>
            <w:tcW w:w="3146"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r w:rsidRPr="00E432E0">
              <w:t>Unknown</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25,000</w:t>
            </w:r>
          </w:p>
        </w:tc>
        <w:tc>
          <w:tcPr>
            <w:tcW w:w="1611"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 xml:space="preserve">847 </w:t>
            </w:r>
          </w:p>
        </w:tc>
        <w:tc>
          <w:tcPr>
            <w:tcW w:w="1552" w:type="dxa"/>
            <w:tcBorders>
              <w:top w:val="single" w:sz="4" w:space="0" w:color="auto"/>
              <w:left w:val="single" w:sz="4" w:space="0" w:color="auto"/>
              <w:bottom w:val="single" w:sz="4" w:space="0" w:color="auto"/>
              <w:right w:val="single" w:sz="4" w:space="0" w:color="auto"/>
            </w:tcBorders>
            <w:hideMark/>
          </w:tcPr>
          <w:p w:rsidR="008329D7" w:rsidRPr="00E432E0" w:rsidRDefault="008329D7" w:rsidP="00785D9A">
            <w:pPr>
              <w:jc w:val="center"/>
            </w:pPr>
            <w:r w:rsidRPr="00E432E0">
              <w:t>10</w:t>
            </w:r>
          </w:p>
        </w:tc>
      </w:tr>
    </w:tbl>
    <w:p w:rsidR="008329D7" w:rsidRPr="00E432E0" w:rsidRDefault="008329D7" w:rsidP="008329D7">
      <w:pPr>
        <w:spacing w:after="240"/>
      </w:pPr>
    </w:p>
    <w:p w:rsidR="008329D7" w:rsidRPr="00E432E0" w:rsidRDefault="008329D7" w:rsidP="008329D7">
      <w:pPr>
        <w:spacing w:after="240"/>
        <w:rPr>
          <w:rFonts w:cstheme="minorHAnsi"/>
        </w:rPr>
      </w:pPr>
      <w:r w:rsidRPr="00E432E0">
        <w:rPr>
          <w:rFonts w:cstheme="minorHAnsi"/>
        </w:rPr>
        <w:t xml:space="preserve">The NPV for replacement lamps and annual </w:t>
      </w:r>
      <w:proofErr w:type="spellStart"/>
      <w:r w:rsidRPr="00E432E0">
        <w:rPr>
          <w:rFonts w:cstheme="minorHAnsi"/>
        </w:rPr>
        <w:t>levelized</w:t>
      </w:r>
      <w:proofErr w:type="spellEnd"/>
      <w:r w:rsidRPr="00E432E0">
        <w:rPr>
          <w:rFonts w:cstheme="minorHAnsi"/>
        </w:rPr>
        <w:t xml:space="preserve"> replacement costs using the statewide real discount rate of 5.23% are presented below:</w:t>
      </w:r>
    </w:p>
    <w:tbl>
      <w:tblPr>
        <w:tblW w:w="54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2235"/>
        <w:gridCol w:w="1174"/>
        <w:gridCol w:w="1174"/>
        <w:gridCol w:w="1174"/>
        <w:gridCol w:w="1174"/>
        <w:gridCol w:w="1174"/>
        <w:gridCol w:w="1172"/>
      </w:tblGrid>
      <w:tr w:rsidR="008329D7" w:rsidRPr="00E432E0" w:rsidTr="00785D9A">
        <w:trPr>
          <w:trHeight w:val="672"/>
        </w:trPr>
        <w:tc>
          <w:tcPr>
            <w:tcW w:w="536" w:type="pct"/>
            <w:vMerge w:val="restart"/>
            <w:shd w:val="clear" w:color="auto" w:fill="7F7F7F"/>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Location</w:t>
            </w:r>
          </w:p>
        </w:tc>
        <w:tc>
          <w:tcPr>
            <w:tcW w:w="1075" w:type="pct"/>
            <w:vMerge w:val="restart"/>
            <w:shd w:val="clear" w:color="auto" w:fill="7F7F7F"/>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Lumen Level</w:t>
            </w:r>
          </w:p>
        </w:tc>
        <w:tc>
          <w:tcPr>
            <w:tcW w:w="1695" w:type="pct"/>
            <w:gridSpan w:val="3"/>
            <w:shd w:val="clear" w:color="auto" w:fill="7F7F7F"/>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NPV of replacement costs for period</w:t>
            </w:r>
          </w:p>
        </w:tc>
        <w:tc>
          <w:tcPr>
            <w:tcW w:w="1695" w:type="pct"/>
            <w:gridSpan w:val="3"/>
            <w:shd w:val="clear" w:color="auto" w:fill="7F7F7F"/>
            <w:hideMark/>
          </w:tcPr>
          <w:p w:rsidR="008329D7" w:rsidRPr="00E432E0" w:rsidRDefault="008329D7" w:rsidP="00785D9A">
            <w:pPr>
              <w:keepNext/>
              <w:keepLines/>
              <w:widowControl/>
              <w:spacing w:line="276" w:lineRule="auto"/>
              <w:jc w:val="center"/>
              <w:rPr>
                <w:rFonts w:ascii="Calibri" w:hAnsi="Calibri"/>
                <w:b/>
                <w:bCs/>
                <w:color w:val="FFFFFF"/>
                <w:szCs w:val="20"/>
              </w:rPr>
            </w:pPr>
            <w:proofErr w:type="spellStart"/>
            <w:r w:rsidRPr="00E432E0">
              <w:rPr>
                <w:rFonts w:ascii="Calibri" w:hAnsi="Calibri"/>
                <w:b/>
                <w:bCs/>
                <w:color w:val="FFFFFF"/>
                <w:szCs w:val="20"/>
              </w:rPr>
              <w:t>Levelized</w:t>
            </w:r>
            <w:proofErr w:type="spellEnd"/>
            <w:r w:rsidRPr="00E432E0">
              <w:rPr>
                <w:rFonts w:ascii="Calibri" w:hAnsi="Calibri"/>
                <w:b/>
                <w:bCs/>
                <w:color w:val="FFFFFF"/>
                <w:szCs w:val="20"/>
              </w:rPr>
              <w:t xml:space="preserve"> annual replacement cost savings</w:t>
            </w:r>
          </w:p>
        </w:tc>
      </w:tr>
      <w:tr w:rsidR="008329D7" w:rsidRPr="00E432E0" w:rsidTr="00785D9A">
        <w:trPr>
          <w:trHeight w:val="780"/>
        </w:trPr>
        <w:tc>
          <w:tcPr>
            <w:tcW w:w="0" w:type="auto"/>
            <w:vMerge/>
            <w:vAlign w:val="center"/>
            <w:hideMark/>
          </w:tcPr>
          <w:p w:rsidR="008329D7" w:rsidRPr="00E432E0" w:rsidRDefault="008329D7" w:rsidP="00785D9A">
            <w:pPr>
              <w:widowControl/>
              <w:jc w:val="left"/>
              <w:rPr>
                <w:rFonts w:ascii="Calibri" w:hAnsi="Calibri"/>
                <w:b/>
                <w:bCs/>
                <w:color w:val="FFFFFF"/>
                <w:szCs w:val="20"/>
              </w:rPr>
            </w:pPr>
          </w:p>
        </w:tc>
        <w:tc>
          <w:tcPr>
            <w:tcW w:w="1075" w:type="pct"/>
            <w:vMerge/>
            <w:vAlign w:val="center"/>
            <w:hideMark/>
          </w:tcPr>
          <w:p w:rsidR="008329D7" w:rsidRPr="00E432E0" w:rsidRDefault="008329D7" w:rsidP="00785D9A">
            <w:pPr>
              <w:widowControl/>
              <w:jc w:val="left"/>
              <w:rPr>
                <w:rFonts w:ascii="Calibri" w:hAnsi="Calibri"/>
                <w:b/>
                <w:bCs/>
                <w:color w:val="FFFFFF"/>
                <w:szCs w:val="20"/>
              </w:rPr>
            </w:pP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2015 - May 2016</w:t>
            </w: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2016 - May 2017</w:t>
            </w: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2017 - May 2018</w:t>
            </w: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2015 - May 2016</w:t>
            </w: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2016 - May 2017</w:t>
            </w:r>
          </w:p>
        </w:tc>
        <w:tc>
          <w:tcPr>
            <w:tcW w:w="565" w:type="pct"/>
            <w:shd w:val="clear" w:color="auto" w:fill="7F7F7F"/>
            <w:vAlign w:val="center"/>
            <w:hideMark/>
          </w:tcPr>
          <w:p w:rsidR="008329D7" w:rsidRPr="00E432E0" w:rsidRDefault="008329D7" w:rsidP="00785D9A">
            <w:pPr>
              <w:keepNext/>
              <w:keepLines/>
              <w:widowControl/>
              <w:spacing w:line="276" w:lineRule="auto"/>
              <w:jc w:val="center"/>
              <w:rPr>
                <w:rFonts w:ascii="Calibri" w:hAnsi="Calibri"/>
                <w:b/>
                <w:bCs/>
                <w:color w:val="FFFFFF"/>
                <w:szCs w:val="20"/>
              </w:rPr>
            </w:pPr>
            <w:r w:rsidRPr="00E432E0">
              <w:rPr>
                <w:rFonts w:ascii="Calibri" w:hAnsi="Calibri"/>
                <w:b/>
                <w:bCs/>
                <w:color w:val="FFFFFF"/>
                <w:szCs w:val="20"/>
              </w:rPr>
              <w:t>June 2017 - May 2018</w:t>
            </w:r>
          </w:p>
        </w:tc>
      </w:tr>
      <w:tr w:rsidR="008329D7" w:rsidRPr="00E432E0" w:rsidTr="00785D9A">
        <w:trPr>
          <w:trHeight w:val="510"/>
        </w:trPr>
        <w:tc>
          <w:tcPr>
            <w:tcW w:w="536" w:type="pct"/>
            <w:vMerge w:val="restart"/>
            <w:vAlign w:val="center"/>
            <w:hideMark/>
          </w:tcPr>
          <w:p w:rsidR="008329D7" w:rsidRPr="00E432E0" w:rsidRDefault="008329D7" w:rsidP="00785D9A">
            <w:pPr>
              <w:keepNext/>
              <w:keepLines/>
              <w:widowControl/>
              <w:spacing w:line="276" w:lineRule="auto"/>
              <w:jc w:val="center"/>
              <w:rPr>
                <w:rFonts w:ascii="Calibri" w:hAnsi="Calibri"/>
                <w:color w:val="000000"/>
                <w:szCs w:val="20"/>
              </w:rPr>
            </w:pPr>
            <w:r w:rsidRPr="00E432E0">
              <w:rPr>
                <w:rFonts w:ascii="Calibri" w:hAnsi="Calibri"/>
                <w:color w:val="000000"/>
                <w:szCs w:val="20"/>
              </w:rPr>
              <w:t>Residential and in-unit Multi Family</w:t>
            </w: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$1.73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$1.73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$1.73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$0.23 </w:t>
            </w:r>
          </w:p>
        </w:tc>
      </w:tr>
      <w:tr w:rsidR="008329D7" w:rsidRPr="00E432E0" w:rsidTr="00785D9A">
        <w:trPr>
          <w:trHeight w:val="300"/>
        </w:trPr>
        <w:tc>
          <w:tcPr>
            <w:tcW w:w="0" w:type="auto"/>
            <w:vMerge/>
            <w:vAlign w:val="center"/>
            <w:hideMark/>
          </w:tcPr>
          <w:p w:rsidR="008329D7" w:rsidRPr="00E432E0" w:rsidRDefault="008329D7" w:rsidP="00785D9A">
            <w:pPr>
              <w:widowControl/>
              <w:jc w:val="left"/>
              <w:rPr>
                <w:rFonts w:ascii="Calibri" w:hAnsi="Calibri"/>
                <w:color w:val="000000"/>
                <w:szCs w:val="20"/>
              </w:rPr>
            </w:pP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$2.52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$2.22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$1.97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$0.29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$0.26 </w:t>
            </w:r>
          </w:p>
        </w:tc>
      </w:tr>
      <w:tr w:rsidR="008329D7" w:rsidRPr="00E432E0" w:rsidTr="00785D9A">
        <w:trPr>
          <w:trHeight w:val="510"/>
        </w:trPr>
        <w:tc>
          <w:tcPr>
            <w:tcW w:w="536" w:type="pct"/>
            <w:vMerge w:val="restart"/>
            <w:vAlign w:val="center"/>
            <w:hideMark/>
          </w:tcPr>
          <w:p w:rsidR="008329D7" w:rsidRPr="00E432E0" w:rsidRDefault="008329D7" w:rsidP="00785D9A">
            <w:pPr>
              <w:keepNext/>
              <w:keepLines/>
              <w:widowControl/>
              <w:spacing w:line="276" w:lineRule="auto"/>
              <w:jc w:val="center"/>
              <w:rPr>
                <w:rFonts w:ascii="Calibri" w:hAnsi="Calibri"/>
                <w:color w:val="000000"/>
                <w:szCs w:val="20"/>
              </w:rPr>
            </w:pPr>
            <w:r w:rsidRPr="00E432E0">
              <w:rPr>
                <w:rFonts w:ascii="Calibri" w:hAnsi="Calibri"/>
                <w:color w:val="000000"/>
                <w:szCs w:val="20"/>
              </w:rPr>
              <w:t>Exterior</w:t>
            </w: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$6.10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$6.10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$6.10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$0.80 </w:t>
            </w:r>
          </w:p>
        </w:tc>
      </w:tr>
      <w:tr w:rsidR="008329D7" w:rsidRPr="00E432E0" w:rsidTr="00785D9A">
        <w:trPr>
          <w:trHeight w:val="300"/>
        </w:trPr>
        <w:tc>
          <w:tcPr>
            <w:tcW w:w="0" w:type="auto"/>
            <w:vMerge/>
            <w:vAlign w:val="center"/>
            <w:hideMark/>
          </w:tcPr>
          <w:p w:rsidR="008329D7" w:rsidRPr="00E432E0" w:rsidRDefault="008329D7" w:rsidP="00785D9A">
            <w:pPr>
              <w:widowControl/>
              <w:jc w:val="left"/>
              <w:rPr>
                <w:rFonts w:ascii="Calibri" w:hAnsi="Calibri"/>
                <w:color w:val="000000"/>
                <w:szCs w:val="20"/>
              </w:rPr>
            </w:pP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$9.48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$8.35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$7.55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$1.24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$1.09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$0.99 </w:t>
            </w:r>
          </w:p>
        </w:tc>
      </w:tr>
      <w:tr w:rsidR="008329D7" w:rsidRPr="00E432E0" w:rsidTr="00785D9A">
        <w:trPr>
          <w:trHeight w:val="510"/>
        </w:trPr>
        <w:tc>
          <w:tcPr>
            <w:tcW w:w="536" w:type="pct"/>
            <w:vMerge w:val="restart"/>
            <w:vAlign w:val="center"/>
            <w:hideMark/>
          </w:tcPr>
          <w:p w:rsidR="008329D7" w:rsidRPr="00E432E0" w:rsidRDefault="008329D7" w:rsidP="00785D9A">
            <w:pPr>
              <w:keepNext/>
              <w:keepLines/>
              <w:widowControl/>
              <w:spacing w:line="276" w:lineRule="auto"/>
              <w:jc w:val="center"/>
              <w:rPr>
                <w:rFonts w:ascii="Calibri" w:hAnsi="Calibri"/>
                <w:color w:val="000000"/>
                <w:szCs w:val="20"/>
              </w:rPr>
            </w:pPr>
            <w:r w:rsidRPr="00E432E0">
              <w:rPr>
                <w:rFonts w:ascii="Calibri" w:hAnsi="Calibri"/>
                <w:color w:val="000000"/>
                <w:szCs w:val="20"/>
              </w:rPr>
              <w:t>Unknown</w:t>
            </w: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&lt;310 or &gt;2600 (non-EISA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$1.93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$1.93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$1.93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$0.25 </w:t>
            </w:r>
          </w:p>
        </w:tc>
      </w:tr>
      <w:tr w:rsidR="008329D7" w:rsidRPr="00E432E0" w:rsidTr="00785D9A">
        <w:trPr>
          <w:trHeight w:val="315"/>
        </w:trPr>
        <w:tc>
          <w:tcPr>
            <w:tcW w:w="0" w:type="auto"/>
            <w:vMerge/>
            <w:vAlign w:val="center"/>
            <w:hideMark/>
          </w:tcPr>
          <w:p w:rsidR="008329D7" w:rsidRPr="00E432E0" w:rsidRDefault="008329D7" w:rsidP="00785D9A">
            <w:pPr>
              <w:widowControl/>
              <w:jc w:val="left"/>
              <w:rPr>
                <w:rFonts w:ascii="Calibri" w:hAnsi="Calibri"/>
                <w:color w:val="000000"/>
                <w:szCs w:val="20"/>
              </w:rPr>
            </w:pPr>
          </w:p>
        </w:tc>
        <w:tc>
          <w:tcPr>
            <w:tcW w:w="1075" w:type="pct"/>
            <w:shd w:val="clear" w:color="auto" w:fill="FFFFFF"/>
            <w:vAlign w:val="center"/>
            <w:hideMark/>
          </w:tcPr>
          <w:p w:rsidR="008329D7" w:rsidRPr="00E432E0" w:rsidRDefault="008329D7" w:rsidP="00785D9A">
            <w:pPr>
              <w:keepNext/>
              <w:keepLines/>
              <w:widowControl/>
              <w:spacing w:line="276" w:lineRule="auto"/>
              <w:rPr>
                <w:rFonts w:ascii="Calibri" w:hAnsi="Calibri"/>
                <w:color w:val="000000"/>
                <w:szCs w:val="20"/>
              </w:rPr>
            </w:pPr>
            <w:r w:rsidRPr="00E432E0">
              <w:rPr>
                <w:rFonts w:ascii="Calibri" w:hAnsi="Calibri"/>
                <w:color w:val="000000"/>
                <w:szCs w:val="20"/>
              </w:rPr>
              <w:t>Lumens ≥ 310 and ≤ 2600 (EISA compliant)</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$2.81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$2.47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$2.20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$0.37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$0.32 </w:t>
            </w:r>
          </w:p>
        </w:tc>
        <w:tc>
          <w:tcPr>
            <w:tcW w:w="565" w:type="pct"/>
            <w:shd w:val="clear" w:color="auto" w:fill="FFFFFF"/>
            <w:noWrap/>
            <w:vAlign w:val="center"/>
            <w:hideMark/>
          </w:tcPr>
          <w:p w:rsidR="008329D7" w:rsidRPr="00E432E0" w:rsidRDefault="008329D7" w:rsidP="00785D9A">
            <w:pPr>
              <w:keepNext/>
              <w:keepLines/>
              <w:widowControl/>
              <w:spacing w:after="240" w:line="276" w:lineRule="auto"/>
              <w:jc w:val="center"/>
              <w:rPr>
                <w:rFonts w:ascii="Calibri" w:hAnsi="Calibri"/>
                <w:color w:val="000000"/>
                <w:szCs w:val="20"/>
              </w:rPr>
            </w:pPr>
            <w:r w:rsidRPr="00E432E0">
              <w:rPr>
                <w:rFonts w:ascii="Calibri" w:hAnsi="Calibri"/>
                <w:color w:val="000000"/>
                <w:szCs w:val="20"/>
              </w:rPr>
              <w:t xml:space="preserve">$0.29 </w:t>
            </w:r>
          </w:p>
        </w:tc>
      </w:tr>
    </w:tbl>
    <w:p w:rsidR="008329D7" w:rsidRPr="00E432E0" w:rsidRDefault="008329D7" w:rsidP="008329D7">
      <w:pPr>
        <w:spacing w:before="120" w:after="240"/>
      </w:pPr>
      <w:r w:rsidRPr="00E432E0">
        <w:t>Note incandescent lamps in lumen range &lt;310 and &gt;2600 are exempt from EISA. For halogen bulbs, we assume the same replacement cycle as incandescent bulbs.</w:t>
      </w:r>
      <w:r w:rsidRPr="00E432E0">
        <w:rPr>
          <w:rFonts w:ascii="Arial" w:hAnsi="Arial"/>
          <w:vertAlign w:val="superscript"/>
        </w:rPr>
        <w:footnoteReference w:id="26"/>
      </w:r>
      <w:r w:rsidRPr="00E432E0">
        <w:t xml:space="preserve"> The replacement cycle is based on the location of the lamp and varies based on the hours of use for that location. Both incandescent and halogen lamps are assumed to last for 1,000 hours before needing replacement.</w:t>
      </w:r>
    </w:p>
    <w:p w:rsidR="008329D7" w:rsidRPr="00E432E0" w:rsidRDefault="008329D7" w:rsidP="008329D7">
      <w:pPr>
        <w:keepNext/>
        <w:keepLines/>
        <w:spacing w:before="200"/>
        <w:jc w:val="left"/>
        <w:outlineLvl w:val="5"/>
        <w:rPr>
          <w:rFonts w:eastAsiaTheme="majorEastAsia" w:cstheme="majorBidi"/>
          <w:b/>
          <w:iCs/>
          <w:smallCaps/>
          <w:sz w:val="22"/>
        </w:rPr>
        <w:sectPr w:rsidR="008329D7" w:rsidRPr="00E432E0" w:rsidSect="00B64B6A">
          <w:headerReference w:type="default" r:id="rId8"/>
          <w:pgSz w:w="12240" w:h="15840" w:code="1"/>
          <w:pgMar w:top="1440" w:right="1440" w:bottom="1440" w:left="1440" w:header="720" w:footer="720" w:gutter="0"/>
          <w:cols w:space="720"/>
          <w:docGrid w:linePitch="360"/>
        </w:sectPr>
      </w:pPr>
      <w:r w:rsidRPr="00E432E0">
        <w:rPr>
          <w:rFonts w:eastAsiaTheme="majorEastAsia" w:cstheme="majorBidi"/>
          <w:b/>
          <w:iCs/>
          <w:smallCaps/>
          <w:sz w:val="22"/>
        </w:rPr>
        <w:t>Measure Code: RS-LTG-LE</w:t>
      </w:r>
      <w:bookmarkStart w:id="37" w:name="_GoBack"/>
      <w:bookmarkEnd w:id="37"/>
      <w:r w:rsidRPr="00E432E0">
        <w:rPr>
          <w:rFonts w:eastAsiaTheme="majorEastAsia" w:cstheme="majorBidi"/>
          <w:b/>
          <w:iCs/>
          <w:smallCaps/>
          <w:sz w:val="22"/>
        </w:rPr>
        <w:t>DA-</w:t>
      </w:r>
      <w:del w:id="38" w:author="Samuel Dent" w:date="2015-12-17T06:07:00Z">
        <w:r w:rsidRPr="00E432E0" w:rsidDel="008329D7">
          <w:rPr>
            <w:rFonts w:eastAsiaTheme="majorEastAsia" w:cstheme="majorBidi"/>
            <w:b/>
            <w:iCs/>
            <w:smallCaps/>
            <w:sz w:val="22"/>
          </w:rPr>
          <w:delText>V03</w:delText>
        </w:r>
      </w:del>
      <w:ins w:id="39" w:author="Samuel Dent" w:date="2015-12-17T06:07:00Z">
        <w:r w:rsidRPr="00E432E0">
          <w:rPr>
            <w:rFonts w:eastAsiaTheme="majorEastAsia" w:cstheme="majorBidi"/>
            <w:b/>
            <w:iCs/>
            <w:smallCaps/>
            <w:sz w:val="22"/>
          </w:rPr>
          <w:t>V0</w:t>
        </w:r>
        <w:r>
          <w:rPr>
            <w:rFonts w:eastAsiaTheme="majorEastAsia" w:cstheme="majorBidi"/>
            <w:b/>
            <w:iCs/>
            <w:smallCaps/>
            <w:sz w:val="22"/>
          </w:rPr>
          <w:t>4</w:t>
        </w:r>
      </w:ins>
      <w:r w:rsidRPr="00E432E0">
        <w:rPr>
          <w:rFonts w:eastAsiaTheme="majorEastAsia" w:cstheme="majorBidi"/>
          <w:b/>
          <w:iCs/>
          <w:smallCaps/>
          <w:sz w:val="22"/>
        </w:rPr>
        <w:t>-</w:t>
      </w:r>
      <w:del w:id="40" w:author="Samuel Dent" w:date="2015-12-17T06:08:00Z">
        <w:r w:rsidRPr="00E432E0" w:rsidDel="008329D7">
          <w:rPr>
            <w:rFonts w:eastAsiaTheme="majorEastAsia" w:cstheme="majorBidi"/>
            <w:b/>
            <w:iCs/>
            <w:smallCaps/>
            <w:sz w:val="22"/>
          </w:rPr>
          <w:delText>150601</w:delText>
        </w:r>
      </w:del>
      <w:ins w:id="41" w:author="Samuel Dent" w:date="2015-12-17T06:08:00Z">
        <w:r w:rsidRPr="00E432E0">
          <w:rPr>
            <w:rFonts w:eastAsiaTheme="majorEastAsia" w:cstheme="majorBidi"/>
            <w:b/>
            <w:iCs/>
            <w:smallCaps/>
            <w:sz w:val="22"/>
          </w:rPr>
          <w:t>1</w:t>
        </w:r>
        <w:r>
          <w:rPr>
            <w:rFonts w:eastAsiaTheme="majorEastAsia" w:cstheme="majorBidi"/>
            <w:b/>
            <w:iCs/>
            <w:smallCaps/>
            <w:sz w:val="22"/>
          </w:rPr>
          <w:t>6</w:t>
        </w:r>
        <w:r w:rsidRPr="00E432E0">
          <w:rPr>
            <w:rFonts w:eastAsiaTheme="majorEastAsia" w:cstheme="majorBidi"/>
            <w:b/>
            <w:iCs/>
            <w:smallCaps/>
            <w:sz w:val="22"/>
          </w:rPr>
          <w:t>0601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9D7" w:rsidRDefault="008329D7" w:rsidP="008329D7">
      <w:pPr>
        <w:spacing w:after="0"/>
      </w:pPr>
      <w:r>
        <w:separator/>
      </w:r>
    </w:p>
  </w:endnote>
  <w:endnote w:type="continuationSeparator" w:id="0">
    <w:p w:rsidR="008329D7" w:rsidRDefault="008329D7" w:rsidP="008329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9D7" w:rsidRDefault="008329D7" w:rsidP="008329D7">
      <w:pPr>
        <w:spacing w:after="0"/>
      </w:pPr>
      <w:r>
        <w:separator/>
      </w:r>
    </w:p>
  </w:footnote>
  <w:footnote w:type="continuationSeparator" w:id="0">
    <w:p w:rsidR="008329D7" w:rsidRDefault="008329D7" w:rsidP="008329D7">
      <w:pPr>
        <w:spacing w:after="0"/>
      </w:pPr>
      <w:r>
        <w:continuationSeparator/>
      </w:r>
    </w:p>
  </w:footnote>
  <w:footnote w:id="1">
    <w:p w:rsidR="008329D7" w:rsidRPr="009C362B" w:rsidRDefault="008329D7" w:rsidP="008329D7">
      <w:pPr>
        <w:pStyle w:val="Footnote"/>
        <w:rPr>
          <w:szCs w:val="18"/>
        </w:rPr>
      </w:pPr>
      <w:r w:rsidRPr="009C362B">
        <w:rPr>
          <w:rStyle w:val="FootnoteReference"/>
          <w:szCs w:val="18"/>
        </w:rPr>
        <w:footnoteRef/>
      </w:r>
      <w:r w:rsidRPr="009C362B">
        <w:rPr>
          <w:szCs w:val="18"/>
        </w:rPr>
        <w:t xml:space="preserve"> Based on recommendation in the </w:t>
      </w:r>
      <w:proofErr w:type="spellStart"/>
      <w:r w:rsidRPr="009C362B">
        <w:rPr>
          <w:szCs w:val="18"/>
        </w:rPr>
        <w:t>Dunsky</w:t>
      </w:r>
      <w:proofErr w:type="spellEnd"/>
      <w:r w:rsidRPr="009C362B">
        <w:rPr>
          <w:szCs w:val="18"/>
        </w:rPr>
        <w:t xml:space="preserve"> Energy Consulting, Livingston Energy Innovations and Opinion Dynamics Corporation; NEEP Emerging Technology Research Report:  </w:t>
      </w:r>
      <w:hyperlink r:id="rId1" w:history="1">
        <w:r w:rsidRPr="009C362B">
          <w:rPr>
            <w:rStyle w:val="Hyperlink"/>
            <w:rFonts w:eastAsiaTheme="majorEastAsia" w:cstheme="minorHAnsi"/>
            <w:szCs w:val="18"/>
          </w:rPr>
          <w:t>https://www.neep.org/Assets/uploads/files/emv/emv-products/NEEP_EMV_EmergingTechResearch_Report_Final.pdf</w:t>
        </w:r>
      </w:hyperlink>
      <w:r w:rsidRPr="009C362B">
        <w:rPr>
          <w:szCs w:val="18"/>
        </w:rPr>
        <w:t>, p 6-18.</w:t>
      </w:r>
    </w:p>
  </w:footnote>
  <w:footnote w:id="2">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w:t>
      </w:r>
      <w:proofErr w:type="gramEnd"/>
    </w:p>
  </w:footnote>
  <w:footnote w:id="3">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ENERGY STAR specs – minimum luminous efficacy for Omnidirectional Lamps.</w:t>
      </w:r>
      <w:proofErr w:type="gramEnd"/>
      <w:r w:rsidRPr="009C362B">
        <w:rPr>
          <w:szCs w:val="18"/>
        </w:rPr>
        <w:t xml:space="preserve"> For LED lamp power &lt;10W = 50lm/W and for LED lamp power &gt;=10W = 55lm/W.</w:t>
      </w:r>
    </w:p>
  </w:footnote>
  <w:footnote w:id="4">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Calculated as 45lm/W for all EISA non-exempt bulbs.</w:t>
      </w:r>
      <w:proofErr w:type="gramEnd"/>
    </w:p>
  </w:footnote>
  <w:footnote w:id="5">
    <w:p w:rsidR="008329D7" w:rsidRPr="009C362B" w:rsidRDefault="008329D7" w:rsidP="008329D7">
      <w:pPr>
        <w:pStyle w:val="Footnote"/>
        <w:rPr>
          <w:szCs w:val="18"/>
        </w:rPr>
      </w:pPr>
      <w:r w:rsidRPr="009C362B">
        <w:rPr>
          <w:szCs w:val="18"/>
          <w:vertAlign w:val="superscript"/>
        </w:rPr>
        <w:footnoteRef/>
      </w:r>
      <w:r w:rsidRPr="009C362B">
        <w:rPr>
          <w:szCs w:val="18"/>
        </w:rPr>
        <w:t xml:space="preserve"> 1</w:t>
      </w:r>
      <w:r w:rsidRPr="009C362B">
        <w:rPr>
          <w:szCs w:val="18"/>
          <w:vertAlign w:val="superscript"/>
        </w:rPr>
        <w:t>st</w:t>
      </w:r>
      <w:r w:rsidRPr="009C362B">
        <w:rPr>
          <w:szCs w:val="18"/>
        </w:rPr>
        <w:t xml:space="preserve"> year in service rate is based upon analysis of ComEd PY7 intercept data.</w:t>
      </w:r>
    </w:p>
  </w:footnote>
  <w:footnote w:id="6">
    <w:p w:rsidR="008329D7" w:rsidRPr="009C362B" w:rsidRDefault="008329D7" w:rsidP="008329D7">
      <w:pPr>
        <w:pStyle w:val="Footnote"/>
        <w:rPr>
          <w:szCs w:val="18"/>
        </w:rPr>
      </w:pPr>
      <w:r w:rsidRPr="009C362B">
        <w:rPr>
          <w:rStyle w:val="FootnoteReference"/>
          <w:rFonts w:eastAsiaTheme="majorEastAsia"/>
          <w:szCs w:val="18"/>
        </w:rPr>
        <w:footnoteRef/>
      </w:r>
      <w:r w:rsidRPr="009C362B">
        <w:rPr>
          <w:szCs w:val="18"/>
        </w:rPr>
        <w:t xml:space="preserve"> The 98% Lifetime ISR assumption is based upon the standard CFL measure in the absence of any better reference. This value is based upon review of two evaluations:</w:t>
      </w:r>
    </w:p>
    <w:p w:rsidR="008329D7" w:rsidRPr="009C362B" w:rsidRDefault="008329D7" w:rsidP="008329D7">
      <w:pPr>
        <w:pStyle w:val="Footnote"/>
        <w:rPr>
          <w:szCs w:val="18"/>
        </w:rPr>
      </w:pPr>
      <w:r w:rsidRPr="009C362B">
        <w:rPr>
          <w:szCs w:val="18"/>
        </w:rPr>
        <w:t xml:space="preserve">‘Nexus Market Research, RLW Analytics and GDS Associates study; “New England Residential Lighting Markdown Impact Evaluation, January 20, 2009’ and ‘KEMA </w:t>
      </w:r>
      <w:proofErr w:type="spellStart"/>
      <w:r w:rsidRPr="009C362B">
        <w:rPr>
          <w:szCs w:val="18"/>
        </w:rPr>
        <w:t>Inc</w:t>
      </w:r>
      <w:proofErr w:type="spellEnd"/>
      <w:r w:rsidRPr="009C362B">
        <w:rPr>
          <w:szCs w:val="18"/>
        </w:rPr>
        <w:t>, Feb 2010, Final Evaluation Report</w:t>
      </w:r>
      <w:proofErr w:type="gramStart"/>
      <w:r w:rsidRPr="009C362B">
        <w:rPr>
          <w:szCs w:val="18"/>
        </w:rPr>
        <w:t>:,</w:t>
      </w:r>
      <w:proofErr w:type="gramEnd"/>
      <w:r w:rsidRPr="009C362B">
        <w:rPr>
          <w:szCs w:val="18"/>
        </w:rPr>
        <w:t xml:space="preserve"> Upstream Lighting Program, Volume 1.’ This implies that only 2% of bulbs purchased are never installed. The second and third year installations are based upon Ameren analysis of the Californian KEMA </w:t>
      </w:r>
      <w:proofErr w:type="gramStart"/>
      <w:r w:rsidRPr="009C362B">
        <w:rPr>
          <w:szCs w:val="18"/>
        </w:rPr>
        <w:t>study showing that 54% of future installs occur</w:t>
      </w:r>
      <w:proofErr w:type="gramEnd"/>
      <w:r w:rsidRPr="009C362B">
        <w:rPr>
          <w:szCs w:val="18"/>
        </w:rPr>
        <w:t xml:space="preserve"> in year 2 and 46% in year 3. The 2</w:t>
      </w:r>
      <w:r w:rsidRPr="009C362B">
        <w:rPr>
          <w:szCs w:val="18"/>
          <w:vertAlign w:val="superscript"/>
        </w:rPr>
        <w:t>nd</w:t>
      </w:r>
      <w:r w:rsidRPr="009C362B">
        <w:rPr>
          <w:szCs w:val="18"/>
        </w:rPr>
        <w:t xml:space="preserve"> and 3</w:t>
      </w:r>
      <w:r w:rsidRPr="009C362B">
        <w:rPr>
          <w:szCs w:val="18"/>
          <w:vertAlign w:val="superscript"/>
        </w:rPr>
        <w:t>rd</w:t>
      </w:r>
      <w:r w:rsidRPr="009C362B">
        <w:rPr>
          <w:szCs w:val="18"/>
        </w:rPr>
        <w:t xml:space="preserve"> year installations should be counted as part of those future program year savings. </w:t>
      </w:r>
    </w:p>
  </w:footnote>
  <w:footnote w:id="7">
    <w:p w:rsidR="008329D7" w:rsidRPr="009C362B" w:rsidRDefault="008329D7" w:rsidP="008329D7">
      <w:pPr>
        <w:pStyle w:val="Footnote"/>
        <w:rPr>
          <w:szCs w:val="18"/>
        </w:rPr>
      </w:pPr>
      <w:r w:rsidRPr="009C362B">
        <w:rPr>
          <w:rStyle w:val="FootnoteReference"/>
          <w:szCs w:val="18"/>
        </w:rPr>
        <w:footnoteRef/>
      </w:r>
      <w:r w:rsidRPr="009C362B">
        <w:rPr>
          <w:szCs w:val="18"/>
        </w:rPr>
        <w:t xml:space="preserve"> Based upon Standard CFL assumption in the absence of better data, and is based upon review of the PY2 and PY3 ComEd Direct Install program surveys. This value includes bulb failures in the 1st year to be consistent with the Commission approval of </w:t>
      </w:r>
      <w:proofErr w:type="spellStart"/>
      <w:r w:rsidRPr="009C362B">
        <w:rPr>
          <w:szCs w:val="18"/>
        </w:rPr>
        <w:t>annualization</w:t>
      </w:r>
      <w:proofErr w:type="spellEnd"/>
      <w:r w:rsidRPr="009C362B">
        <w:rPr>
          <w:szCs w:val="18"/>
        </w:rPr>
        <w:t xml:space="preserve"> of savings for first year savings claims. ComEd PY2 All Electric Single Family Home Energy Performance Tune-Up Program Evaluation, Navigant Consulting, December 21, 2010. </w:t>
      </w:r>
      <w:hyperlink r:id="rId2" w:history="1">
        <w:r w:rsidRPr="009C362B">
          <w:rPr>
            <w:rStyle w:val="Hyperlink"/>
            <w:rFonts w:cstheme="minorHAnsi"/>
            <w:szCs w:val="18"/>
          </w:rPr>
          <w:t>http://www.icc.illinois.gov/downloads/public/edocket/287090.pdf</w:t>
        </w:r>
      </w:hyperlink>
      <w:r w:rsidRPr="009C362B">
        <w:rPr>
          <w:szCs w:val="18"/>
        </w:rPr>
        <w:t>.</w:t>
      </w:r>
    </w:p>
  </w:footnote>
  <w:footnote w:id="8">
    <w:p w:rsidR="008329D7" w:rsidRPr="009C362B" w:rsidRDefault="008329D7" w:rsidP="008329D7">
      <w:pPr>
        <w:pStyle w:val="Footnote"/>
        <w:rPr>
          <w:szCs w:val="18"/>
        </w:rPr>
      </w:pPr>
      <w:r w:rsidRPr="009C362B">
        <w:rPr>
          <w:rStyle w:val="FootnoteReference"/>
          <w:szCs w:val="18"/>
        </w:rPr>
        <w:footnoteRef/>
      </w:r>
      <w:r w:rsidRPr="009C362B">
        <w:rPr>
          <w:szCs w:val="18"/>
        </w:rPr>
        <w:t xml:space="preserve"> In Service Rates provided are for the bulb within a kit only. Given the significant differences in program design and the level of education provided through Efficiency Kits programs, the evaluators should apply the ISR estimated through evaluations (either past evaluations or the current program year evaluation) of the specific Efficiency Kits program.  In cases where program-specific evaluation results for an ISR are unavailable, the default ISR values for Efficiency Kits provide may be used.</w:t>
      </w:r>
    </w:p>
  </w:footnote>
  <w:footnote w:id="9">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r w:rsidRPr="009C362B">
        <w:rPr>
          <w:color w:val="000000"/>
          <w:szCs w:val="18"/>
        </w:rPr>
        <w:t xml:space="preserve">Free bulbs provided without request, with little or no education. </w:t>
      </w:r>
      <w:proofErr w:type="gramStart"/>
      <w:r w:rsidRPr="009C362B">
        <w:rPr>
          <w:color w:val="000000"/>
          <w:szCs w:val="18"/>
        </w:rPr>
        <w:t>Consistent with Standard CFL assumptions.</w:t>
      </w:r>
      <w:proofErr w:type="gramEnd"/>
    </w:p>
  </w:footnote>
  <w:footnote w:id="10">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r w:rsidRPr="009C362B">
        <w:rPr>
          <w:color w:val="000000"/>
          <w:szCs w:val="18"/>
        </w:rPr>
        <w:t xml:space="preserve">Kits provided free to students through school, with education program. </w:t>
      </w:r>
      <w:proofErr w:type="gramStart"/>
      <w:r w:rsidRPr="009C362B">
        <w:rPr>
          <w:color w:val="000000"/>
          <w:szCs w:val="18"/>
        </w:rPr>
        <w:t>Consistent with Standard CFL assumptions.</w:t>
      </w:r>
      <w:proofErr w:type="gramEnd"/>
    </w:p>
  </w:footnote>
  <w:footnote w:id="11">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color w:val="000000"/>
          <w:szCs w:val="18"/>
        </w:rPr>
        <w:t>Opt-in program to receive kits via mail, with little or no education.</w:t>
      </w:r>
      <w:proofErr w:type="gramEnd"/>
      <w:r w:rsidRPr="009C362B">
        <w:rPr>
          <w:color w:val="000000"/>
          <w:szCs w:val="18"/>
        </w:rPr>
        <w:t xml:space="preserve"> </w:t>
      </w:r>
      <w:proofErr w:type="gramStart"/>
      <w:r w:rsidRPr="009C362B">
        <w:rPr>
          <w:color w:val="000000"/>
          <w:szCs w:val="18"/>
        </w:rPr>
        <w:t>Consistent with Standard CFL assumptions.</w:t>
      </w:r>
      <w:proofErr w:type="gramEnd"/>
    </w:p>
  </w:footnote>
  <w:footnote w:id="12">
    <w:p w:rsidR="008329D7" w:rsidRPr="009C362B" w:rsidRDefault="008329D7" w:rsidP="008329D7">
      <w:pPr>
        <w:pStyle w:val="Footnote"/>
        <w:rPr>
          <w:szCs w:val="18"/>
        </w:rPr>
      </w:pPr>
      <w:r w:rsidRPr="009C362B">
        <w:rPr>
          <w:rStyle w:val="FootnoteReference"/>
          <w:szCs w:val="18"/>
        </w:rPr>
        <w:footnoteRef/>
      </w:r>
      <w:r w:rsidRPr="009C362B">
        <w:rPr>
          <w:rFonts w:eastAsiaTheme="minorHAnsi" w:cs="Calibri"/>
          <w:szCs w:val="18"/>
        </w:rPr>
        <w:t xml:space="preserve"> Using a leakage estimate from the current program year evaluation, from past evaluation results, or a rolling average of leakage estimates from previous years.</w:t>
      </w:r>
    </w:p>
  </w:footnote>
  <w:footnote w:id="13">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w:t>
      </w:r>
      <w:proofErr w:type="gramEnd"/>
    </w:p>
  </w:footnote>
  <w:footnote w:id="14">
    <w:p w:rsidR="008329D7" w:rsidRPr="009C362B" w:rsidRDefault="008329D7" w:rsidP="008329D7">
      <w:pPr>
        <w:pStyle w:val="Footnote"/>
        <w:rPr>
          <w:szCs w:val="18"/>
        </w:rPr>
      </w:pPr>
      <w:r w:rsidRPr="009C362B">
        <w:rPr>
          <w:rStyle w:val="FootnoteReference"/>
          <w:szCs w:val="18"/>
        </w:rPr>
        <w:footnoteRef/>
      </w:r>
      <w:r w:rsidRPr="009C362B">
        <w:rPr>
          <w:szCs w:val="18"/>
        </w:rPr>
        <w:t xml:space="preserve"> The value is estimated at 1.06 (calculated as 1 + (0.66*(0.27 / 2.8)).  Based on cooling loads decreasing by 27% of the lighting savings (average result from </w:t>
      </w:r>
      <w:proofErr w:type="spellStart"/>
      <w:r w:rsidRPr="009C362B">
        <w:rPr>
          <w:szCs w:val="18"/>
        </w:rPr>
        <w:t>REMRate</w:t>
      </w:r>
      <w:proofErr w:type="spellEnd"/>
      <w:r w:rsidRPr="009C362B">
        <w:rPr>
          <w:szCs w:val="18"/>
        </w:rPr>
        <w:t xml:space="preserve"> modeling of several different configurations and IL locations of homes), assuming typical cooling system operating efficiency of 2.8 COP (starting from standard assumption of SEER 10.5 central AC unit, converted to 9.5 EER using algorithm (-0.02 * SEER2) + (1.12 * SEER) (from </w:t>
      </w:r>
      <w:proofErr w:type="spellStart"/>
      <w:r w:rsidRPr="009C362B">
        <w:rPr>
          <w:szCs w:val="18"/>
        </w:rPr>
        <w:t>Wassmer</w:t>
      </w:r>
      <w:proofErr w:type="spellEnd"/>
      <w:r w:rsidRPr="009C362B">
        <w:rPr>
          <w:szCs w:val="18"/>
        </w:rPr>
        <w:t xml:space="preserve">, M. (2003).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r w:rsidRPr="009C362B">
        <w:rPr>
          <w:szCs w:val="18"/>
        </w:rPr>
        <w:t>Masters</w:t>
      </w:r>
      <w:proofErr w:type="spellEnd"/>
      <w:r w:rsidRPr="009C362B">
        <w:rPr>
          <w:szCs w:val="18"/>
        </w:rPr>
        <w:t xml:space="preserve"> Thesis, University of Colorado at Boulder), converted to COP = EER/3.412 = 2.8COP) and 66% of homes in Illinois having central cooling ("Table HC7.9  Air Conditioning in Homes in Midwest Region, Divisions, and States, 2009 from Energy Information Administration", 2009 Residential Energy Consumption Survey;   </w:t>
      </w:r>
      <w:hyperlink r:id="rId3" w:history="1">
        <w:r w:rsidRPr="009C362B">
          <w:rPr>
            <w:rStyle w:val="Hyperlink"/>
            <w:rFonts w:cstheme="minorHAnsi"/>
            <w:szCs w:val="18"/>
          </w:rPr>
          <w:t>http://www.eia.gov/consumption/residential/data/2009/xls/HC7.9%20Air%20Conditioning%20in%20Midwest%20Region.xls</w:t>
        </w:r>
      </w:hyperlink>
      <w:r w:rsidRPr="009C362B">
        <w:rPr>
          <w:szCs w:val="18"/>
        </w:rPr>
        <w:t xml:space="preserve"> )</w:t>
      </w:r>
    </w:p>
  </w:footnote>
  <w:footnote w:id="15">
    <w:p w:rsidR="008329D7" w:rsidRPr="009C362B" w:rsidRDefault="008329D7" w:rsidP="008329D7">
      <w:pPr>
        <w:pStyle w:val="Footnote"/>
        <w:rPr>
          <w:szCs w:val="18"/>
        </w:rPr>
      </w:pPr>
      <w:r w:rsidRPr="009C362B">
        <w:rPr>
          <w:rStyle w:val="FootnoteReference"/>
          <w:szCs w:val="18"/>
        </w:rPr>
        <w:footnoteRef/>
      </w:r>
      <w:r w:rsidRPr="009C362B">
        <w:rPr>
          <w:szCs w:val="18"/>
        </w:rPr>
        <w:t xml:space="preserve"> As above but using estimate of 45% of </w:t>
      </w:r>
      <w:proofErr w:type="spellStart"/>
      <w:r w:rsidRPr="009C362B">
        <w:rPr>
          <w:szCs w:val="18"/>
        </w:rPr>
        <w:t>multi family</w:t>
      </w:r>
      <w:proofErr w:type="spellEnd"/>
      <w:r w:rsidRPr="009C362B">
        <w:rPr>
          <w:szCs w:val="18"/>
        </w:rPr>
        <w:t xml:space="preserve"> buildings in Illinois having central cooling (based on data from “Table HC7.1  Air Conditioning in U.S. Homes, By Housing Unit Type, 2009” which is for the whole of the US, scaled to IL air conditioning prevalence compared to US average); </w:t>
      </w:r>
      <w:hyperlink r:id="rId4" w:history="1">
        <w:r w:rsidRPr="009C362B">
          <w:rPr>
            <w:rStyle w:val="Hyperlink"/>
            <w:rFonts w:cstheme="minorHAnsi"/>
            <w:szCs w:val="18"/>
          </w:rPr>
          <w:t>http://205.254.135.7/consumption/residential/data/2009/xls/HC7.1%20Air%20Conditioning%20by%20Housing%20Unit%20Type.xls</w:t>
        </w:r>
      </w:hyperlink>
      <w:r w:rsidRPr="009C362B">
        <w:rPr>
          <w:szCs w:val="18"/>
        </w:rPr>
        <w:t xml:space="preserve"> </w:t>
      </w:r>
    </w:p>
  </w:footnote>
  <w:footnote w:id="16">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Negative value because this is an increase in heating consumption due to the efficient lighting.</w:t>
      </w:r>
      <w:proofErr w:type="gramEnd"/>
    </w:p>
  </w:footnote>
  <w:footnote w:id="17">
    <w:p w:rsidR="008329D7" w:rsidRPr="009C362B" w:rsidRDefault="008329D7" w:rsidP="008329D7">
      <w:pPr>
        <w:pStyle w:val="Footnote"/>
        <w:rPr>
          <w:szCs w:val="18"/>
        </w:rPr>
      </w:pPr>
      <w:r w:rsidRPr="009C362B">
        <w:rPr>
          <w:rStyle w:val="FootnoteReference"/>
          <w:szCs w:val="18"/>
        </w:rPr>
        <w:footnoteRef/>
      </w:r>
      <w:r w:rsidRPr="009C362B">
        <w:rPr>
          <w:szCs w:val="18"/>
        </w:rPr>
        <w:t xml:space="preserve"> This means that heating loads increase by 49% of the lighting savings. This is based on the average result from </w:t>
      </w:r>
      <w:proofErr w:type="spellStart"/>
      <w:r w:rsidRPr="009C362B">
        <w:rPr>
          <w:szCs w:val="18"/>
        </w:rPr>
        <w:t>REMRate</w:t>
      </w:r>
      <w:proofErr w:type="spellEnd"/>
      <w:r w:rsidRPr="009C362B">
        <w:rPr>
          <w:szCs w:val="18"/>
        </w:rPr>
        <w:t xml:space="preserve"> modeling of several different configurations and IL locations of homes.</w:t>
      </w:r>
    </w:p>
  </w:footnote>
  <w:footnote w:id="18">
    <w:p w:rsidR="008329D7" w:rsidRPr="009C362B" w:rsidRDefault="008329D7" w:rsidP="008329D7">
      <w:pPr>
        <w:pStyle w:val="Footnote"/>
        <w:rPr>
          <w:szCs w:val="18"/>
        </w:rPr>
      </w:pPr>
      <w:r w:rsidRPr="009C362B">
        <w:rPr>
          <w:rStyle w:val="FootnoteReference"/>
          <w:szCs w:val="18"/>
        </w:rPr>
        <w:footnoteRef/>
      </w:r>
      <w:r w:rsidRPr="009C362B">
        <w:rPr>
          <w:szCs w:val="18"/>
        </w:rPr>
        <w:t xml:space="preserve"> These default system efficiencies are based on the applicable minimum Federal Standards. In 2006 the Federal Standard for Heat Pumps was adjusted. While one would expect the average system efficiency to be higher than this minimum, the likely degradation of efficiencies over time mean that using the minimum standard is appropriate.</w:t>
      </w:r>
    </w:p>
  </w:footnote>
  <w:footnote w:id="19">
    <w:p w:rsidR="008329D7" w:rsidRPr="009C362B" w:rsidRDefault="008329D7" w:rsidP="008329D7">
      <w:pPr>
        <w:pStyle w:val="Footnote"/>
        <w:rPr>
          <w:szCs w:val="18"/>
        </w:rPr>
      </w:pPr>
      <w:r w:rsidRPr="009C362B">
        <w:rPr>
          <w:rStyle w:val="FootnoteReference"/>
          <w:szCs w:val="18"/>
        </w:rPr>
        <w:footnoteRef/>
      </w:r>
      <w:r w:rsidRPr="009C362B">
        <w:rPr>
          <w:szCs w:val="18"/>
        </w:rPr>
        <w:t xml:space="preserve"> The value is estimated at 1.11 (calculated as 1 + (0.66 * 0.466 / 2.8)). See footnote relating to </w:t>
      </w:r>
      <w:proofErr w:type="spellStart"/>
      <w:r w:rsidRPr="009C362B">
        <w:rPr>
          <w:szCs w:val="18"/>
        </w:rPr>
        <w:t>WHFe</w:t>
      </w:r>
      <w:proofErr w:type="spellEnd"/>
      <w:r w:rsidRPr="009C362B">
        <w:rPr>
          <w:szCs w:val="18"/>
        </w:rPr>
        <w:t xml:space="preserve"> for details. Note the 46.6% factor represents the average Residential cooling coincidence factor calculated by dividing average load during the peak hours divided by the maximum cooling load. </w:t>
      </w:r>
    </w:p>
  </w:footnote>
  <w:footnote w:id="20">
    <w:p w:rsidR="008329D7" w:rsidRPr="009C362B" w:rsidRDefault="008329D7" w:rsidP="008329D7">
      <w:pPr>
        <w:pStyle w:val="Footnote"/>
        <w:rPr>
          <w:szCs w:val="18"/>
        </w:rPr>
      </w:pPr>
      <w:r w:rsidRPr="009C362B">
        <w:rPr>
          <w:rStyle w:val="FootnoteReference"/>
          <w:szCs w:val="18"/>
        </w:rPr>
        <w:footnoteRef/>
      </w:r>
      <w:r w:rsidRPr="009C362B">
        <w:rPr>
          <w:szCs w:val="18"/>
        </w:rPr>
        <w:t xml:space="preserve"> As above but using estimate of 45% of </w:t>
      </w:r>
      <w:proofErr w:type="spellStart"/>
      <w:r w:rsidRPr="009C362B">
        <w:rPr>
          <w:szCs w:val="18"/>
        </w:rPr>
        <w:t>multi family</w:t>
      </w:r>
      <w:proofErr w:type="spellEnd"/>
      <w:r w:rsidRPr="009C362B">
        <w:rPr>
          <w:szCs w:val="18"/>
        </w:rPr>
        <w:t xml:space="preserve"> buildings in Illinois having central cooling (based on data from “Table HC7.1  Air Conditioning in U.S. Homes, By Housing Unit Type, 2009” which is for the whole of the US, scaled to IL air conditioning prevalence compared to US average); </w:t>
      </w:r>
      <w:hyperlink r:id="rId5" w:history="1">
        <w:r w:rsidRPr="009C362B">
          <w:rPr>
            <w:rStyle w:val="Hyperlink"/>
            <w:rFonts w:cstheme="minorHAnsi"/>
            <w:szCs w:val="18"/>
          </w:rPr>
          <w:t>http://205.254.135.7/consumption/residential/data/2009/xls/HC7.1%20Air%20Conditioning%20by%20Housing%20Unit%20Type.xls</w:t>
        </w:r>
      </w:hyperlink>
      <w:r w:rsidRPr="009C362B">
        <w:rPr>
          <w:szCs w:val="18"/>
        </w:rPr>
        <w:t xml:space="preserve">. </w:t>
      </w:r>
    </w:p>
  </w:footnote>
  <w:footnote w:id="21">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evaluations.</w:t>
      </w:r>
      <w:proofErr w:type="gramEnd"/>
    </w:p>
  </w:footnote>
  <w:footnote w:id="22">
    <w:p w:rsidR="008329D7" w:rsidRDefault="008329D7" w:rsidP="008329D7">
      <w:pPr>
        <w:pStyle w:val="Footnote"/>
        <w:rPr>
          <w:ins w:id="20" w:author="Samuel Dent" w:date="2015-12-17T06:09:00Z"/>
        </w:rPr>
      </w:pPr>
      <w:ins w:id="21" w:author="Samuel Dent" w:date="2015-12-17T06:09:00Z">
        <w:r w:rsidRPr="009C362B">
          <w:rPr>
            <w:rStyle w:val="FootnoteReference"/>
            <w:szCs w:val="18"/>
          </w:rPr>
          <w:footnoteRef/>
        </w:r>
        <w:r w:rsidRPr="009C362B">
          <w:rPr>
            <w:szCs w:val="18"/>
          </w:rPr>
          <w:t xml:space="preserve"> Average result from </w:t>
        </w:r>
        <w:proofErr w:type="spellStart"/>
        <w:r w:rsidRPr="009C362B">
          <w:rPr>
            <w:szCs w:val="18"/>
          </w:rPr>
          <w:t>REMRate</w:t>
        </w:r>
        <w:proofErr w:type="spellEnd"/>
        <w:r w:rsidRPr="009C362B">
          <w:rPr>
            <w:szCs w:val="18"/>
          </w:rPr>
          <w:t xml:space="preserve"> modeling of several different configurations and IL locations of homes</w:t>
        </w:r>
      </w:ins>
    </w:p>
  </w:footnote>
  <w:footnote w:id="23">
    <w:p w:rsidR="008329D7" w:rsidRPr="009C362B" w:rsidRDefault="008329D7" w:rsidP="008329D7">
      <w:pPr>
        <w:pStyle w:val="Footnote"/>
        <w:rPr>
          <w:ins w:id="30" w:author="Samuel Dent" w:date="2015-12-17T06:09:00Z"/>
          <w:szCs w:val="18"/>
        </w:rPr>
      </w:pPr>
      <w:ins w:id="31" w:author="Samuel Dent" w:date="2015-12-17T06:09:00Z">
        <w:r w:rsidRPr="009C362B">
          <w:rPr>
            <w:rStyle w:val="FootnoteReference"/>
            <w:szCs w:val="18"/>
          </w:rPr>
          <w:footnoteRef/>
        </w:r>
        <w:r w:rsidRPr="009C362B">
          <w:rPr>
            <w:szCs w:val="18"/>
          </w:rPr>
          <w:t xml:space="preserve"> This has been estimated assuming that natural gas central furnace heating is typical for Illinois residences (66% of Illinois homes have a Natural Gas Furnace (based on Energy Information Administration, 2009 Residential Energy Consumption Survey: http://www.eia.gov/consumption/residential/data/2009/xls/HC6.9%20Space%20Heating%20in%20Midwest%20Region.xls))</w:t>
        </w:r>
      </w:ins>
    </w:p>
    <w:p w:rsidR="008329D7" w:rsidRPr="009C362B" w:rsidRDefault="008329D7" w:rsidP="008329D7">
      <w:pPr>
        <w:pStyle w:val="Footnote"/>
        <w:rPr>
          <w:ins w:id="32" w:author="Samuel Dent" w:date="2015-12-17T06:09:00Z"/>
          <w:szCs w:val="18"/>
        </w:rPr>
      </w:pPr>
      <w:ins w:id="33" w:author="Samuel Dent" w:date="2015-12-17T06:09:00Z">
        <w:r w:rsidRPr="009C362B">
          <w:rPr>
            <w:szCs w:val="18"/>
          </w:rPr>
          <w:t xml:space="preserve">In 2000, 24% of furnaces purchased in Illinois were condensing (based on data from GAMA, provided to Department of Energy during the federal standard setting process for residential heating equipment - see Furnace Penetration.xls). Furnaces tend to last up to 20 years and so units purchased 10 years ago provide a reasonable proxy for the current mix of furnaces in the State. Assuming typical efficiencies for condensing and non-condensing furnaces and duct losses, the average heating system efficiency is estimated as follows: </w:t>
        </w:r>
      </w:ins>
    </w:p>
    <w:p w:rsidR="008329D7" w:rsidRDefault="008329D7" w:rsidP="008329D7">
      <w:pPr>
        <w:pStyle w:val="Footnote"/>
        <w:rPr>
          <w:ins w:id="34" w:author="Samuel Dent" w:date="2015-12-17T06:09:00Z"/>
        </w:rPr>
      </w:pPr>
      <w:ins w:id="35" w:author="Samuel Dent" w:date="2015-12-17T06:09:00Z">
        <w:r w:rsidRPr="009C362B">
          <w:rPr>
            <w:szCs w:val="18"/>
          </w:rPr>
          <w:t>(0.24*0.92) + (0.76*0.8) * (1-0.15) =  0.70</w:t>
        </w:r>
      </w:ins>
    </w:p>
  </w:footnote>
  <w:footnote w:id="24">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upon pricing forecast developed by Applied Proactive Technologies </w:t>
      </w:r>
      <w:proofErr w:type="spellStart"/>
      <w:r w:rsidRPr="009C362B">
        <w:rPr>
          <w:szCs w:val="18"/>
        </w:rPr>
        <w:t>Inc</w:t>
      </w:r>
      <w:proofErr w:type="spellEnd"/>
      <w:r w:rsidRPr="009C362B">
        <w:rPr>
          <w:szCs w:val="18"/>
        </w:rPr>
        <w:t xml:space="preserve"> (APT) based on industry input and provided to Ameren.</w:t>
      </w:r>
      <w:proofErr w:type="gramEnd"/>
    </w:p>
  </w:footnote>
  <w:footnote w:id="25">
    <w:p w:rsidR="008329D7" w:rsidRPr="009C362B" w:rsidRDefault="008329D7" w:rsidP="008329D7">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lighting logger study conducted as part of the PY5/6 ComEd Residential Lighting Program evaluations.</w:t>
      </w:r>
      <w:proofErr w:type="gramEnd"/>
    </w:p>
  </w:footnote>
  <w:footnote w:id="26">
    <w:p w:rsidR="008329D7" w:rsidRPr="009C362B" w:rsidRDefault="008329D7" w:rsidP="008329D7">
      <w:pPr>
        <w:pStyle w:val="Footnote"/>
        <w:rPr>
          <w:szCs w:val="18"/>
        </w:rPr>
      </w:pPr>
      <w:r w:rsidRPr="009C362B">
        <w:rPr>
          <w:rStyle w:val="FootnoteReference"/>
          <w:szCs w:val="18"/>
        </w:rPr>
        <w:footnoteRef/>
      </w:r>
      <w:r w:rsidRPr="009C362B">
        <w:rPr>
          <w:szCs w:val="18"/>
        </w:rPr>
        <w:t xml:space="preserve"> The manufacturers of the new minimally compliant EISA Halogens are using regular incandescent lamps with halogen fill gas rather than halogen infrared to meet the standard and so the component rated life is equal to the standard incandescent.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9D7" w:rsidRPr="008A26DF" w:rsidRDefault="008329D7" w:rsidP="006567E4">
    <w:pPr>
      <w:pStyle w:val="HeaderIL"/>
    </w:pPr>
    <w:r w:rsidRPr="005D746C">
      <w:t xml:space="preserve">Illinois Statewide Technical Reference Manual - </w:t>
    </w:r>
    <w:r>
      <w:fldChar w:fldCharType="begin"/>
    </w:r>
    <w:r>
      <w:instrText xml:space="preserve"> REF _Ref376491828 \n \h </w:instrText>
    </w:r>
    <w:r>
      <w:fldChar w:fldCharType="separate"/>
    </w:r>
    <w:r>
      <w:t>5.5.8</w:t>
    </w:r>
    <w:r>
      <w:fldChar w:fldCharType="end"/>
    </w:r>
    <w:r>
      <w:t xml:space="preserve"> </w:t>
    </w:r>
    <w:r>
      <w:fldChar w:fldCharType="begin"/>
    </w:r>
    <w:r>
      <w:instrText xml:space="preserve"> REF _Ref376491837 \h </w:instrText>
    </w:r>
    <w:r>
      <w:fldChar w:fldCharType="separate"/>
    </w:r>
    <w:r>
      <w:t>LED Screw Based Omnidirectional Bulbs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FCE128B"/>
    <w:multiLevelType w:val="multilevel"/>
    <w:tmpl w:val="3C7CD012"/>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9D7"/>
    <w:rsid w:val="008329D7"/>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9D7"/>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8329D7"/>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8329D7"/>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8329D7"/>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8329D7"/>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8329D7"/>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8329D7"/>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8329D7"/>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8329D7"/>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29D7"/>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8329D7"/>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8329D7"/>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8329D7"/>
    <w:rPr>
      <w:rFonts w:ascii="Calibri" w:eastAsiaTheme="minorEastAsia" w:hAnsi="Calibri" w:cs="Arial"/>
      <w:bCs/>
      <w:i/>
      <w:noProof/>
    </w:rPr>
  </w:style>
  <w:style w:type="character" w:customStyle="1" w:styleId="Heading5Char">
    <w:name w:val="Heading 5 Char"/>
    <w:basedOn w:val="DefaultParagraphFont"/>
    <w:link w:val="Heading5"/>
    <w:uiPriority w:val="99"/>
    <w:rsid w:val="008329D7"/>
    <w:rPr>
      <w:rFonts w:ascii="Calibri" w:eastAsia="Times New Roman" w:hAnsi="Calibri" w:cs="Times New Roman"/>
      <w:sz w:val="20"/>
    </w:rPr>
  </w:style>
  <w:style w:type="character" w:customStyle="1" w:styleId="Heading7Char">
    <w:name w:val="Heading 7 Char"/>
    <w:basedOn w:val="DefaultParagraphFont"/>
    <w:link w:val="Heading7"/>
    <w:uiPriority w:val="99"/>
    <w:rsid w:val="008329D7"/>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8329D7"/>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8329D7"/>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8329D7"/>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8329D7"/>
    <w:rPr>
      <w:rFonts w:ascii="Arial" w:hAnsi="Arial" w:cs="Times New Roman"/>
      <w:sz w:val="20"/>
      <w:vertAlign w:val="superscript"/>
    </w:rPr>
  </w:style>
  <w:style w:type="character" w:styleId="Hyperlink">
    <w:name w:val="Hyperlink"/>
    <w:uiPriority w:val="99"/>
    <w:rsid w:val="008329D7"/>
    <w:rPr>
      <w:rFonts w:cs="Times New Roman"/>
      <w:color w:val="0000FF"/>
      <w:u w:val="single"/>
    </w:rPr>
  </w:style>
  <w:style w:type="character" w:customStyle="1" w:styleId="FootnoteChar">
    <w:name w:val="Footnote Char"/>
    <w:basedOn w:val="DefaultParagraphFont"/>
    <w:link w:val="Footnote"/>
    <w:rsid w:val="008329D7"/>
    <w:rPr>
      <w:rFonts w:eastAsiaTheme="minorEastAsia" w:cstheme="minorHAnsi"/>
      <w:sz w:val="18"/>
      <w:szCs w:val="20"/>
    </w:rPr>
  </w:style>
  <w:style w:type="paragraph" w:customStyle="1" w:styleId="HeaderIL">
    <w:name w:val="Header IL"/>
    <w:basedOn w:val="Header"/>
    <w:link w:val="HeaderILChar"/>
    <w:qFormat/>
    <w:rsid w:val="008329D7"/>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8329D7"/>
    <w:rPr>
      <w:rFonts w:eastAsia="Times New Roman" w:cs="Times New Roman"/>
      <w:sz w:val="20"/>
    </w:rPr>
  </w:style>
  <w:style w:type="paragraph" w:customStyle="1" w:styleId="Footnote">
    <w:name w:val="Footnote"/>
    <w:basedOn w:val="FootnoteText"/>
    <w:link w:val="FootnoteChar"/>
    <w:autoRedefine/>
    <w:qFormat/>
    <w:rsid w:val="008329D7"/>
    <w:pPr>
      <w:jc w:val="left"/>
    </w:pPr>
    <w:rPr>
      <w:rFonts w:eastAsiaTheme="minorEastAsia" w:cstheme="minorHAnsi"/>
      <w:sz w:val="18"/>
    </w:rPr>
  </w:style>
  <w:style w:type="table" w:customStyle="1" w:styleId="TableGrid16">
    <w:name w:val="Table Grid16"/>
    <w:basedOn w:val="TableNormal"/>
    <w:next w:val="TableGrid"/>
    <w:uiPriority w:val="59"/>
    <w:rsid w:val="008329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8329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329D7"/>
    <w:pPr>
      <w:tabs>
        <w:tab w:val="center" w:pos="4680"/>
        <w:tab w:val="right" w:pos="9360"/>
      </w:tabs>
      <w:spacing w:after="0"/>
    </w:pPr>
  </w:style>
  <w:style w:type="character" w:customStyle="1" w:styleId="HeaderChar">
    <w:name w:val="Header Char"/>
    <w:basedOn w:val="DefaultParagraphFont"/>
    <w:link w:val="Header"/>
    <w:uiPriority w:val="99"/>
    <w:semiHidden/>
    <w:rsid w:val="008329D7"/>
    <w:rPr>
      <w:rFonts w:eastAsia="Times New Roman" w:cs="Times New Roman"/>
      <w:sz w:val="20"/>
    </w:rPr>
  </w:style>
  <w:style w:type="paragraph" w:styleId="FootnoteText">
    <w:name w:val="footnote text"/>
    <w:basedOn w:val="Normal"/>
    <w:link w:val="FootnoteTextChar"/>
    <w:uiPriority w:val="99"/>
    <w:semiHidden/>
    <w:unhideWhenUsed/>
    <w:rsid w:val="008329D7"/>
    <w:pPr>
      <w:spacing w:after="0"/>
    </w:pPr>
    <w:rPr>
      <w:szCs w:val="20"/>
    </w:rPr>
  </w:style>
  <w:style w:type="character" w:customStyle="1" w:styleId="FootnoteTextChar">
    <w:name w:val="Footnote Text Char"/>
    <w:basedOn w:val="DefaultParagraphFont"/>
    <w:link w:val="FootnoteText"/>
    <w:uiPriority w:val="99"/>
    <w:semiHidden/>
    <w:rsid w:val="008329D7"/>
    <w:rPr>
      <w:rFonts w:eastAsia="Times New Roman" w:cs="Times New Roman"/>
      <w:sz w:val="20"/>
      <w:szCs w:val="20"/>
    </w:rPr>
  </w:style>
  <w:style w:type="table" w:styleId="TableGrid">
    <w:name w:val="Table Grid"/>
    <w:basedOn w:val="TableNormal"/>
    <w:uiPriority w:val="59"/>
    <w:rsid w:val="00832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29D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9D7"/>
    <w:rPr>
      <w:rFonts w:ascii="Tahoma" w:eastAsia="Times New Roman" w:hAnsi="Tahoma" w:cs="Tahoma"/>
      <w:sz w:val="16"/>
      <w:szCs w:val="16"/>
    </w:rPr>
  </w:style>
  <w:style w:type="paragraph" w:styleId="CommentText">
    <w:name w:val="annotation text"/>
    <w:basedOn w:val="Normal"/>
    <w:link w:val="CommentTextChar"/>
    <w:uiPriority w:val="99"/>
    <w:rsid w:val="008329D7"/>
  </w:style>
  <w:style w:type="character" w:customStyle="1" w:styleId="CommentTextChar">
    <w:name w:val="Comment Text Char"/>
    <w:basedOn w:val="DefaultParagraphFont"/>
    <w:link w:val="CommentText"/>
    <w:uiPriority w:val="99"/>
    <w:rsid w:val="008329D7"/>
    <w:rPr>
      <w:rFonts w:eastAsia="Times New Roman" w:cs="Times New Roman"/>
      <w:sz w:val="20"/>
    </w:rPr>
  </w:style>
  <w:style w:type="character" w:styleId="CommentReference">
    <w:name w:val="annotation reference"/>
    <w:basedOn w:val="DefaultParagraphFont"/>
    <w:uiPriority w:val="99"/>
    <w:rsid w:val="008329D7"/>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9D7"/>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8329D7"/>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8329D7"/>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8329D7"/>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8329D7"/>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8329D7"/>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8329D7"/>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8329D7"/>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8329D7"/>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29D7"/>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8329D7"/>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8329D7"/>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8329D7"/>
    <w:rPr>
      <w:rFonts w:ascii="Calibri" w:eastAsiaTheme="minorEastAsia" w:hAnsi="Calibri" w:cs="Arial"/>
      <w:bCs/>
      <w:i/>
      <w:noProof/>
    </w:rPr>
  </w:style>
  <w:style w:type="character" w:customStyle="1" w:styleId="Heading5Char">
    <w:name w:val="Heading 5 Char"/>
    <w:basedOn w:val="DefaultParagraphFont"/>
    <w:link w:val="Heading5"/>
    <w:uiPriority w:val="99"/>
    <w:rsid w:val="008329D7"/>
    <w:rPr>
      <w:rFonts w:ascii="Calibri" w:eastAsia="Times New Roman" w:hAnsi="Calibri" w:cs="Times New Roman"/>
      <w:sz w:val="20"/>
    </w:rPr>
  </w:style>
  <w:style w:type="character" w:customStyle="1" w:styleId="Heading7Char">
    <w:name w:val="Heading 7 Char"/>
    <w:basedOn w:val="DefaultParagraphFont"/>
    <w:link w:val="Heading7"/>
    <w:uiPriority w:val="99"/>
    <w:rsid w:val="008329D7"/>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8329D7"/>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8329D7"/>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8329D7"/>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8329D7"/>
    <w:rPr>
      <w:rFonts w:ascii="Arial" w:hAnsi="Arial" w:cs="Times New Roman"/>
      <w:sz w:val="20"/>
      <w:vertAlign w:val="superscript"/>
    </w:rPr>
  </w:style>
  <w:style w:type="character" w:styleId="Hyperlink">
    <w:name w:val="Hyperlink"/>
    <w:uiPriority w:val="99"/>
    <w:rsid w:val="008329D7"/>
    <w:rPr>
      <w:rFonts w:cs="Times New Roman"/>
      <w:color w:val="0000FF"/>
      <w:u w:val="single"/>
    </w:rPr>
  </w:style>
  <w:style w:type="character" w:customStyle="1" w:styleId="FootnoteChar">
    <w:name w:val="Footnote Char"/>
    <w:basedOn w:val="DefaultParagraphFont"/>
    <w:link w:val="Footnote"/>
    <w:rsid w:val="008329D7"/>
    <w:rPr>
      <w:rFonts w:eastAsiaTheme="minorEastAsia" w:cstheme="minorHAnsi"/>
      <w:sz w:val="18"/>
      <w:szCs w:val="20"/>
    </w:rPr>
  </w:style>
  <w:style w:type="paragraph" w:customStyle="1" w:styleId="HeaderIL">
    <w:name w:val="Header IL"/>
    <w:basedOn w:val="Header"/>
    <w:link w:val="HeaderILChar"/>
    <w:qFormat/>
    <w:rsid w:val="008329D7"/>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8329D7"/>
    <w:rPr>
      <w:rFonts w:eastAsia="Times New Roman" w:cs="Times New Roman"/>
      <w:sz w:val="20"/>
    </w:rPr>
  </w:style>
  <w:style w:type="paragraph" w:customStyle="1" w:styleId="Footnote">
    <w:name w:val="Footnote"/>
    <w:basedOn w:val="FootnoteText"/>
    <w:link w:val="FootnoteChar"/>
    <w:autoRedefine/>
    <w:qFormat/>
    <w:rsid w:val="008329D7"/>
    <w:pPr>
      <w:jc w:val="left"/>
    </w:pPr>
    <w:rPr>
      <w:rFonts w:eastAsiaTheme="minorEastAsia" w:cstheme="minorHAnsi"/>
      <w:sz w:val="18"/>
    </w:rPr>
  </w:style>
  <w:style w:type="table" w:customStyle="1" w:styleId="TableGrid16">
    <w:name w:val="Table Grid16"/>
    <w:basedOn w:val="TableNormal"/>
    <w:next w:val="TableGrid"/>
    <w:uiPriority w:val="59"/>
    <w:rsid w:val="008329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8329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329D7"/>
    <w:pPr>
      <w:tabs>
        <w:tab w:val="center" w:pos="4680"/>
        <w:tab w:val="right" w:pos="9360"/>
      </w:tabs>
      <w:spacing w:after="0"/>
    </w:pPr>
  </w:style>
  <w:style w:type="character" w:customStyle="1" w:styleId="HeaderChar">
    <w:name w:val="Header Char"/>
    <w:basedOn w:val="DefaultParagraphFont"/>
    <w:link w:val="Header"/>
    <w:uiPriority w:val="99"/>
    <w:semiHidden/>
    <w:rsid w:val="008329D7"/>
    <w:rPr>
      <w:rFonts w:eastAsia="Times New Roman" w:cs="Times New Roman"/>
      <w:sz w:val="20"/>
    </w:rPr>
  </w:style>
  <w:style w:type="paragraph" w:styleId="FootnoteText">
    <w:name w:val="footnote text"/>
    <w:basedOn w:val="Normal"/>
    <w:link w:val="FootnoteTextChar"/>
    <w:uiPriority w:val="99"/>
    <w:semiHidden/>
    <w:unhideWhenUsed/>
    <w:rsid w:val="008329D7"/>
    <w:pPr>
      <w:spacing w:after="0"/>
    </w:pPr>
    <w:rPr>
      <w:szCs w:val="20"/>
    </w:rPr>
  </w:style>
  <w:style w:type="character" w:customStyle="1" w:styleId="FootnoteTextChar">
    <w:name w:val="Footnote Text Char"/>
    <w:basedOn w:val="DefaultParagraphFont"/>
    <w:link w:val="FootnoteText"/>
    <w:uiPriority w:val="99"/>
    <w:semiHidden/>
    <w:rsid w:val="008329D7"/>
    <w:rPr>
      <w:rFonts w:eastAsia="Times New Roman" w:cs="Times New Roman"/>
      <w:sz w:val="20"/>
      <w:szCs w:val="20"/>
    </w:rPr>
  </w:style>
  <w:style w:type="table" w:styleId="TableGrid">
    <w:name w:val="Table Grid"/>
    <w:basedOn w:val="TableNormal"/>
    <w:uiPriority w:val="59"/>
    <w:rsid w:val="008329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29D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9D7"/>
    <w:rPr>
      <w:rFonts w:ascii="Tahoma" w:eastAsia="Times New Roman" w:hAnsi="Tahoma" w:cs="Tahoma"/>
      <w:sz w:val="16"/>
      <w:szCs w:val="16"/>
    </w:rPr>
  </w:style>
  <w:style w:type="paragraph" w:styleId="CommentText">
    <w:name w:val="annotation text"/>
    <w:basedOn w:val="Normal"/>
    <w:link w:val="CommentTextChar"/>
    <w:uiPriority w:val="99"/>
    <w:rsid w:val="008329D7"/>
  </w:style>
  <w:style w:type="character" w:customStyle="1" w:styleId="CommentTextChar">
    <w:name w:val="Comment Text Char"/>
    <w:basedOn w:val="DefaultParagraphFont"/>
    <w:link w:val="CommentText"/>
    <w:uiPriority w:val="99"/>
    <w:rsid w:val="008329D7"/>
    <w:rPr>
      <w:rFonts w:eastAsia="Times New Roman" w:cs="Times New Roman"/>
      <w:sz w:val="20"/>
    </w:rPr>
  </w:style>
  <w:style w:type="character" w:styleId="CommentReference">
    <w:name w:val="annotation reference"/>
    <w:basedOn w:val="DefaultParagraphFont"/>
    <w:uiPriority w:val="99"/>
    <w:rsid w:val="008329D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ia.gov/consumption/residential/data/2009/xls/HC7.9%20Air%20Conditioning%20in%20Midwest%20Region.xls" TargetMode="External"/><Relationship Id="rId2" Type="http://schemas.openxmlformats.org/officeDocument/2006/relationships/hyperlink" Target="http://www.icc.illinois.gov/downloads/public/edocket/287090.pdf" TargetMode="External"/><Relationship Id="rId1" Type="http://schemas.openxmlformats.org/officeDocument/2006/relationships/hyperlink" Target="https://www.neep.org/Assets/uploads/files/emv/emv-products/NEEP_EMV_EmergingTechResearch_Report_Final.pdf" TargetMode="External"/><Relationship Id="rId5" Type="http://schemas.openxmlformats.org/officeDocument/2006/relationships/hyperlink" Target="http://205.254.135.7/consumption/residential/data/2009/xls/HC7.1%20Air%20Conditioning%20by%20Housing%20Unit%20Type.xls" TargetMode="External"/><Relationship Id="rId4" Type="http://schemas.openxmlformats.org/officeDocument/2006/relationships/hyperlink" Target="http://205.254.135.7/consumption/residential/data/2009/xls/HC7.1%20Air%20Conditioning%20by%20Housing%20Unit%20Type.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1B61D0A6</Template>
  <TotalTime>3</TotalTime>
  <Pages>10</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2015-12-17T11:07:00Z</dcterms:created>
  <dcterms:modified xsi:type="dcterms:W3CDTF">2015-12-17T11:10:00Z</dcterms:modified>
</cp:coreProperties>
</file>