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465" w:rsidRPr="000B7BB6" w:rsidRDefault="001D7465" w:rsidP="001D7465">
      <w:pPr>
        <w:pStyle w:val="Heading3"/>
        <w:numPr>
          <w:ilvl w:val="2"/>
          <w:numId w:val="3"/>
        </w:numPr>
      </w:pPr>
      <w:bookmarkStart w:id="0" w:name="_Toc319489368"/>
      <w:bookmarkStart w:id="1" w:name="_Toc319662639"/>
      <w:bookmarkStart w:id="2" w:name="_Ref325428475"/>
      <w:bookmarkStart w:id="3" w:name="_Ref325428480"/>
      <w:bookmarkStart w:id="4" w:name="_Ref326033415"/>
      <w:bookmarkStart w:id="5" w:name="_Ref326033420"/>
      <w:bookmarkStart w:id="6" w:name="_Toc333219092"/>
      <w:bookmarkStart w:id="7" w:name="_Ref355961089"/>
      <w:bookmarkStart w:id="8" w:name="_Toc411593556"/>
      <w:bookmarkStart w:id="9" w:name="_Toc315447657"/>
      <w:r w:rsidRPr="000B7BB6">
        <w:t>Gas Water Heater</w:t>
      </w:r>
      <w:bookmarkEnd w:id="0"/>
      <w:bookmarkEnd w:id="1"/>
      <w:bookmarkEnd w:id="2"/>
      <w:bookmarkEnd w:id="3"/>
      <w:bookmarkEnd w:id="4"/>
      <w:bookmarkEnd w:id="5"/>
      <w:bookmarkEnd w:id="6"/>
      <w:bookmarkEnd w:id="7"/>
      <w:bookmarkEnd w:id="8"/>
      <w:r w:rsidRPr="000B7BB6">
        <w:t xml:space="preserve"> </w:t>
      </w:r>
      <w:bookmarkEnd w:id="9"/>
    </w:p>
    <w:p w:rsidR="001D7465" w:rsidRDefault="001D7465" w:rsidP="001D7465">
      <w:pPr>
        <w:pStyle w:val="Heading6"/>
      </w:pPr>
      <w:r>
        <w:t xml:space="preserve">Description </w:t>
      </w:r>
    </w:p>
    <w:p w:rsidR="001D7465" w:rsidRDefault="001D7465" w:rsidP="001D7465">
      <w:pPr>
        <w:rPr>
          <w:rFonts w:cstheme="minorHAnsi"/>
        </w:rPr>
      </w:pPr>
      <w:r>
        <w:rPr>
          <w:rFonts w:cstheme="minorHAnsi"/>
        </w:rPr>
        <w:t>This measure characterizes:</w:t>
      </w:r>
    </w:p>
    <w:p w:rsidR="001D7465" w:rsidRDefault="001D7465" w:rsidP="001D7465">
      <w:pPr>
        <w:pStyle w:val="ListParagraph"/>
        <w:numPr>
          <w:ilvl w:val="0"/>
          <w:numId w:val="2"/>
        </w:numPr>
        <w:spacing w:after="240"/>
        <w:rPr>
          <w:rFonts w:cstheme="minorHAnsi"/>
        </w:rPr>
      </w:pPr>
      <w:r>
        <w:rPr>
          <w:rFonts w:cstheme="minorHAnsi"/>
        </w:rPr>
        <w:t>Time of sale or new construction:</w:t>
      </w:r>
      <w:r w:rsidRPr="00840C66">
        <w:rPr>
          <w:rFonts w:cstheme="minorHAnsi"/>
        </w:rPr>
        <w:t xml:space="preserve"> </w:t>
      </w:r>
    </w:p>
    <w:p w:rsidR="001D7465" w:rsidRDefault="001D7465" w:rsidP="001D7465">
      <w:pPr>
        <w:pStyle w:val="ListParagraph"/>
        <w:ind w:left="1080"/>
        <w:rPr>
          <w:rFonts w:cstheme="minorHAnsi"/>
        </w:rPr>
      </w:pPr>
      <w:proofErr w:type="gramStart"/>
      <w:r>
        <w:rPr>
          <w:rFonts w:cstheme="minorHAnsi"/>
        </w:rPr>
        <w:t>T</w:t>
      </w:r>
      <w:r w:rsidRPr="00840C66">
        <w:rPr>
          <w:rFonts w:cstheme="minorHAnsi"/>
        </w:rPr>
        <w:t>he purchase and installation of a new efficient gas-fired water heater, in place of a Federal Standard unit in a residential setting.</w:t>
      </w:r>
      <w:proofErr w:type="gramEnd"/>
      <w:r w:rsidRPr="00840C66">
        <w:rPr>
          <w:rFonts w:cstheme="minorHAnsi"/>
        </w:rPr>
        <w:t xml:space="preserve"> Savings are provided for power-vented, condensing storage, and whole-house </w:t>
      </w:r>
      <w:proofErr w:type="spellStart"/>
      <w:r w:rsidRPr="00840C66">
        <w:rPr>
          <w:rFonts w:cstheme="minorHAnsi"/>
        </w:rPr>
        <w:t>tankless</w:t>
      </w:r>
      <w:proofErr w:type="spellEnd"/>
      <w:r w:rsidRPr="00840C66">
        <w:rPr>
          <w:rFonts w:cstheme="minorHAnsi"/>
        </w:rPr>
        <w:t xml:space="preserve"> units meeting specific EF criteria.</w:t>
      </w:r>
    </w:p>
    <w:p w:rsidR="001D7465" w:rsidRDefault="001D7465" w:rsidP="001D7465">
      <w:pPr>
        <w:pStyle w:val="ListParagraph"/>
        <w:ind w:left="1080"/>
        <w:rPr>
          <w:rFonts w:cstheme="minorHAnsi"/>
        </w:rPr>
      </w:pPr>
    </w:p>
    <w:p w:rsidR="001D7465" w:rsidRPr="00840C66" w:rsidRDefault="001D7465" w:rsidP="001D7465">
      <w:pPr>
        <w:pStyle w:val="ListParagraph"/>
        <w:numPr>
          <w:ilvl w:val="0"/>
          <w:numId w:val="2"/>
        </w:numPr>
        <w:spacing w:after="240"/>
        <w:rPr>
          <w:rFonts w:cstheme="minorHAnsi"/>
        </w:rPr>
      </w:pPr>
      <w:r w:rsidRPr="00840C66">
        <w:rPr>
          <w:rFonts w:cstheme="minorHAnsi"/>
        </w:rPr>
        <w:t>Early replacement:</w:t>
      </w:r>
    </w:p>
    <w:p w:rsidR="001D7465" w:rsidRPr="00503CA3" w:rsidRDefault="001D7465" w:rsidP="001D7465">
      <w:pPr>
        <w:pStyle w:val="ListParagraph"/>
        <w:tabs>
          <w:tab w:val="left" w:pos="1080"/>
        </w:tabs>
        <w:ind w:left="1080"/>
        <w:rPr>
          <w:rFonts w:cstheme="minorHAnsi"/>
        </w:rPr>
      </w:pPr>
      <w:proofErr w:type="gramStart"/>
      <w:r w:rsidRPr="00503CA3">
        <w:rPr>
          <w:rFonts w:cstheme="minorHAnsi"/>
        </w:rPr>
        <w:t xml:space="preserve">The early removal of an existing functioning </w:t>
      </w:r>
      <w:r>
        <w:rPr>
          <w:rFonts w:cstheme="minorHAnsi"/>
        </w:rPr>
        <w:t xml:space="preserve">natural gas water heater </w:t>
      </w:r>
      <w:r w:rsidRPr="00503CA3">
        <w:rPr>
          <w:rFonts w:cstheme="minorHAnsi"/>
        </w:rPr>
        <w:t>from service, prior to its natural end of life, and replacement with a new high efficiency unit.</w:t>
      </w:r>
      <w:proofErr w:type="gramEnd"/>
      <w:r w:rsidRPr="00503CA3">
        <w:rPr>
          <w:rFonts w:cstheme="minorHAnsi"/>
        </w:rPr>
        <w:t xml:space="preserve"> Savings are calculated between existing unit and efficient unit consumption during the remaining life of the existing unit, and between new baseline unit and efficient unit consumption for the remainder of the measure life. </w:t>
      </w:r>
    </w:p>
    <w:p w:rsidR="001D7465" w:rsidRPr="00840C66" w:rsidRDefault="001D7465" w:rsidP="001D7465">
      <w:pPr>
        <w:pStyle w:val="ListParagraph"/>
        <w:ind w:left="1080"/>
        <w:rPr>
          <w:rFonts w:cstheme="minorHAnsi"/>
        </w:rPr>
      </w:pPr>
    </w:p>
    <w:p w:rsidR="001D7465" w:rsidRDefault="001D7465" w:rsidP="001D7465">
      <w:pPr>
        <w:widowControl/>
        <w:jc w:val="left"/>
        <w:rPr>
          <w:rFonts w:cstheme="minorHAnsi"/>
          <w:szCs w:val="20"/>
        </w:rPr>
      </w:pPr>
      <w:r>
        <w:rPr>
          <w:rFonts w:cstheme="minorHAnsi"/>
          <w:szCs w:val="20"/>
        </w:rPr>
        <w:t xml:space="preserve">This measure was developed to be applicable to the following program types:  TOS, NC, EREP.  </w:t>
      </w:r>
    </w:p>
    <w:p w:rsidR="001D7465" w:rsidRDefault="001D7465" w:rsidP="001D7465">
      <w:pPr>
        <w:widowControl/>
        <w:jc w:val="left"/>
        <w:rPr>
          <w:rFonts w:cstheme="minorHAnsi"/>
          <w:szCs w:val="20"/>
        </w:rPr>
      </w:pPr>
      <w:r>
        <w:rPr>
          <w:rFonts w:cstheme="minorHAnsi"/>
          <w:szCs w:val="20"/>
        </w:rPr>
        <w:t>If applied to other program types, the measure savings should be verified.</w:t>
      </w:r>
    </w:p>
    <w:p w:rsidR="001D7465" w:rsidRDefault="001D7465" w:rsidP="001D7465">
      <w:pPr>
        <w:pStyle w:val="Heading6"/>
      </w:pPr>
      <w:r>
        <w:t xml:space="preserve">Definition of Efficient Equipment </w:t>
      </w:r>
    </w:p>
    <w:p w:rsidR="001D7465" w:rsidRDefault="001D7465" w:rsidP="001D7465">
      <w:pPr>
        <w:rPr>
          <w:rFonts w:cstheme="minorHAnsi"/>
        </w:rPr>
      </w:pPr>
      <w:r>
        <w:rPr>
          <w:rFonts w:cstheme="minorHAnsi"/>
        </w:rPr>
        <w:t>To qualify for this measure the efficient equipment must be a water heater rated with the following minimum efficiency ratings:</w:t>
      </w:r>
    </w:p>
    <w:tbl>
      <w:tblPr>
        <w:tblStyle w:val="TableGrid"/>
        <w:tblW w:w="5220" w:type="dxa"/>
        <w:jc w:val="center"/>
        <w:tblInd w:w="1368" w:type="dxa"/>
        <w:tblLook w:val="04A0" w:firstRow="1" w:lastRow="0" w:firstColumn="1" w:lastColumn="0" w:noHBand="0" w:noVBand="1"/>
      </w:tblPr>
      <w:tblGrid>
        <w:gridCol w:w="2790"/>
        <w:gridCol w:w="2430"/>
      </w:tblGrid>
      <w:tr w:rsidR="001D7465" w:rsidRPr="00DA673C" w:rsidTr="00C81356">
        <w:trPr>
          <w:jc w:val="cent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1D7465" w:rsidRPr="00DA673C" w:rsidRDefault="001D7465" w:rsidP="00C81356">
            <w:pPr>
              <w:jc w:val="center"/>
              <w:rPr>
                <w:rFonts w:asciiTheme="minorHAnsi" w:hAnsiTheme="minorHAnsi"/>
                <w:b/>
                <w:color w:val="FFFFFF" w:themeColor="background1"/>
              </w:rPr>
            </w:pPr>
            <w:r w:rsidRPr="00DA673C">
              <w:rPr>
                <w:rFonts w:asciiTheme="minorHAnsi" w:hAnsiTheme="minorHAnsi"/>
                <w:b/>
                <w:color w:val="FFFFFF" w:themeColor="background1"/>
              </w:rPr>
              <w:t xml:space="preserve">Water </w:t>
            </w:r>
            <w:r>
              <w:rPr>
                <w:rFonts w:asciiTheme="minorHAnsi" w:hAnsiTheme="minorHAnsi"/>
                <w:b/>
                <w:color w:val="FFFFFF" w:themeColor="background1"/>
              </w:rPr>
              <w:t>H</w:t>
            </w:r>
            <w:r w:rsidRPr="00DA673C">
              <w:rPr>
                <w:rFonts w:asciiTheme="minorHAnsi" w:hAnsiTheme="minorHAnsi"/>
                <w:b/>
                <w:color w:val="FFFFFF" w:themeColor="background1"/>
              </w:rPr>
              <w:t>eater Type</w:t>
            </w:r>
          </w:p>
        </w:tc>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1D7465" w:rsidRPr="00DA673C" w:rsidRDefault="001D7465" w:rsidP="00C81356">
            <w:pPr>
              <w:jc w:val="center"/>
              <w:rPr>
                <w:rFonts w:asciiTheme="minorHAnsi" w:hAnsiTheme="minorHAnsi"/>
                <w:b/>
                <w:color w:val="FFFFFF" w:themeColor="background1"/>
              </w:rPr>
            </w:pPr>
            <w:r w:rsidRPr="00DA673C">
              <w:rPr>
                <w:rFonts w:asciiTheme="minorHAnsi" w:hAnsiTheme="minorHAnsi"/>
                <w:b/>
                <w:color w:val="FFFFFF" w:themeColor="background1"/>
              </w:rPr>
              <w:t>Minimum Energy Factor</w:t>
            </w:r>
          </w:p>
        </w:tc>
      </w:tr>
      <w:tr w:rsidR="001D7465" w:rsidRPr="00DA673C" w:rsidTr="00C81356">
        <w:trPr>
          <w:jc w:val="center"/>
        </w:trPr>
        <w:tc>
          <w:tcPr>
            <w:tcW w:w="2790" w:type="dxa"/>
            <w:tcBorders>
              <w:top w:val="single" w:sz="4" w:space="0" w:color="auto"/>
              <w:left w:val="single" w:sz="4" w:space="0" w:color="auto"/>
              <w:bottom w:val="single" w:sz="4" w:space="0" w:color="auto"/>
              <w:right w:val="single" w:sz="4" w:space="0" w:color="auto"/>
            </w:tcBorders>
            <w:vAlign w:val="center"/>
            <w:hideMark/>
          </w:tcPr>
          <w:p w:rsidR="001D7465" w:rsidRPr="00DA673C" w:rsidRDefault="001D7465" w:rsidP="00C81356">
            <w:pPr>
              <w:rPr>
                <w:rFonts w:asciiTheme="minorHAnsi" w:hAnsiTheme="minorHAnsi"/>
                <w:szCs w:val="22"/>
              </w:rPr>
            </w:pPr>
            <w:r w:rsidRPr="00DA673C">
              <w:rPr>
                <w:rFonts w:asciiTheme="minorHAnsi" w:hAnsiTheme="minorHAnsi"/>
              </w:rPr>
              <w:t>Gas Storage</w:t>
            </w:r>
          </w:p>
        </w:tc>
        <w:tc>
          <w:tcPr>
            <w:tcW w:w="2430" w:type="dxa"/>
            <w:tcBorders>
              <w:top w:val="single" w:sz="4" w:space="0" w:color="auto"/>
              <w:left w:val="single" w:sz="4" w:space="0" w:color="auto"/>
              <w:bottom w:val="single" w:sz="4" w:space="0" w:color="auto"/>
              <w:right w:val="single" w:sz="4" w:space="0" w:color="auto"/>
            </w:tcBorders>
            <w:vAlign w:val="center"/>
            <w:hideMark/>
          </w:tcPr>
          <w:p w:rsidR="001D7465" w:rsidRPr="00DA673C" w:rsidRDefault="001D7465" w:rsidP="00C81356">
            <w:pPr>
              <w:jc w:val="center"/>
              <w:rPr>
                <w:rFonts w:asciiTheme="minorHAnsi" w:hAnsiTheme="minorHAnsi"/>
                <w:szCs w:val="22"/>
              </w:rPr>
            </w:pPr>
            <w:r w:rsidRPr="00DA673C">
              <w:rPr>
                <w:rFonts w:asciiTheme="minorHAnsi" w:hAnsiTheme="minorHAnsi"/>
              </w:rPr>
              <w:t>0.67</w:t>
            </w:r>
          </w:p>
        </w:tc>
      </w:tr>
      <w:tr w:rsidR="001D7465" w:rsidRPr="00DA673C" w:rsidTr="00C81356">
        <w:trPr>
          <w:jc w:val="center"/>
        </w:trPr>
        <w:tc>
          <w:tcPr>
            <w:tcW w:w="2790" w:type="dxa"/>
            <w:tcBorders>
              <w:top w:val="single" w:sz="4" w:space="0" w:color="auto"/>
              <w:left w:val="single" w:sz="4" w:space="0" w:color="auto"/>
              <w:bottom w:val="single" w:sz="4" w:space="0" w:color="auto"/>
              <w:right w:val="single" w:sz="4" w:space="0" w:color="auto"/>
            </w:tcBorders>
            <w:vAlign w:val="center"/>
            <w:hideMark/>
          </w:tcPr>
          <w:p w:rsidR="001D7465" w:rsidRPr="00DA673C" w:rsidRDefault="001D7465" w:rsidP="00C81356">
            <w:pPr>
              <w:rPr>
                <w:rFonts w:asciiTheme="minorHAnsi" w:hAnsiTheme="minorHAnsi"/>
                <w:szCs w:val="22"/>
              </w:rPr>
            </w:pPr>
            <w:r w:rsidRPr="00DA673C">
              <w:rPr>
                <w:rFonts w:asciiTheme="minorHAnsi" w:hAnsiTheme="minorHAnsi"/>
              </w:rPr>
              <w:t>Condensing gas storage</w:t>
            </w:r>
          </w:p>
        </w:tc>
        <w:tc>
          <w:tcPr>
            <w:tcW w:w="2430" w:type="dxa"/>
            <w:tcBorders>
              <w:top w:val="single" w:sz="4" w:space="0" w:color="auto"/>
              <w:left w:val="single" w:sz="4" w:space="0" w:color="auto"/>
              <w:bottom w:val="single" w:sz="4" w:space="0" w:color="auto"/>
              <w:right w:val="single" w:sz="4" w:space="0" w:color="auto"/>
            </w:tcBorders>
            <w:vAlign w:val="center"/>
            <w:hideMark/>
          </w:tcPr>
          <w:p w:rsidR="001D7465" w:rsidRPr="00DA673C" w:rsidRDefault="001D7465" w:rsidP="00C81356">
            <w:pPr>
              <w:jc w:val="center"/>
              <w:rPr>
                <w:rFonts w:asciiTheme="minorHAnsi" w:hAnsiTheme="minorHAnsi"/>
                <w:szCs w:val="22"/>
              </w:rPr>
            </w:pPr>
            <w:r w:rsidRPr="00DA673C">
              <w:rPr>
                <w:rFonts w:asciiTheme="minorHAnsi" w:hAnsiTheme="minorHAnsi"/>
              </w:rPr>
              <w:t>0.80</w:t>
            </w:r>
          </w:p>
        </w:tc>
      </w:tr>
      <w:tr w:rsidR="001D7465" w:rsidRPr="00DA673C" w:rsidTr="00C81356">
        <w:trPr>
          <w:jc w:val="center"/>
        </w:trPr>
        <w:tc>
          <w:tcPr>
            <w:tcW w:w="2790" w:type="dxa"/>
            <w:tcBorders>
              <w:top w:val="single" w:sz="4" w:space="0" w:color="auto"/>
              <w:left w:val="single" w:sz="4" w:space="0" w:color="auto"/>
              <w:bottom w:val="single" w:sz="4" w:space="0" w:color="auto"/>
              <w:right w:val="single" w:sz="4" w:space="0" w:color="auto"/>
            </w:tcBorders>
            <w:vAlign w:val="center"/>
            <w:hideMark/>
          </w:tcPr>
          <w:p w:rsidR="001D7465" w:rsidRPr="00DA673C" w:rsidRDefault="001D7465" w:rsidP="00C81356">
            <w:pPr>
              <w:rPr>
                <w:rFonts w:asciiTheme="minorHAnsi" w:hAnsiTheme="minorHAnsi"/>
                <w:szCs w:val="22"/>
              </w:rPr>
            </w:pPr>
            <w:proofErr w:type="spellStart"/>
            <w:r w:rsidRPr="00DA673C">
              <w:rPr>
                <w:rFonts w:asciiTheme="minorHAnsi" w:hAnsiTheme="minorHAnsi"/>
              </w:rPr>
              <w:t>Tankless</w:t>
            </w:r>
            <w:proofErr w:type="spellEnd"/>
            <w:r w:rsidRPr="00DA673C">
              <w:rPr>
                <w:rFonts w:asciiTheme="minorHAnsi" w:hAnsiTheme="minorHAnsi"/>
              </w:rPr>
              <w:t xml:space="preserve"> whole-house unit</w:t>
            </w:r>
          </w:p>
        </w:tc>
        <w:tc>
          <w:tcPr>
            <w:tcW w:w="2430" w:type="dxa"/>
            <w:tcBorders>
              <w:top w:val="single" w:sz="4" w:space="0" w:color="auto"/>
              <w:left w:val="single" w:sz="4" w:space="0" w:color="auto"/>
              <w:bottom w:val="single" w:sz="4" w:space="0" w:color="auto"/>
              <w:right w:val="single" w:sz="4" w:space="0" w:color="auto"/>
            </w:tcBorders>
            <w:vAlign w:val="center"/>
            <w:hideMark/>
          </w:tcPr>
          <w:p w:rsidR="001D7465" w:rsidRPr="00DA673C" w:rsidRDefault="001D7465" w:rsidP="00C81356">
            <w:pPr>
              <w:jc w:val="center"/>
              <w:rPr>
                <w:rFonts w:asciiTheme="minorHAnsi" w:hAnsiTheme="minorHAnsi"/>
                <w:szCs w:val="22"/>
              </w:rPr>
            </w:pPr>
            <w:r w:rsidRPr="00DA673C">
              <w:rPr>
                <w:rFonts w:asciiTheme="minorHAnsi" w:hAnsiTheme="minorHAnsi"/>
              </w:rPr>
              <w:t>0.82</w:t>
            </w:r>
          </w:p>
        </w:tc>
      </w:tr>
    </w:tbl>
    <w:p w:rsidR="001D7465" w:rsidRDefault="001D7465" w:rsidP="001D7465">
      <w:pPr>
        <w:rPr>
          <w:rFonts w:cstheme="minorHAnsi"/>
        </w:rPr>
      </w:pPr>
    </w:p>
    <w:p w:rsidR="001D7465" w:rsidRDefault="001D7465" w:rsidP="001D7465">
      <w:pPr>
        <w:pStyle w:val="Heading6"/>
      </w:pPr>
      <w:r>
        <w:t xml:space="preserve">Definition of Baseline Equipment </w:t>
      </w:r>
    </w:p>
    <w:p w:rsidR="001D7465" w:rsidRDefault="001D7465" w:rsidP="001D7465">
      <w:pPr>
        <w:rPr>
          <w:rFonts w:cstheme="minorHAnsi"/>
        </w:rPr>
      </w:pPr>
      <w:r>
        <w:rPr>
          <w:rFonts w:cstheme="minorHAnsi"/>
        </w:rPr>
        <w:t>Time of Sale or New Construction: The baseline condition is assumed to be a standard gas storage water heater of the same capacity as the efficient unit, rated at the federal minimum. For 20 to 55 gallon tanks the Federal Standard is calculated as 0.675 – (0.0015 * storage size in gallons) and for tanks 55 - 100 gallon 0.8012 – (0.00078 * storage size in gallons)</w:t>
      </w:r>
      <w:r>
        <w:rPr>
          <w:rStyle w:val="FootnoteReference"/>
          <w:rFonts w:eastAsiaTheme="majorEastAsia"/>
        </w:rPr>
        <w:footnoteReference w:id="1"/>
      </w:r>
      <w:r>
        <w:rPr>
          <w:rFonts w:cstheme="minorHAnsi"/>
        </w:rPr>
        <w:t>. For a 40-gallon storage water heater this would be 0.615 EF.</w:t>
      </w:r>
    </w:p>
    <w:p w:rsidR="001D7465" w:rsidRDefault="001D7465" w:rsidP="001D7465">
      <w:pPr>
        <w:rPr>
          <w:rFonts w:cstheme="minorHAnsi"/>
        </w:rPr>
      </w:pPr>
      <w:r>
        <w:rPr>
          <w:rFonts w:cstheme="minorHAnsi"/>
        </w:rPr>
        <w:t xml:space="preserve">Early replacement: </w:t>
      </w:r>
      <w:r w:rsidRPr="00FC4E67">
        <w:rPr>
          <w:rFonts w:cstheme="minorHAnsi"/>
        </w:rPr>
        <w:t xml:space="preserve">The baseline for this measure is the efficiency of the existing equipment for the assumed remaining useful life of the unit and a new baseline unit for the remainder of the measure life. </w:t>
      </w:r>
    </w:p>
    <w:p w:rsidR="001D7465" w:rsidRDefault="001D7465" w:rsidP="001D7465">
      <w:pPr>
        <w:pStyle w:val="Heading6"/>
      </w:pPr>
      <w:r>
        <w:t xml:space="preserve">Deemed Lifetime of Efficient Equipment </w:t>
      </w:r>
    </w:p>
    <w:p w:rsidR="001D7465" w:rsidRDefault="001D7465" w:rsidP="001D7465">
      <w:pPr>
        <w:rPr>
          <w:rFonts w:cstheme="minorHAnsi"/>
        </w:rPr>
      </w:pPr>
      <w:r>
        <w:rPr>
          <w:rFonts w:cstheme="minorHAnsi"/>
        </w:rPr>
        <w:t>The expected measure life is assumed to be 13 years.</w:t>
      </w:r>
      <w:r>
        <w:rPr>
          <w:rStyle w:val="FootnoteReference"/>
          <w:rFonts w:eastAsiaTheme="majorEastAsia"/>
        </w:rPr>
        <w:footnoteReference w:id="2"/>
      </w:r>
    </w:p>
    <w:p w:rsidR="001D7465" w:rsidRDefault="001D7465" w:rsidP="001D7465">
      <w:r w:rsidRPr="00FC4E67">
        <w:rPr>
          <w:rFonts w:cstheme="minorHAnsi"/>
        </w:rPr>
        <w:lastRenderedPageBreak/>
        <w:t xml:space="preserve">For early replacement: Remaining life of existing equipment is assumed to be </w:t>
      </w:r>
      <w:r>
        <w:rPr>
          <w:rFonts w:cstheme="minorHAnsi"/>
        </w:rPr>
        <w:t>4</w:t>
      </w:r>
      <w:r w:rsidRPr="00FC4E67">
        <w:rPr>
          <w:rFonts w:cstheme="minorHAnsi"/>
        </w:rPr>
        <w:t xml:space="preserve"> years</w:t>
      </w:r>
      <w:r w:rsidRPr="00FC4E67">
        <w:rPr>
          <w:rFonts w:ascii="Arial" w:hAnsi="Arial" w:cstheme="minorHAnsi"/>
          <w:vertAlign w:val="superscript"/>
        </w:rPr>
        <w:footnoteReference w:id="3"/>
      </w:r>
      <w:r w:rsidRPr="00FC4E67">
        <w:rPr>
          <w:rFonts w:cstheme="minorHAnsi"/>
        </w:rPr>
        <w:t>.</w:t>
      </w:r>
    </w:p>
    <w:p w:rsidR="001D7465" w:rsidRDefault="001D7465" w:rsidP="001D7465">
      <w:pPr>
        <w:pStyle w:val="Heading6"/>
      </w:pPr>
      <w:r>
        <w:t xml:space="preserve">Deemed Measure Cost </w:t>
      </w:r>
    </w:p>
    <w:p w:rsidR="001D7465" w:rsidRDefault="001D7465" w:rsidP="001D7465">
      <w:pPr>
        <w:rPr>
          <w:rFonts w:cstheme="minorHAnsi"/>
        </w:rPr>
      </w:pPr>
      <w:r>
        <w:rPr>
          <w:rFonts w:cstheme="minorHAnsi"/>
        </w:rPr>
        <w:t>Time of Sale or New Construction:</w:t>
      </w:r>
      <w:r>
        <w:rPr>
          <w:rFonts w:cstheme="minorHAnsi"/>
        </w:rPr>
        <w:tab/>
      </w:r>
    </w:p>
    <w:p w:rsidR="001D7465" w:rsidRDefault="001D7465" w:rsidP="001D7465">
      <w:pPr>
        <w:rPr>
          <w:rFonts w:cstheme="minorHAnsi"/>
        </w:rPr>
      </w:pPr>
      <w:r>
        <w:rPr>
          <w:rFonts w:cstheme="minorHAnsi"/>
        </w:rPr>
        <w:t>The incremental capital cost for this measure is dependent on the type of water heater as listed below</w:t>
      </w:r>
      <w:r>
        <w:rPr>
          <w:rStyle w:val="FootnoteReference"/>
          <w:rFonts w:eastAsiaTheme="majorEastAsia"/>
        </w:rPr>
        <w:footnoteReference w:id="4"/>
      </w:r>
      <w:r>
        <w:rPr>
          <w:rFonts w:cstheme="minorHAnsi"/>
        </w:rPr>
        <w:t>.</w:t>
      </w:r>
    </w:p>
    <w:p w:rsidR="001D7465" w:rsidRDefault="001D7465" w:rsidP="001D7465">
      <w:pPr>
        <w:rPr>
          <w:rFonts w:cstheme="minorHAnsi"/>
        </w:rPr>
      </w:pPr>
      <w:r w:rsidRPr="00FC4E67">
        <w:rPr>
          <w:rFonts w:cstheme="minorHAnsi"/>
        </w:rPr>
        <w:t xml:space="preserve">Early Replacement: The full </w:t>
      </w:r>
      <w:r>
        <w:rPr>
          <w:rFonts w:cstheme="minorHAnsi"/>
        </w:rPr>
        <w:t>installed</w:t>
      </w:r>
      <w:r w:rsidRPr="00FC4E67">
        <w:rPr>
          <w:rFonts w:cstheme="minorHAnsi"/>
        </w:rPr>
        <w:t xml:space="preserve"> cost is provided in the table </w:t>
      </w:r>
      <w:r>
        <w:rPr>
          <w:rFonts w:cstheme="minorHAnsi"/>
        </w:rPr>
        <w:t>below</w:t>
      </w:r>
      <w:r w:rsidRPr="00FC4E67">
        <w:rPr>
          <w:rFonts w:cstheme="minorHAnsi"/>
        </w:rPr>
        <w:t>. Th</w:t>
      </w:r>
      <w:r>
        <w:rPr>
          <w:rFonts w:cstheme="minorHAnsi"/>
        </w:rPr>
        <w:t>e assumed deferred cost (after 4</w:t>
      </w:r>
      <w:r w:rsidRPr="00FC4E67">
        <w:rPr>
          <w:rFonts w:cstheme="minorHAnsi"/>
        </w:rPr>
        <w:t xml:space="preserve"> years) of replacing existing equipment with a new baseline unit is </w:t>
      </w:r>
      <w:r>
        <w:rPr>
          <w:rFonts w:cstheme="minorHAnsi"/>
        </w:rPr>
        <w:t>assumed to be $614</w:t>
      </w:r>
      <w:r>
        <w:rPr>
          <w:rStyle w:val="FootnoteReference"/>
        </w:rPr>
        <w:footnoteReference w:id="5"/>
      </w:r>
      <w:r w:rsidRPr="00FC4E67">
        <w:rPr>
          <w:rFonts w:cstheme="minorHAnsi"/>
        </w:rPr>
        <w:t xml:space="preserve">. This cost should be discounted to present value using the </w:t>
      </w:r>
      <w:r>
        <w:rPr>
          <w:rFonts w:cstheme="minorHAnsi"/>
        </w:rPr>
        <w:t>utility’s</w:t>
      </w:r>
      <w:r w:rsidRPr="00FC4E67">
        <w:rPr>
          <w:rFonts w:cstheme="minorHAnsi"/>
        </w:rPr>
        <w:t xml:space="preserve"> discount rate.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341"/>
        <w:gridCol w:w="1341"/>
      </w:tblGrid>
      <w:tr w:rsidR="001D7465" w:rsidRPr="00DA673C" w:rsidTr="00C81356">
        <w:trPr>
          <w:trHeight w:val="262"/>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1D7465" w:rsidRPr="00DA673C" w:rsidRDefault="001D7465" w:rsidP="00C81356">
            <w:pPr>
              <w:jc w:val="center"/>
              <w:rPr>
                <w:b/>
                <w:color w:val="FFFFFF" w:themeColor="background1"/>
              </w:rPr>
            </w:pPr>
            <w:r w:rsidRPr="00DA673C">
              <w:rPr>
                <w:b/>
                <w:color w:val="FFFFFF" w:themeColor="background1"/>
              </w:rPr>
              <w:t>Water heater Type</w:t>
            </w:r>
          </w:p>
        </w:tc>
        <w:tc>
          <w:tcPr>
            <w:tcW w:w="134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1D7465" w:rsidRPr="00DA673C" w:rsidRDefault="001D7465" w:rsidP="00C81356">
            <w:pPr>
              <w:jc w:val="center"/>
              <w:rPr>
                <w:b/>
                <w:color w:val="FFFFFF" w:themeColor="background1"/>
              </w:rPr>
            </w:pPr>
            <w:r w:rsidRPr="00DA673C">
              <w:rPr>
                <w:b/>
                <w:color w:val="FFFFFF" w:themeColor="background1"/>
              </w:rPr>
              <w:t>Incremental Cost</w:t>
            </w:r>
          </w:p>
        </w:tc>
        <w:tc>
          <w:tcPr>
            <w:tcW w:w="134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1D7465" w:rsidRPr="00DA673C" w:rsidRDefault="001D7465" w:rsidP="00C81356">
            <w:pPr>
              <w:jc w:val="center"/>
              <w:rPr>
                <w:b/>
                <w:color w:val="FFFFFF" w:themeColor="background1"/>
              </w:rPr>
            </w:pPr>
            <w:r w:rsidRPr="00DA673C">
              <w:rPr>
                <w:b/>
                <w:color w:val="FFFFFF" w:themeColor="background1"/>
              </w:rPr>
              <w:t>Full Install Cost</w:t>
            </w:r>
          </w:p>
        </w:tc>
      </w:tr>
      <w:tr w:rsidR="001D7465" w:rsidRPr="00DA673C" w:rsidTr="00C81356">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rsidR="001D7465" w:rsidRPr="00DA673C" w:rsidRDefault="001D7465" w:rsidP="00C81356">
            <w:r w:rsidRPr="00DA673C">
              <w:t>Gas Storage</w:t>
            </w:r>
          </w:p>
        </w:tc>
        <w:tc>
          <w:tcPr>
            <w:tcW w:w="1341" w:type="dxa"/>
            <w:tcBorders>
              <w:top w:val="single" w:sz="4" w:space="0" w:color="auto"/>
              <w:left w:val="single" w:sz="4" w:space="0" w:color="auto"/>
              <w:bottom w:val="single" w:sz="4" w:space="0" w:color="auto"/>
              <w:right w:val="single" w:sz="4" w:space="0" w:color="auto"/>
            </w:tcBorders>
            <w:vAlign w:val="center"/>
            <w:hideMark/>
          </w:tcPr>
          <w:p w:rsidR="001D7465" w:rsidRPr="00DA673C" w:rsidRDefault="001D7465" w:rsidP="00C81356">
            <w:pPr>
              <w:jc w:val="center"/>
            </w:pPr>
            <w:r w:rsidRPr="00DA673C">
              <w:t>$400</w:t>
            </w:r>
          </w:p>
        </w:tc>
        <w:tc>
          <w:tcPr>
            <w:tcW w:w="1341" w:type="dxa"/>
            <w:tcBorders>
              <w:top w:val="single" w:sz="4" w:space="0" w:color="auto"/>
              <w:left w:val="single" w:sz="4" w:space="0" w:color="auto"/>
              <w:bottom w:val="single" w:sz="4" w:space="0" w:color="auto"/>
              <w:right w:val="single" w:sz="4" w:space="0" w:color="auto"/>
            </w:tcBorders>
          </w:tcPr>
          <w:p w:rsidR="001D7465" w:rsidRPr="00DA673C" w:rsidRDefault="001D7465" w:rsidP="00C81356">
            <w:pPr>
              <w:jc w:val="center"/>
            </w:pPr>
            <w:r w:rsidRPr="00DA673C">
              <w:t>$1014</w:t>
            </w:r>
          </w:p>
        </w:tc>
      </w:tr>
      <w:tr w:rsidR="001D7465" w:rsidRPr="00DA673C" w:rsidTr="00C81356">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rsidR="001D7465" w:rsidRPr="00DA673C" w:rsidRDefault="001D7465" w:rsidP="00C81356">
            <w:r w:rsidRPr="00DA673C">
              <w:t>Condensing gas storage</w:t>
            </w:r>
          </w:p>
        </w:tc>
        <w:tc>
          <w:tcPr>
            <w:tcW w:w="1341" w:type="dxa"/>
            <w:tcBorders>
              <w:top w:val="single" w:sz="4" w:space="0" w:color="auto"/>
              <w:left w:val="single" w:sz="4" w:space="0" w:color="auto"/>
              <w:bottom w:val="single" w:sz="4" w:space="0" w:color="auto"/>
              <w:right w:val="single" w:sz="4" w:space="0" w:color="auto"/>
            </w:tcBorders>
            <w:vAlign w:val="center"/>
            <w:hideMark/>
          </w:tcPr>
          <w:p w:rsidR="001D7465" w:rsidRPr="00DA673C" w:rsidRDefault="001D7465" w:rsidP="00C81356">
            <w:pPr>
              <w:jc w:val="center"/>
            </w:pPr>
            <w:r w:rsidRPr="00DA673C">
              <w:t>$685</w:t>
            </w:r>
          </w:p>
        </w:tc>
        <w:tc>
          <w:tcPr>
            <w:tcW w:w="1341" w:type="dxa"/>
            <w:tcBorders>
              <w:top w:val="single" w:sz="4" w:space="0" w:color="auto"/>
              <w:left w:val="single" w:sz="4" w:space="0" w:color="auto"/>
              <w:bottom w:val="single" w:sz="4" w:space="0" w:color="auto"/>
              <w:right w:val="single" w:sz="4" w:space="0" w:color="auto"/>
            </w:tcBorders>
          </w:tcPr>
          <w:p w:rsidR="001D7465" w:rsidRPr="00DA673C" w:rsidRDefault="001D7465" w:rsidP="00C81356">
            <w:pPr>
              <w:jc w:val="center"/>
            </w:pPr>
            <w:r w:rsidRPr="00DA673C">
              <w:t>$1299</w:t>
            </w:r>
          </w:p>
        </w:tc>
      </w:tr>
      <w:tr w:rsidR="001D7465" w:rsidRPr="00DA673C" w:rsidTr="00C81356">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rsidR="001D7465" w:rsidRPr="00DA673C" w:rsidRDefault="001D7465" w:rsidP="00C81356">
            <w:proofErr w:type="spellStart"/>
            <w:r w:rsidRPr="00DA673C">
              <w:t>Tankless</w:t>
            </w:r>
            <w:proofErr w:type="spellEnd"/>
            <w:r w:rsidRPr="00DA673C">
              <w:t xml:space="preserve"> whole-house unit</w:t>
            </w:r>
          </w:p>
        </w:tc>
        <w:tc>
          <w:tcPr>
            <w:tcW w:w="1341" w:type="dxa"/>
            <w:tcBorders>
              <w:top w:val="single" w:sz="4" w:space="0" w:color="auto"/>
              <w:left w:val="single" w:sz="4" w:space="0" w:color="auto"/>
              <w:bottom w:val="single" w:sz="4" w:space="0" w:color="auto"/>
              <w:right w:val="single" w:sz="4" w:space="0" w:color="auto"/>
            </w:tcBorders>
            <w:vAlign w:val="center"/>
            <w:hideMark/>
          </w:tcPr>
          <w:p w:rsidR="001D7465" w:rsidRPr="00DA673C" w:rsidRDefault="001D7465" w:rsidP="00C81356">
            <w:pPr>
              <w:jc w:val="center"/>
            </w:pPr>
            <w:r w:rsidRPr="00DA673C">
              <w:t>$605</w:t>
            </w:r>
          </w:p>
        </w:tc>
        <w:tc>
          <w:tcPr>
            <w:tcW w:w="1341" w:type="dxa"/>
            <w:tcBorders>
              <w:top w:val="single" w:sz="4" w:space="0" w:color="auto"/>
              <w:left w:val="single" w:sz="4" w:space="0" w:color="auto"/>
              <w:bottom w:val="single" w:sz="4" w:space="0" w:color="auto"/>
              <w:right w:val="single" w:sz="4" w:space="0" w:color="auto"/>
            </w:tcBorders>
          </w:tcPr>
          <w:p w:rsidR="001D7465" w:rsidRPr="00DA673C" w:rsidRDefault="001D7465" w:rsidP="00C81356">
            <w:pPr>
              <w:jc w:val="center"/>
            </w:pPr>
            <w:r w:rsidRPr="00DA673C">
              <w:t>$1219</w:t>
            </w:r>
          </w:p>
        </w:tc>
      </w:tr>
    </w:tbl>
    <w:p w:rsidR="001D7465" w:rsidRDefault="001D7465" w:rsidP="001D7465">
      <w:pPr>
        <w:pStyle w:val="Heading6"/>
      </w:pPr>
      <w:proofErr w:type="spellStart"/>
      <w:r>
        <w:t>Loadshape</w:t>
      </w:r>
      <w:proofErr w:type="spellEnd"/>
    </w:p>
    <w:p w:rsidR="001D7465" w:rsidRDefault="001D7465" w:rsidP="001D7465">
      <w:pPr>
        <w:widowControl/>
        <w:rPr>
          <w:rFonts w:cstheme="minorHAnsi"/>
          <w:color w:val="000000"/>
          <w:szCs w:val="20"/>
        </w:rPr>
      </w:pPr>
      <w:r>
        <w:rPr>
          <w:rFonts w:cstheme="minorHAnsi"/>
          <w:color w:val="000000"/>
          <w:szCs w:val="20"/>
        </w:rPr>
        <w:t>N/A</w:t>
      </w:r>
    </w:p>
    <w:p w:rsidR="001D7465" w:rsidRDefault="001D7465" w:rsidP="001D7465">
      <w:pPr>
        <w:pStyle w:val="Heading6"/>
      </w:pPr>
      <w:r>
        <w:t xml:space="preserve">Coincidence Factor </w:t>
      </w:r>
    </w:p>
    <w:p w:rsidR="001D7465" w:rsidRDefault="001D7465" w:rsidP="001D7465">
      <w:pPr>
        <w:rPr>
          <w:rFonts w:cstheme="minorHAnsi"/>
        </w:rPr>
      </w:pPr>
      <w:r>
        <w:rPr>
          <w:rFonts w:cstheme="minorHAnsi"/>
        </w:rPr>
        <w:t>N/A</w:t>
      </w:r>
    </w:p>
    <w:p w:rsidR="001D7465" w:rsidRDefault="001D7465" w:rsidP="001D7465">
      <w:pPr>
        <w:rPr>
          <w:rFonts w:cstheme="minorHAnsi"/>
        </w:rPr>
      </w:pPr>
    </w:p>
    <w:p w:rsidR="001D7465" w:rsidRDefault="001D7465" w:rsidP="001D7465">
      <w:pPr>
        <w:pStyle w:val="AlgorithmHeading"/>
      </w:pPr>
      <w:r>
        <w:t>Algorithm</w:t>
      </w:r>
    </w:p>
    <w:p w:rsidR="001D7465" w:rsidRDefault="001D7465" w:rsidP="001D7465">
      <w:pPr>
        <w:pStyle w:val="Heading6"/>
      </w:pPr>
      <w:r>
        <w:t xml:space="preserve">Calculation of Savings </w:t>
      </w:r>
    </w:p>
    <w:p w:rsidR="001D7465" w:rsidRDefault="001D7465" w:rsidP="001D7465">
      <w:pPr>
        <w:pStyle w:val="Heading6"/>
      </w:pPr>
      <w:r>
        <w:t xml:space="preserve">Electric Energy Savings </w:t>
      </w:r>
    </w:p>
    <w:p w:rsidR="001D7465" w:rsidRDefault="001D7465" w:rsidP="001D7465">
      <w:pPr>
        <w:rPr>
          <w:rFonts w:cstheme="minorHAnsi"/>
        </w:rPr>
      </w:pPr>
      <w:r>
        <w:rPr>
          <w:rFonts w:cstheme="minorHAnsi"/>
        </w:rPr>
        <w:t>N/A</w:t>
      </w:r>
    </w:p>
    <w:p w:rsidR="001D7465" w:rsidRDefault="001D7465" w:rsidP="001D7465">
      <w:pPr>
        <w:pStyle w:val="Heading6"/>
      </w:pPr>
      <w:r>
        <w:t>Summer Coincident Peak Demand Savings</w:t>
      </w:r>
    </w:p>
    <w:p w:rsidR="001D7465" w:rsidRDefault="001D7465" w:rsidP="001D7465">
      <w:pPr>
        <w:rPr>
          <w:rFonts w:cstheme="minorHAnsi"/>
        </w:rPr>
      </w:pPr>
      <w:r>
        <w:rPr>
          <w:rFonts w:cstheme="minorHAnsi"/>
        </w:rPr>
        <w:t>N/A</w:t>
      </w:r>
    </w:p>
    <w:p w:rsidR="001D7465" w:rsidRDefault="001D7465" w:rsidP="001D7465">
      <w:pPr>
        <w:pStyle w:val="Heading6"/>
      </w:pPr>
      <w:r>
        <w:t xml:space="preserve">Natural Gas Energy Savings </w:t>
      </w:r>
    </w:p>
    <w:p w:rsidR="001D7465" w:rsidRDefault="001D7465" w:rsidP="001D7465">
      <w:pPr>
        <w:rPr>
          <w:rFonts w:cstheme="minorHAnsi"/>
          <w:noProof/>
        </w:rPr>
      </w:pPr>
      <w:r>
        <w:rPr>
          <w:rFonts w:cstheme="minorHAnsi"/>
          <w:noProof/>
        </w:rPr>
        <w:t>Time of Sale or New Construction:</w:t>
      </w:r>
    </w:p>
    <w:p w:rsidR="001D7465" w:rsidRDefault="001D7465" w:rsidP="001D7465">
      <w:pPr>
        <w:ind w:left="1440" w:hanging="720"/>
        <w:rPr>
          <w:rFonts w:cstheme="minorHAnsi"/>
          <w:noProof/>
        </w:rPr>
      </w:pPr>
      <w:r>
        <w:rPr>
          <w:rFonts w:cstheme="minorHAnsi"/>
          <w:noProof/>
        </w:rPr>
        <w:t>ΔTherms = (1/ EF</w:t>
      </w:r>
      <w:r>
        <w:rPr>
          <w:rFonts w:cstheme="minorHAnsi"/>
          <w:caps/>
          <w:noProof/>
          <w:vertAlign w:val="subscript"/>
        </w:rPr>
        <w:t>base</w:t>
      </w:r>
      <w:r>
        <w:rPr>
          <w:rFonts w:cstheme="minorHAnsi"/>
          <w:noProof/>
        </w:rPr>
        <w:t xml:space="preserve"> - 1/EF</w:t>
      </w:r>
      <w:r>
        <w:rPr>
          <w:rFonts w:cstheme="minorHAnsi"/>
          <w:caps/>
          <w:noProof/>
          <w:vertAlign w:val="subscript"/>
        </w:rPr>
        <w:t>efficient</w:t>
      </w:r>
      <w:r>
        <w:rPr>
          <w:rFonts w:cstheme="minorHAnsi"/>
          <w:noProof/>
        </w:rPr>
        <w:t xml:space="preserve">) * (GPD * Household * 365.25 * </w:t>
      </w:r>
      <w:proofErr w:type="spellStart"/>
      <w:r>
        <w:rPr>
          <w:rFonts w:cstheme="minorHAnsi"/>
        </w:rPr>
        <w:t>γWater</w:t>
      </w:r>
      <w:proofErr w:type="spellEnd"/>
      <w:r>
        <w:rPr>
          <w:rFonts w:cstheme="minorHAnsi"/>
        </w:rPr>
        <w:t> </w:t>
      </w:r>
      <w:r>
        <w:rPr>
          <w:rFonts w:cstheme="minorHAnsi"/>
          <w:noProof/>
        </w:rPr>
        <w:t>*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xml:space="preserve">* </w:t>
      </w:r>
      <w:proofErr w:type="gramStart"/>
      <w:r>
        <w:rPr>
          <w:rFonts w:cstheme="minorHAnsi"/>
          <w:szCs w:val="20"/>
        </w:rPr>
        <w:t>1.0</w:t>
      </w:r>
      <w:r>
        <w:rPr>
          <w:rFonts w:cstheme="minorHAnsi"/>
          <w:noProof/>
        </w:rPr>
        <w:t xml:space="preserve"> )</w:t>
      </w:r>
      <w:proofErr w:type="gramEnd"/>
      <w:r>
        <w:rPr>
          <w:rFonts w:cstheme="minorHAnsi"/>
          <w:noProof/>
        </w:rPr>
        <w:t>/100,000</w:t>
      </w:r>
    </w:p>
    <w:p w:rsidR="001D7465" w:rsidRPr="00FC4E67" w:rsidRDefault="001D7465" w:rsidP="001D7465">
      <w:pPr>
        <w:rPr>
          <w:rFonts w:cstheme="minorHAnsi"/>
          <w:noProof/>
        </w:rPr>
      </w:pPr>
      <w:r w:rsidRPr="00FC4E67">
        <w:rPr>
          <w:rFonts w:cstheme="minorHAnsi"/>
          <w:noProof/>
        </w:rPr>
        <w:t>Early replacement</w:t>
      </w:r>
      <w:r w:rsidRPr="00FC4E67">
        <w:rPr>
          <w:rFonts w:ascii="Arial" w:hAnsi="Arial" w:cstheme="minorHAnsi"/>
          <w:noProof/>
          <w:vertAlign w:val="superscript"/>
        </w:rPr>
        <w:footnoteReference w:id="6"/>
      </w:r>
      <w:r w:rsidRPr="00FC4E67">
        <w:rPr>
          <w:rFonts w:cstheme="minorHAnsi"/>
          <w:noProof/>
        </w:rPr>
        <w:t>:</w:t>
      </w:r>
    </w:p>
    <w:p w:rsidR="001D7465" w:rsidRPr="00FC4E67" w:rsidRDefault="001D7465" w:rsidP="001D7465">
      <w:pPr>
        <w:ind w:left="1440" w:hanging="720"/>
        <w:rPr>
          <w:rFonts w:cstheme="minorHAnsi"/>
          <w:noProof/>
        </w:rPr>
      </w:pPr>
      <w:r w:rsidRPr="00FC4E67">
        <w:rPr>
          <w:rFonts w:cstheme="minorHAnsi"/>
          <w:noProof/>
        </w:rPr>
        <w:lastRenderedPageBreak/>
        <w:t xml:space="preserve">ΔTherms for remaining life of existing unit (1st </w:t>
      </w:r>
      <w:r>
        <w:rPr>
          <w:rFonts w:cstheme="minorHAnsi"/>
          <w:noProof/>
        </w:rPr>
        <w:t>4</w:t>
      </w:r>
      <w:r w:rsidRPr="00FC4E67">
        <w:rPr>
          <w:rFonts w:cstheme="minorHAnsi"/>
          <w:noProof/>
        </w:rPr>
        <w:t xml:space="preserve"> years):</w:t>
      </w:r>
    </w:p>
    <w:p w:rsidR="001D7465" w:rsidRPr="00FC4E67" w:rsidRDefault="001D7465" w:rsidP="001D7465">
      <w:pPr>
        <w:ind w:left="1440" w:hanging="720"/>
        <w:rPr>
          <w:rFonts w:cstheme="minorHAnsi"/>
          <w:noProof/>
        </w:rPr>
      </w:pPr>
      <w:r w:rsidRPr="00FC4E67">
        <w:rPr>
          <w:rFonts w:cstheme="minorHAnsi"/>
          <w:noProof/>
        </w:rPr>
        <w:t xml:space="preserve">= </w:t>
      </w:r>
      <w:r>
        <w:rPr>
          <w:rFonts w:cstheme="minorHAnsi"/>
          <w:noProof/>
        </w:rPr>
        <w:t>(1/ EF</w:t>
      </w:r>
      <w:r>
        <w:rPr>
          <w:rFonts w:cstheme="minorHAnsi"/>
          <w:caps/>
          <w:noProof/>
          <w:vertAlign w:val="subscript"/>
        </w:rPr>
        <w:t>Existing</w:t>
      </w:r>
      <w:r>
        <w:rPr>
          <w:rFonts w:cstheme="minorHAnsi"/>
          <w:noProof/>
        </w:rPr>
        <w:t xml:space="preserve"> - 1/EF</w:t>
      </w:r>
      <w:r>
        <w:rPr>
          <w:rFonts w:cstheme="minorHAnsi"/>
          <w:caps/>
          <w:noProof/>
          <w:vertAlign w:val="subscript"/>
        </w:rPr>
        <w:t>efficient</w:t>
      </w:r>
      <w:r>
        <w:rPr>
          <w:rFonts w:cstheme="minorHAnsi"/>
          <w:noProof/>
        </w:rPr>
        <w:t xml:space="preserve">) * (GPD * Household * 365.25 * </w:t>
      </w:r>
      <w:proofErr w:type="spellStart"/>
      <w:r>
        <w:rPr>
          <w:rFonts w:cstheme="minorHAnsi"/>
        </w:rPr>
        <w:t>γWater</w:t>
      </w:r>
      <w:proofErr w:type="spellEnd"/>
      <w:r>
        <w:rPr>
          <w:rFonts w:cstheme="minorHAnsi"/>
        </w:rPr>
        <w:t> </w:t>
      </w:r>
      <w:r>
        <w:rPr>
          <w:rFonts w:cstheme="minorHAnsi"/>
          <w:noProof/>
        </w:rPr>
        <w:t>*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xml:space="preserve">* </w:t>
      </w:r>
      <w:proofErr w:type="gramStart"/>
      <w:r>
        <w:rPr>
          <w:rFonts w:cstheme="minorHAnsi"/>
          <w:szCs w:val="20"/>
        </w:rPr>
        <w:t>1.0</w:t>
      </w:r>
      <w:r>
        <w:rPr>
          <w:rFonts w:cstheme="minorHAnsi"/>
          <w:noProof/>
        </w:rPr>
        <w:t xml:space="preserve"> )</w:t>
      </w:r>
      <w:proofErr w:type="gramEnd"/>
      <w:r>
        <w:rPr>
          <w:rFonts w:cstheme="minorHAnsi"/>
          <w:noProof/>
        </w:rPr>
        <w:t>/100,000</w:t>
      </w:r>
    </w:p>
    <w:p w:rsidR="001D7465" w:rsidRPr="00FC4E67" w:rsidRDefault="001D7465" w:rsidP="001D7465">
      <w:pPr>
        <w:ind w:left="1440" w:hanging="720"/>
        <w:rPr>
          <w:rFonts w:cstheme="minorHAnsi"/>
          <w:noProof/>
        </w:rPr>
      </w:pPr>
      <w:r w:rsidRPr="00FC4E67">
        <w:rPr>
          <w:rFonts w:cstheme="minorHAnsi"/>
          <w:noProof/>
        </w:rPr>
        <w:t xml:space="preserve">ΔTherms for remaining measure life (next </w:t>
      </w:r>
      <w:r>
        <w:rPr>
          <w:rFonts w:cstheme="minorHAnsi"/>
          <w:noProof/>
        </w:rPr>
        <w:t>9</w:t>
      </w:r>
      <w:r w:rsidRPr="00FC4E67">
        <w:rPr>
          <w:rFonts w:cstheme="minorHAnsi"/>
          <w:noProof/>
        </w:rPr>
        <w:t xml:space="preserve"> years):</w:t>
      </w:r>
    </w:p>
    <w:p w:rsidR="001D7465" w:rsidRDefault="001D7465" w:rsidP="001D7465">
      <w:pPr>
        <w:ind w:left="1440" w:hanging="720"/>
        <w:rPr>
          <w:rFonts w:cstheme="minorHAnsi"/>
          <w:noProof/>
        </w:rPr>
      </w:pPr>
      <w:r>
        <w:rPr>
          <w:rFonts w:cstheme="minorHAnsi"/>
          <w:noProof/>
        </w:rPr>
        <w:t>= (1/ EF</w:t>
      </w:r>
      <w:r>
        <w:rPr>
          <w:rFonts w:cstheme="minorHAnsi"/>
          <w:caps/>
          <w:noProof/>
          <w:vertAlign w:val="subscript"/>
        </w:rPr>
        <w:t>base</w:t>
      </w:r>
      <w:r>
        <w:rPr>
          <w:rFonts w:cstheme="minorHAnsi"/>
          <w:noProof/>
        </w:rPr>
        <w:t xml:space="preserve"> - 1/EF</w:t>
      </w:r>
      <w:r>
        <w:rPr>
          <w:rFonts w:cstheme="minorHAnsi"/>
          <w:caps/>
          <w:noProof/>
          <w:vertAlign w:val="subscript"/>
        </w:rPr>
        <w:t>efficient</w:t>
      </w:r>
      <w:r>
        <w:rPr>
          <w:rFonts w:cstheme="minorHAnsi"/>
          <w:noProof/>
        </w:rPr>
        <w:t xml:space="preserve">) * (GPD * Household * 365.25 * </w:t>
      </w:r>
      <w:proofErr w:type="spellStart"/>
      <w:r>
        <w:rPr>
          <w:rFonts w:cstheme="minorHAnsi"/>
        </w:rPr>
        <w:t>γWater</w:t>
      </w:r>
      <w:proofErr w:type="spellEnd"/>
      <w:r>
        <w:rPr>
          <w:rFonts w:cstheme="minorHAnsi"/>
        </w:rPr>
        <w:t> </w:t>
      </w:r>
      <w:r>
        <w:rPr>
          <w:rFonts w:cstheme="minorHAnsi"/>
          <w:noProof/>
        </w:rPr>
        <w:t>* (T</w:t>
      </w:r>
      <w:r>
        <w:rPr>
          <w:rFonts w:cstheme="minorHAnsi"/>
          <w:noProof/>
          <w:vertAlign w:val="subscript"/>
        </w:rPr>
        <w:t>OUT</w:t>
      </w:r>
      <w:r>
        <w:rPr>
          <w:rFonts w:cstheme="minorHAnsi"/>
          <w:noProof/>
        </w:rPr>
        <w:t xml:space="preserve"> – T</w:t>
      </w:r>
      <w:r>
        <w:rPr>
          <w:rFonts w:cstheme="minorHAnsi"/>
          <w:caps/>
          <w:noProof/>
          <w:vertAlign w:val="subscript"/>
        </w:rPr>
        <w:t>in</w:t>
      </w:r>
      <w:r>
        <w:rPr>
          <w:rFonts w:cstheme="minorHAnsi"/>
          <w:noProof/>
        </w:rPr>
        <w:t xml:space="preserve">) </w:t>
      </w:r>
      <w:r>
        <w:rPr>
          <w:rFonts w:cstheme="minorHAnsi"/>
          <w:szCs w:val="20"/>
        </w:rPr>
        <w:t xml:space="preserve">* </w:t>
      </w:r>
      <w:proofErr w:type="gramStart"/>
      <w:r>
        <w:rPr>
          <w:rFonts w:cstheme="minorHAnsi"/>
          <w:szCs w:val="20"/>
        </w:rPr>
        <w:t>1.0</w:t>
      </w:r>
      <w:r>
        <w:rPr>
          <w:rFonts w:cstheme="minorHAnsi"/>
          <w:noProof/>
        </w:rPr>
        <w:t xml:space="preserve"> )</w:t>
      </w:r>
      <w:proofErr w:type="gramEnd"/>
      <w:r>
        <w:rPr>
          <w:rFonts w:cstheme="minorHAnsi"/>
          <w:noProof/>
        </w:rPr>
        <w:t>/100,000</w:t>
      </w:r>
    </w:p>
    <w:p w:rsidR="001D7465" w:rsidRDefault="001D7465" w:rsidP="001D7465">
      <w:pPr>
        <w:ind w:left="720" w:hanging="720"/>
        <w:rPr>
          <w:rFonts w:cstheme="minorHAnsi"/>
          <w:noProof/>
        </w:rPr>
      </w:pPr>
      <w:r>
        <w:rPr>
          <w:rFonts w:cstheme="minorHAnsi"/>
          <w:noProof/>
        </w:rPr>
        <w:t>Where:</w:t>
      </w:r>
    </w:p>
    <w:p w:rsidR="001D7465" w:rsidRDefault="001D7465" w:rsidP="001D7465">
      <w:pPr>
        <w:ind w:left="720"/>
        <w:rPr>
          <w:rFonts w:cstheme="minorHAnsi"/>
          <w:noProof/>
        </w:rPr>
      </w:pPr>
      <w:r>
        <w:rPr>
          <w:rFonts w:cstheme="minorHAnsi"/>
          <w:noProof/>
        </w:rPr>
        <w:t>EF_Baseline</w:t>
      </w:r>
      <w:r>
        <w:rPr>
          <w:rFonts w:cstheme="minorHAnsi"/>
          <w:noProof/>
        </w:rPr>
        <w:tab/>
        <w:t>=</w:t>
      </w:r>
      <w:r>
        <w:rPr>
          <w:rFonts w:cstheme="minorHAnsi"/>
        </w:rPr>
        <w:t xml:space="preserve"> </w:t>
      </w:r>
      <w:r>
        <w:rPr>
          <w:rFonts w:cstheme="minorHAnsi"/>
          <w:noProof/>
        </w:rPr>
        <w:t>Energy Factor rating for baseline equipment</w:t>
      </w:r>
    </w:p>
    <w:p w:rsidR="001D7465" w:rsidRDefault="001D7465" w:rsidP="001D7465">
      <w:pPr>
        <w:ind w:left="720" w:hanging="720"/>
        <w:rPr>
          <w:rStyle w:val="FootnoteReference"/>
          <w:noProof/>
        </w:rPr>
      </w:pPr>
      <w:r>
        <w:rPr>
          <w:rFonts w:cstheme="minorHAnsi"/>
          <w:noProof/>
        </w:rPr>
        <w:tab/>
      </w:r>
      <w:r>
        <w:rPr>
          <w:rFonts w:cstheme="minorHAnsi"/>
          <w:noProof/>
        </w:rPr>
        <w:tab/>
      </w:r>
      <w:r>
        <w:rPr>
          <w:rFonts w:cstheme="minorHAnsi"/>
          <w:noProof/>
        </w:rPr>
        <w:tab/>
        <w:t xml:space="preserve">For &lt;=55 gallons:  </w:t>
      </w:r>
      <w:r>
        <w:rPr>
          <w:rFonts w:cstheme="minorHAnsi"/>
          <w:noProof/>
        </w:rPr>
        <w:tab/>
        <w:t>0.675  –  (0.0015 * tank_size)</w:t>
      </w:r>
    </w:p>
    <w:p w:rsidR="001D7465" w:rsidRDefault="001D7465" w:rsidP="001D7465">
      <w:pPr>
        <w:ind w:left="1440" w:firstLine="720"/>
        <w:rPr>
          <w:rFonts w:cstheme="minorHAnsi"/>
          <w:noProof/>
        </w:rPr>
      </w:pPr>
      <w:r>
        <w:rPr>
          <w:noProof/>
        </w:rPr>
        <w:t xml:space="preserve">For &gt; 55 gallons: </w:t>
      </w:r>
      <w:r>
        <w:rPr>
          <w:noProof/>
        </w:rPr>
        <w:tab/>
      </w:r>
      <w:r>
        <w:rPr>
          <w:noProof/>
        </w:rPr>
        <w:tab/>
        <w:t xml:space="preserve">0.8012 – (0.00078 * tank size) </w:t>
      </w:r>
    </w:p>
    <w:p w:rsidR="001D7465" w:rsidRDefault="001D7465" w:rsidP="001D7465">
      <w:pPr>
        <w:rPr>
          <w:rFonts w:cstheme="minorHAnsi"/>
          <w:noProof/>
        </w:rPr>
      </w:pPr>
      <w:r>
        <w:rPr>
          <w:rFonts w:cstheme="minorHAnsi"/>
          <w:noProof/>
        </w:rPr>
        <w:tab/>
      </w:r>
      <w:r>
        <w:rPr>
          <w:rFonts w:cstheme="minorHAnsi"/>
          <w:noProof/>
        </w:rPr>
        <w:tab/>
      </w:r>
      <w:r>
        <w:rPr>
          <w:rFonts w:cstheme="minorHAnsi"/>
          <w:noProof/>
        </w:rPr>
        <w:tab/>
      </w:r>
      <w:r>
        <w:rPr>
          <w:rFonts w:cstheme="minorHAnsi"/>
          <w:noProof/>
        </w:rPr>
        <w:tab/>
        <w:t xml:space="preserve">= If tank size unknown assume 40 gallons and EF_Baseline of 0.615 </w:t>
      </w:r>
    </w:p>
    <w:p w:rsidR="001D7465" w:rsidRDefault="001D7465" w:rsidP="001D7465">
      <w:pPr>
        <w:ind w:left="720"/>
        <w:rPr>
          <w:rFonts w:cstheme="minorHAnsi"/>
          <w:noProof/>
        </w:rPr>
      </w:pPr>
      <w:r>
        <w:rPr>
          <w:rFonts w:cstheme="minorHAnsi"/>
          <w:noProof/>
        </w:rPr>
        <w:t>EF_Efficient</w:t>
      </w:r>
      <w:r>
        <w:rPr>
          <w:rFonts w:cstheme="minorHAnsi"/>
          <w:noProof/>
        </w:rPr>
        <w:tab/>
        <w:t>=</w:t>
      </w:r>
      <w:r>
        <w:rPr>
          <w:rFonts w:cstheme="minorHAnsi"/>
        </w:rPr>
        <w:t xml:space="preserve"> </w:t>
      </w:r>
      <w:r>
        <w:rPr>
          <w:rFonts w:cstheme="minorHAnsi"/>
          <w:noProof/>
        </w:rPr>
        <w:t>Energy Factor Rating for efficient equipment</w:t>
      </w:r>
    </w:p>
    <w:p w:rsidR="001D7465" w:rsidRDefault="001D7465" w:rsidP="001D7465">
      <w:pPr>
        <w:ind w:left="2160"/>
        <w:rPr>
          <w:rFonts w:cstheme="minorHAnsi"/>
          <w:noProof/>
        </w:rPr>
      </w:pPr>
      <w:r>
        <w:rPr>
          <w:rFonts w:cstheme="minorHAnsi"/>
          <w:noProof/>
        </w:rPr>
        <w:t xml:space="preserve">= Actual. </w:t>
      </w:r>
      <w:proofErr w:type="gramStart"/>
      <w:r>
        <w:rPr>
          <w:rFonts w:cstheme="minorHAnsi"/>
          <w:noProof/>
        </w:rPr>
        <w:t>If Tankless whole-house multiply rated efficiency by 0.91</w:t>
      </w:r>
      <w:r>
        <w:rPr>
          <w:rStyle w:val="FootnoteReference"/>
          <w:rFonts w:eastAsiaTheme="majorEastAsia"/>
        </w:rPr>
        <w:footnoteReference w:id="7"/>
      </w:r>
      <w:r>
        <w:rPr>
          <w:rFonts w:cstheme="minorHAnsi"/>
          <w:noProof/>
        </w:rPr>
        <w:t>.</w:t>
      </w:r>
      <w:proofErr w:type="gramEnd"/>
      <w:r>
        <w:rPr>
          <w:rFonts w:cstheme="minorHAnsi"/>
          <w:noProof/>
        </w:rPr>
        <w:t xml:space="preserve"> If unknown assume values in look up in table below</w:t>
      </w:r>
    </w:p>
    <w:tbl>
      <w:tblPr>
        <w:tblW w:w="0" w:type="auto"/>
        <w:jc w:val="center"/>
        <w:tblInd w:w="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1904"/>
        <w:gridCol w:w="1927"/>
      </w:tblGrid>
      <w:tr w:rsidR="001D7465" w:rsidRPr="00DA673C" w:rsidTr="00C81356">
        <w:trPr>
          <w:trHeight w:val="262"/>
          <w:jc w:val="center"/>
        </w:trPr>
        <w:tc>
          <w:tcPr>
            <w:tcW w:w="190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1D7465" w:rsidRPr="00DA673C" w:rsidRDefault="001D7465" w:rsidP="00C81356">
            <w:pPr>
              <w:jc w:val="center"/>
              <w:rPr>
                <w:b/>
                <w:color w:val="FFFFFF" w:themeColor="background1"/>
              </w:rPr>
            </w:pPr>
            <w:r w:rsidRPr="00DA673C">
              <w:rPr>
                <w:b/>
                <w:color w:val="FFFFFF" w:themeColor="background1"/>
              </w:rPr>
              <w:t>Water Heater Type</w:t>
            </w:r>
          </w:p>
        </w:tc>
        <w:tc>
          <w:tcPr>
            <w:tcW w:w="192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1D7465" w:rsidRPr="00DA673C" w:rsidRDefault="001D7465" w:rsidP="00C81356">
            <w:pPr>
              <w:jc w:val="center"/>
              <w:rPr>
                <w:b/>
                <w:color w:val="FFFFFF" w:themeColor="background1"/>
              </w:rPr>
            </w:pPr>
            <w:proofErr w:type="spellStart"/>
            <w:r w:rsidRPr="00DA673C">
              <w:rPr>
                <w:b/>
                <w:color w:val="FFFFFF" w:themeColor="background1"/>
              </w:rPr>
              <w:t>EF_Efficient</w:t>
            </w:r>
            <w:proofErr w:type="spellEnd"/>
          </w:p>
        </w:tc>
      </w:tr>
      <w:tr w:rsidR="001D7465" w:rsidRPr="00DA673C" w:rsidTr="00C81356">
        <w:trPr>
          <w:trHeight w:val="413"/>
          <w:jc w:val="center"/>
        </w:trPr>
        <w:tc>
          <w:tcPr>
            <w:tcW w:w="1904" w:type="dxa"/>
            <w:tcBorders>
              <w:top w:val="single" w:sz="4" w:space="0" w:color="auto"/>
              <w:left w:val="single" w:sz="4" w:space="0" w:color="auto"/>
              <w:bottom w:val="single" w:sz="4" w:space="0" w:color="auto"/>
              <w:right w:val="single" w:sz="4" w:space="0" w:color="auto"/>
            </w:tcBorders>
            <w:hideMark/>
          </w:tcPr>
          <w:p w:rsidR="001D7465" w:rsidRPr="00DA673C" w:rsidRDefault="001D7465" w:rsidP="00C81356">
            <w:pPr>
              <w:jc w:val="left"/>
            </w:pPr>
            <w:r w:rsidRPr="00DA673C">
              <w:t>Condensing Gas Storage</w:t>
            </w:r>
          </w:p>
        </w:tc>
        <w:tc>
          <w:tcPr>
            <w:tcW w:w="1927" w:type="dxa"/>
            <w:tcBorders>
              <w:top w:val="single" w:sz="4" w:space="0" w:color="auto"/>
              <w:left w:val="single" w:sz="4" w:space="0" w:color="auto"/>
              <w:bottom w:val="single" w:sz="4" w:space="0" w:color="auto"/>
              <w:right w:val="single" w:sz="4" w:space="0" w:color="auto"/>
            </w:tcBorders>
            <w:hideMark/>
          </w:tcPr>
          <w:p w:rsidR="001D7465" w:rsidRPr="00DA673C" w:rsidRDefault="001D7465" w:rsidP="00C81356">
            <w:pPr>
              <w:jc w:val="center"/>
            </w:pPr>
            <w:r w:rsidRPr="00DA673C">
              <w:t>0.80</w:t>
            </w:r>
          </w:p>
        </w:tc>
      </w:tr>
      <w:tr w:rsidR="001D7465" w:rsidRPr="00DA673C" w:rsidTr="00C81356">
        <w:trPr>
          <w:trHeight w:val="262"/>
          <w:jc w:val="center"/>
        </w:trPr>
        <w:tc>
          <w:tcPr>
            <w:tcW w:w="1904" w:type="dxa"/>
            <w:tcBorders>
              <w:top w:val="single" w:sz="4" w:space="0" w:color="auto"/>
              <w:left w:val="single" w:sz="4" w:space="0" w:color="auto"/>
              <w:bottom w:val="single" w:sz="4" w:space="0" w:color="auto"/>
              <w:right w:val="single" w:sz="4" w:space="0" w:color="auto"/>
            </w:tcBorders>
            <w:hideMark/>
          </w:tcPr>
          <w:p w:rsidR="001D7465" w:rsidRPr="00DA673C" w:rsidRDefault="001D7465" w:rsidP="00C81356">
            <w:pPr>
              <w:jc w:val="left"/>
            </w:pPr>
            <w:r w:rsidRPr="00DA673C">
              <w:t>Gas Storage</w:t>
            </w:r>
          </w:p>
        </w:tc>
        <w:tc>
          <w:tcPr>
            <w:tcW w:w="1927" w:type="dxa"/>
            <w:tcBorders>
              <w:top w:val="single" w:sz="4" w:space="0" w:color="auto"/>
              <w:left w:val="single" w:sz="4" w:space="0" w:color="auto"/>
              <w:bottom w:val="single" w:sz="4" w:space="0" w:color="auto"/>
              <w:right w:val="single" w:sz="4" w:space="0" w:color="auto"/>
            </w:tcBorders>
            <w:hideMark/>
          </w:tcPr>
          <w:p w:rsidR="001D7465" w:rsidRPr="00DA673C" w:rsidRDefault="001D7465" w:rsidP="00C81356">
            <w:pPr>
              <w:jc w:val="center"/>
            </w:pPr>
            <w:r w:rsidRPr="00DA673C">
              <w:t>0.67</w:t>
            </w:r>
          </w:p>
        </w:tc>
      </w:tr>
      <w:tr w:rsidR="001D7465" w:rsidRPr="00DA673C" w:rsidTr="00C81356">
        <w:trPr>
          <w:trHeight w:val="262"/>
          <w:jc w:val="center"/>
        </w:trPr>
        <w:tc>
          <w:tcPr>
            <w:tcW w:w="1904" w:type="dxa"/>
            <w:tcBorders>
              <w:top w:val="single" w:sz="4" w:space="0" w:color="auto"/>
              <w:left w:val="single" w:sz="4" w:space="0" w:color="auto"/>
              <w:bottom w:val="single" w:sz="4" w:space="0" w:color="auto"/>
              <w:right w:val="single" w:sz="4" w:space="0" w:color="auto"/>
            </w:tcBorders>
            <w:hideMark/>
          </w:tcPr>
          <w:p w:rsidR="001D7465" w:rsidRPr="00DA673C" w:rsidRDefault="001D7465" w:rsidP="00C81356">
            <w:pPr>
              <w:jc w:val="left"/>
            </w:pPr>
            <w:proofErr w:type="spellStart"/>
            <w:r w:rsidRPr="00DA673C">
              <w:t>Tankless</w:t>
            </w:r>
            <w:proofErr w:type="spellEnd"/>
            <w:r w:rsidRPr="00DA673C">
              <w:t xml:space="preserve"> whole-house</w:t>
            </w:r>
          </w:p>
        </w:tc>
        <w:tc>
          <w:tcPr>
            <w:tcW w:w="1927" w:type="dxa"/>
            <w:tcBorders>
              <w:top w:val="single" w:sz="4" w:space="0" w:color="auto"/>
              <w:left w:val="single" w:sz="4" w:space="0" w:color="auto"/>
              <w:bottom w:val="single" w:sz="4" w:space="0" w:color="auto"/>
              <w:right w:val="single" w:sz="4" w:space="0" w:color="auto"/>
            </w:tcBorders>
            <w:hideMark/>
          </w:tcPr>
          <w:p w:rsidR="001D7465" w:rsidRPr="00DA673C" w:rsidRDefault="001D7465" w:rsidP="00C81356">
            <w:pPr>
              <w:jc w:val="center"/>
            </w:pPr>
            <w:r w:rsidRPr="00DA673C">
              <w:t>0.82 * 0.91 = 0.75</w:t>
            </w:r>
          </w:p>
        </w:tc>
      </w:tr>
    </w:tbl>
    <w:p w:rsidR="001D7465" w:rsidRDefault="001D7465" w:rsidP="001D7465">
      <w:pPr>
        <w:ind w:left="1440"/>
        <w:rPr>
          <w:rFonts w:cstheme="minorHAnsi"/>
          <w:noProof/>
        </w:rPr>
      </w:pPr>
    </w:p>
    <w:p w:rsidR="001D7465" w:rsidRDefault="001D7465" w:rsidP="001D7465">
      <w:pPr>
        <w:ind w:left="720"/>
        <w:rPr>
          <w:rFonts w:cstheme="minorHAnsi"/>
          <w:noProof/>
        </w:rPr>
      </w:pPr>
      <w:r>
        <w:rPr>
          <w:rFonts w:cstheme="minorHAnsi"/>
          <w:noProof/>
        </w:rPr>
        <w:t>EF_Existing</w:t>
      </w:r>
      <w:r>
        <w:rPr>
          <w:rFonts w:cstheme="minorHAnsi"/>
          <w:noProof/>
        </w:rPr>
        <w:tab/>
        <w:t>=</w:t>
      </w:r>
      <w:r>
        <w:rPr>
          <w:rFonts w:cstheme="minorHAnsi"/>
        </w:rPr>
        <w:t xml:space="preserve"> </w:t>
      </w:r>
      <w:r>
        <w:rPr>
          <w:rFonts w:cstheme="minorHAnsi"/>
          <w:noProof/>
        </w:rPr>
        <w:t>Energy Factor rating for existing equipment</w:t>
      </w:r>
    </w:p>
    <w:p w:rsidR="001D7465" w:rsidRPr="00FC4E67" w:rsidRDefault="001D7465" w:rsidP="001D7465">
      <w:pPr>
        <w:ind w:left="2160"/>
        <w:rPr>
          <w:rFonts w:cstheme="minorHAnsi"/>
          <w:noProof/>
        </w:rPr>
      </w:pPr>
      <w:r w:rsidRPr="00FC4E67">
        <w:rPr>
          <w:rFonts w:cstheme="minorHAnsi"/>
          <w:noProof/>
        </w:rPr>
        <w:t xml:space="preserve">= Use actual </w:t>
      </w:r>
      <w:r>
        <w:rPr>
          <w:rFonts w:cstheme="minorHAnsi"/>
          <w:noProof/>
        </w:rPr>
        <w:t>EF</w:t>
      </w:r>
      <w:r w:rsidRPr="00FC4E67">
        <w:rPr>
          <w:rFonts w:cstheme="minorHAnsi"/>
          <w:noProof/>
        </w:rPr>
        <w:t xml:space="preserve"> rating where it is possible to measure or reasonably estimate.</w:t>
      </w:r>
    </w:p>
    <w:p w:rsidR="001D7465" w:rsidRDefault="001D7465" w:rsidP="001D7465">
      <w:pPr>
        <w:ind w:left="720" w:hanging="720"/>
        <w:rPr>
          <w:rFonts w:cstheme="minorHAnsi"/>
          <w:noProof/>
        </w:rPr>
      </w:pPr>
      <w:r>
        <w:rPr>
          <w:rFonts w:cstheme="minorHAnsi"/>
          <w:noProof/>
        </w:rPr>
        <w:tab/>
      </w:r>
      <w:r>
        <w:rPr>
          <w:rFonts w:cstheme="minorHAnsi"/>
          <w:noProof/>
        </w:rPr>
        <w:tab/>
      </w:r>
      <w:r>
        <w:rPr>
          <w:rFonts w:cstheme="minorHAnsi"/>
          <w:noProof/>
        </w:rPr>
        <w:tab/>
        <w:t>= if unknown assume 0.52</w:t>
      </w:r>
      <w:r>
        <w:rPr>
          <w:rStyle w:val="FootnoteReference"/>
          <w:rFonts w:eastAsiaTheme="majorEastAsia"/>
          <w:noProof/>
        </w:rPr>
        <w:t xml:space="preserve"> </w:t>
      </w:r>
      <w:r>
        <w:rPr>
          <w:rStyle w:val="FootnoteReference"/>
          <w:rFonts w:eastAsiaTheme="majorEastAsia"/>
          <w:noProof/>
        </w:rPr>
        <w:footnoteReference w:id="8"/>
      </w:r>
    </w:p>
    <w:p w:rsidR="001D7465" w:rsidRDefault="001D7465" w:rsidP="001D7465">
      <w:pPr>
        <w:ind w:left="720"/>
        <w:rPr>
          <w:rFonts w:cstheme="minorHAnsi"/>
          <w:noProof/>
        </w:rPr>
      </w:pPr>
      <w:r>
        <w:rPr>
          <w:rFonts w:cstheme="minorHAnsi"/>
          <w:noProof/>
        </w:rPr>
        <w:t>GPD</w:t>
      </w:r>
      <w:r>
        <w:rPr>
          <w:rFonts w:cstheme="minorHAnsi"/>
          <w:noProof/>
        </w:rPr>
        <w:tab/>
      </w:r>
      <w:r>
        <w:rPr>
          <w:rFonts w:cstheme="minorHAnsi"/>
          <w:noProof/>
        </w:rPr>
        <w:tab/>
        <w:t>= Gallons Per Day of hot water use per person</w:t>
      </w:r>
    </w:p>
    <w:p w:rsidR="001D7465" w:rsidRDefault="001D7465" w:rsidP="001D7465">
      <w:pPr>
        <w:ind w:left="720"/>
        <w:rPr>
          <w:rFonts w:cstheme="minorHAnsi"/>
          <w:noProof/>
        </w:rPr>
      </w:pPr>
      <w:r>
        <w:rPr>
          <w:rFonts w:cstheme="minorHAnsi"/>
          <w:noProof/>
        </w:rPr>
        <w:tab/>
      </w:r>
      <w:r>
        <w:rPr>
          <w:rFonts w:cstheme="minorHAnsi"/>
          <w:noProof/>
        </w:rPr>
        <w:tab/>
        <w:t>= 45.5 gallons hot water per day per household/2.59 people per household</w:t>
      </w:r>
      <w:r>
        <w:rPr>
          <w:rStyle w:val="FootnoteReference"/>
          <w:rFonts w:eastAsiaTheme="majorEastAsia"/>
          <w:noProof/>
        </w:rPr>
        <w:footnoteReference w:id="9"/>
      </w:r>
    </w:p>
    <w:p w:rsidR="001D7465" w:rsidRDefault="001D7465" w:rsidP="001D7465">
      <w:pPr>
        <w:ind w:left="720"/>
        <w:rPr>
          <w:rFonts w:cstheme="minorHAnsi"/>
          <w:noProof/>
        </w:rPr>
      </w:pPr>
      <w:r>
        <w:rPr>
          <w:rFonts w:cstheme="minorHAnsi"/>
          <w:noProof/>
        </w:rPr>
        <w:tab/>
      </w:r>
      <w:r>
        <w:rPr>
          <w:rFonts w:cstheme="minorHAnsi"/>
          <w:noProof/>
        </w:rPr>
        <w:tab/>
        <w:t>= 17.6</w:t>
      </w:r>
    </w:p>
    <w:p w:rsidR="001D7465" w:rsidRDefault="001D7465" w:rsidP="001D7465">
      <w:pPr>
        <w:ind w:left="720"/>
        <w:rPr>
          <w:rFonts w:cstheme="minorHAnsi"/>
          <w:noProof/>
        </w:rPr>
      </w:pPr>
      <w:r>
        <w:rPr>
          <w:rFonts w:cstheme="minorHAnsi"/>
          <w:noProof/>
        </w:rPr>
        <w:t>Household</w:t>
      </w:r>
      <w:r>
        <w:rPr>
          <w:rFonts w:cstheme="minorHAnsi"/>
          <w:noProof/>
        </w:rPr>
        <w:tab/>
        <w:t>= Average  number of people per household</w:t>
      </w:r>
    </w:p>
    <w:tbl>
      <w:tblPr>
        <w:tblW w:w="0" w:type="auto"/>
        <w:tblInd w:w="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326"/>
        <w:gridCol w:w="2309"/>
      </w:tblGrid>
      <w:tr w:rsidR="001D7465" w:rsidRPr="00DA673C" w:rsidTr="00C81356">
        <w:trPr>
          <w:trHeight w:val="262"/>
        </w:trPr>
        <w:tc>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1D7465" w:rsidRPr="00DA673C" w:rsidRDefault="001D7465" w:rsidP="00C81356">
            <w:pPr>
              <w:jc w:val="center"/>
              <w:rPr>
                <w:b/>
                <w:color w:val="FFFFFF" w:themeColor="background1"/>
              </w:rPr>
            </w:pPr>
            <w:r w:rsidRPr="00DA673C">
              <w:rPr>
                <w:b/>
                <w:color w:val="FFFFFF" w:themeColor="background1"/>
              </w:rPr>
              <w:t>Household Unit Type</w:t>
            </w:r>
          </w:p>
        </w:tc>
        <w:tc>
          <w:tcPr>
            <w:tcW w:w="230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1D7465" w:rsidRPr="00DA673C" w:rsidRDefault="001D7465" w:rsidP="00C81356">
            <w:pPr>
              <w:jc w:val="center"/>
              <w:rPr>
                <w:b/>
                <w:color w:val="FFFFFF" w:themeColor="background1"/>
              </w:rPr>
            </w:pPr>
            <w:r w:rsidRPr="00DA673C">
              <w:rPr>
                <w:b/>
                <w:color w:val="FFFFFF" w:themeColor="background1"/>
              </w:rPr>
              <w:t>Household</w:t>
            </w:r>
          </w:p>
        </w:tc>
      </w:tr>
      <w:tr w:rsidR="001D7465" w:rsidRPr="00DA673C" w:rsidTr="00C81356">
        <w:trPr>
          <w:trHeight w:val="262"/>
        </w:trPr>
        <w:tc>
          <w:tcPr>
            <w:tcW w:w="2326" w:type="dxa"/>
            <w:tcBorders>
              <w:top w:val="single" w:sz="4" w:space="0" w:color="auto"/>
              <w:left w:val="single" w:sz="4" w:space="0" w:color="auto"/>
              <w:bottom w:val="single" w:sz="4" w:space="0" w:color="auto"/>
              <w:right w:val="single" w:sz="4" w:space="0" w:color="auto"/>
            </w:tcBorders>
            <w:hideMark/>
          </w:tcPr>
          <w:p w:rsidR="001D7465" w:rsidRPr="00DA673C" w:rsidRDefault="001D7465" w:rsidP="00C81356">
            <w:r w:rsidRPr="00DA673C">
              <w:t>Single-Family - Deemed</w:t>
            </w:r>
          </w:p>
        </w:tc>
        <w:tc>
          <w:tcPr>
            <w:tcW w:w="2309" w:type="dxa"/>
            <w:tcBorders>
              <w:top w:val="single" w:sz="4" w:space="0" w:color="auto"/>
              <w:left w:val="single" w:sz="4" w:space="0" w:color="auto"/>
              <w:bottom w:val="single" w:sz="4" w:space="0" w:color="auto"/>
              <w:right w:val="single" w:sz="4" w:space="0" w:color="auto"/>
            </w:tcBorders>
            <w:hideMark/>
          </w:tcPr>
          <w:p w:rsidR="001D7465" w:rsidRPr="00DA673C" w:rsidRDefault="001D7465" w:rsidP="00C81356">
            <w:pPr>
              <w:jc w:val="center"/>
            </w:pPr>
            <w:r w:rsidRPr="00DA673C">
              <w:t>2.56</w:t>
            </w:r>
            <w:r w:rsidRPr="009C362B">
              <w:rPr>
                <w:vertAlign w:val="superscript"/>
              </w:rPr>
              <w:footnoteReference w:id="10"/>
            </w:r>
          </w:p>
        </w:tc>
      </w:tr>
      <w:tr w:rsidR="001D7465" w:rsidRPr="00DA673C" w:rsidTr="00C81356">
        <w:trPr>
          <w:trHeight w:val="262"/>
        </w:trPr>
        <w:tc>
          <w:tcPr>
            <w:tcW w:w="2326" w:type="dxa"/>
            <w:tcBorders>
              <w:top w:val="single" w:sz="4" w:space="0" w:color="auto"/>
              <w:left w:val="single" w:sz="4" w:space="0" w:color="auto"/>
              <w:bottom w:val="single" w:sz="4" w:space="0" w:color="auto"/>
              <w:right w:val="single" w:sz="4" w:space="0" w:color="auto"/>
            </w:tcBorders>
            <w:hideMark/>
          </w:tcPr>
          <w:p w:rsidR="001D7465" w:rsidRPr="00DA673C" w:rsidRDefault="001D7465" w:rsidP="00C81356">
            <w:r w:rsidRPr="00DA673C">
              <w:lastRenderedPageBreak/>
              <w:t>Multi-Family - Deemed</w:t>
            </w:r>
          </w:p>
        </w:tc>
        <w:tc>
          <w:tcPr>
            <w:tcW w:w="2309" w:type="dxa"/>
            <w:tcBorders>
              <w:top w:val="single" w:sz="4" w:space="0" w:color="auto"/>
              <w:left w:val="single" w:sz="4" w:space="0" w:color="auto"/>
              <w:bottom w:val="single" w:sz="4" w:space="0" w:color="auto"/>
              <w:right w:val="single" w:sz="4" w:space="0" w:color="auto"/>
            </w:tcBorders>
            <w:hideMark/>
          </w:tcPr>
          <w:p w:rsidR="001D7465" w:rsidRPr="00DA673C" w:rsidRDefault="001D7465" w:rsidP="00C81356">
            <w:pPr>
              <w:jc w:val="center"/>
            </w:pPr>
            <w:r w:rsidRPr="00DA673C">
              <w:t>2.1</w:t>
            </w:r>
            <w:r w:rsidRPr="009C362B">
              <w:rPr>
                <w:vertAlign w:val="superscript"/>
              </w:rPr>
              <w:footnoteReference w:id="11"/>
            </w:r>
          </w:p>
        </w:tc>
      </w:tr>
      <w:tr w:rsidR="001D7465" w:rsidRPr="00DA673C" w:rsidTr="00C81356">
        <w:trPr>
          <w:trHeight w:val="262"/>
        </w:trPr>
        <w:tc>
          <w:tcPr>
            <w:tcW w:w="2326" w:type="dxa"/>
            <w:tcBorders>
              <w:top w:val="single" w:sz="4" w:space="0" w:color="auto"/>
              <w:left w:val="single" w:sz="4" w:space="0" w:color="auto"/>
              <w:bottom w:val="single" w:sz="4" w:space="0" w:color="auto"/>
              <w:right w:val="single" w:sz="4" w:space="0" w:color="auto"/>
            </w:tcBorders>
            <w:hideMark/>
          </w:tcPr>
          <w:p w:rsidR="001D7465" w:rsidRPr="00DA673C" w:rsidRDefault="001D7465" w:rsidP="00C81356">
            <w:r w:rsidRPr="00DA673C">
              <w:t>Custom</w:t>
            </w:r>
          </w:p>
        </w:tc>
        <w:tc>
          <w:tcPr>
            <w:tcW w:w="2309" w:type="dxa"/>
            <w:tcBorders>
              <w:top w:val="single" w:sz="4" w:space="0" w:color="auto"/>
              <w:left w:val="single" w:sz="4" w:space="0" w:color="auto"/>
              <w:bottom w:val="single" w:sz="4" w:space="0" w:color="auto"/>
              <w:right w:val="single" w:sz="4" w:space="0" w:color="auto"/>
            </w:tcBorders>
            <w:hideMark/>
          </w:tcPr>
          <w:p w:rsidR="001D7465" w:rsidRPr="00DA673C" w:rsidRDefault="001D7465" w:rsidP="00C81356">
            <w:pPr>
              <w:jc w:val="center"/>
            </w:pPr>
            <w:r w:rsidRPr="00DA673C">
              <w:t>Actual Occupancy or  Number of Bedrooms</w:t>
            </w:r>
            <w:r w:rsidRPr="009C362B">
              <w:rPr>
                <w:vertAlign w:val="superscript"/>
              </w:rPr>
              <w:footnoteReference w:id="12"/>
            </w:r>
          </w:p>
        </w:tc>
      </w:tr>
    </w:tbl>
    <w:p w:rsidR="001D7465" w:rsidRDefault="001D7465" w:rsidP="001D7465">
      <w:pPr>
        <w:ind w:left="1440"/>
        <w:rPr>
          <w:rFonts w:cstheme="minorHAnsi"/>
          <w:noProof/>
        </w:rPr>
      </w:pPr>
    </w:p>
    <w:p w:rsidR="001D7465" w:rsidRDefault="001D7465" w:rsidP="001D7465">
      <w:pPr>
        <w:ind w:left="720"/>
        <w:rPr>
          <w:rFonts w:cstheme="minorHAnsi"/>
          <w:noProof/>
        </w:rPr>
      </w:pPr>
      <w:r>
        <w:rPr>
          <w:rFonts w:cstheme="minorHAnsi"/>
          <w:noProof/>
        </w:rPr>
        <w:t>365.25</w:t>
      </w:r>
      <w:r>
        <w:rPr>
          <w:rFonts w:cstheme="minorHAnsi"/>
          <w:noProof/>
        </w:rPr>
        <w:tab/>
      </w:r>
      <w:r>
        <w:rPr>
          <w:rFonts w:cstheme="minorHAnsi"/>
          <w:noProof/>
        </w:rPr>
        <w:tab/>
        <w:t>= Days per year, on average</w:t>
      </w:r>
    </w:p>
    <w:p w:rsidR="001D7465" w:rsidRDefault="001D7465" w:rsidP="001D7465">
      <w:pPr>
        <w:ind w:left="720"/>
        <w:rPr>
          <w:rFonts w:cstheme="minorHAnsi"/>
          <w:noProof/>
        </w:rPr>
      </w:pPr>
      <w:proofErr w:type="spellStart"/>
      <w:proofErr w:type="gramStart"/>
      <w:r>
        <w:rPr>
          <w:rFonts w:cstheme="minorHAnsi"/>
        </w:rPr>
        <w:t>γWater</w:t>
      </w:r>
      <w:proofErr w:type="spellEnd"/>
      <w:proofErr w:type="gramEnd"/>
      <w:r>
        <w:rPr>
          <w:rFonts w:cstheme="minorHAnsi"/>
        </w:rPr>
        <w:t> </w:t>
      </w:r>
      <w:r>
        <w:rPr>
          <w:rFonts w:cstheme="minorHAnsi"/>
          <w:noProof/>
        </w:rPr>
        <w:tab/>
      </w:r>
      <w:r>
        <w:rPr>
          <w:rFonts w:cstheme="minorHAnsi"/>
          <w:noProof/>
        </w:rPr>
        <w:tab/>
        <w:t>= Specific Weight of water</w:t>
      </w:r>
    </w:p>
    <w:p w:rsidR="001D7465" w:rsidRDefault="001D7465" w:rsidP="001D7465">
      <w:pPr>
        <w:ind w:left="720"/>
        <w:rPr>
          <w:rFonts w:cstheme="minorHAnsi"/>
          <w:noProof/>
        </w:rPr>
      </w:pPr>
      <w:r>
        <w:rPr>
          <w:rFonts w:cstheme="minorHAnsi"/>
          <w:noProof/>
        </w:rPr>
        <w:tab/>
      </w:r>
      <w:r>
        <w:rPr>
          <w:rFonts w:cstheme="minorHAnsi"/>
          <w:noProof/>
        </w:rPr>
        <w:tab/>
        <w:t>= 8.33 pounds per gallon</w:t>
      </w:r>
    </w:p>
    <w:p w:rsidR="001D7465" w:rsidRDefault="001D7465" w:rsidP="001D7465">
      <w:pPr>
        <w:ind w:left="720"/>
        <w:rPr>
          <w:rFonts w:cstheme="minorHAnsi"/>
          <w:noProof/>
        </w:rPr>
      </w:pPr>
      <w:r>
        <w:rPr>
          <w:rFonts w:cstheme="minorHAnsi"/>
          <w:noProof/>
        </w:rPr>
        <w:t>T</w:t>
      </w:r>
      <w:r>
        <w:rPr>
          <w:rFonts w:cstheme="minorHAnsi"/>
          <w:caps/>
          <w:noProof/>
          <w:vertAlign w:val="subscript"/>
        </w:rPr>
        <w:t>out</w:t>
      </w:r>
      <w:r>
        <w:rPr>
          <w:rFonts w:cstheme="minorHAnsi"/>
          <w:noProof/>
        </w:rPr>
        <w:tab/>
      </w:r>
      <w:r>
        <w:rPr>
          <w:rFonts w:cstheme="minorHAnsi"/>
          <w:noProof/>
        </w:rPr>
        <w:tab/>
        <w:t>= Tank temperature</w:t>
      </w:r>
    </w:p>
    <w:p w:rsidR="001D7465" w:rsidRDefault="001D7465" w:rsidP="001D7465">
      <w:pPr>
        <w:ind w:left="720"/>
        <w:rPr>
          <w:rFonts w:cstheme="minorHAnsi"/>
          <w:noProof/>
        </w:rPr>
      </w:pPr>
      <w:r>
        <w:rPr>
          <w:rFonts w:cstheme="minorHAnsi"/>
          <w:noProof/>
        </w:rPr>
        <w:tab/>
      </w:r>
      <w:r>
        <w:rPr>
          <w:rFonts w:cstheme="minorHAnsi"/>
          <w:noProof/>
        </w:rPr>
        <w:tab/>
        <w:t>= 125°F</w:t>
      </w:r>
    </w:p>
    <w:p w:rsidR="001D7465" w:rsidRDefault="001D7465" w:rsidP="001D7465">
      <w:pPr>
        <w:ind w:left="720"/>
        <w:rPr>
          <w:rFonts w:cstheme="minorHAnsi"/>
          <w:noProof/>
        </w:rPr>
      </w:pPr>
      <w:r>
        <w:rPr>
          <w:rFonts w:cstheme="minorHAnsi"/>
          <w:noProof/>
        </w:rPr>
        <w:t>T</w:t>
      </w:r>
      <w:r>
        <w:rPr>
          <w:rFonts w:cstheme="minorHAnsi"/>
          <w:caps/>
          <w:noProof/>
          <w:vertAlign w:val="subscript"/>
        </w:rPr>
        <w:t>in</w:t>
      </w:r>
      <w:r>
        <w:rPr>
          <w:rFonts w:cstheme="minorHAnsi"/>
          <w:noProof/>
        </w:rPr>
        <w:tab/>
      </w:r>
      <w:r>
        <w:rPr>
          <w:rFonts w:cstheme="minorHAnsi"/>
          <w:noProof/>
        </w:rPr>
        <w:tab/>
        <w:t>= Incoming water temperature from well or municipal system</w:t>
      </w:r>
    </w:p>
    <w:p w:rsidR="001D7465" w:rsidRDefault="001D7465" w:rsidP="001D7465">
      <w:pPr>
        <w:ind w:left="720"/>
        <w:rPr>
          <w:rFonts w:cstheme="minorHAnsi"/>
          <w:noProof/>
        </w:rPr>
      </w:pPr>
      <w:r>
        <w:rPr>
          <w:rFonts w:cstheme="minorHAnsi"/>
          <w:noProof/>
        </w:rPr>
        <w:tab/>
      </w:r>
      <w:r>
        <w:rPr>
          <w:rFonts w:cstheme="minorHAnsi"/>
          <w:noProof/>
        </w:rPr>
        <w:tab/>
        <w:t>= 54°F</w:t>
      </w:r>
      <w:r>
        <w:rPr>
          <w:rStyle w:val="FootnoteReference"/>
          <w:rFonts w:eastAsiaTheme="majorEastAsia"/>
          <w:noProof/>
        </w:rPr>
        <w:footnoteReference w:id="13"/>
      </w:r>
    </w:p>
    <w:p w:rsidR="001D7465" w:rsidRDefault="001D7465" w:rsidP="001D7465">
      <w:pPr>
        <w:ind w:left="720"/>
        <w:rPr>
          <w:rFonts w:cstheme="minorHAnsi"/>
          <w:szCs w:val="20"/>
        </w:rPr>
      </w:pPr>
      <w:r>
        <w:rPr>
          <w:rFonts w:cstheme="minorHAnsi"/>
          <w:szCs w:val="20"/>
        </w:rPr>
        <w:t>1.0</w:t>
      </w:r>
      <w:r>
        <w:rPr>
          <w:rFonts w:cstheme="minorHAnsi"/>
          <w:szCs w:val="20"/>
        </w:rPr>
        <w:tab/>
      </w:r>
      <w:r>
        <w:rPr>
          <w:rFonts w:cstheme="minorHAnsi"/>
          <w:szCs w:val="20"/>
        </w:rPr>
        <w:tab/>
        <w:t>= Heat Capacity of water (1 Btu/</w:t>
      </w:r>
      <w:proofErr w:type="spellStart"/>
      <w:r>
        <w:rPr>
          <w:rFonts w:cstheme="minorHAnsi"/>
          <w:szCs w:val="20"/>
        </w:rPr>
        <w:t>lb</w:t>
      </w:r>
      <w:proofErr w:type="spellEnd"/>
      <w:r>
        <w:rPr>
          <w:rFonts w:cstheme="minorHAnsi"/>
          <w:szCs w:val="20"/>
        </w:rPr>
        <w:t>*°F)</w:t>
      </w:r>
    </w:p>
    <w:p w:rsidR="001D7465" w:rsidRDefault="001D7465" w:rsidP="001D7465">
      <w:pPr>
        <w:rPr>
          <w:rFonts w:cstheme="minorHAnsi"/>
        </w:rPr>
      </w:pPr>
      <w:r>
        <w:rPr>
          <w:noProof/>
        </w:rPr>
        <mc:AlternateContent>
          <mc:Choice Requires="wps">
            <w:drawing>
              <wp:inline distT="0" distB="0" distL="0" distR="0" wp14:anchorId="11B04A37" wp14:editId="331BE31E">
                <wp:extent cx="5561330" cy="893135"/>
                <wp:effectExtent l="0" t="0" r="20320" b="21590"/>
                <wp:docPr id="341" name="Text Box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1330" cy="893135"/>
                        </a:xfrm>
                        <a:prstGeom prst="rect">
                          <a:avLst/>
                        </a:prstGeom>
                        <a:solidFill>
                          <a:srgbClr val="FFFFFF"/>
                        </a:solidFill>
                        <a:ln w="9525">
                          <a:solidFill>
                            <a:srgbClr val="000000"/>
                          </a:solidFill>
                          <a:miter lim="800000"/>
                          <a:headEnd/>
                          <a:tailEnd/>
                        </a:ln>
                      </wps:spPr>
                      <wps:txbx>
                        <w:txbxContent>
                          <w:p w:rsidR="001D7465" w:rsidRDefault="001D7465" w:rsidP="001D7465">
                            <w:pPr>
                              <w:rPr>
                                <w:rFonts w:cstheme="minorHAnsi"/>
                              </w:rPr>
                            </w:pPr>
                            <w:r>
                              <w:rPr>
                                <w:rFonts w:cstheme="minorHAnsi"/>
                              </w:rPr>
                              <w:t xml:space="preserve">For example, </w:t>
                            </w:r>
                            <w:proofErr w:type="gramStart"/>
                            <w:r>
                              <w:rPr>
                                <w:rFonts w:cstheme="minorHAnsi"/>
                              </w:rPr>
                              <w:t>a 40</w:t>
                            </w:r>
                            <w:proofErr w:type="gramEnd"/>
                            <w:r>
                              <w:rPr>
                                <w:rFonts w:cstheme="minorHAnsi"/>
                              </w:rPr>
                              <w:t xml:space="preserve"> gallon condensing gas storage water heater, with an energy factor of 0.80 in a single family house:</w:t>
                            </w:r>
                          </w:p>
                          <w:p w:rsidR="001D7465" w:rsidRDefault="001D7465" w:rsidP="001D7465">
                            <w:pPr>
                              <w:ind w:left="1440" w:hanging="720"/>
                              <w:rPr>
                                <w:rFonts w:cstheme="minorHAnsi"/>
                                <w:noProof/>
                              </w:rPr>
                            </w:pPr>
                            <w:r>
                              <w:rPr>
                                <w:rFonts w:cstheme="minorHAnsi"/>
                                <w:noProof/>
                              </w:rPr>
                              <w:t xml:space="preserve">ΔTherms = </w:t>
                            </w:r>
                            <w:r>
                              <w:rPr>
                                <w:rFonts w:cstheme="minorHAnsi"/>
                              </w:rPr>
                              <w:t xml:space="preserve">(1/0.615 - 1/0.8) * (17.6 * 2.56 * 365.25* 8.33 * (125 – 54) * 1) / 100,000 </w:t>
                            </w:r>
                          </w:p>
                          <w:p w:rsidR="001D7465" w:rsidRDefault="001D7465" w:rsidP="001D7465">
                            <w:pPr>
                              <w:ind w:left="1440"/>
                              <w:rPr>
                                <w:rFonts w:cstheme="minorHAnsi"/>
                              </w:rPr>
                            </w:pPr>
                            <w:r>
                              <w:rPr>
                                <w:rFonts w:cstheme="minorHAnsi"/>
                              </w:rPr>
                              <w:t xml:space="preserve"> = 36.6 therms</w:t>
                            </w:r>
                          </w:p>
                          <w:p w:rsidR="001D7465" w:rsidRDefault="001D7465" w:rsidP="001D7465"/>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341" o:spid="_x0000_s1026" type="#_x0000_t202" style="width:437.9pt;height:7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">
                <v:textbox>
                  <w:txbxContent>
                    <w:p w:rsidR="001D7465" w:rsidRDefault="001D7465" w:rsidP="001D7465">
                      <w:pPr>
                        <w:rPr>
                          <w:rFonts w:cstheme="minorHAnsi"/>
                        </w:rPr>
                      </w:pPr>
                      <w:r>
                        <w:rPr>
                          <w:rFonts w:cstheme="minorHAnsi"/>
                        </w:rPr>
                        <w:t xml:space="preserve">For example, </w:t>
                      </w:r>
                      <w:proofErr w:type="gramStart"/>
                      <w:r>
                        <w:rPr>
                          <w:rFonts w:cstheme="minorHAnsi"/>
                        </w:rPr>
                        <w:t>a 40</w:t>
                      </w:r>
                      <w:proofErr w:type="gramEnd"/>
                      <w:r>
                        <w:rPr>
                          <w:rFonts w:cstheme="minorHAnsi"/>
                        </w:rPr>
                        <w:t xml:space="preserve"> gallon condensing gas storage water heater, with an energy factor of 0.80 in a single family house:</w:t>
                      </w:r>
                    </w:p>
                    <w:p w:rsidR="001D7465" w:rsidRDefault="001D7465" w:rsidP="001D7465">
                      <w:pPr>
                        <w:ind w:left="1440" w:hanging="720"/>
                        <w:rPr>
                          <w:rFonts w:cstheme="minorHAnsi"/>
                          <w:noProof/>
                        </w:rPr>
                      </w:pPr>
                      <w:r>
                        <w:rPr>
                          <w:rFonts w:cstheme="minorHAnsi"/>
                          <w:noProof/>
                        </w:rPr>
                        <w:t xml:space="preserve">ΔTherms = </w:t>
                      </w:r>
                      <w:r>
                        <w:rPr>
                          <w:rFonts w:cstheme="minorHAnsi"/>
                        </w:rPr>
                        <w:t xml:space="preserve">(1/0.615 - 1/0.8) * (17.6 * 2.56 * 365.25* 8.33 * (125 – 54) * 1) / 100,000 </w:t>
                      </w:r>
                    </w:p>
                    <w:p w:rsidR="001D7465" w:rsidRDefault="001D7465" w:rsidP="001D7465">
                      <w:pPr>
                        <w:ind w:left="1440"/>
                        <w:rPr>
                          <w:rFonts w:cstheme="minorHAnsi"/>
                        </w:rPr>
                      </w:pPr>
                      <w:r>
                        <w:rPr>
                          <w:rFonts w:cstheme="minorHAnsi"/>
                        </w:rPr>
                        <w:t xml:space="preserve"> = 36.6 therms</w:t>
                      </w:r>
                    </w:p>
                    <w:p w:rsidR="001D7465" w:rsidRDefault="001D7465" w:rsidP="001D7465"/>
                  </w:txbxContent>
                </v:textbox>
                <w10:anchorlock/>
              </v:shape>
            </w:pict>
          </mc:Fallback>
        </mc:AlternateContent>
      </w:r>
    </w:p>
    <w:p w:rsidR="001D7465" w:rsidRDefault="001D7465" w:rsidP="001D7465">
      <w:pPr>
        <w:pStyle w:val="Heading6"/>
      </w:pPr>
      <w:r>
        <w:t xml:space="preserve">Water Impact Descriptions and Calculation  </w:t>
      </w:r>
    </w:p>
    <w:p w:rsidR="001D7465" w:rsidRDefault="001D7465" w:rsidP="001D7465">
      <w:pPr>
        <w:rPr>
          <w:rFonts w:cstheme="minorHAnsi"/>
        </w:rPr>
      </w:pPr>
      <w:r>
        <w:rPr>
          <w:rFonts w:cstheme="minorHAnsi"/>
        </w:rPr>
        <w:t>N/A</w:t>
      </w:r>
    </w:p>
    <w:p w:rsidR="001D7465" w:rsidRDefault="001D7465" w:rsidP="001D7465">
      <w:pPr>
        <w:pStyle w:val="Heading6"/>
      </w:pPr>
      <w:r>
        <w:t xml:space="preserve">Deemed O&amp;M Cost Adjustment Calculation </w:t>
      </w:r>
    </w:p>
    <w:p w:rsidR="001D7465" w:rsidRDefault="001D7465" w:rsidP="001D7465">
      <w:pPr>
        <w:rPr>
          <w:rFonts w:cstheme="minorHAnsi"/>
        </w:rPr>
      </w:pPr>
      <w:r>
        <w:rPr>
          <w:rFonts w:cstheme="minorHAnsi"/>
        </w:rPr>
        <w:t>N/A</w:t>
      </w:r>
    </w:p>
    <w:p w:rsidR="001D7465" w:rsidRPr="008F033B" w:rsidRDefault="001D7465" w:rsidP="001D7465">
      <w:pPr>
        <w:pStyle w:val="Heading6"/>
      </w:pPr>
      <w:r>
        <w:t>Measure Code: RS-HWE-GWHT-</w:t>
      </w:r>
      <w:del w:id="16" w:author="Samuel Dent" w:date="2015-10-08T10:06:00Z">
        <w:r w:rsidDel="001D7465">
          <w:delText>V04</w:delText>
        </w:r>
      </w:del>
      <w:ins w:id="17" w:author="Samuel Dent" w:date="2015-10-08T10:06:00Z">
        <w:r>
          <w:t>V0</w:t>
        </w:r>
        <w:r>
          <w:t>5</w:t>
        </w:r>
      </w:ins>
      <w:r>
        <w:t>-</w:t>
      </w:r>
      <w:del w:id="18" w:author="Samuel Dent" w:date="2015-10-08T10:06:00Z">
        <w:r w:rsidDel="001D7465">
          <w:delText>150601</w:delText>
        </w:r>
      </w:del>
      <w:ins w:id="19" w:author="Samuel Dent" w:date="2015-10-08T10:06:00Z">
        <w:r>
          <w:t>1</w:t>
        </w:r>
        <w:r>
          <w:t>6</w:t>
        </w:r>
        <w:r>
          <w:t>0601</w:t>
        </w:r>
      </w:ins>
    </w:p>
    <w:p w:rsidR="001D7465" w:rsidRDefault="001D7465" w:rsidP="001D7465">
      <w:pPr>
        <w:widowControl/>
        <w:jc w:val="left"/>
        <w:rPr>
          <w:rFonts w:cstheme="minorHAnsi"/>
          <w:highlight w:val="lightGray"/>
        </w:rPr>
        <w:sectPr w:rsidR="001D7465" w:rsidSect="00B64B6A">
          <w:headerReference w:type="default" r:id="rId8"/>
          <w:pgSz w:w="12240" w:h="15840" w:code="1"/>
          <w:pgMar w:top="1440" w:right="1440" w:bottom="1440" w:left="1440" w:header="720" w:footer="720" w:gutter="0"/>
          <w:cols w:space="720"/>
          <w:docGrid w:linePitch="360"/>
        </w:sectPr>
      </w:pP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465" w:rsidRDefault="001D7465" w:rsidP="001D7465">
      <w:pPr>
        <w:spacing w:after="0"/>
      </w:pPr>
      <w:r>
        <w:separator/>
      </w:r>
    </w:p>
  </w:endnote>
  <w:endnote w:type="continuationSeparator" w:id="0">
    <w:p w:rsidR="001D7465" w:rsidRDefault="001D7465" w:rsidP="001D74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465" w:rsidRDefault="001D7465" w:rsidP="001D7465">
      <w:pPr>
        <w:spacing w:after="0"/>
      </w:pPr>
      <w:r>
        <w:separator/>
      </w:r>
    </w:p>
  </w:footnote>
  <w:footnote w:type="continuationSeparator" w:id="0">
    <w:p w:rsidR="001D7465" w:rsidRDefault="001D7465" w:rsidP="001D7465">
      <w:pPr>
        <w:spacing w:after="0"/>
      </w:pPr>
      <w:r>
        <w:continuationSeparator/>
      </w:r>
    </w:p>
  </w:footnote>
  <w:footnote w:id="1">
    <w:p w:rsidR="001D7465" w:rsidRPr="009C362B" w:rsidRDefault="001D7465" w:rsidP="001D7465">
      <w:pPr>
        <w:pStyle w:val="Footnote"/>
        <w:rPr>
          <w:szCs w:val="18"/>
        </w:rPr>
      </w:pPr>
      <w:r w:rsidRPr="009C362B">
        <w:rPr>
          <w:rStyle w:val="FootnoteReference"/>
          <w:rFonts w:eastAsiaTheme="majorEastAsia"/>
          <w:szCs w:val="18"/>
        </w:rPr>
        <w:footnoteRef/>
      </w:r>
      <w:r w:rsidRPr="009C362B">
        <w:rPr>
          <w:szCs w:val="18"/>
        </w:rPr>
        <w:t xml:space="preserve"> Minimum Federal Standard as of 4/1/2015;</w:t>
      </w:r>
    </w:p>
    <w:p w:rsidR="001D7465" w:rsidRPr="009C362B" w:rsidRDefault="001D7465" w:rsidP="001D7465">
      <w:pPr>
        <w:pStyle w:val="Footnote"/>
        <w:rPr>
          <w:szCs w:val="18"/>
        </w:rPr>
      </w:pPr>
      <w:r w:rsidRPr="009C362B">
        <w:rPr>
          <w:szCs w:val="18"/>
        </w:rPr>
        <w:t>http://www.gpo.gov/fdsys/pkg/CFR-2012-title10-vol3/pdf/CFR-2012-title10-vol3-sec430-32.pdf</w:t>
      </w:r>
    </w:p>
  </w:footnote>
  <w:footnote w:id="2">
    <w:p w:rsidR="001D7465" w:rsidRPr="009C362B" w:rsidRDefault="001D7465" w:rsidP="001D7465">
      <w:pPr>
        <w:pStyle w:val="Footnote"/>
        <w:rPr>
          <w:szCs w:val="18"/>
        </w:rPr>
      </w:pPr>
      <w:r w:rsidRPr="009C362B">
        <w:rPr>
          <w:rStyle w:val="FootnoteReference"/>
          <w:rFonts w:eastAsiaTheme="majorEastAsia"/>
          <w:szCs w:val="18"/>
        </w:rPr>
        <w:footnoteRef/>
      </w:r>
      <w:r w:rsidRPr="009C362B">
        <w:rPr>
          <w:szCs w:val="18"/>
        </w:rPr>
        <w:t xml:space="preserve"> DOE, 2010 Residential Heating Products Final Rule Technical Support Document, Table 8.2.14 http://www1.eere.energy.gov/buildings/appliance_standards/residential/pdfs/htgp_finalrule_</w:t>
      </w:r>
      <w:proofErr w:type="gramStart"/>
      <w:r w:rsidRPr="009C362B">
        <w:rPr>
          <w:szCs w:val="18"/>
        </w:rPr>
        <w:t>ch8.pdf  Note</w:t>
      </w:r>
      <w:proofErr w:type="gramEnd"/>
      <w:r w:rsidRPr="009C362B">
        <w:rPr>
          <w:szCs w:val="18"/>
        </w:rPr>
        <w:t xml:space="preserve">: This source is used to support this category in aggregate.  For all water heaters, life expectancy will depend on local variables such as water chemistry and homeowner maintenance. Some categories, including condensing storage and </w:t>
      </w:r>
      <w:proofErr w:type="spellStart"/>
      <w:r w:rsidRPr="009C362B">
        <w:rPr>
          <w:szCs w:val="18"/>
        </w:rPr>
        <w:t>tankless</w:t>
      </w:r>
      <w:proofErr w:type="spellEnd"/>
      <w:r w:rsidRPr="009C362B">
        <w:rPr>
          <w:szCs w:val="18"/>
        </w:rPr>
        <w:t xml:space="preserve"> water heaters do not yet have sufficient field data to support separate values.  Preliminary data show lifetimes may exceed 20 years, though this has yet to be sufficiently demonstrated.</w:t>
      </w:r>
    </w:p>
  </w:footnote>
  <w:footnote w:id="3">
    <w:p w:rsidR="001D7465" w:rsidRPr="009C362B" w:rsidRDefault="001D7465" w:rsidP="001D7465">
      <w:pPr>
        <w:pStyle w:val="Footnote"/>
        <w:rPr>
          <w:szCs w:val="18"/>
        </w:rPr>
      </w:pPr>
      <w:r w:rsidRPr="009C362B">
        <w:rPr>
          <w:rStyle w:val="FootnoteReference"/>
          <w:szCs w:val="18"/>
        </w:rPr>
        <w:footnoteRef/>
      </w:r>
      <w:r w:rsidRPr="009C362B">
        <w:rPr>
          <w:szCs w:val="18"/>
        </w:rPr>
        <w:t xml:space="preserve"> Assumed to be one third of effective useful life</w:t>
      </w:r>
    </w:p>
  </w:footnote>
  <w:footnote w:id="4">
    <w:p w:rsidR="001D7465" w:rsidRPr="009C362B" w:rsidRDefault="001D7465" w:rsidP="001D7465">
      <w:pPr>
        <w:pStyle w:val="Footnote"/>
        <w:rPr>
          <w:szCs w:val="18"/>
        </w:rPr>
      </w:pPr>
      <w:r w:rsidRPr="009C362B">
        <w:rPr>
          <w:rStyle w:val="FootnoteReference"/>
          <w:rFonts w:eastAsiaTheme="majorEastAsia"/>
          <w:szCs w:val="18"/>
        </w:rPr>
        <w:footnoteRef/>
      </w:r>
      <w:r w:rsidRPr="009C362B">
        <w:rPr>
          <w:szCs w:val="18"/>
        </w:rPr>
        <w:t xml:space="preserve"> Source for cost info; DOE, 2010 Residential Heating Products Final Rule Technical Support Document, Table 8.2.14 (http://www1.eere.energy.gov/buildings/appliance_standards/residential/pdfs/htgp_finalrule_ch8.pdf)</w:t>
      </w:r>
    </w:p>
  </w:footnote>
  <w:footnote w:id="5">
    <w:p w:rsidR="001D7465" w:rsidRPr="009C362B" w:rsidRDefault="001D7465" w:rsidP="001D7465">
      <w:pPr>
        <w:pStyle w:val="Footnote"/>
        <w:rPr>
          <w:szCs w:val="18"/>
        </w:rPr>
      </w:pPr>
      <w:r w:rsidRPr="009C362B">
        <w:rPr>
          <w:rStyle w:val="FootnoteReference"/>
          <w:szCs w:val="18"/>
        </w:rPr>
        <w:footnoteRef/>
      </w:r>
      <w:r w:rsidRPr="009C362B">
        <w:rPr>
          <w:szCs w:val="18"/>
        </w:rPr>
        <w:t xml:space="preserve"> The deemed install cost of a Gas Storage heater is based upon DCEO Efficient Living Program Data for a sample size of 157 gas water heaters.</w:t>
      </w:r>
    </w:p>
  </w:footnote>
  <w:footnote w:id="6">
    <w:p w:rsidR="001D7465" w:rsidRPr="009C362B" w:rsidRDefault="001D7465" w:rsidP="001D7465">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7">
    <w:p w:rsidR="001D7465" w:rsidRPr="009C362B" w:rsidRDefault="001D7465" w:rsidP="001D7465">
      <w:pPr>
        <w:pStyle w:val="Footnote"/>
        <w:rPr>
          <w:szCs w:val="18"/>
        </w:rPr>
      </w:pPr>
      <w:r w:rsidRPr="009C362B">
        <w:rPr>
          <w:rStyle w:val="FootnoteReference"/>
          <w:rFonts w:eastAsiaTheme="majorEastAsia"/>
          <w:szCs w:val="18"/>
        </w:rPr>
        <w:footnoteRef/>
      </w:r>
      <w:r w:rsidRPr="009C362B">
        <w:rPr>
          <w:szCs w:val="18"/>
        </w:rPr>
        <w:t xml:space="preserve"> The disconnect between rated energy factor and in-situ energy consumption is markedly different for </w:t>
      </w:r>
      <w:proofErr w:type="spellStart"/>
      <w:r w:rsidRPr="009C362B">
        <w:rPr>
          <w:szCs w:val="18"/>
        </w:rPr>
        <w:t>tankless</w:t>
      </w:r>
      <w:proofErr w:type="spellEnd"/>
      <w:r w:rsidRPr="009C362B">
        <w:rPr>
          <w:szCs w:val="18"/>
        </w:rPr>
        <w:t xml:space="preserve"> units due to significantly higher contributions to overall household hot water usage from short draws.  In </w:t>
      </w:r>
      <w:proofErr w:type="spellStart"/>
      <w:r w:rsidRPr="009C362B">
        <w:rPr>
          <w:szCs w:val="18"/>
        </w:rPr>
        <w:t>tankless</w:t>
      </w:r>
      <w:proofErr w:type="spellEnd"/>
      <w:r w:rsidRPr="009C362B">
        <w:rPr>
          <w:szCs w:val="18"/>
        </w:rPr>
        <w:t xml:space="preserve"> units the large burner and unit heat exchanger must fire and heat up for each draw.  The additional energy losses incurred when the mass of the unit cools to the surrounding space in-between shorter draws was found to be 9% in a study prepared for Lawrence Berkeley National Laboratory by Davis Energy Group, 2006. “Field and Laboratory Testing of </w:t>
      </w:r>
      <w:proofErr w:type="spellStart"/>
      <w:r w:rsidRPr="009C362B">
        <w:rPr>
          <w:szCs w:val="18"/>
        </w:rPr>
        <w:t>Tankless</w:t>
      </w:r>
      <w:proofErr w:type="spellEnd"/>
      <w:r w:rsidRPr="009C362B">
        <w:rPr>
          <w:szCs w:val="18"/>
        </w:rPr>
        <w:t xml:space="preserve"> Gas Water Heater Performance”   Due to the similarity (storage) between the other categories and the baseline, this </w:t>
      </w:r>
      <w:proofErr w:type="spellStart"/>
      <w:r w:rsidRPr="009C362B">
        <w:rPr>
          <w:szCs w:val="18"/>
        </w:rPr>
        <w:t>derating</w:t>
      </w:r>
      <w:proofErr w:type="spellEnd"/>
      <w:r w:rsidRPr="009C362B">
        <w:rPr>
          <w:szCs w:val="18"/>
        </w:rPr>
        <w:t xml:space="preserve"> factor is applied only to the </w:t>
      </w:r>
      <w:proofErr w:type="spellStart"/>
      <w:r w:rsidRPr="009C362B">
        <w:rPr>
          <w:szCs w:val="18"/>
        </w:rPr>
        <w:t>tankless</w:t>
      </w:r>
      <w:proofErr w:type="spellEnd"/>
      <w:r w:rsidRPr="009C362B">
        <w:rPr>
          <w:szCs w:val="18"/>
        </w:rPr>
        <w:t xml:space="preserve"> category.</w:t>
      </w:r>
    </w:p>
  </w:footnote>
  <w:footnote w:id="8">
    <w:p w:rsidR="001D7465" w:rsidRPr="009C362B" w:rsidRDefault="001D7465" w:rsidP="001D7465">
      <w:pPr>
        <w:pStyle w:val="Footnote"/>
        <w:rPr>
          <w:szCs w:val="18"/>
        </w:rPr>
      </w:pPr>
      <w:r w:rsidRPr="009C362B">
        <w:rPr>
          <w:rStyle w:val="FootnoteReference"/>
          <w:rFonts w:eastAsiaTheme="majorEastAsia"/>
          <w:szCs w:val="18"/>
        </w:rPr>
        <w:footnoteRef/>
      </w:r>
      <w:r w:rsidRPr="009C362B">
        <w:rPr>
          <w:szCs w:val="18"/>
        </w:rPr>
        <w:t xml:space="preserve"> </w:t>
      </w:r>
      <w:proofErr w:type="gramStart"/>
      <w:r w:rsidRPr="009C362B">
        <w:rPr>
          <w:szCs w:val="18"/>
        </w:rPr>
        <w:t>Based on DCEO Efficient Living Program Data for a sample size of 157 gas water heaters.</w:t>
      </w:r>
      <w:proofErr w:type="gramEnd"/>
      <w:r w:rsidRPr="009C362B">
        <w:rPr>
          <w:szCs w:val="18"/>
        </w:rPr>
        <w:t xml:space="preserve"> </w:t>
      </w:r>
    </w:p>
  </w:footnote>
  <w:footnote w:id="9">
    <w:p w:rsidR="001D7465" w:rsidRPr="009C362B" w:rsidRDefault="001D7465" w:rsidP="001D7465">
      <w:pPr>
        <w:pStyle w:val="Footnote"/>
        <w:rPr>
          <w:szCs w:val="18"/>
        </w:rPr>
      </w:pPr>
      <w:r w:rsidRPr="009C362B">
        <w:rPr>
          <w:rStyle w:val="FootnoteReference"/>
          <w:rFonts w:eastAsiaTheme="majorEastAsia"/>
          <w:szCs w:val="18"/>
        </w:rPr>
        <w:footnoteRef/>
      </w:r>
      <w:r w:rsidRPr="009C362B">
        <w:rPr>
          <w:szCs w:val="18"/>
        </w:rPr>
        <w:t xml:space="preserve">  </w:t>
      </w:r>
      <w:proofErr w:type="spellStart"/>
      <w:proofErr w:type="gramStart"/>
      <w:ins w:id="10" w:author="Samuel Dent" w:date="2015-10-08T10:06:00Z">
        <w:r w:rsidRPr="004F4F93">
          <w:rPr>
            <w:rFonts w:eastAsia="Times New Roman"/>
            <w:szCs w:val="18"/>
          </w:rPr>
          <w:t>Deoreo</w:t>
        </w:r>
        <w:proofErr w:type="spellEnd"/>
        <w:r w:rsidRPr="004F4F93">
          <w:rPr>
            <w:rFonts w:eastAsia="Times New Roman"/>
            <w:szCs w:val="18"/>
          </w:rPr>
          <w:t>, B., and P. Mayer.</w:t>
        </w:r>
        <w:bookmarkStart w:id="11" w:name="_Toc408322835"/>
        <w:bookmarkStart w:id="12" w:name="_Toc408328439"/>
        <w:bookmarkStart w:id="13" w:name="_Toc408569885"/>
        <w:bookmarkEnd w:id="11"/>
        <w:bookmarkEnd w:id="12"/>
        <w:proofErr w:type="gramEnd"/>
        <w:r w:rsidRPr="004F4F93">
          <w:rPr>
            <w:rFonts w:eastAsia="Times New Roman"/>
            <w:szCs w:val="18"/>
          </w:rPr>
          <w:t xml:space="preserve"> </w:t>
        </w:r>
        <w:proofErr w:type="gramStart"/>
        <w:r w:rsidRPr="004F4F93">
          <w:rPr>
            <w:rFonts w:eastAsia="Times New Roman"/>
            <w:szCs w:val="18"/>
          </w:rPr>
          <w:t>Residential End Uses of Water Study Upda</w:t>
        </w:r>
        <w:r w:rsidRPr="00921258">
          <w:rPr>
            <w:rFonts w:eastAsia="Times New Roman"/>
            <w:szCs w:val="18"/>
          </w:rPr>
          <w:t>te</w:t>
        </w:r>
        <w:bookmarkEnd w:id="13"/>
        <w:r w:rsidRPr="00921258">
          <w:rPr>
            <w:rFonts w:eastAsia="Times New Roman"/>
            <w:szCs w:val="18"/>
          </w:rPr>
          <w:t>.</w:t>
        </w:r>
        <w:proofErr w:type="gramEnd"/>
        <w:r w:rsidRPr="00921258">
          <w:rPr>
            <w:rFonts w:eastAsia="Times New Roman"/>
            <w:szCs w:val="18"/>
          </w:rPr>
          <w:t xml:space="preserve"> </w:t>
        </w:r>
        <w:proofErr w:type="gramStart"/>
        <w:r w:rsidRPr="00921258">
          <w:rPr>
            <w:rFonts w:eastAsia="Times New Roman"/>
            <w:szCs w:val="18"/>
          </w:rPr>
          <w:t>Forthcoming.</w:t>
        </w:r>
        <w:proofErr w:type="gramEnd"/>
        <w:r w:rsidRPr="00921258">
          <w:rPr>
            <w:rFonts w:eastAsia="Times New Roman"/>
            <w:szCs w:val="18"/>
          </w:rPr>
          <w:t xml:space="preserve"> </w:t>
        </w:r>
        <w:proofErr w:type="gramStart"/>
        <w:r w:rsidRPr="00921258">
          <w:rPr>
            <w:rFonts w:eastAsia="Times New Roman"/>
            <w:szCs w:val="18"/>
          </w:rPr>
          <w:t>©2015 Water Research Foundation.</w:t>
        </w:r>
        <w:proofErr w:type="gramEnd"/>
        <w:r w:rsidRPr="00921258">
          <w:rPr>
            <w:rFonts w:eastAsia="Times New Roman"/>
            <w:szCs w:val="18"/>
          </w:rPr>
          <w:t xml:space="preserve"> </w:t>
        </w:r>
        <w:proofErr w:type="gramStart"/>
        <w:r w:rsidRPr="00921258">
          <w:rPr>
            <w:rFonts w:eastAsia="Times New Roman"/>
            <w:szCs w:val="18"/>
          </w:rPr>
          <w:t>Reprinted With Permission.</w:t>
        </w:r>
      </w:ins>
      <w:bookmarkStart w:id="14" w:name="_GoBack"/>
      <w:bookmarkEnd w:id="14"/>
      <w:proofErr w:type="gramEnd"/>
      <w:del w:id="15" w:author="Samuel Dent" w:date="2015-10-08T10:06:00Z">
        <w:r w:rsidRPr="009C362B" w:rsidDel="001D7465">
          <w:rPr>
            <w:szCs w:val="18"/>
          </w:rPr>
          <w:delText>Email message from Maureen Hodgins, Research Manager for Water Research Foundation, to TAC/SAG, August 26, 2014</w:delText>
        </w:r>
      </w:del>
    </w:p>
  </w:footnote>
  <w:footnote w:id="10">
    <w:p w:rsidR="001D7465" w:rsidRPr="009C362B" w:rsidRDefault="001D7465" w:rsidP="001D7465">
      <w:pPr>
        <w:pStyle w:val="Footnote"/>
        <w:rPr>
          <w:szCs w:val="18"/>
        </w:rPr>
      </w:pPr>
      <w:r w:rsidRPr="009C362B">
        <w:rPr>
          <w:rStyle w:val="FootnoteReference"/>
          <w:rFonts w:eastAsiaTheme="majorEastAsia"/>
          <w:szCs w:val="18"/>
        </w:rPr>
        <w:footnoteRef/>
      </w:r>
      <w:r w:rsidRPr="009C362B">
        <w:rPr>
          <w:szCs w:val="18"/>
        </w:rPr>
        <w:t xml:space="preserve"> 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11">
    <w:p w:rsidR="001D7465" w:rsidRPr="009C362B" w:rsidRDefault="001D7465" w:rsidP="001D7465">
      <w:pPr>
        <w:pStyle w:val="Footnote"/>
        <w:rPr>
          <w:szCs w:val="18"/>
        </w:rPr>
      </w:pPr>
      <w:r w:rsidRPr="009C362B">
        <w:rPr>
          <w:rStyle w:val="FootnoteReference"/>
          <w:rFonts w:eastAsiaTheme="majorEastAsia"/>
          <w:szCs w:val="18"/>
        </w:rPr>
        <w:footnoteRef/>
      </w:r>
      <w:r w:rsidRPr="009C362B">
        <w:rPr>
          <w:szCs w:val="18"/>
        </w:rPr>
        <w:t xml:space="preserve"> Navigant, ComEd PY3 Multi-Family Home Energy Savings Program Evaluation Report Final, May 16, 2012. </w:t>
      </w:r>
    </w:p>
  </w:footnote>
  <w:footnote w:id="12">
    <w:p w:rsidR="001D7465" w:rsidRPr="009C362B" w:rsidRDefault="001D7465" w:rsidP="001D7465">
      <w:pPr>
        <w:pStyle w:val="Footnote"/>
        <w:rPr>
          <w:szCs w:val="18"/>
        </w:rPr>
      </w:pPr>
      <w:r w:rsidRPr="009C362B">
        <w:rPr>
          <w:rStyle w:val="FootnoteReference"/>
          <w:rFonts w:eastAsiaTheme="majorEastAsia"/>
          <w:szCs w:val="18"/>
        </w:rPr>
        <w:footnoteRef/>
      </w:r>
      <w:r w:rsidRPr="009C362B">
        <w:rPr>
          <w:szCs w:val="18"/>
        </w:rPr>
        <w:t xml:space="preserve"> Bedrooms are suitable proxies for household occupancy, and may be preferable to actual occupancy due to turnover rates in residency and non-adult population impacts.</w:t>
      </w:r>
    </w:p>
  </w:footnote>
  <w:footnote w:id="13">
    <w:p w:rsidR="001D7465" w:rsidRPr="009C362B" w:rsidRDefault="001D7465" w:rsidP="001D7465">
      <w:pPr>
        <w:pStyle w:val="Footnote"/>
        <w:rPr>
          <w:szCs w:val="18"/>
        </w:rPr>
      </w:pPr>
      <w:r w:rsidRPr="009C362B">
        <w:rPr>
          <w:rStyle w:val="FootnoteReference"/>
          <w:rFonts w:eastAsiaTheme="majorEastAsia"/>
          <w:szCs w:val="18"/>
        </w:rPr>
        <w:footnoteRef/>
      </w:r>
      <w:r w:rsidRPr="009C362B">
        <w:rPr>
          <w:szCs w:val="18"/>
        </w:rPr>
        <w:t xml:space="preserve"> </w:t>
      </w:r>
      <w:proofErr w:type="gramStart"/>
      <w:r w:rsidRPr="009C362B">
        <w:rPr>
          <w:szCs w:val="18"/>
        </w:rPr>
        <w:t>US DOE Building America Program.</w:t>
      </w:r>
      <w:proofErr w:type="gramEnd"/>
      <w:r w:rsidRPr="009C362B">
        <w:rPr>
          <w:szCs w:val="18"/>
        </w:rPr>
        <w:t xml:space="preserve"> </w:t>
      </w:r>
      <w:proofErr w:type="gramStart"/>
      <w:r w:rsidRPr="009C362B">
        <w:rPr>
          <w:szCs w:val="18"/>
        </w:rPr>
        <w:t>Building America Analysis Spreadsheet.</w:t>
      </w:r>
      <w:proofErr w:type="gramEnd"/>
      <w:r w:rsidRPr="009C362B">
        <w:rPr>
          <w:szCs w:val="18"/>
        </w:rPr>
        <w:t xml:space="preserve">  For Chicago, IL </w:t>
      </w:r>
      <w:hyperlink r:id="rId1" w:history="1">
        <w:r w:rsidRPr="009C362B">
          <w:rPr>
            <w:rStyle w:val="Hyperlink"/>
            <w:szCs w:val="18"/>
          </w:rPr>
          <w:t>http://www1.eere.energy.gov/buildings/building_america/analysis_spreadsheets.html</w:t>
        </w:r>
      </w:hyperlink>
      <w:r w:rsidRPr="009C362B">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465" w:rsidRPr="00C75497" w:rsidRDefault="001D7465" w:rsidP="00645A06">
    <w:pPr>
      <w:pStyle w:val="HeaderIL"/>
    </w:pPr>
    <w:r w:rsidRPr="005D746C">
      <w:t xml:space="preserve">Illinois Statewide Technical Reference Manual - </w:t>
    </w:r>
    <w:r>
      <w:fldChar w:fldCharType="begin"/>
    </w:r>
    <w:r>
      <w:instrText xml:space="preserve"> REF _Ref326033420 \w \h </w:instrText>
    </w:r>
    <w:r>
      <w:fldChar w:fldCharType="separate"/>
    </w:r>
    <w:r>
      <w:t>5.4.2</w:t>
    </w:r>
    <w:r>
      <w:fldChar w:fldCharType="end"/>
    </w:r>
    <w:r>
      <w:t xml:space="preserve"> </w:t>
    </w:r>
    <w:r>
      <w:fldChar w:fldCharType="begin"/>
    </w:r>
    <w:r>
      <w:instrText xml:space="preserve"> REF _Ref325428480 \h </w:instrText>
    </w:r>
    <w:r>
      <w:fldChar w:fldCharType="separate"/>
    </w:r>
    <w:r w:rsidRPr="000B7BB6">
      <w:t>Gas Water Heater</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4E472F5A"/>
    <w:multiLevelType w:val="multilevel"/>
    <w:tmpl w:val="81CE5C52"/>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73EF70DB"/>
    <w:multiLevelType w:val="hybridMultilevel"/>
    <w:tmpl w:val="F32C76E6"/>
    <w:lvl w:ilvl="0" w:tplc="F66629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465"/>
    <w:rsid w:val="001D7465"/>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65"/>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1D7465"/>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1D7465"/>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1D7465"/>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1D7465"/>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1D7465"/>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1D7465"/>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1D7465"/>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1D7465"/>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1D7465"/>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D7465"/>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1D7465"/>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1D7465"/>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1D7465"/>
    <w:rPr>
      <w:rFonts w:ascii="Calibri" w:eastAsiaTheme="minorEastAsia" w:hAnsi="Calibri" w:cs="Arial"/>
      <w:bCs/>
      <w:i/>
      <w:noProof/>
    </w:rPr>
  </w:style>
  <w:style w:type="character" w:customStyle="1" w:styleId="Heading5Char">
    <w:name w:val="Heading 5 Char"/>
    <w:basedOn w:val="DefaultParagraphFont"/>
    <w:link w:val="Heading5"/>
    <w:uiPriority w:val="99"/>
    <w:rsid w:val="001D7465"/>
    <w:rPr>
      <w:rFonts w:ascii="Calibri" w:eastAsia="Times New Roman" w:hAnsi="Calibri" w:cs="Times New Roman"/>
      <w:sz w:val="20"/>
    </w:rPr>
  </w:style>
  <w:style w:type="character" w:customStyle="1" w:styleId="Heading6Char">
    <w:name w:val="Heading 6 Char"/>
    <w:basedOn w:val="DefaultParagraphFont"/>
    <w:link w:val="Heading6"/>
    <w:uiPriority w:val="9"/>
    <w:rsid w:val="001D7465"/>
    <w:rPr>
      <w:rFonts w:eastAsia="Times New Roman" w:cs="Calibri"/>
      <w:b/>
      <w:smallCaps/>
    </w:rPr>
  </w:style>
  <w:style w:type="character" w:customStyle="1" w:styleId="Heading7Char">
    <w:name w:val="Heading 7 Char"/>
    <w:basedOn w:val="DefaultParagraphFont"/>
    <w:link w:val="Heading7"/>
    <w:uiPriority w:val="99"/>
    <w:rsid w:val="001D7465"/>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1D7465"/>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1D7465"/>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1D7465"/>
    <w:rPr>
      <w:rFonts w:ascii="Calibri" w:eastAsiaTheme="minorEastAsia" w:hAnsi="Calibri" w:cs="Times New Roman"/>
      <w:bCs/>
      <w:sz w:val="24"/>
      <w:szCs w:val="24"/>
    </w:rPr>
  </w:style>
  <w:style w:type="table" w:styleId="TableGrid">
    <w:name w:val="Table Grid"/>
    <w:basedOn w:val="TableNormal"/>
    <w:uiPriority w:val="59"/>
    <w:rsid w:val="001D746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1D7465"/>
    <w:rPr>
      <w:rFonts w:ascii="Arial" w:hAnsi="Arial" w:cs="Times New Roman"/>
      <w:sz w:val="20"/>
      <w:vertAlign w:val="superscript"/>
    </w:rPr>
  </w:style>
  <w:style w:type="character" w:styleId="Hyperlink">
    <w:name w:val="Hyperlink"/>
    <w:uiPriority w:val="99"/>
    <w:rsid w:val="001D7465"/>
    <w:rPr>
      <w:rFonts w:cs="Times New Roman"/>
      <w:color w:val="0000FF"/>
      <w:u w:val="single"/>
    </w:rPr>
  </w:style>
  <w:style w:type="paragraph" w:styleId="ListParagraph">
    <w:name w:val="List Paragraph"/>
    <w:aliases w:val="TT - List Paragraph"/>
    <w:basedOn w:val="Normal"/>
    <w:link w:val="ListParagraphChar"/>
    <w:uiPriority w:val="34"/>
    <w:qFormat/>
    <w:rsid w:val="001D7465"/>
    <w:pPr>
      <w:ind w:left="720"/>
      <w:contextualSpacing/>
    </w:pPr>
  </w:style>
  <w:style w:type="character" w:customStyle="1" w:styleId="FootnoteChar">
    <w:name w:val="Footnote Char"/>
    <w:basedOn w:val="DefaultParagraphFont"/>
    <w:link w:val="Footnote"/>
    <w:rsid w:val="001D7465"/>
    <w:rPr>
      <w:rFonts w:eastAsiaTheme="minorEastAsia" w:cstheme="minorHAnsi"/>
      <w:sz w:val="18"/>
      <w:szCs w:val="20"/>
    </w:rPr>
  </w:style>
  <w:style w:type="paragraph" w:customStyle="1" w:styleId="AlgorithmHeading">
    <w:name w:val="Algorithm Heading"/>
    <w:basedOn w:val="Normal"/>
    <w:link w:val="AlgorithmHeadingChar"/>
    <w:qFormat/>
    <w:rsid w:val="001D7465"/>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1D7465"/>
    <w:rPr>
      <w:rFonts w:eastAsia="Times New Roman" w:cstheme="minorHAnsi"/>
      <w:b/>
      <w:sz w:val="20"/>
      <w:szCs w:val="20"/>
    </w:rPr>
  </w:style>
  <w:style w:type="paragraph" w:customStyle="1" w:styleId="HeaderIL">
    <w:name w:val="Header IL"/>
    <w:basedOn w:val="Header"/>
    <w:link w:val="HeaderILChar"/>
    <w:qFormat/>
    <w:rsid w:val="001D7465"/>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1D7465"/>
    <w:rPr>
      <w:rFonts w:eastAsia="Times New Roman" w:cs="Times New Roman"/>
      <w:sz w:val="20"/>
    </w:rPr>
  </w:style>
  <w:style w:type="paragraph" w:customStyle="1" w:styleId="Footnote">
    <w:name w:val="Footnote"/>
    <w:basedOn w:val="FootnoteText"/>
    <w:link w:val="FootnoteChar"/>
    <w:autoRedefine/>
    <w:qFormat/>
    <w:rsid w:val="001D7465"/>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1D7465"/>
    <w:rPr>
      <w:rFonts w:eastAsia="Times New Roman" w:cs="Times New Roman"/>
      <w:sz w:val="20"/>
    </w:rPr>
  </w:style>
  <w:style w:type="paragraph" w:styleId="Header">
    <w:name w:val="header"/>
    <w:basedOn w:val="Normal"/>
    <w:link w:val="HeaderChar"/>
    <w:uiPriority w:val="99"/>
    <w:semiHidden/>
    <w:unhideWhenUsed/>
    <w:rsid w:val="001D7465"/>
    <w:pPr>
      <w:tabs>
        <w:tab w:val="center" w:pos="4680"/>
        <w:tab w:val="right" w:pos="9360"/>
      </w:tabs>
      <w:spacing w:after="0"/>
    </w:pPr>
  </w:style>
  <w:style w:type="character" w:customStyle="1" w:styleId="HeaderChar">
    <w:name w:val="Header Char"/>
    <w:basedOn w:val="DefaultParagraphFont"/>
    <w:link w:val="Header"/>
    <w:uiPriority w:val="99"/>
    <w:semiHidden/>
    <w:rsid w:val="001D7465"/>
    <w:rPr>
      <w:rFonts w:eastAsia="Times New Roman" w:cs="Times New Roman"/>
      <w:sz w:val="20"/>
    </w:rPr>
  </w:style>
  <w:style w:type="paragraph" w:styleId="FootnoteText">
    <w:name w:val="footnote text"/>
    <w:basedOn w:val="Normal"/>
    <w:link w:val="FootnoteTextChar"/>
    <w:uiPriority w:val="99"/>
    <w:semiHidden/>
    <w:unhideWhenUsed/>
    <w:rsid w:val="001D7465"/>
    <w:pPr>
      <w:spacing w:after="0"/>
    </w:pPr>
    <w:rPr>
      <w:szCs w:val="20"/>
    </w:rPr>
  </w:style>
  <w:style w:type="character" w:customStyle="1" w:styleId="FootnoteTextChar">
    <w:name w:val="Footnote Text Char"/>
    <w:basedOn w:val="DefaultParagraphFont"/>
    <w:link w:val="FootnoteText"/>
    <w:uiPriority w:val="99"/>
    <w:semiHidden/>
    <w:rsid w:val="001D7465"/>
    <w:rPr>
      <w:rFonts w:eastAsia="Times New Roman" w:cs="Times New Roman"/>
      <w:sz w:val="20"/>
      <w:szCs w:val="20"/>
    </w:rPr>
  </w:style>
  <w:style w:type="paragraph" w:styleId="BalloonText">
    <w:name w:val="Balloon Text"/>
    <w:basedOn w:val="Normal"/>
    <w:link w:val="BalloonTextChar"/>
    <w:uiPriority w:val="99"/>
    <w:semiHidden/>
    <w:unhideWhenUsed/>
    <w:rsid w:val="001D746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46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65"/>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1D7465"/>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1D7465"/>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1D7465"/>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1D7465"/>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1D7465"/>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1D7465"/>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1D7465"/>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1D7465"/>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1D7465"/>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D7465"/>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1D7465"/>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1D7465"/>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1D7465"/>
    <w:rPr>
      <w:rFonts w:ascii="Calibri" w:eastAsiaTheme="minorEastAsia" w:hAnsi="Calibri" w:cs="Arial"/>
      <w:bCs/>
      <w:i/>
      <w:noProof/>
    </w:rPr>
  </w:style>
  <w:style w:type="character" w:customStyle="1" w:styleId="Heading5Char">
    <w:name w:val="Heading 5 Char"/>
    <w:basedOn w:val="DefaultParagraphFont"/>
    <w:link w:val="Heading5"/>
    <w:uiPriority w:val="99"/>
    <w:rsid w:val="001D7465"/>
    <w:rPr>
      <w:rFonts w:ascii="Calibri" w:eastAsia="Times New Roman" w:hAnsi="Calibri" w:cs="Times New Roman"/>
      <w:sz w:val="20"/>
    </w:rPr>
  </w:style>
  <w:style w:type="character" w:customStyle="1" w:styleId="Heading6Char">
    <w:name w:val="Heading 6 Char"/>
    <w:basedOn w:val="DefaultParagraphFont"/>
    <w:link w:val="Heading6"/>
    <w:uiPriority w:val="9"/>
    <w:rsid w:val="001D7465"/>
    <w:rPr>
      <w:rFonts w:eastAsia="Times New Roman" w:cs="Calibri"/>
      <w:b/>
      <w:smallCaps/>
    </w:rPr>
  </w:style>
  <w:style w:type="character" w:customStyle="1" w:styleId="Heading7Char">
    <w:name w:val="Heading 7 Char"/>
    <w:basedOn w:val="DefaultParagraphFont"/>
    <w:link w:val="Heading7"/>
    <w:uiPriority w:val="99"/>
    <w:rsid w:val="001D7465"/>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1D7465"/>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1D7465"/>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1D7465"/>
    <w:rPr>
      <w:rFonts w:ascii="Calibri" w:eastAsiaTheme="minorEastAsia" w:hAnsi="Calibri" w:cs="Times New Roman"/>
      <w:bCs/>
      <w:sz w:val="24"/>
      <w:szCs w:val="24"/>
    </w:rPr>
  </w:style>
  <w:style w:type="table" w:styleId="TableGrid">
    <w:name w:val="Table Grid"/>
    <w:basedOn w:val="TableNormal"/>
    <w:uiPriority w:val="59"/>
    <w:rsid w:val="001D746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1D7465"/>
    <w:rPr>
      <w:rFonts w:ascii="Arial" w:hAnsi="Arial" w:cs="Times New Roman"/>
      <w:sz w:val="20"/>
      <w:vertAlign w:val="superscript"/>
    </w:rPr>
  </w:style>
  <w:style w:type="character" w:styleId="Hyperlink">
    <w:name w:val="Hyperlink"/>
    <w:uiPriority w:val="99"/>
    <w:rsid w:val="001D7465"/>
    <w:rPr>
      <w:rFonts w:cs="Times New Roman"/>
      <w:color w:val="0000FF"/>
      <w:u w:val="single"/>
    </w:rPr>
  </w:style>
  <w:style w:type="paragraph" w:styleId="ListParagraph">
    <w:name w:val="List Paragraph"/>
    <w:aliases w:val="TT - List Paragraph"/>
    <w:basedOn w:val="Normal"/>
    <w:link w:val="ListParagraphChar"/>
    <w:uiPriority w:val="34"/>
    <w:qFormat/>
    <w:rsid w:val="001D7465"/>
    <w:pPr>
      <w:ind w:left="720"/>
      <w:contextualSpacing/>
    </w:pPr>
  </w:style>
  <w:style w:type="character" w:customStyle="1" w:styleId="FootnoteChar">
    <w:name w:val="Footnote Char"/>
    <w:basedOn w:val="DefaultParagraphFont"/>
    <w:link w:val="Footnote"/>
    <w:rsid w:val="001D7465"/>
    <w:rPr>
      <w:rFonts w:eastAsiaTheme="minorEastAsia" w:cstheme="minorHAnsi"/>
      <w:sz w:val="18"/>
      <w:szCs w:val="20"/>
    </w:rPr>
  </w:style>
  <w:style w:type="paragraph" w:customStyle="1" w:styleId="AlgorithmHeading">
    <w:name w:val="Algorithm Heading"/>
    <w:basedOn w:val="Normal"/>
    <w:link w:val="AlgorithmHeadingChar"/>
    <w:qFormat/>
    <w:rsid w:val="001D7465"/>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1D7465"/>
    <w:rPr>
      <w:rFonts w:eastAsia="Times New Roman" w:cstheme="minorHAnsi"/>
      <w:b/>
      <w:sz w:val="20"/>
      <w:szCs w:val="20"/>
    </w:rPr>
  </w:style>
  <w:style w:type="paragraph" w:customStyle="1" w:styleId="HeaderIL">
    <w:name w:val="Header IL"/>
    <w:basedOn w:val="Header"/>
    <w:link w:val="HeaderILChar"/>
    <w:qFormat/>
    <w:rsid w:val="001D7465"/>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1D7465"/>
    <w:rPr>
      <w:rFonts w:eastAsia="Times New Roman" w:cs="Times New Roman"/>
      <w:sz w:val="20"/>
    </w:rPr>
  </w:style>
  <w:style w:type="paragraph" w:customStyle="1" w:styleId="Footnote">
    <w:name w:val="Footnote"/>
    <w:basedOn w:val="FootnoteText"/>
    <w:link w:val="FootnoteChar"/>
    <w:autoRedefine/>
    <w:qFormat/>
    <w:rsid w:val="001D7465"/>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1D7465"/>
    <w:rPr>
      <w:rFonts w:eastAsia="Times New Roman" w:cs="Times New Roman"/>
      <w:sz w:val="20"/>
    </w:rPr>
  </w:style>
  <w:style w:type="paragraph" w:styleId="Header">
    <w:name w:val="header"/>
    <w:basedOn w:val="Normal"/>
    <w:link w:val="HeaderChar"/>
    <w:uiPriority w:val="99"/>
    <w:semiHidden/>
    <w:unhideWhenUsed/>
    <w:rsid w:val="001D7465"/>
    <w:pPr>
      <w:tabs>
        <w:tab w:val="center" w:pos="4680"/>
        <w:tab w:val="right" w:pos="9360"/>
      </w:tabs>
      <w:spacing w:after="0"/>
    </w:pPr>
  </w:style>
  <w:style w:type="character" w:customStyle="1" w:styleId="HeaderChar">
    <w:name w:val="Header Char"/>
    <w:basedOn w:val="DefaultParagraphFont"/>
    <w:link w:val="Header"/>
    <w:uiPriority w:val="99"/>
    <w:semiHidden/>
    <w:rsid w:val="001D7465"/>
    <w:rPr>
      <w:rFonts w:eastAsia="Times New Roman" w:cs="Times New Roman"/>
      <w:sz w:val="20"/>
    </w:rPr>
  </w:style>
  <w:style w:type="paragraph" w:styleId="FootnoteText">
    <w:name w:val="footnote text"/>
    <w:basedOn w:val="Normal"/>
    <w:link w:val="FootnoteTextChar"/>
    <w:uiPriority w:val="99"/>
    <w:semiHidden/>
    <w:unhideWhenUsed/>
    <w:rsid w:val="001D7465"/>
    <w:pPr>
      <w:spacing w:after="0"/>
    </w:pPr>
    <w:rPr>
      <w:szCs w:val="20"/>
    </w:rPr>
  </w:style>
  <w:style w:type="character" w:customStyle="1" w:styleId="FootnoteTextChar">
    <w:name w:val="Footnote Text Char"/>
    <w:basedOn w:val="DefaultParagraphFont"/>
    <w:link w:val="FootnoteText"/>
    <w:uiPriority w:val="99"/>
    <w:semiHidden/>
    <w:rsid w:val="001D7465"/>
    <w:rPr>
      <w:rFonts w:eastAsia="Times New Roman" w:cs="Times New Roman"/>
      <w:sz w:val="20"/>
      <w:szCs w:val="20"/>
    </w:rPr>
  </w:style>
  <w:style w:type="paragraph" w:styleId="BalloonText">
    <w:name w:val="Balloon Text"/>
    <w:basedOn w:val="Normal"/>
    <w:link w:val="BalloonTextChar"/>
    <w:uiPriority w:val="99"/>
    <w:semiHidden/>
    <w:unhideWhenUsed/>
    <w:rsid w:val="001D746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46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pi.org/files/pdf/DistributionEfficiencyTable-BlueShee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F2B1BDAD</Template>
  <TotalTime>2</TotalTime>
  <Pages>5</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4724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2015-10-08T14:05:00Z</dcterms:created>
  <dcterms:modified xsi:type="dcterms:W3CDTF">2015-10-08T14:07:00Z</dcterms:modified>
</cp:coreProperties>
</file>