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126" w:rsidRPr="000B7BB6" w:rsidRDefault="00460126" w:rsidP="00460126">
      <w:pPr>
        <w:pStyle w:val="Heading3"/>
        <w:numPr>
          <w:ilvl w:val="2"/>
          <w:numId w:val="3"/>
        </w:numPr>
      </w:pPr>
      <w:bookmarkStart w:id="0" w:name="_Toc319489355"/>
      <w:bookmarkStart w:id="1" w:name="_Toc319662626"/>
      <w:bookmarkStart w:id="2" w:name="_Ref325427068"/>
      <w:bookmarkStart w:id="3" w:name="_Ref325427077"/>
      <w:bookmarkStart w:id="4" w:name="_Ref325427227"/>
      <w:bookmarkStart w:id="5" w:name="_Ref325427258"/>
      <w:bookmarkStart w:id="6" w:name="_Ref326051018"/>
      <w:bookmarkStart w:id="7" w:name="_Ref326051027"/>
      <w:bookmarkStart w:id="8" w:name="_Ref326051041"/>
      <w:bookmarkStart w:id="9" w:name="_Ref326051306"/>
      <w:bookmarkStart w:id="10" w:name="_Ref326051313"/>
      <w:bookmarkStart w:id="11" w:name="_Toc333219068"/>
      <w:bookmarkStart w:id="12" w:name="_Ref376522626"/>
      <w:bookmarkStart w:id="13" w:name="_Ref376522634"/>
      <w:bookmarkStart w:id="14" w:name="_Ref376528998"/>
      <w:bookmarkStart w:id="15" w:name="_Ref376529003"/>
      <w:bookmarkStart w:id="16" w:name="_Toc411593526"/>
      <w:r w:rsidRPr="000B7BB6">
        <w:t>ENERGY STAR Air Purifier/Cleaner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0B7BB6">
        <w:t xml:space="preserve"> </w:t>
      </w:r>
    </w:p>
    <w:p w:rsidR="00460126" w:rsidRPr="00B41203" w:rsidRDefault="00460126" w:rsidP="00460126">
      <w:pPr>
        <w:pStyle w:val="Heading6"/>
      </w:pPr>
      <w:r w:rsidRPr="00B41203">
        <w:t xml:space="preserve">Description </w:t>
      </w:r>
    </w:p>
    <w:p w:rsidR="00460126" w:rsidRPr="00A05FC2" w:rsidRDefault="00460126" w:rsidP="00460126">
      <w:pPr>
        <w:rPr>
          <w:rFonts w:cstheme="minorHAnsi"/>
        </w:rPr>
      </w:pPr>
      <w:r w:rsidRPr="00A05FC2">
        <w:rPr>
          <w:rFonts w:cstheme="minorHAnsi"/>
        </w:rPr>
        <w:t>An air purifier (cleaner) meeting the efficiency specifications of ENERGY STAR is purchased and installed in place of a model meeting the current federal standard.</w:t>
      </w:r>
    </w:p>
    <w:p w:rsidR="00460126" w:rsidRPr="000B7BB6" w:rsidRDefault="00460126" w:rsidP="00460126">
      <w:pPr>
        <w:widowControl/>
        <w:jc w:val="left"/>
        <w:rPr>
          <w:rFonts w:cstheme="minorHAnsi"/>
          <w:szCs w:val="20"/>
        </w:rPr>
      </w:pPr>
      <w:r w:rsidRPr="000B7BB6">
        <w:rPr>
          <w:rFonts w:cstheme="minorHAnsi"/>
          <w:szCs w:val="20"/>
        </w:rPr>
        <w:t xml:space="preserve">This measure was developed to be applicable to the following program types:  TOS, NC.  </w:t>
      </w:r>
    </w:p>
    <w:p w:rsidR="00460126" w:rsidRPr="000B7BB6" w:rsidRDefault="00460126" w:rsidP="00460126">
      <w:pPr>
        <w:widowControl/>
        <w:jc w:val="left"/>
        <w:rPr>
          <w:rFonts w:cstheme="minorHAnsi"/>
          <w:szCs w:val="20"/>
        </w:rPr>
      </w:pPr>
      <w:r w:rsidRPr="000B7BB6">
        <w:rPr>
          <w:rFonts w:cstheme="minorHAnsi"/>
          <w:szCs w:val="20"/>
        </w:rPr>
        <w:t>If applied to other program types, the measure savings should be verified.</w:t>
      </w:r>
    </w:p>
    <w:p w:rsidR="00460126" w:rsidRPr="00B41203" w:rsidRDefault="00460126" w:rsidP="00460126">
      <w:pPr>
        <w:pStyle w:val="Heading6"/>
      </w:pPr>
      <w:r w:rsidRPr="00B41203">
        <w:t xml:space="preserve">Definition of Efficient Equipment </w:t>
      </w:r>
    </w:p>
    <w:p w:rsidR="00460126" w:rsidRPr="00A05FC2" w:rsidRDefault="00460126" w:rsidP="00460126">
      <w:pPr>
        <w:rPr>
          <w:rFonts w:cstheme="minorHAnsi"/>
          <w:szCs w:val="20"/>
        </w:rPr>
      </w:pPr>
      <w:r w:rsidRPr="00A05FC2">
        <w:rPr>
          <w:rFonts w:cstheme="minorHAnsi"/>
          <w:szCs w:val="20"/>
        </w:rPr>
        <w:t>The efficient equipment is defined as an air purifier meeting the efficiency specifications of ENERGY STAR as provided below.</w:t>
      </w:r>
    </w:p>
    <w:p w:rsidR="00460126" w:rsidRPr="00A05FC2" w:rsidRDefault="00460126" w:rsidP="00460126">
      <w:pPr>
        <w:pStyle w:val="ListParagraph"/>
        <w:numPr>
          <w:ilvl w:val="0"/>
          <w:numId w:val="2"/>
        </w:numPr>
        <w:spacing w:before="100"/>
        <w:jc w:val="left"/>
        <w:rPr>
          <w:rFonts w:cstheme="minorHAnsi"/>
          <w:szCs w:val="20"/>
        </w:rPr>
      </w:pPr>
      <w:r w:rsidRPr="00A05FC2">
        <w:rPr>
          <w:rFonts w:cstheme="minorHAnsi"/>
          <w:szCs w:val="20"/>
        </w:rPr>
        <w:t>Must produce a minimum 50 Clean Air Delivery Rate (CADR) for Dust</w:t>
      </w:r>
      <w:r w:rsidRPr="00B41203">
        <w:rPr>
          <w:rStyle w:val="FootnoteReference"/>
          <w:rFonts w:cstheme="minorHAnsi"/>
        </w:rPr>
        <w:footnoteReference w:id="1"/>
      </w:r>
      <w:r w:rsidRPr="00A05FC2">
        <w:rPr>
          <w:rFonts w:cstheme="minorHAnsi"/>
          <w:szCs w:val="20"/>
        </w:rPr>
        <w:t xml:space="preserve"> to be considered under this specification.</w:t>
      </w:r>
    </w:p>
    <w:p w:rsidR="00460126" w:rsidRPr="00A05FC2" w:rsidRDefault="00460126" w:rsidP="00460126">
      <w:pPr>
        <w:pStyle w:val="ListParagraph"/>
        <w:numPr>
          <w:ilvl w:val="0"/>
          <w:numId w:val="2"/>
        </w:numPr>
        <w:spacing w:before="100"/>
        <w:jc w:val="left"/>
        <w:rPr>
          <w:rFonts w:cstheme="minorHAnsi"/>
          <w:szCs w:val="20"/>
        </w:rPr>
      </w:pPr>
      <w:r w:rsidRPr="00A05FC2">
        <w:rPr>
          <w:rFonts w:cstheme="minorHAnsi"/>
          <w:szCs w:val="20"/>
        </w:rPr>
        <w:t>Minimum Performance Requirement: = 2.0 CADR/Watt (Dust)</w:t>
      </w:r>
    </w:p>
    <w:p w:rsidR="00460126" w:rsidRPr="00A05FC2" w:rsidRDefault="00460126" w:rsidP="00460126">
      <w:pPr>
        <w:pStyle w:val="ListParagraph"/>
        <w:numPr>
          <w:ilvl w:val="0"/>
          <w:numId w:val="2"/>
        </w:numPr>
        <w:spacing w:before="100"/>
        <w:jc w:val="left"/>
        <w:rPr>
          <w:rFonts w:cstheme="minorHAnsi"/>
          <w:szCs w:val="20"/>
        </w:rPr>
      </w:pPr>
      <w:r w:rsidRPr="00A05FC2">
        <w:rPr>
          <w:rFonts w:cstheme="minorHAnsi"/>
          <w:szCs w:val="20"/>
        </w:rPr>
        <w:t>Standby Power Requirement: = 2.0 Watts Qualifying models that perform secondary consumer functions (e.g. clock, remote control) must meet the standby power requirement.</w:t>
      </w:r>
    </w:p>
    <w:p w:rsidR="00460126" w:rsidRPr="00A05FC2" w:rsidRDefault="00460126" w:rsidP="00460126">
      <w:pPr>
        <w:pStyle w:val="ListParagraph"/>
        <w:numPr>
          <w:ilvl w:val="0"/>
          <w:numId w:val="2"/>
        </w:numPr>
        <w:spacing w:before="100"/>
        <w:jc w:val="left"/>
        <w:rPr>
          <w:rFonts w:cstheme="minorHAnsi"/>
          <w:szCs w:val="20"/>
        </w:rPr>
      </w:pPr>
      <w:r w:rsidRPr="00A05FC2">
        <w:rPr>
          <w:rFonts w:cstheme="minorHAnsi"/>
          <w:szCs w:val="20"/>
        </w:rPr>
        <w:t>UL Safety Requirement: Models that emit ozone as a byproduct of air cleaning must meet UL Standard 867 (ozone production must not exceed 50ppb)</w:t>
      </w:r>
    </w:p>
    <w:p w:rsidR="00460126" w:rsidRPr="00B41203" w:rsidRDefault="00460126" w:rsidP="00460126">
      <w:pPr>
        <w:pStyle w:val="Heading6"/>
      </w:pPr>
      <w:r w:rsidRPr="00B41203">
        <w:t xml:space="preserve">Definition of Baseline Equipment </w:t>
      </w:r>
    </w:p>
    <w:p w:rsidR="00460126" w:rsidRPr="000B7BB6" w:rsidRDefault="00460126" w:rsidP="00460126">
      <w:pPr>
        <w:pStyle w:val="NormalWeb"/>
        <w:rPr>
          <w:rFonts w:asciiTheme="minorHAnsi" w:hAnsiTheme="minorHAnsi" w:cstheme="minorHAnsi"/>
          <w:sz w:val="20"/>
          <w:szCs w:val="20"/>
        </w:rPr>
      </w:pPr>
      <w:r w:rsidRPr="00A05FC2">
        <w:rPr>
          <w:rFonts w:asciiTheme="minorHAnsi" w:hAnsiTheme="minorHAnsi" w:cstheme="minorHAnsi"/>
          <w:sz w:val="20"/>
          <w:szCs w:val="20"/>
        </w:rPr>
        <w:t>The baseline equipment is assumed to be a conventional unit</w:t>
      </w:r>
      <w:r w:rsidRPr="00B41203">
        <w:rPr>
          <w:rStyle w:val="FootnoteReference"/>
          <w:rFonts w:asciiTheme="minorHAnsi" w:hAnsiTheme="minorHAnsi" w:cstheme="minorHAnsi"/>
        </w:rPr>
        <w:footnoteReference w:id="2"/>
      </w:r>
      <w:r w:rsidRPr="00A05FC2">
        <w:rPr>
          <w:rFonts w:asciiTheme="minorHAnsi" w:hAnsiTheme="minorHAnsi" w:cstheme="minorHAnsi"/>
          <w:sz w:val="20"/>
          <w:szCs w:val="20"/>
        </w:rPr>
        <w:t xml:space="preserve">. </w:t>
      </w:r>
    </w:p>
    <w:p w:rsidR="00460126" w:rsidRPr="00B41203" w:rsidRDefault="00460126" w:rsidP="00460126">
      <w:pPr>
        <w:pStyle w:val="Heading6"/>
      </w:pPr>
      <w:r w:rsidRPr="00B41203">
        <w:t xml:space="preserve">Deemed Lifetime of Efficient Equipment </w:t>
      </w:r>
    </w:p>
    <w:p w:rsidR="00460126" w:rsidRPr="00A05FC2" w:rsidRDefault="00460126" w:rsidP="00460126">
      <w:pPr>
        <w:rPr>
          <w:rFonts w:cstheme="minorHAnsi"/>
        </w:rPr>
      </w:pPr>
      <w:r w:rsidRPr="00A05FC2">
        <w:rPr>
          <w:rFonts w:cstheme="minorHAnsi"/>
        </w:rPr>
        <w:t>The measure life is assumed to be 9 years</w:t>
      </w:r>
      <w:r w:rsidRPr="00A05FC2">
        <w:rPr>
          <w:rFonts w:cstheme="minorHAnsi"/>
          <w:vertAlign w:val="superscript"/>
        </w:rPr>
        <w:footnoteReference w:id="3"/>
      </w:r>
      <w:r w:rsidRPr="00A05FC2">
        <w:rPr>
          <w:rFonts w:cstheme="minorHAnsi"/>
        </w:rPr>
        <w:t>.</w:t>
      </w:r>
    </w:p>
    <w:p w:rsidR="00460126" w:rsidRPr="00B41203" w:rsidRDefault="00460126" w:rsidP="00460126">
      <w:pPr>
        <w:pStyle w:val="Heading6"/>
      </w:pPr>
      <w:r w:rsidRPr="00B41203">
        <w:t xml:space="preserve">Deemed Measure Cost </w:t>
      </w:r>
    </w:p>
    <w:p w:rsidR="00460126" w:rsidRPr="00A05FC2" w:rsidRDefault="00460126" w:rsidP="00460126">
      <w:pPr>
        <w:rPr>
          <w:rFonts w:cstheme="minorHAnsi"/>
        </w:rPr>
      </w:pPr>
      <w:r w:rsidRPr="00A05FC2">
        <w:rPr>
          <w:rFonts w:cstheme="minorHAnsi"/>
        </w:rPr>
        <w:t>The incremental cost for this measure is $70.</w:t>
      </w:r>
      <w:r w:rsidRPr="00A05FC2">
        <w:rPr>
          <w:rFonts w:cstheme="minorHAnsi"/>
          <w:vertAlign w:val="superscript"/>
        </w:rPr>
        <w:footnoteReference w:id="4"/>
      </w:r>
    </w:p>
    <w:p w:rsidR="00460126" w:rsidRPr="00B41203" w:rsidRDefault="00460126" w:rsidP="00460126">
      <w:pPr>
        <w:pStyle w:val="Heading6"/>
      </w:pPr>
      <w:proofErr w:type="spellStart"/>
      <w:r w:rsidRPr="00B41203">
        <w:t>Loadshape</w:t>
      </w:r>
      <w:proofErr w:type="spellEnd"/>
    </w:p>
    <w:p w:rsidR="00460126" w:rsidRPr="000B7BB6" w:rsidRDefault="00460126" w:rsidP="00460126">
      <w:pPr>
        <w:widowControl/>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C53 - Flat</w:t>
      </w:r>
    </w:p>
    <w:p w:rsidR="00460126" w:rsidRPr="00B41203" w:rsidRDefault="00460126" w:rsidP="00460126">
      <w:pPr>
        <w:pStyle w:val="Heading6"/>
      </w:pPr>
      <w:r w:rsidRPr="00B41203">
        <w:t xml:space="preserve">Coincidence Factor </w:t>
      </w:r>
    </w:p>
    <w:p w:rsidR="00460126" w:rsidRDefault="00460126" w:rsidP="00460126">
      <w:pPr>
        <w:rPr>
          <w:rFonts w:cstheme="minorHAnsi"/>
        </w:rPr>
      </w:pPr>
      <w:r w:rsidRPr="00A05FC2">
        <w:rPr>
          <w:rFonts w:cstheme="minorHAnsi"/>
        </w:rPr>
        <w:t>The summer peak coincidence factor for this measure is assumed to be 100 % (the unit is assumed to be always on).</w:t>
      </w:r>
    </w:p>
    <w:p w:rsidR="00460126" w:rsidRPr="00A05FC2" w:rsidRDefault="00460126" w:rsidP="00460126">
      <w:pPr>
        <w:rPr>
          <w:rFonts w:cstheme="minorHAnsi"/>
        </w:rPr>
      </w:pPr>
    </w:p>
    <w:p w:rsidR="00460126" w:rsidRPr="00A05FC2" w:rsidRDefault="00460126" w:rsidP="00460126">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rsidR="00460126" w:rsidRPr="00B41203" w:rsidRDefault="00460126" w:rsidP="00460126">
      <w:pPr>
        <w:pStyle w:val="Heading6"/>
      </w:pPr>
      <w:r w:rsidRPr="00B41203">
        <w:t xml:space="preserve">Calculation of Savings </w:t>
      </w:r>
    </w:p>
    <w:p w:rsidR="00460126" w:rsidRPr="000B7BB6" w:rsidRDefault="00460126" w:rsidP="00460126">
      <w:pPr>
        <w:pStyle w:val="Heading6"/>
        <w:rPr>
          <w:noProof/>
        </w:rPr>
      </w:pPr>
      <w:r w:rsidRPr="000B7BB6">
        <w:t>Electric Energy Savings</w:t>
      </w:r>
    </w:p>
    <w:p w:rsidR="00460126" w:rsidRPr="00A05FC2" w:rsidRDefault="00460126" w:rsidP="00460126">
      <w:pPr>
        <w:ind w:left="720" w:firstLine="720"/>
        <w:rPr>
          <w:rFonts w:cstheme="minorHAnsi"/>
          <w:noProof/>
        </w:rPr>
      </w:pPr>
      <w:r w:rsidRPr="00A05FC2">
        <w:rPr>
          <w:rFonts w:cstheme="minorHAnsi"/>
          <w:noProof/>
        </w:rPr>
        <w:t>ΔkWh</w:t>
      </w:r>
      <w:r w:rsidRPr="00A05FC2">
        <w:rPr>
          <w:rFonts w:cstheme="minorHAnsi"/>
          <w:noProof/>
        </w:rPr>
        <w:tab/>
        <w:t xml:space="preserve">= </w:t>
      </w:r>
      <w:proofErr w:type="spellStart"/>
      <w:r w:rsidRPr="00A05FC2">
        <w:rPr>
          <w:rFonts w:cstheme="minorHAnsi"/>
        </w:rPr>
        <w:t>kWh</w:t>
      </w:r>
      <w:r w:rsidRPr="00A05FC2">
        <w:rPr>
          <w:rFonts w:cstheme="minorHAnsi"/>
          <w:vertAlign w:val="subscript"/>
        </w:rPr>
        <w:t>Base</w:t>
      </w:r>
      <w:proofErr w:type="spellEnd"/>
      <w:r w:rsidRPr="00A05FC2">
        <w:rPr>
          <w:rFonts w:cstheme="minorHAnsi"/>
          <w:i/>
        </w:rPr>
        <w:t xml:space="preserve"> </w:t>
      </w:r>
      <w:r w:rsidRPr="00A05FC2">
        <w:rPr>
          <w:rFonts w:cstheme="minorHAnsi"/>
        </w:rPr>
        <w:t xml:space="preserve">- </w:t>
      </w:r>
      <w:proofErr w:type="spellStart"/>
      <w:r w:rsidRPr="00A05FC2">
        <w:rPr>
          <w:rFonts w:cstheme="minorHAnsi"/>
        </w:rPr>
        <w:t>kWh</w:t>
      </w:r>
      <w:r w:rsidRPr="00A05FC2">
        <w:rPr>
          <w:rFonts w:cstheme="minorHAnsi"/>
          <w:vertAlign w:val="subscript"/>
        </w:rPr>
        <w:t>ESTAR</w:t>
      </w:r>
      <w:proofErr w:type="spellEnd"/>
    </w:p>
    <w:p w:rsidR="00460126" w:rsidRPr="00A05FC2" w:rsidRDefault="00460126" w:rsidP="00460126">
      <w:pPr>
        <w:rPr>
          <w:rFonts w:cstheme="minorHAnsi"/>
        </w:rPr>
      </w:pPr>
      <w:r w:rsidRPr="00A05FC2">
        <w:rPr>
          <w:rFonts w:cstheme="minorHAnsi"/>
        </w:rPr>
        <w:t>Where:</w:t>
      </w:r>
    </w:p>
    <w:p w:rsidR="00460126" w:rsidRPr="00A05FC2" w:rsidRDefault="00460126" w:rsidP="00460126">
      <w:pPr>
        <w:ind w:left="720"/>
        <w:rPr>
          <w:rFonts w:cstheme="minorHAnsi"/>
        </w:rPr>
      </w:pPr>
      <w:proofErr w:type="spellStart"/>
      <w:proofErr w:type="gramStart"/>
      <w:r w:rsidRPr="00A05FC2">
        <w:rPr>
          <w:rFonts w:cstheme="minorHAnsi"/>
        </w:rPr>
        <w:t>kWh</w:t>
      </w:r>
      <w:r w:rsidRPr="00A05FC2">
        <w:rPr>
          <w:rFonts w:cstheme="minorHAnsi"/>
          <w:vertAlign w:val="subscript"/>
        </w:rPr>
        <w:t>BASE</w:t>
      </w:r>
      <w:proofErr w:type="spellEnd"/>
      <w:proofErr w:type="gramEnd"/>
      <w:r w:rsidRPr="00A05FC2">
        <w:rPr>
          <w:rFonts w:cstheme="minorHAnsi"/>
          <w:vertAlign w:val="subscript"/>
        </w:rPr>
        <w:tab/>
      </w:r>
      <w:r w:rsidRPr="00A05FC2">
        <w:rPr>
          <w:rFonts w:cstheme="minorHAnsi"/>
          <w:vertAlign w:val="subscript"/>
        </w:rPr>
        <w:tab/>
      </w:r>
      <w:r w:rsidRPr="00A05FC2">
        <w:rPr>
          <w:rFonts w:cstheme="minorHAnsi"/>
          <w:i/>
        </w:rPr>
        <w:t xml:space="preserve">= </w:t>
      </w:r>
      <w:r w:rsidRPr="00A05FC2">
        <w:rPr>
          <w:rFonts w:cstheme="minorHAnsi"/>
        </w:rPr>
        <w:t>Baseline kWh consumption per year</w:t>
      </w:r>
      <w:r w:rsidRPr="00A05FC2">
        <w:rPr>
          <w:rStyle w:val="FootnoteReference"/>
          <w:rFonts w:cstheme="minorHAnsi"/>
        </w:rPr>
        <w:footnoteReference w:id="5"/>
      </w:r>
      <w:r w:rsidRPr="00A05FC2">
        <w:rPr>
          <w:rFonts w:cstheme="minorHAnsi"/>
        </w:rPr>
        <w:t xml:space="preserve"> </w:t>
      </w:r>
    </w:p>
    <w:p w:rsidR="00460126" w:rsidRPr="00A05FC2" w:rsidRDefault="00460126" w:rsidP="00460126">
      <w:pPr>
        <w:ind w:left="720"/>
        <w:rPr>
          <w:rFonts w:cstheme="minorHAnsi"/>
        </w:rPr>
      </w:pPr>
      <w:r w:rsidRPr="00A05FC2">
        <w:rPr>
          <w:rFonts w:cstheme="minorHAnsi"/>
        </w:rPr>
        <w:tab/>
      </w:r>
      <w:r w:rsidRPr="00A05FC2">
        <w:rPr>
          <w:rFonts w:cstheme="minorHAnsi"/>
        </w:rPr>
        <w:tab/>
        <w:t>= see table below</w:t>
      </w:r>
    </w:p>
    <w:p w:rsidR="00460126" w:rsidRPr="00A05FC2" w:rsidDel="00121F9F" w:rsidRDefault="00460126" w:rsidP="00460126">
      <w:pPr>
        <w:ind w:left="720"/>
        <w:rPr>
          <w:rFonts w:cstheme="minorHAnsi"/>
        </w:rPr>
      </w:pPr>
      <w:proofErr w:type="spellStart"/>
      <w:proofErr w:type="gramStart"/>
      <w:r w:rsidRPr="00A05FC2">
        <w:rPr>
          <w:rFonts w:cstheme="minorHAnsi"/>
        </w:rPr>
        <w:t>kWh</w:t>
      </w:r>
      <w:r w:rsidRPr="00A05FC2">
        <w:rPr>
          <w:rFonts w:cstheme="minorHAnsi"/>
          <w:vertAlign w:val="subscript"/>
        </w:rPr>
        <w:t>ESTAR</w:t>
      </w:r>
      <w:proofErr w:type="spellEnd"/>
      <w:proofErr w:type="gramEnd"/>
      <w:r w:rsidRPr="00A05FC2">
        <w:rPr>
          <w:rFonts w:cstheme="minorHAnsi"/>
          <w:vertAlign w:val="subscript"/>
        </w:rPr>
        <w:tab/>
      </w:r>
      <w:r w:rsidRPr="00A05FC2">
        <w:rPr>
          <w:rFonts w:cstheme="minorHAnsi"/>
          <w:vertAlign w:val="subscript"/>
        </w:rPr>
        <w:tab/>
      </w:r>
      <w:r w:rsidRPr="00A05FC2">
        <w:rPr>
          <w:rFonts w:cstheme="minorHAnsi"/>
          <w:i/>
        </w:rPr>
        <w:t xml:space="preserve">= </w:t>
      </w:r>
      <w:r w:rsidRPr="00A05FC2">
        <w:rPr>
          <w:rFonts w:cstheme="minorHAnsi"/>
        </w:rPr>
        <w:t>ENERGY STAR kWh consumption per year</w:t>
      </w:r>
      <w:r w:rsidRPr="00B41203">
        <w:rPr>
          <w:rStyle w:val="FootnoteReference"/>
          <w:rFonts w:cstheme="minorHAnsi"/>
        </w:rPr>
        <w:footnoteReference w:id="6"/>
      </w:r>
    </w:p>
    <w:p w:rsidR="00460126" w:rsidRPr="00A05FC2" w:rsidRDefault="00460126" w:rsidP="00460126">
      <w:pPr>
        <w:ind w:left="2160"/>
        <w:rPr>
          <w:rFonts w:cstheme="minorHAnsi"/>
        </w:rPr>
      </w:pPr>
      <w:r w:rsidRPr="00A05FC2">
        <w:rPr>
          <w:rFonts w:cstheme="minorHAnsi"/>
        </w:rPr>
        <w:t>= see table below</w:t>
      </w:r>
    </w:p>
    <w:tbl>
      <w:tblPr>
        <w:tblW w:w="9828"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27" w:author="Samuel Dent" w:date="2015-09-24T07:51:00Z">
          <w:tblPr>
            <w:tblW w:w="837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970"/>
        <w:gridCol w:w="1627"/>
        <w:gridCol w:w="1800"/>
        <w:gridCol w:w="1748"/>
        <w:gridCol w:w="1683"/>
        <w:tblGridChange w:id="28">
          <w:tblGrid>
            <w:gridCol w:w="2970"/>
            <w:gridCol w:w="1800"/>
            <w:gridCol w:w="1800"/>
            <w:gridCol w:w="1800"/>
            <w:gridCol w:w="1800"/>
          </w:tblGrid>
        </w:tblGridChange>
      </w:tblGrid>
      <w:tr w:rsidR="00D44783" w:rsidRPr="00A05FC2" w:rsidTr="00D44783">
        <w:trPr>
          <w:trHeight w:val="255"/>
          <w:jc w:val="center"/>
          <w:trPrChange w:id="29" w:author="Samuel Dent" w:date="2015-09-24T07:51:00Z">
            <w:trPr>
              <w:trHeight w:val="255"/>
              <w:jc w:val="center"/>
            </w:trPr>
          </w:trPrChange>
        </w:trPr>
        <w:tc>
          <w:tcPr>
            <w:tcW w:w="2970" w:type="dxa"/>
            <w:shd w:val="clear" w:color="auto" w:fill="7F7F7F" w:themeFill="text1" w:themeFillTint="80"/>
            <w:noWrap/>
            <w:vAlign w:val="bottom"/>
            <w:tcPrChange w:id="30" w:author="Samuel Dent" w:date="2015-09-24T07:51:00Z">
              <w:tcPr>
                <w:tcW w:w="2970" w:type="dxa"/>
                <w:shd w:val="clear" w:color="auto" w:fill="7F7F7F" w:themeFill="text1" w:themeFillTint="80"/>
                <w:noWrap/>
                <w:vAlign w:val="bottom"/>
              </w:tcPr>
            </w:tcPrChange>
          </w:tcPr>
          <w:p w:rsidR="00D44783" w:rsidRPr="000B7BB6" w:rsidRDefault="00D44783" w:rsidP="006E29D5">
            <w:pPr>
              <w:jc w:val="center"/>
              <w:rPr>
                <w:rFonts w:cstheme="minorHAnsi"/>
                <w:b/>
                <w:color w:val="FFFFFF" w:themeColor="background1"/>
              </w:rPr>
            </w:pPr>
            <w:r w:rsidRPr="000B7BB6">
              <w:rPr>
                <w:rFonts w:cstheme="minorHAnsi"/>
                <w:b/>
                <w:color w:val="FFFFFF" w:themeColor="background1"/>
              </w:rPr>
              <w:t>Clean Air Delivery Rate</w:t>
            </w:r>
            <w:ins w:id="31" w:author="Samuel Dent" w:date="2015-09-24T07:51:00Z">
              <w:r>
                <w:rPr>
                  <w:rFonts w:cstheme="minorHAnsi"/>
                  <w:b/>
                  <w:color w:val="FFFFFF" w:themeColor="background1"/>
                </w:rPr>
                <w:t xml:space="preserve"> (CADR)</w:t>
              </w:r>
            </w:ins>
          </w:p>
        </w:tc>
        <w:tc>
          <w:tcPr>
            <w:tcW w:w="1627" w:type="dxa"/>
            <w:shd w:val="clear" w:color="auto" w:fill="7F7F7F" w:themeFill="text1" w:themeFillTint="80"/>
            <w:tcPrChange w:id="32" w:author="Samuel Dent" w:date="2015-09-24T07:51:00Z">
              <w:tcPr>
                <w:tcW w:w="1800" w:type="dxa"/>
                <w:shd w:val="clear" w:color="auto" w:fill="7F7F7F" w:themeFill="text1" w:themeFillTint="80"/>
              </w:tcPr>
            </w:tcPrChange>
          </w:tcPr>
          <w:p w:rsidR="00D44783" w:rsidRPr="000B7BB6" w:rsidRDefault="00D44783" w:rsidP="006E29D5">
            <w:pPr>
              <w:jc w:val="center"/>
              <w:rPr>
                <w:ins w:id="33" w:author="Samuel Dent" w:date="2015-09-24T07:51:00Z"/>
                <w:rFonts w:cstheme="minorHAnsi"/>
                <w:b/>
                <w:color w:val="FFFFFF" w:themeColor="background1"/>
              </w:rPr>
            </w:pPr>
            <w:ins w:id="34" w:author="Samuel Dent" w:date="2015-09-24T07:51:00Z">
              <w:r>
                <w:rPr>
                  <w:rFonts w:cstheme="minorHAnsi"/>
                  <w:b/>
                  <w:color w:val="FFFFFF" w:themeColor="background1"/>
                </w:rPr>
                <w:t>CADR used in calculation (midpoint)</w:t>
              </w:r>
            </w:ins>
          </w:p>
        </w:tc>
        <w:tc>
          <w:tcPr>
            <w:tcW w:w="1800" w:type="dxa"/>
            <w:shd w:val="clear" w:color="auto" w:fill="7F7F7F" w:themeFill="text1" w:themeFillTint="80"/>
            <w:noWrap/>
            <w:vAlign w:val="bottom"/>
            <w:tcPrChange w:id="35" w:author="Samuel Dent" w:date="2015-09-24T07:51:00Z">
              <w:tcPr>
                <w:tcW w:w="1800" w:type="dxa"/>
                <w:shd w:val="clear" w:color="auto" w:fill="7F7F7F" w:themeFill="text1" w:themeFillTint="80"/>
                <w:noWrap/>
                <w:vAlign w:val="bottom"/>
              </w:tcPr>
            </w:tcPrChange>
          </w:tcPr>
          <w:p w:rsidR="00D44783" w:rsidRPr="000B7BB6" w:rsidRDefault="00D44783" w:rsidP="006E29D5">
            <w:pPr>
              <w:jc w:val="center"/>
              <w:rPr>
                <w:rFonts w:cstheme="minorHAnsi"/>
                <w:b/>
                <w:color w:val="FFFFFF" w:themeColor="background1"/>
              </w:rPr>
            </w:pPr>
            <w:r w:rsidRPr="000B7BB6">
              <w:rPr>
                <w:rFonts w:cstheme="minorHAnsi"/>
                <w:b/>
                <w:color w:val="FFFFFF" w:themeColor="background1"/>
              </w:rPr>
              <w:t>Baseline Unit Energy Consumption (kWh/year)</w:t>
            </w:r>
          </w:p>
        </w:tc>
        <w:tc>
          <w:tcPr>
            <w:tcW w:w="1748" w:type="dxa"/>
            <w:shd w:val="clear" w:color="auto" w:fill="7F7F7F" w:themeFill="text1" w:themeFillTint="80"/>
            <w:vAlign w:val="bottom"/>
            <w:tcPrChange w:id="36" w:author="Samuel Dent" w:date="2015-09-24T07:51:00Z">
              <w:tcPr>
                <w:tcW w:w="1800" w:type="dxa"/>
                <w:shd w:val="clear" w:color="auto" w:fill="7F7F7F" w:themeFill="text1" w:themeFillTint="80"/>
                <w:vAlign w:val="bottom"/>
              </w:tcPr>
            </w:tcPrChange>
          </w:tcPr>
          <w:p w:rsidR="00D44783" w:rsidRPr="000B7BB6" w:rsidRDefault="00D44783" w:rsidP="006E29D5">
            <w:pPr>
              <w:jc w:val="center"/>
              <w:rPr>
                <w:rFonts w:cstheme="minorHAnsi"/>
                <w:b/>
                <w:color w:val="FFFFFF" w:themeColor="background1"/>
              </w:rPr>
            </w:pPr>
            <w:r w:rsidRPr="000B7BB6">
              <w:rPr>
                <w:rFonts w:cstheme="minorHAnsi"/>
                <w:b/>
                <w:color w:val="FFFFFF" w:themeColor="background1"/>
              </w:rPr>
              <w:t>ENERGY STAR Unit Energy Consumption (kWh/year)</w:t>
            </w:r>
          </w:p>
        </w:tc>
        <w:tc>
          <w:tcPr>
            <w:tcW w:w="1683" w:type="dxa"/>
            <w:shd w:val="clear" w:color="auto" w:fill="7F7F7F" w:themeFill="text1" w:themeFillTint="80"/>
            <w:vAlign w:val="bottom"/>
            <w:tcPrChange w:id="37" w:author="Samuel Dent" w:date="2015-09-24T07:51:00Z">
              <w:tcPr>
                <w:tcW w:w="1800" w:type="dxa"/>
                <w:shd w:val="clear" w:color="auto" w:fill="7F7F7F" w:themeFill="text1" w:themeFillTint="80"/>
                <w:vAlign w:val="bottom"/>
              </w:tcPr>
            </w:tcPrChange>
          </w:tcPr>
          <w:p w:rsidR="00D44783" w:rsidRPr="000B7BB6" w:rsidRDefault="00D44783" w:rsidP="006E29D5">
            <w:pPr>
              <w:jc w:val="center"/>
              <w:rPr>
                <w:rFonts w:cstheme="minorHAnsi"/>
                <w:b/>
                <w:color w:val="FFFFFF" w:themeColor="background1"/>
              </w:rPr>
            </w:pPr>
            <w:proofErr w:type="spellStart"/>
            <w:r w:rsidRPr="000B7BB6">
              <w:rPr>
                <w:rFonts w:cstheme="minorHAnsi"/>
                <w:b/>
                <w:color w:val="FFFFFF" w:themeColor="background1"/>
              </w:rPr>
              <w:t>ΔkWH</w:t>
            </w:r>
            <w:proofErr w:type="spellEnd"/>
          </w:p>
        </w:tc>
      </w:tr>
      <w:tr w:rsidR="00D44783" w:rsidRPr="00A05FC2" w:rsidTr="00D44783">
        <w:trPr>
          <w:trHeight w:val="255"/>
          <w:jc w:val="center"/>
          <w:trPrChange w:id="38" w:author="Samuel Dent" w:date="2015-09-24T07:51:00Z">
            <w:trPr>
              <w:trHeight w:val="255"/>
              <w:jc w:val="center"/>
            </w:trPr>
          </w:trPrChange>
        </w:trPr>
        <w:tc>
          <w:tcPr>
            <w:tcW w:w="2970" w:type="dxa"/>
            <w:shd w:val="clear" w:color="auto" w:fill="auto"/>
            <w:noWrap/>
            <w:vAlign w:val="bottom"/>
            <w:hideMark/>
            <w:tcPrChange w:id="39" w:author="Samuel Dent" w:date="2015-09-24T07:51:00Z">
              <w:tcPr>
                <w:tcW w:w="2970" w:type="dxa"/>
                <w:shd w:val="clear" w:color="auto" w:fill="auto"/>
                <w:noWrap/>
                <w:vAlign w:val="bottom"/>
                <w:hideMark/>
              </w:tcPr>
            </w:tcPrChange>
          </w:tcPr>
          <w:p w:rsidR="00D44783" w:rsidRPr="00A05FC2" w:rsidRDefault="00D44783" w:rsidP="006E29D5">
            <w:pPr>
              <w:pStyle w:val="TableText"/>
            </w:pPr>
            <w:r w:rsidRPr="00A05FC2">
              <w:t>CADR 51-100</w:t>
            </w:r>
          </w:p>
        </w:tc>
        <w:tc>
          <w:tcPr>
            <w:tcW w:w="1627" w:type="dxa"/>
            <w:tcPrChange w:id="40" w:author="Samuel Dent" w:date="2015-09-24T07:51:00Z">
              <w:tcPr>
                <w:tcW w:w="1800" w:type="dxa"/>
              </w:tcPr>
            </w:tcPrChange>
          </w:tcPr>
          <w:p w:rsidR="00D44783" w:rsidRPr="00A05FC2" w:rsidRDefault="00D44783" w:rsidP="00D44783">
            <w:pPr>
              <w:pStyle w:val="TableText"/>
              <w:jc w:val="center"/>
              <w:rPr>
                <w:ins w:id="41" w:author="Samuel Dent" w:date="2015-09-24T07:51:00Z"/>
              </w:rPr>
              <w:pPrChange w:id="42" w:author="Samuel Dent" w:date="2015-09-24T07:52:00Z">
                <w:pPr>
                  <w:pStyle w:val="TableText"/>
                </w:pPr>
              </w:pPrChange>
            </w:pPr>
            <w:ins w:id="43" w:author="Samuel Dent" w:date="2015-09-24T07:51:00Z">
              <w:r>
                <w:t>75</w:t>
              </w:r>
            </w:ins>
          </w:p>
        </w:tc>
        <w:tc>
          <w:tcPr>
            <w:tcW w:w="1800" w:type="dxa"/>
            <w:shd w:val="clear" w:color="auto" w:fill="auto"/>
            <w:noWrap/>
            <w:vAlign w:val="bottom"/>
            <w:hideMark/>
            <w:tcPrChange w:id="44" w:author="Samuel Dent" w:date="2015-09-24T07:51:00Z">
              <w:tcPr>
                <w:tcW w:w="1800" w:type="dxa"/>
                <w:shd w:val="clear" w:color="auto" w:fill="auto"/>
                <w:noWrap/>
                <w:vAlign w:val="bottom"/>
                <w:hideMark/>
              </w:tcPr>
            </w:tcPrChange>
          </w:tcPr>
          <w:p w:rsidR="00D44783" w:rsidRPr="00D44783" w:rsidRDefault="00D44783" w:rsidP="00D44783">
            <w:pPr>
              <w:pStyle w:val="TableText"/>
              <w:jc w:val="center"/>
              <w:pPrChange w:id="45" w:author="Samuel Dent" w:date="2015-09-24T07:52:00Z">
                <w:pPr>
                  <w:pStyle w:val="TableText"/>
                </w:pPr>
              </w:pPrChange>
            </w:pPr>
            <w:ins w:id="46" w:author="Samuel Dent" w:date="2015-09-24T07:52:00Z">
              <w:r w:rsidRPr="00D44783">
                <w:rPr>
                  <w:bCs/>
                  <w:iCs/>
                  <w:color w:val="000000"/>
                </w:rPr>
                <w:t>441</w:t>
              </w:r>
            </w:ins>
            <w:del w:id="47" w:author="Samuel Dent" w:date="2015-09-24T07:52:00Z">
              <w:r w:rsidRPr="00D44783" w:rsidDel="00634E84">
                <w:delText>596</w:delText>
              </w:r>
            </w:del>
          </w:p>
        </w:tc>
        <w:tc>
          <w:tcPr>
            <w:tcW w:w="1748" w:type="dxa"/>
            <w:vAlign w:val="bottom"/>
            <w:tcPrChange w:id="48" w:author="Samuel Dent" w:date="2015-09-24T07:51:00Z">
              <w:tcPr>
                <w:tcW w:w="1800" w:type="dxa"/>
                <w:vAlign w:val="bottom"/>
              </w:tcPr>
            </w:tcPrChange>
          </w:tcPr>
          <w:p w:rsidR="00D44783" w:rsidRPr="00D44783" w:rsidRDefault="00D44783" w:rsidP="00D44783">
            <w:pPr>
              <w:pStyle w:val="TableText"/>
              <w:jc w:val="center"/>
              <w:pPrChange w:id="49" w:author="Samuel Dent" w:date="2015-09-24T07:52:00Z">
                <w:pPr>
                  <w:pStyle w:val="TableText"/>
                </w:pPr>
              </w:pPrChange>
            </w:pPr>
            <w:ins w:id="50" w:author="Samuel Dent" w:date="2015-09-24T07:52:00Z">
              <w:r w:rsidRPr="00D44783">
                <w:rPr>
                  <w:bCs/>
                  <w:iCs/>
                  <w:color w:val="000000"/>
                </w:rPr>
                <w:t>148</w:t>
              </w:r>
            </w:ins>
            <w:del w:id="51" w:author="Samuel Dent" w:date="2015-09-24T07:52:00Z">
              <w:r w:rsidRPr="00D44783" w:rsidDel="00634E84">
                <w:delText>329</w:delText>
              </w:r>
            </w:del>
          </w:p>
        </w:tc>
        <w:tc>
          <w:tcPr>
            <w:tcW w:w="1683" w:type="dxa"/>
            <w:vAlign w:val="bottom"/>
            <w:tcPrChange w:id="52" w:author="Samuel Dent" w:date="2015-09-24T07:51:00Z">
              <w:tcPr>
                <w:tcW w:w="1800" w:type="dxa"/>
                <w:vAlign w:val="bottom"/>
              </w:tcPr>
            </w:tcPrChange>
          </w:tcPr>
          <w:p w:rsidR="00D44783" w:rsidRPr="00D44783" w:rsidRDefault="00D44783" w:rsidP="00D44783">
            <w:pPr>
              <w:pStyle w:val="TableText"/>
              <w:jc w:val="center"/>
              <w:pPrChange w:id="53" w:author="Samuel Dent" w:date="2015-09-24T07:52:00Z">
                <w:pPr>
                  <w:pStyle w:val="TableText"/>
                </w:pPr>
              </w:pPrChange>
            </w:pPr>
            <w:ins w:id="54" w:author="Samuel Dent" w:date="2015-09-24T07:52:00Z">
              <w:r w:rsidRPr="00D44783">
                <w:rPr>
                  <w:bCs/>
                  <w:iCs/>
                  <w:color w:val="000000"/>
                </w:rPr>
                <w:t>293</w:t>
              </w:r>
            </w:ins>
            <w:del w:id="55" w:author="Samuel Dent" w:date="2015-09-24T07:52:00Z">
              <w:r w:rsidRPr="00D44783" w:rsidDel="00634E84">
                <w:delText>268</w:delText>
              </w:r>
            </w:del>
          </w:p>
        </w:tc>
      </w:tr>
      <w:tr w:rsidR="00D44783" w:rsidRPr="00A05FC2" w:rsidTr="00D44783">
        <w:trPr>
          <w:trHeight w:val="255"/>
          <w:jc w:val="center"/>
          <w:trPrChange w:id="56" w:author="Samuel Dent" w:date="2015-09-24T07:51:00Z">
            <w:trPr>
              <w:trHeight w:val="255"/>
              <w:jc w:val="center"/>
            </w:trPr>
          </w:trPrChange>
        </w:trPr>
        <w:tc>
          <w:tcPr>
            <w:tcW w:w="2970" w:type="dxa"/>
            <w:shd w:val="clear" w:color="auto" w:fill="auto"/>
            <w:noWrap/>
            <w:vAlign w:val="bottom"/>
            <w:hideMark/>
            <w:tcPrChange w:id="57" w:author="Samuel Dent" w:date="2015-09-24T07:51:00Z">
              <w:tcPr>
                <w:tcW w:w="2970" w:type="dxa"/>
                <w:shd w:val="clear" w:color="auto" w:fill="auto"/>
                <w:noWrap/>
                <w:vAlign w:val="bottom"/>
                <w:hideMark/>
              </w:tcPr>
            </w:tcPrChange>
          </w:tcPr>
          <w:p w:rsidR="00D44783" w:rsidRPr="00A05FC2" w:rsidRDefault="00D44783" w:rsidP="006E29D5">
            <w:pPr>
              <w:pStyle w:val="TableText"/>
            </w:pPr>
            <w:r w:rsidRPr="00A05FC2">
              <w:t>CADR 101-150</w:t>
            </w:r>
          </w:p>
        </w:tc>
        <w:tc>
          <w:tcPr>
            <w:tcW w:w="1627" w:type="dxa"/>
            <w:tcPrChange w:id="58" w:author="Samuel Dent" w:date="2015-09-24T07:51:00Z">
              <w:tcPr>
                <w:tcW w:w="1800" w:type="dxa"/>
              </w:tcPr>
            </w:tcPrChange>
          </w:tcPr>
          <w:p w:rsidR="00D44783" w:rsidRPr="00A05FC2" w:rsidRDefault="00D44783" w:rsidP="00D44783">
            <w:pPr>
              <w:pStyle w:val="TableText"/>
              <w:jc w:val="center"/>
              <w:rPr>
                <w:ins w:id="59" w:author="Samuel Dent" w:date="2015-09-24T07:51:00Z"/>
              </w:rPr>
              <w:pPrChange w:id="60" w:author="Samuel Dent" w:date="2015-09-24T07:52:00Z">
                <w:pPr>
                  <w:pStyle w:val="TableText"/>
                </w:pPr>
              </w:pPrChange>
            </w:pPr>
            <w:ins w:id="61" w:author="Samuel Dent" w:date="2015-09-24T07:51:00Z">
              <w:r>
                <w:t>125</w:t>
              </w:r>
            </w:ins>
          </w:p>
        </w:tc>
        <w:tc>
          <w:tcPr>
            <w:tcW w:w="1800" w:type="dxa"/>
            <w:shd w:val="clear" w:color="auto" w:fill="auto"/>
            <w:noWrap/>
            <w:vAlign w:val="bottom"/>
            <w:hideMark/>
            <w:tcPrChange w:id="62" w:author="Samuel Dent" w:date="2015-09-24T07:51:00Z">
              <w:tcPr>
                <w:tcW w:w="1800" w:type="dxa"/>
                <w:shd w:val="clear" w:color="auto" w:fill="auto"/>
                <w:noWrap/>
                <w:vAlign w:val="bottom"/>
                <w:hideMark/>
              </w:tcPr>
            </w:tcPrChange>
          </w:tcPr>
          <w:p w:rsidR="00D44783" w:rsidRPr="00D44783" w:rsidRDefault="00D44783" w:rsidP="00D44783">
            <w:pPr>
              <w:pStyle w:val="TableText"/>
              <w:jc w:val="center"/>
              <w:pPrChange w:id="63" w:author="Samuel Dent" w:date="2015-09-24T07:52:00Z">
                <w:pPr>
                  <w:pStyle w:val="TableText"/>
                </w:pPr>
              </w:pPrChange>
            </w:pPr>
            <w:ins w:id="64" w:author="Samuel Dent" w:date="2015-09-24T07:52:00Z">
              <w:r w:rsidRPr="00D44783">
                <w:rPr>
                  <w:bCs/>
                  <w:iCs/>
                  <w:color w:val="000000"/>
                </w:rPr>
                <w:t>733</w:t>
              </w:r>
            </w:ins>
            <w:del w:id="65" w:author="Samuel Dent" w:date="2015-09-24T07:52:00Z">
              <w:r w:rsidRPr="00D44783" w:rsidDel="00634E84">
                <w:delText>1,072</w:delText>
              </w:r>
            </w:del>
          </w:p>
        </w:tc>
        <w:tc>
          <w:tcPr>
            <w:tcW w:w="1748" w:type="dxa"/>
            <w:vAlign w:val="bottom"/>
            <w:tcPrChange w:id="66" w:author="Samuel Dent" w:date="2015-09-24T07:51:00Z">
              <w:tcPr>
                <w:tcW w:w="1800" w:type="dxa"/>
                <w:vAlign w:val="bottom"/>
              </w:tcPr>
            </w:tcPrChange>
          </w:tcPr>
          <w:p w:rsidR="00D44783" w:rsidRPr="00D44783" w:rsidRDefault="00D44783" w:rsidP="00D44783">
            <w:pPr>
              <w:pStyle w:val="TableText"/>
              <w:jc w:val="center"/>
              <w:pPrChange w:id="67" w:author="Samuel Dent" w:date="2015-09-24T07:52:00Z">
                <w:pPr>
                  <w:pStyle w:val="TableText"/>
                </w:pPr>
              </w:pPrChange>
            </w:pPr>
            <w:ins w:id="68" w:author="Samuel Dent" w:date="2015-09-24T07:52:00Z">
              <w:r w:rsidRPr="00D44783">
                <w:rPr>
                  <w:bCs/>
                  <w:iCs/>
                  <w:color w:val="000000"/>
                </w:rPr>
                <w:t>245</w:t>
              </w:r>
            </w:ins>
            <w:del w:id="69" w:author="Samuel Dent" w:date="2015-09-24T07:52:00Z">
              <w:r w:rsidRPr="00D44783" w:rsidDel="00634E84">
                <w:delText>548</w:delText>
              </w:r>
            </w:del>
          </w:p>
        </w:tc>
        <w:tc>
          <w:tcPr>
            <w:tcW w:w="1683" w:type="dxa"/>
            <w:vAlign w:val="bottom"/>
            <w:tcPrChange w:id="70" w:author="Samuel Dent" w:date="2015-09-24T07:51:00Z">
              <w:tcPr>
                <w:tcW w:w="1800" w:type="dxa"/>
                <w:vAlign w:val="bottom"/>
              </w:tcPr>
            </w:tcPrChange>
          </w:tcPr>
          <w:p w:rsidR="00D44783" w:rsidRPr="00D44783" w:rsidRDefault="00D44783" w:rsidP="00D44783">
            <w:pPr>
              <w:pStyle w:val="TableText"/>
              <w:jc w:val="center"/>
              <w:pPrChange w:id="71" w:author="Samuel Dent" w:date="2015-09-24T07:52:00Z">
                <w:pPr>
                  <w:pStyle w:val="TableText"/>
                </w:pPr>
              </w:pPrChange>
            </w:pPr>
            <w:ins w:id="72" w:author="Samuel Dent" w:date="2015-09-24T07:52:00Z">
              <w:r w:rsidRPr="00D44783">
                <w:rPr>
                  <w:bCs/>
                  <w:iCs/>
                  <w:color w:val="000000"/>
                </w:rPr>
                <w:t>488</w:t>
              </w:r>
            </w:ins>
            <w:del w:id="73" w:author="Samuel Dent" w:date="2015-09-24T07:52:00Z">
              <w:r w:rsidRPr="00D44783" w:rsidDel="00634E84">
                <w:delText>525</w:delText>
              </w:r>
            </w:del>
          </w:p>
        </w:tc>
      </w:tr>
      <w:tr w:rsidR="00D44783" w:rsidRPr="00A05FC2" w:rsidTr="00D44783">
        <w:trPr>
          <w:trHeight w:val="255"/>
          <w:jc w:val="center"/>
          <w:trPrChange w:id="74" w:author="Samuel Dent" w:date="2015-09-24T07:51:00Z">
            <w:trPr>
              <w:trHeight w:val="255"/>
              <w:jc w:val="center"/>
            </w:trPr>
          </w:trPrChange>
        </w:trPr>
        <w:tc>
          <w:tcPr>
            <w:tcW w:w="2970" w:type="dxa"/>
            <w:shd w:val="clear" w:color="auto" w:fill="auto"/>
            <w:noWrap/>
            <w:vAlign w:val="bottom"/>
            <w:hideMark/>
            <w:tcPrChange w:id="75" w:author="Samuel Dent" w:date="2015-09-24T07:51:00Z">
              <w:tcPr>
                <w:tcW w:w="2970" w:type="dxa"/>
                <w:shd w:val="clear" w:color="auto" w:fill="auto"/>
                <w:noWrap/>
                <w:vAlign w:val="bottom"/>
                <w:hideMark/>
              </w:tcPr>
            </w:tcPrChange>
          </w:tcPr>
          <w:p w:rsidR="00D44783" w:rsidRPr="00A05FC2" w:rsidRDefault="00D44783" w:rsidP="006E29D5">
            <w:pPr>
              <w:pStyle w:val="TableText"/>
            </w:pPr>
            <w:r w:rsidRPr="00A05FC2">
              <w:t>CADR 151-200</w:t>
            </w:r>
          </w:p>
        </w:tc>
        <w:tc>
          <w:tcPr>
            <w:tcW w:w="1627" w:type="dxa"/>
            <w:tcPrChange w:id="76" w:author="Samuel Dent" w:date="2015-09-24T07:51:00Z">
              <w:tcPr>
                <w:tcW w:w="1800" w:type="dxa"/>
              </w:tcPr>
            </w:tcPrChange>
          </w:tcPr>
          <w:p w:rsidR="00D44783" w:rsidRPr="00A05FC2" w:rsidRDefault="00D44783" w:rsidP="00D44783">
            <w:pPr>
              <w:pStyle w:val="TableText"/>
              <w:jc w:val="center"/>
              <w:rPr>
                <w:ins w:id="77" w:author="Samuel Dent" w:date="2015-09-24T07:51:00Z"/>
              </w:rPr>
              <w:pPrChange w:id="78" w:author="Samuel Dent" w:date="2015-09-24T07:52:00Z">
                <w:pPr>
                  <w:pStyle w:val="TableText"/>
                </w:pPr>
              </w:pPrChange>
            </w:pPr>
            <w:ins w:id="79" w:author="Samuel Dent" w:date="2015-09-24T07:51:00Z">
              <w:r>
                <w:t>175</w:t>
              </w:r>
            </w:ins>
          </w:p>
        </w:tc>
        <w:tc>
          <w:tcPr>
            <w:tcW w:w="1800" w:type="dxa"/>
            <w:shd w:val="clear" w:color="auto" w:fill="auto"/>
            <w:noWrap/>
            <w:vAlign w:val="bottom"/>
            <w:hideMark/>
            <w:tcPrChange w:id="80" w:author="Samuel Dent" w:date="2015-09-24T07:51:00Z">
              <w:tcPr>
                <w:tcW w:w="1800" w:type="dxa"/>
                <w:shd w:val="clear" w:color="auto" w:fill="auto"/>
                <w:noWrap/>
                <w:vAlign w:val="bottom"/>
                <w:hideMark/>
              </w:tcPr>
            </w:tcPrChange>
          </w:tcPr>
          <w:p w:rsidR="00D44783" w:rsidRPr="00D44783" w:rsidRDefault="00D44783" w:rsidP="00D44783">
            <w:pPr>
              <w:pStyle w:val="TableText"/>
              <w:jc w:val="center"/>
              <w:pPrChange w:id="81" w:author="Samuel Dent" w:date="2015-09-24T07:52:00Z">
                <w:pPr>
                  <w:pStyle w:val="TableText"/>
                </w:pPr>
              </w:pPrChange>
            </w:pPr>
            <w:ins w:id="82" w:author="Samuel Dent" w:date="2015-09-24T07:52:00Z">
              <w:r w:rsidRPr="00D44783">
                <w:rPr>
                  <w:bCs/>
                  <w:iCs/>
                  <w:color w:val="000000"/>
                </w:rPr>
                <w:t>1025</w:t>
              </w:r>
            </w:ins>
            <w:del w:id="83" w:author="Samuel Dent" w:date="2015-09-24T07:52:00Z">
              <w:r w:rsidRPr="00D44783" w:rsidDel="00634E84">
                <w:delText>1,480</w:delText>
              </w:r>
            </w:del>
          </w:p>
        </w:tc>
        <w:tc>
          <w:tcPr>
            <w:tcW w:w="1748" w:type="dxa"/>
            <w:vAlign w:val="bottom"/>
            <w:tcPrChange w:id="84" w:author="Samuel Dent" w:date="2015-09-24T07:51:00Z">
              <w:tcPr>
                <w:tcW w:w="1800" w:type="dxa"/>
                <w:vAlign w:val="bottom"/>
              </w:tcPr>
            </w:tcPrChange>
          </w:tcPr>
          <w:p w:rsidR="00D44783" w:rsidRPr="00D44783" w:rsidRDefault="00D44783" w:rsidP="00D44783">
            <w:pPr>
              <w:pStyle w:val="TableText"/>
              <w:jc w:val="center"/>
              <w:pPrChange w:id="85" w:author="Samuel Dent" w:date="2015-09-24T07:52:00Z">
                <w:pPr>
                  <w:pStyle w:val="TableText"/>
                </w:pPr>
              </w:pPrChange>
            </w:pPr>
            <w:ins w:id="86" w:author="Samuel Dent" w:date="2015-09-24T07:52:00Z">
              <w:r w:rsidRPr="00D44783">
                <w:rPr>
                  <w:bCs/>
                  <w:iCs/>
                  <w:color w:val="000000"/>
                </w:rPr>
                <w:t>342</w:t>
              </w:r>
            </w:ins>
            <w:del w:id="87" w:author="Samuel Dent" w:date="2015-09-24T07:52:00Z">
              <w:r w:rsidRPr="00D44783" w:rsidDel="00634E84">
                <w:delText>767</w:delText>
              </w:r>
            </w:del>
          </w:p>
        </w:tc>
        <w:tc>
          <w:tcPr>
            <w:tcW w:w="1683" w:type="dxa"/>
            <w:vAlign w:val="bottom"/>
            <w:tcPrChange w:id="88" w:author="Samuel Dent" w:date="2015-09-24T07:51:00Z">
              <w:tcPr>
                <w:tcW w:w="1800" w:type="dxa"/>
                <w:vAlign w:val="bottom"/>
              </w:tcPr>
            </w:tcPrChange>
          </w:tcPr>
          <w:p w:rsidR="00D44783" w:rsidRPr="00D44783" w:rsidRDefault="00D44783" w:rsidP="00D44783">
            <w:pPr>
              <w:pStyle w:val="TableText"/>
              <w:jc w:val="center"/>
              <w:pPrChange w:id="89" w:author="Samuel Dent" w:date="2015-09-24T07:52:00Z">
                <w:pPr>
                  <w:pStyle w:val="TableText"/>
                </w:pPr>
              </w:pPrChange>
            </w:pPr>
            <w:ins w:id="90" w:author="Samuel Dent" w:date="2015-09-24T07:52:00Z">
              <w:r w:rsidRPr="00D44783">
                <w:rPr>
                  <w:bCs/>
                  <w:iCs/>
                  <w:color w:val="000000"/>
                </w:rPr>
                <w:t>683</w:t>
              </w:r>
            </w:ins>
            <w:del w:id="91" w:author="Samuel Dent" w:date="2015-09-24T07:52:00Z">
              <w:r w:rsidRPr="00D44783" w:rsidDel="00634E84">
                <w:delText>714</w:delText>
              </w:r>
            </w:del>
          </w:p>
        </w:tc>
      </w:tr>
      <w:tr w:rsidR="00D44783" w:rsidRPr="00A05FC2" w:rsidTr="00D44783">
        <w:trPr>
          <w:trHeight w:val="255"/>
          <w:jc w:val="center"/>
          <w:trPrChange w:id="92" w:author="Samuel Dent" w:date="2015-09-24T07:51:00Z">
            <w:trPr>
              <w:trHeight w:val="255"/>
              <w:jc w:val="center"/>
            </w:trPr>
          </w:trPrChange>
        </w:trPr>
        <w:tc>
          <w:tcPr>
            <w:tcW w:w="2970" w:type="dxa"/>
            <w:shd w:val="clear" w:color="auto" w:fill="auto"/>
            <w:noWrap/>
            <w:vAlign w:val="bottom"/>
            <w:hideMark/>
            <w:tcPrChange w:id="93" w:author="Samuel Dent" w:date="2015-09-24T07:51:00Z">
              <w:tcPr>
                <w:tcW w:w="2970" w:type="dxa"/>
                <w:shd w:val="clear" w:color="auto" w:fill="auto"/>
                <w:noWrap/>
                <w:vAlign w:val="bottom"/>
                <w:hideMark/>
              </w:tcPr>
            </w:tcPrChange>
          </w:tcPr>
          <w:p w:rsidR="00D44783" w:rsidRPr="00A05FC2" w:rsidRDefault="00D44783" w:rsidP="006E29D5">
            <w:pPr>
              <w:pStyle w:val="TableText"/>
            </w:pPr>
            <w:r w:rsidRPr="00A05FC2">
              <w:t>CADR 201-250</w:t>
            </w:r>
          </w:p>
        </w:tc>
        <w:tc>
          <w:tcPr>
            <w:tcW w:w="1627" w:type="dxa"/>
            <w:tcPrChange w:id="94" w:author="Samuel Dent" w:date="2015-09-24T07:51:00Z">
              <w:tcPr>
                <w:tcW w:w="1800" w:type="dxa"/>
              </w:tcPr>
            </w:tcPrChange>
          </w:tcPr>
          <w:p w:rsidR="00D44783" w:rsidRPr="00A05FC2" w:rsidRDefault="00D44783" w:rsidP="00D44783">
            <w:pPr>
              <w:pStyle w:val="TableText"/>
              <w:jc w:val="center"/>
              <w:rPr>
                <w:ins w:id="95" w:author="Samuel Dent" w:date="2015-09-24T07:51:00Z"/>
              </w:rPr>
              <w:pPrChange w:id="96" w:author="Samuel Dent" w:date="2015-09-24T07:52:00Z">
                <w:pPr>
                  <w:pStyle w:val="TableText"/>
                </w:pPr>
              </w:pPrChange>
            </w:pPr>
            <w:ins w:id="97" w:author="Samuel Dent" w:date="2015-09-24T07:51:00Z">
              <w:r>
                <w:t>225</w:t>
              </w:r>
            </w:ins>
          </w:p>
        </w:tc>
        <w:tc>
          <w:tcPr>
            <w:tcW w:w="1800" w:type="dxa"/>
            <w:shd w:val="clear" w:color="auto" w:fill="auto"/>
            <w:noWrap/>
            <w:vAlign w:val="bottom"/>
            <w:hideMark/>
            <w:tcPrChange w:id="98" w:author="Samuel Dent" w:date="2015-09-24T07:51:00Z">
              <w:tcPr>
                <w:tcW w:w="1800" w:type="dxa"/>
                <w:shd w:val="clear" w:color="auto" w:fill="auto"/>
                <w:noWrap/>
                <w:vAlign w:val="bottom"/>
                <w:hideMark/>
              </w:tcPr>
            </w:tcPrChange>
          </w:tcPr>
          <w:p w:rsidR="00D44783" w:rsidRPr="00D44783" w:rsidRDefault="00D44783" w:rsidP="00D44783">
            <w:pPr>
              <w:pStyle w:val="TableText"/>
              <w:jc w:val="center"/>
              <w:pPrChange w:id="99" w:author="Samuel Dent" w:date="2015-09-24T07:52:00Z">
                <w:pPr>
                  <w:pStyle w:val="TableText"/>
                </w:pPr>
              </w:pPrChange>
            </w:pPr>
            <w:ins w:id="100" w:author="Samuel Dent" w:date="2015-09-24T07:52:00Z">
              <w:r w:rsidRPr="00D44783">
                <w:rPr>
                  <w:bCs/>
                  <w:iCs/>
                  <w:color w:val="000000"/>
                </w:rPr>
                <w:t>1317</w:t>
              </w:r>
            </w:ins>
            <w:del w:id="101" w:author="Samuel Dent" w:date="2015-09-24T07:52:00Z">
              <w:r w:rsidRPr="00D44783" w:rsidDel="00634E84">
                <w:delText>1,887</w:delText>
              </w:r>
            </w:del>
          </w:p>
        </w:tc>
        <w:tc>
          <w:tcPr>
            <w:tcW w:w="1748" w:type="dxa"/>
            <w:vAlign w:val="bottom"/>
            <w:tcPrChange w:id="102" w:author="Samuel Dent" w:date="2015-09-24T07:51:00Z">
              <w:tcPr>
                <w:tcW w:w="1800" w:type="dxa"/>
                <w:vAlign w:val="bottom"/>
              </w:tcPr>
            </w:tcPrChange>
          </w:tcPr>
          <w:p w:rsidR="00D44783" w:rsidRPr="00D44783" w:rsidRDefault="00D44783" w:rsidP="00D44783">
            <w:pPr>
              <w:pStyle w:val="TableText"/>
              <w:jc w:val="center"/>
              <w:pPrChange w:id="103" w:author="Samuel Dent" w:date="2015-09-24T07:52:00Z">
                <w:pPr>
                  <w:pStyle w:val="TableText"/>
                </w:pPr>
              </w:pPrChange>
            </w:pPr>
            <w:ins w:id="104" w:author="Samuel Dent" w:date="2015-09-24T07:52:00Z">
              <w:r w:rsidRPr="00D44783">
                <w:rPr>
                  <w:bCs/>
                  <w:iCs/>
                  <w:color w:val="000000"/>
                </w:rPr>
                <w:t>440</w:t>
              </w:r>
            </w:ins>
            <w:del w:id="105" w:author="Samuel Dent" w:date="2015-09-24T07:52:00Z">
              <w:r w:rsidRPr="00D44783" w:rsidDel="00634E84">
                <w:delText>986</w:delText>
              </w:r>
            </w:del>
          </w:p>
        </w:tc>
        <w:tc>
          <w:tcPr>
            <w:tcW w:w="1683" w:type="dxa"/>
            <w:vAlign w:val="bottom"/>
            <w:tcPrChange w:id="106" w:author="Samuel Dent" w:date="2015-09-24T07:51:00Z">
              <w:tcPr>
                <w:tcW w:w="1800" w:type="dxa"/>
                <w:vAlign w:val="bottom"/>
              </w:tcPr>
            </w:tcPrChange>
          </w:tcPr>
          <w:p w:rsidR="00D44783" w:rsidRPr="00D44783" w:rsidRDefault="00D44783" w:rsidP="00D44783">
            <w:pPr>
              <w:pStyle w:val="TableText"/>
              <w:jc w:val="center"/>
              <w:pPrChange w:id="107" w:author="Samuel Dent" w:date="2015-09-24T07:52:00Z">
                <w:pPr>
                  <w:pStyle w:val="TableText"/>
                </w:pPr>
              </w:pPrChange>
            </w:pPr>
            <w:ins w:id="108" w:author="Samuel Dent" w:date="2015-09-24T07:52:00Z">
              <w:r w:rsidRPr="00D44783">
                <w:rPr>
                  <w:bCs/>
                  <w:iCs/>
                  <w:color w:val="000000"/>
                </w:rPr>
                <w:t>877</w:t>
              </w:r>
            </w:ins>
            <w:del w:id="109" w:author="Samuel Dent" w:date="2015-09-24T07:52:00Z">
              <w:r w:rsidRPr="00D44783" w:rsidDel="00634E84">
                <w:delText>902</w:delText>
              </w:r>
            </w:del>
          </w:p>
        </w:tc>
      </w:tr>
      <w:tr w:rsidR="00D44783" w:rsidRPr="00A05FC2" w:rsidTr="00D44783">
        <w:trPr>
          <w:trHeight w:val="255"/>
          <w:jc w:val="center"/>
          <w:trPrChange w:id="110" w:author="Samuel Dent" w:date="2015-09-24T07:51:00Z">
            <w:trPr>
              <w:trHeight w:val="255"/>
              <w:jc w:val="center"/>
            </w:trPr>
          </w:trPrChange>
        </w:trPr>
        <w:tc>
          <w:tcPr>
            <w:tcW w:w="2970" w:type="dxa"/>
            <w:shd w:val="clear" w:color="auto" w:fill="auto"/>
            <w:noWrap/>
            <w:vAlign w:val="bottom"/>
            <w:hideMark/>
            <w:tcPrChange w:id="111" w:author="Samuel Dent" w:date="2015-09-24T07:51:00Z">
              <w:tcPr>
                <w:tcW w:w="2970" w:type="dxa"/>
                <w:shd w:val="clear" w:color="auto" w:fill="auto"/>
                <w:noWrap/>
                <w:vAlign w:val="bottom"/>
                <w:hideMark/>
              </w:tcPr>
            </w:tcPrChange>
          </w:tcPr>
          <w:p w:rsidR="00D44783" w:rsidRPr="00A05FC2" w:rsidRDefault="00D44783" w:rsidP="006E29D5">
            <w:pPr>
              <w:pStyle w:val="TableText"/>
            </w:pPr>
            <w:r w:rsidRPr="00A05FC2">
              <w:t>CADR Over 250</w:t>
            </w:r>
          </w:p>
        </w:tc>
        <w:tc>
          <w:tcPr>
            <w:tcW w:w="1627" w:type="dxa"/>
            <w:tcPrChange w:id="112" w:author="Samuel Dent" w:date="2015-09-24T07:51:00Z">
              <w:tcPr>
                <w:tcW w:w="1800" w:type="dxa"/>
              </w:tcPr>
            </w:tcPrChange>
          </w:tcPr>
          <w:p w:rsidR="00D44783" w:rsidRPr="00A05FC2" w:rsidRDefault="00D44783" w:rsidP="00D44783">
            <w:pPr>
              <w:pStyle w:val="TableText"/>
              <w:jc w:val="center"/>
              <w:rPr>
                <w:ins w:id="113" w:author="Samuel Dent" w:date="2015-09-24T07:51:00Z"/>
              </w:rPr>
              <w:pPrChange w:id="114" w:author="Samuel Dent" w:date="2015-09-24T07:52:00Z">
                <w:pPr>
                  <w:pStyle w:val="TableText"/>
                </w:pPr>
              </w:pPrChange>
            </w:pPr>
            <w:ins w:id="115" w:author="Samuel Dent" w:date="2015-09-24T07:51:00Z">
              <w:r>
                <w:t>300</w:t>
              </w:r>
            </w:ins>
          </w:p>
        </w:tc>
        <w:tc>
          <w:tcPr>
            <w:tcW w:w="1800" w:type="dxa"/>
            <w:shd w:val="clear" w:color="auto" w:fill="auto"/>
            <w:noWrap/>
            <w:vAlign w:val="bottom"/>
            <w:hideMark/>
            <w:tcPrChange w:id="116" w:author="Samuel Dent" w:date="2015-09-24T07:51:00Z">
              <w:tcPr>
                <w:tcW w:w="1800" w:type="dxa"/>
                <w:shd w:val="clear" w:color="auto" w:fill="auto"/>
                <w:noWrap/>
                <w:vAlign w:val="bottom"/>
                <w:hideMark/>
              </w:tcPr>
            </w:tcPrChange>
          </w:tcPr>
          <w:p w:rsidR="00D44783" w:rsidRPr="00D44783" w:rsidRDefault="00D44783" w:rsidP="00D44783">
            <w:pPr>
              <w:pStyle w:val="TableText"/>
              <w:jc w:val="center"/>
              <w:pPrChange w:id="117" w:author="Samuel Dent" w:date="2015-09-24T07:52:00Z">
                <w:pPr>
                  <w:pStyle w:val="TableText"/>
                </w:pPr>
              </w:pPrChange>
            </w:pPr>
            <w:ins w:id="118" w:author="Samuel Dent" w:date="2015-09-24T07:52:00Z">
              <w:r w:rsidRPr="00D44783">
                <w:rPr>
                  <w:bCs/>
                  <w:iCs/>
                  <w:color w:val="000000"/>
                </w:rPr>
                <w:t>1755</w:t>
              </w:r>
            </w:ins>
            <w:del w:id="119" w:author="Samuel Dent" w:date="2015-09-24T07:52:00Z">
              <w:r w:rsidRPr="00D44783" w:rsidDel="00634E84">
                <w:delText>1,641</w:delText>
              </w:r>
            </w:del>
          </w:p>
        </w:tc>
        <w:tc>
          <w:tcPr>
            <w:tcW w:w="1748" w:type="dxa"/>
            <w:vAlign w:val="bottom"/>
            <w:tcPrChange w:id="120" w:author="Samuel Dent" w:date="2015-09-24T07:51:00Z">
              <w:tcPr>
                <w:tcW w:w="1800" w:type="dxa"/>
                <w:vAlign w:val="bottom"/>
              </w:tcPr>
            </w:tcPrChange>
          </w:tcPr>
          <w:p w:rsidR="00D44783" w:rsidRPr="00D44783" w:rsidRDefault="00D44783" w:rsidP="00D44783">
            <w:pPr>
              <w:pStyle w:val="TableText"/>
              <w:jc w:val="center"/>
              <w:pPrChange w:id="121" w:author="Samuel Dent" w:date="2015-09-24T07:52:00Z">
                <w:pPr>
                  <w:pStyle w:val="TableText"/>
                </w:pPr>
              </w:pPrChange>
            </w:pPr>
            <w:ins w:id="122" w:author="Samuel Dent" w:date="2015-09-24T07:52:00Z">
              <w:r w:rsidRPr="00D44783">
                <w:rPr>
                  <w:bCs/>
                  <w:iCs/>
                  <w:color w:val="000000"/>
                </w:rPr>
                <w:t>586</w:t>
              </w:r>
            </w:ins>
            <w:del w:id="123" w:author="Samuel Dent" w:date="2015-09-24T07:52:00Z">
              <w:r w:rsidRPr="00D44783" w:rsidDel="00634E84">
                <w:delText>1205</w:delText>
              </w:r>
            </w:del>
          </w:p>
        </w:tc>
        <w:tc>
          <w:tcPr>
            <w:tcW w:w="1683" w:type="dxa"/>
            <w:vAlign w:val="bottom"/>
            <w:tcPrChange w:id="124" w:author="Samuel Dent" w:date="2015-09-24T07:51:00Z">
              <w:tcPr>
                <w:tcW w:w="1800" w:type="dxa"/>
                <w:vAlign w:val="bottom"/>
              </w:tcPr>
            </w:tcPrChange>
          </w:tcPr>
          <w:p w:rsidR="00D44783" w:rsidRPr="00D44783" w:rsidRDefault="00D44783" w:rsidP="00D44783">
            <w:pPr>
              <w:pStyle w:val="TableText"/>
              <w:jc w:val="center"/>
              <w:pPrChange w:id="125" w:author="Samuel Dent" w:date="2015-09-24T07:52:00Z">
                <w:pPr>
                  <w:pStyle w:val="TableText"/>
                </w:pPr>
              </w:pPrChange>
            </w:pPr>
            <w:ins w:id="126" w:author="Samuel Dent" w:date="2015-09-24T07:52:00Z">
              <w:r w:rsidRPr="00D44783">
                <w:rPr>
                  <w:bCs/>
                  <w:iCs/>
                  <w:color w:val="000000"/>
                </w:rPr>
                <w:t>1169</w:t>
              </w:r>
            </w:ins>
            <w:del w:id="127" w:author="Samuel Dent" w:date="2015-09-24T07:52:00Z">
              <w:r w:rsidRPr="00D44783" w:rsidDel="00634E84">
                <w:delText>437</w:delText>
              </w:r>
            </w:del>
          </w:p>
        </w:tc>
      </w:tr>
    </w:tbl>
    <w:p w:rsidR="00460126" w:rsidRPr="00A05FC2" w:rsidRDefault="00460126" w:rsidP="00460126">
      <w:pPr>
        <w:ind w:left="720" w:firstLine="720"/>
        <w:rPr>
          <w:rFonts w:cstheme="minorHAnsi"/>
          <w:vertAlign w:val="subscript"/>
        </w:rPr>
      </w:pPr>
    </w:p>
    <w:p w:rsidR="00460126" w:rsidRPr="00B41203" w:rsidRDefault="00460126" w:rsidP="00460126">
      <w:pPr>
        <w:pStyle w:val="Heading6"/>
      </w:pPr>
      <w:r w:rsidRPr="00B41203">
        <w:t>Summer Coincident Peak Demand Savings</w:t>
      </w:r>
    </w:p>
    <w:p w:rsidR="00460126" w:rsidRPr="00A05FC2" w:rsidRDefault="00460126" w:rsidP="00460126">
      <w:pPr>
        <w:ind w:left="720"/>
        <w:rPr>
          <w:rFonts w:cstheme="minorHAnsi"/>
        </w:rPr>
      </w:pPr>
      <w:r w:rsidRPr="00A05FC2">
        <w:rPr>
          <w:rFonts w:cstheme="minorHAnsi"/>
        </w:rPr>
        <w:tab/>
      </w:r>
      <w:r>
        <w:rPr>
          <w:rFonts w:cstheme="minorHAnsi"/>
        </w:rPr>
        <w:t>∆</w:t>
      </w:r>
      <w:r w:rsidRPr="00A05FC2">
        <w:rPr>
          <w:rFonts w:cstheme="minorHAnsi"/>
        </w:rPr>
        <w:t>kW</w:t>
      </w:r>
      <w:r w:rsidRPr="00A05FC2">
        <w:rPr>
          <w:rFonts w:cstheme="minorHAnsi"/>
          <w:i/>
          <w:vertAlign w:val="subscript"/>
        </w:rPr>
        <w:t xml:space="preserve"> </w:t>
      </w:r>
      <w:r w:rsidRPr="00A05FC2">
        <w:rPr>
          <w:rFonts w:cstheme="minorHAnsi"/>
          <w:i/>
        </w:rPr>
        <w:t xml:space="preserve">= </w:t>
      </w:r>
      <w:r>
        <w:rPr>
          <w:rFonts w:cstheme="minorHAnsi"/>
        </w:rPr>
        <w:t>∆</w:t>
      </w:r>
      <w:r w:rsidRPr="00A05FC2">
        <w:rPr>
          <w:rFonts w:cstheme="minorHAnsi"/>
        </w:rPr>
        <w:t>kWh/Hours *CF</w:t>
      </w:r>
    </w:p>
    <w:p w:rsidR="00460126" w:rsidRPr="00A05FC2" w:rsidRDefault="00460126" w:rsidP="00460126">
      <w:pPr>
        <w:keepNext/>
        <w:rPr>
          <w:rFonts w:cstheme="minorHAnsi"/>
        </w:rPr>
      </w:pPr>
      <w:r w:rsidRPr="00A05FC2">
        <w:rPr>
          <w:rFonts w:cstheme="minorHAnsi"/>
        </w:rPr>
        <w:t xml:space="preserve">Where: </w:t>
      </w:r>
    </w:p>
    <w:p w:rsidR="00460126" w:rsidRPr="00A05FC2" w:rsidRDefault="00460126" w:rsidP="00460126">
      <w:pPr>
        <w:ind w:firstLine="720"/>
        <w:rPr>
          <w:rFonts w:cstheme="minorHAnsi"/>
        </w:rPr>
      </w:pPr>
      <w:r>
        <w:rPr>
          <w:rFonts w:cstheme="minorHAnsi"/>
        </w:rPr>
        <w:t>∆</w:t>
      </w:r>
      <w:r w:rsidRPr="00A05FC2">
        <w:rPr>
          <w:rFonts w:cstheme="minorHAnsi"/>
        </w:rPr>
        <w:t>kWh</w:t>
      </w:r>
      <w:r w:rsidRPr="00A05FC2">
        <w:rPr>
          <w:rFonts w:cstheme="minorHAnsi"/>
        </w:rPr>
        <w:tab/>
      </w:r>
      <w:r w:rsidRPr="00A05FC2">
        <w:rPr>
          <w:rFonts w:cstheme="minorHAnsi"/>
        </w:rPr>
        <w:tab/>
        <w:t>= Gross customer annual kWh savings for the measure</w:t>
      </w:r>
    </w:p>
    <w:p w:rsidR="00460126" w:rsidRPr="00A05FC2" w:rsidRDefault="00460126" w:rsidP="00460126">
      <w:pPr>
        <w:ind w:firstLine="720"/>
        <w:rPr>
          <w:rFonts w:cstheme="minorHAnsi"/>
        </w:rPr>
      </w:pPr>
      <w:r w:rsidRPr="00A05FC2">
        <w:rPr>
          <w:rFonts w:cstheme="minorHAnsi"/>
        </w:rPr>
        <w:t>Hours</w:t>
      </w:r>
      <w:r w:rsidRPr="00A05FC2">
        <w:rPr>
          <w:rFonts w:cstheme="minorHAnsi"/>
        </w:rPr>
        <w:tab/>
      </w:r>
      <w:r w:rsidRPr="00A05FC2">
        <w:rPr>
          <w:rFonts w:cstheme="minorHAnsi"/>
        </w:rPr>
        <w:tab/>
        <w:t>= Average hours of use per year</w:t>
      </w:r>
    </w:p>
    <w:p w:rsidR="00460126" w:rsidRPr="00A05FC2" w:rsidRDefault="00460126" w:rsidP="00460126">
      <w:pPr>
        <w:ind w:left="1440" w:firstLine="720"/>
        <w:rPr>
          <w:rFonts w:cstheme="minorHAnsi"/>
        </w:rPr>
      </w:pPr>
      <w:r w:rsidRPr="00A05FC2">
        <w:rPr>
          <w:rFonts w:cstheme="minorHAnsi"/>
        </w:rPr>
        <w:t xml:space="preserve">= </w:t>
      </w:r>
      <w:del w:id="128" w:author="Samuel Dent" w:date="2015-09-24T07:54:00Z">
        <w:r w:rsidRPr="00A05FC2" w:rsidDel="00537978">
          <w:rPr>
            <w:rFonts w:cstheme="minorHAnsi"/>
          </w:rPr>
          <w:delText>876</w:delText>
        </w:r>
        <w:r w:rsidDel="00537978">
          <w:rPr>
            <w:rFonts w:cstheme="minorHAnsi"/>
          </w:rPr>
          <w:delText>6</w:delText>
        </w:r>
        <w:r w:rsidRPr="00A05FC2" w:rsidDel="00537978">
          <w:rPr>
            <w:rFonts w:cstheme="minorHAnsi"/>
          </w:rPr>
          <w:delText xml:space="preserve"> </w:delText>
        </w:r>
      </w:del>
      <w:ins w:id="129" w:author="Samuel Dent" w:date="2015-09-24T07:54:00Z">
        <w:r w:rsidR="00537978">
          <w:rPr>
            <w:rFonts w:cstheme="minorHAnsi"/>
          </w:rPr>
          <w:t>5844</w:t>
        </w:r>
        <w:r w:rsidR="00537978" w:rsidRPr="00A05FC2">
          <w:rPr>
            <w:rFonts w:cstheme="minorHAnsi"/>
          </w:rPr>
          <w:t xml:space="preserve"> </w:t>
        </w:r>
      </w:ins>
      <w:r w:rsidRPr="00A05FC2">
        <w:rPr>
          <w:rFonts w:cstheme="minorHAnsi"/>
        </w:rPr>
        <w:t>hours</w:t>
      </w:r>
      <w:r w:rsidRPr="00B41203">
        <w:rPr>
          <w:rStyle w:val="FootnoteReference"/>
          <w:rFonts w:cstheme="minorHAnsi"/>
        </w:rPr>
        <w:footnoteReference w:id="7"/>
      </w:r>
    </w:p>
    <w:p w:rsidR="00460126" w:rsidRPr="00A05FC2" w:rsidRDefault="00460126" w:rsidP="00460126">
      <w:pPr>
        <w:ind w:left="720"/>
        <w:rPr>
          <w:rFonts w:cstheme="minorHAnsi"/>
        </w:rPr>
      </w:pPr>
      <w:r w:rsidRPr="00A05FC2">
        <w:rPr>
          <w:rFonts w:cstheme="minorHAnsi"/>
          <w:noProof/>
        </w:rPr>
        <w:t>CF</w:t>
      </w:r>
      <w:r w:rsidRPr="00A05FC2">
        <w:rPr>
          <w:rFonts w:cstheme="minorHAnsi"/>
          <w:noProof/>
        </w:rPr>
        <w:tab/>
      </w:r>
      <w:r w:rsidRPr="00A05FC2">
        <w:rPr>
          <w:rFonts w:cstheme="minorHAnsi"/>
          <w:noProof/>
        </w:rPr>
        <w:tab/>
        <w:t>= Summer Peak Coincidence Factor for measure</w:t>
      </w:r>
      <w:r w:rsidRPr="00A05FC2">
        <w:rPr>
          <w:rFonts w:cstheme="minorHAnsi"/>
        </w:rPr>
        <w:t xml:space="preserve"> </w:t>
      </w:r>
    </w:p>
    <w:p w:rsidR="00460126" w:rsidRPr="00A05FC2" w:rsidRDefault="00460126" w:rsidP="00460126">
      <w:pPr>
        <w:ind w:left="1440" w:firstLine="720"/>
        <w:rPr>
          <w:rFonts w:cstheme="minorHAnsi"/>
        </w:rPr>
      </w:pPr>
      <w:r w:rsidRPr="00A05FC2">
        <w:rPr>
          <w:rFonts w:cstheme="minorHAnsi"/>
          <w:noProof/>
        </w:rPr>
        <w:t xml:space="preserve">= </w:t>
      </w:r>
      <w:del w:id="130" w:author="Samuel Dent" w:date="2015-09-24T08:06:00Z">
        <w:r w:rsidRPr="00A05FC2" w:rsidDel="00991CD0">
          <w:rPr>
            <w:rFonts w:cstheme="minorHAnsi"/>
            <w:noProof/>
          </w:rPr>
          <w:delText>1.0</w:delText>
        </w:r>
      </w:del>
      <w:ins w:id="131" w:author="Samuel Dent" w:date="2015-09-24T08:06:00Z">
        <w:r w:rsidR="00991CD0">
          <w:rPr>
            <w:rFonts w:cstheme="minorHAnsi"/>
            <w:noProof/>
          </w:rPr>
          <w:t>66.7%</w:t>
        </w:r>
      </w:ins>
      <w:ins w:id="132" w:author="Samuel Dent" w:date="2015-09-24T07:55:00Z">
        <w:r w:rsidR="00537978">
          <w:rPr>
            <w:rStyle w:val="FootnoteReference"/>
            <w:noProof/>
          </w:rPr>
          <w:footnoteReference w:id="8"/>
        </w:r>
      </w:ins>
    </w:p>
    <w:tbl>
      <w:tblPr>
        <w:tblW w:w="477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1800"/>
      </w:tblGrid>
      <w:tr w:rsidR="00460126" w:rsidRPr="00A05FC2" w:rsidTr="006E29D5">
        <w:trPr>
          <w:trHeight w:val="255"/>
          <w:jc w:val="center"/>
        </w:trPr>
        <w:tc>
          <w:tcPr>
            <w:tcW w:w="2970" w:type="dxa"/>
            <w:shd w:val="clear" w:color="auto" w:fill="7F7F7F" w:themeFill="text1" w:themeFillTint="80"/>
            <w:noWrap/>
            <w:vAlign w:val="bottom"/>
          </w:tcPr>
          <w:p w:rsidR="00460126" w:rsidRPr="000B7BB6" w:rsidRDefault="00460126" w:rsidP="006E29D5">
            <w:pPr>
              <w:jc w:val="center"/>
              <w:rPr>
                <w:rFonts w:cstheme="minorHAnsi"/>
                <w:b/>
                <w:color w:val="FFFFFF" w:themeColor="background1"/>
              </w:rPr>
            </w:pPr>
            <w:r w:rsidRPr="000B7BB6">
              <w:rPr>
                <w:rFonts w:cstheme="minorHAnsi"/>
                <w:b/>
                <w:color w:val="FFFFFF" w:themeColor="background1"/>
              </w:rPr>
              <w:t>Clean Air Delivery Rate</w:t>
            </w:r>
          </w:p>
        </w:tc>
        <w:tc>
          <w:tcPr>
            <w:tcW w:w="1800" w:type="dxa"/>
            <w:shd w:val="clear" w:color="auto" w:fill="7F7F7F" w:themeFill="text1" w:themeFillTint="80"/>
            <w:noWrap/>
            <w:vAlign w:val="bottom"/>
          </w:tcPr>
          <w:p w:rsidR="00460126" w:rsidRPr="000B7BB6" w:rsidRDefault="00460126" w:rsidP="006E29D5">
            <w:pPr>
              <w:jc w:val="center"/>
              <w:rPr>
                <w:rFonts w:cstheme="minorHAnsi"/>
                <w:b/>
                <w:color w:val="FFFFFF" w:themeColor="background1"/>
              </w:rPr>
            </w:pPr>
            <w:proofErr w:type="spellStart"/>
            <w:r w:rsidRPr="000B7BB6">
              <w:rPr>
                <w:rFonts w:cstheme="minorHAnsi"/>
                <w:b/>
                <w:color w:val="FFFFFF" w:themeColor="background1"/>
              </w:rPr>
              <w:t>ΔkW</w:t>
            </w:r>
            <w:proofErr w:type="spellEnd"/>
          </w:p>
        </w:tc>
      </w:tr>
      <w:tr w:rsidR="00991CD0" w:rsidRPr="00A05FC2" w:rsidTr="006E29D5">
        <w:trPr>
          <w:trHeight w:val="255"/>
          <w:jc w:val="center"/>
        </w:trPr>
        <w:tc>
          <w:tcPr>
            <w:tcW w:w="2970" w:type="dxa"/>
            <w:shd w:val="clear" w:color="auto" w:fill="auto"/>
            <w:noWrap/>
            <w:vAlign w:val="bottom"/>
            <w:hideMark/>
          </w:tcPr>
          <w:p w:rsidR="00991CD0" w:rsidRPr="00A05FC2" w:rsidRDefault="00991CD0" w:rsidP="006E29D5">
            <w:pPr>
              <w:pStyle w:val="TableText"/>
            </w:pPr>
            <w:r w:rsidRPr="00A05FC2">
              <w:t>CADR 51-100</w:t>
            </w:r>
          </w:p>
        </w:tc>
        <w:tc>
          <w:tcPr>
            <w:tcW w:w="1800" w:type="dxa"/>
            <w:shd w:val="clear" w:color="auto" w:fill="auto"/>
            <w:noWrap/>
            <w:vAlign w:val="bottom"/>
            <w:hideMark/>
          </w:tcPr>
          <w:p w:rsidR="00991CD0" w:rsidRPr="00A05FC2" w:rsidRDefault="00991CD0" w:rsidP="00991CD0">
            <w:pPr>
              <w:pStyle w:val="TableText"/>
              <w:jc w:val="center"/>
              <w:pPrChange w:id="140" w:author="Samuel Dent" w:date="2015-09-24T08:07:00Z">
                <w:pPr>
                  <w:pStyle w:val="TableText"/>
                </w:pPr>
              </w:pPrChange>
            </w:pPr>
            <w:ins w:id="141" w:author="Samuel Dent" w:date="2015-09-24T08:07:00Z">
              <w:r>
                <w:rPr>
                  <w:color w:val="000000"/>
                  <w:szCs w:val="20"/>
                </w:rPr>
                <w:t>0.033</w:t>
              </w:r>
            </w:ins>
            <w:del w:id="142" w:author="Samuel Dent" w:date="2015-09-24T08:07:00Z">
              <w:r w:rsidRPr="00A05FC2" w:rsidDel="007215D0">
                <w:delText>0.031</w:delText>
              </w:r>
            </w:del>
          </w:p>
        </w:tc>
      </w:tr>
      <w:tr w:rsidR="00991CD0" w:rsidRPr="00A05FC2" w:rsidTr="006E29D5">
        <w:trPr>
          <w:trHeight w:val="255"/>
          <w:jc w:val="center"/>
        </w:trPr>
        <w:tc>
          <w:tcPr>
            <w:tcW w:w="2970" w:type="dxa"/>
            <w:shd w:val="clear" w:color="auto" w:fill="auto"/>
            <w:noWrap/>
            <w:vAlign w:val="bottom"/>
            <w:hideMark/>
          </w:tcPr>
          <w:p w:rsidR="00991CD0" w:rsidRPr="00A05FC2" w:rsidRDefault="00991CD0" w:rsidP="006E29D5">
            <w:pPr>
              <w:pStyle w:val="TableText"/>
            </w:pPr>
            <w:r w:rsidRPr="00A05FC2">
              <w:t>CADR 101-150</w:t>
            </w:r>
          </w:p>
        </w:tc>
        <w:tc>
          <w:tcPr>
            <w:tcW w:w="1800" w:type="dxa"/>
            <w:shd w:val="clear" w:color="auto" w:fill="auto"/>
            <w:noWrap/>
            <w:vAlign w:val="bottom"/>
            <w:hideMark/>
          </w:tcPr>
          <w:p w:rsidR="00991CD0" w:rsidRPr="00A05FC2" w:rsidRDefault="00991CD0" w:rsidP="00991CD0">
            <w:pPr>
              <w:pStyle w:val="TableText"/>
              <w:jc w:val="center"/>
              <w:pPrChange w:id="143" w:author="Samuel Dent" w:date="2015-09-24T08:07:00Z">
                <w:pPr>
                  <w:pStyle w:val="TableText"/>
                </w:pPr>
              </w:pPrChange>
            </w:pPr>
            <w:ins w:id="144" w:author="Samuel Dent" w:date="2015-09-24T08:07:00Z">
              <w:r>
                <w:rPr>
                  <w:color w:val="000000"/>
                  <w:szCs w:val="20"/>
                </w:rPr>
                <w:t>0.056</w:t>
              </w:r>
            </w:ins>
            <w:del w:id="145" w:author="Samuel Dent" w:date="2015-09-24T08:07:00Z">
              <w:r w:rsidRPr="00A05FC2" w:rsidDel="007215D0">
                <w:delText>0.060</w:delText>
              </w:r>
            </w:del>
          </w:p>
        </w:tc>
      </w:tr>
      <w:tr w:rsidR="00991CD0" w:rsidRPr="00A05FC2" w:rsidTr="006E29D5">
        <w:trPr>
          <w:trHeight w:val="255"/>
          <w:jc w:val="center"/>
        </w:trPr>
        <w:tc>
          <w:tcPr>
            <w:tcW w:w="2970" w:type="dxa"/>
            <w:shd w:val="clear" w:color="auto" w:fill="auto"/>
            <w:noWrap/>
            <w:vAlign w:val="bottom"/>
            <w:hideMark/>
          </w:tcPr>
          <w:p w:rsidR="00991CD0" w:rsidRPr="00A05FC2" w:rsidRDefault="00991CD0" w:rsidP="006E29D5">
            <w:pPr>
              <w:pStyle w:val="TableText"/>
            </w:pPr>
            <w:r w:rsidRPr="00A05FC2">
              <w:lastRenderedPageBreak/>
              <w:t>CADR 151-200</w:t>
            </w:r>
          </w:p>
        </w:tc>
        <w:tc>
          <w:tcPr>
            <w:tcW w:w="1800" w:type="dxa"/>
            <w:shd w:val="clear" w:color="auto" w:fill="auto"/>
            <w:noWrap/>
            <w:vAlign w:val="bottom"/>
            <w:hideMark/>
          </w:tcPr>
          <w:p w:rsidR="00991CD0" w:rsidRPr="00A05FC2" w:rsidRDefault="00991CD0" w:rsidP="00991CD0">
            <w:pPr>
              <w:pStyle w:val="TableText"/>
              <w:jc w:val="center"/>
              <w:pPrChange w:id="146" w:author="Samuel Dent" w:date="2015-09-24T08:07:00Z">
                <w:pPr>
                  <w:pStyle w:val="TableText"/>
                </w:pPr>
              </w:pPrChange>
            </w:pPr>
            <w:ins w:id="147" w:author="Samuel Dent" w:date="2015-09-24T08:07:00Z">
              <w:r>
                <w:rPr>
                  <w:color w:val="000000"/>
                  <w:szCs w:val="20"/>
                </w:rPr>
                <w:t>0.078</w:t>
              </w:r>
            </w:ins>
            <w:del w:id="148" w:author="Samuel Dent" w:date="2015-09-24T08:07:00Z">
              <w:r w:rsidRPr="00A05FC2" w:rsidDel="007215D0">
                <w:delText>0.081</w:delText>
              </w:r>
            </w:del>
          </w:p>
        </w:tc>
      </w:tr>
      <w:tr w:rsidR="00991CD0" w:rsidRPr="00A05FC2" w:rsidTr="006E29D5">
        <w:trPr>
          <w:trHeight w:val="255"/>
          <w:jc w:val="center"/>
        </w:trPr>
        <w:tc>
          <w:tcPr>
            <w:tcW w:w="2970" w:type="dxa"/>
            <w:shd w:val="clear" w:color="auto" w:fill="auto"/>
            <w:noWrap/>
            <w:vAlign w:val="bottom"/>
            <w:hideMark/>
          </w:tcPr>
          <w:p w:rsidR="00991CD0" w:rsidRPr="00A05FC2" w:rsidRDefault="00991CD0" w:rsidP="006E29D5">
            <w:pPr>
              <w:pStyle w:val="TableText"/>
            </w:pPr>
            <w:r w:rsidRPr="00A05FC2">
              <w:t>CADR 201-250</w:t>
            </w:r>
          </w:p>
        </w:tc>
        <w:tc>
          <w:tcPr>
            <w:tcW w:w="1800" w:type="dxa"/>
            <w:shd w:val="clear" w:color="auto" w:fill="auto"/>
            <w:noWrap/>
            <w:vAlign w:val="bottom"/>
            <w:hideMark/>
          </w:tcPr>
          <w:p w:rsidR="00991CD0" w:rsidRPr="00A05FC2" w:rsidRDefault="00991CD0" w:rsidP="00991CD0">
            <w:pPr>
              <w:pStyle w:val="TableText"/>
              <w:jc w:val="center"/>
              <w:pPrChange w:id="149" w:author="Samuel Dent" w:date="2015-09-24T08:07:00Z">
                <w:pPr>
                  <w:pStyle w:val="TableText"/>
                </w:pPr>
              </w:pPrChange>
            </w:pPr>
            <w:ins w:id="150" w:author="Samuel Dent" w:date="2015-09-24T08:07:00Z">
              <w:r>
                <w:rPr>
                  <w:color w:val="000000"/>
                  <w:szCs w:val="20"/>
                </w:rPr>
                <w:t>0.100</w:t>
              </w:r>
            </w:ins>
            <w:del w:id="151" w:author="Samuel Dent" w:date="2015-09-24T08:07:00Z">
              <w:r w:rsidRPr="00A05FC2" w:rsidDel="007215D0">
                <w:delText>0.103</w:delText>
              </w:r>
            </w:del>
          </w:p>
        </w:tc>
      </w:tr>
      <w:tr w:rsidR="00991CD0" w:rsidRPr="00A05FC2" w:rsidTr="006E29D5">
        <w:trPr>
          <w:trHeight w:val="255"/>
          <w:jc w:val="center"/>
        </w:trPr>
        <w:tc>
          <w:tcPr>
            <w:tcW w:w="2970" w:type="dxa"/>
            <w:shd w:val="clear" w:color="auto" w:fill="auto"/>
            <w:noWrap/>
            <w:vAlign w:val="bottom"/>
            <w:hideMark/>
          </w:tcPr>
          <w:p w:rsidR="00991CD0" w:rsidRPr="00A05FC2" w:rsidRDefault="00991CD0" w:rsidP="006E29D5">
            <w:pPr>
              <w:pStyle w:val="TableText"/>
            </w:pPr>
            <w:r w:rsidRPr="00A05FC2">
              <w:t>CADR Over 250</w:t>
            </w:r>
          </w:p>
        </w:tc>
        <w:tc>
          <w:tcPr>
            <w:tcW w:w="1800" w:type="dxa"/>
            <w:shd w:val="clear" w:color="auto" w:fill="auto"/>
            <w:noWrap/>
            <w:vAlign w:val="bottom"/>
            <w:hideMark/>
          </w:tcPr>
          <w:p w:rsidR="00991CD0" w:rsidRPr="00A05FC2" w:rsidRDefault="00991CD0" w:rsidP="00991CD0">
            <w:pPr>
              <w:pStyle w:val="TableText"/>
              <w:jc w:val="center"/>
              <w:pPrChange w:id="152" w:author="Samuel Dent" w:date="2015-09-24T08:07:00Z">
                <w:pPr>
                  <w:pStyle w:val="TableText"/>
                </w:pPr>
              </w:pPrChange>
            </w:pPr>
            <w:ins w:id="153" w:author="Samuel Dent" w:date="2015-09-24T08:07:00Z">
              <w:r>
                <w:rPr>
                  <w:color w:val="000000"/>
                  <w:szCs w:val="20"/>
                </w:rPr>
                <w:t>0.133</w:t>
              </w:r>
            </w:ins>
            <w:del w:id="154" w:author="Samuel Dent" w:date="2015-09-24T08:07:00Z">
              <w:r w:rsidRPr="00A05FC2" w:rsidDel="007215D0">
                <w:delText>0.050</w:delText>
              </w:r>
            </w:del>
          </w:p>
        </w:tc>
      </w:tr>
    </w:tbl>
    <w:p w:rsidR="00460126" w:rsidRPr="00A05FC2" w:rsidRDefault="00460126" w:rsidP="00460126">
      <w:pPr>
        <w:rPr>
          <w:rFonts w:cstheme="minorHAnsi"/>
        </w:rPr>
      </w:pPr>
    </w:p>
    <w:p w:rsidR="00460126" w:rsidRPr="00B41203" w:rsidRDefault="00460126" w:rsidP="00460126">
      <w:pPr>
        <w:pStyle w:val="Heading6"/>
      </w:pPr>
      <w:r>
        <w:t>Natural Gas</w:t>
      </w:r>
      <w:r w:rsidRPr="00B41203">
        <w:t xml:space="preserve"> Savings </w:t>
      </w:r>
    </w:p>
    <w:p w:rsidR="00460126" w:rsidRPr="00FD666D" w:rsidRDefault="00460126" w:rsidP="00460126">
      <w:pPr>
        <w:rPr>
          <w:szCs w:val="20"/>
        </w:rPr>
      </w:pPr>
      <w:r w:rsidRPr="00FD666D">
        <w:t>N/A</w:t>
      </w:r>
    </w:p>
    <w:p w:rsidR="00460126" w:rsidRPr="000B7BB6" w:rsidRDefault="00460126" w:rsidP="00460126">
      <w:pPr>
        <w:pStyle w:val="Heading6"/>
      </w:pPr>
      <w:r w:rsidRPr="000B7BB6">
        <w:t xml:space="preserve">Water Impact Descriptions and Calculation  </w:t>
      </w:r>
    </w:p>
    <w:p w:rsidR="00460126" w:rsidRPr="00A05FC2" w:rsidRDefault="00460126" w:rsidP="00460126">
      <w:pPr>
        <w:rPr>
          <w:rFonts w:cstheme="minorHAnsi"/>
          <w:bCs/>
          <w:color w:val="000000"/>
        </w:rPr>
      </w:pPr>
      <w:r w:rsidRPr="00A05FC2">
        <w:rPr>
          <w:rFonts w:cstheme="minorHAnsi"/>
          <w:bCs/>
          <w:color w:val="000000"/>
        </w:rPr>
        <w:t>N/A</w:t>
      </w:r>
    </w:p>
    <w:p w:rsidR="00460126" w:rsidRPr="00B41203" w:rsidRDefault="00460126" w:rsidP="00460126">
      <w:pPr>
        <w:pStyle w:val="Heading6"/>
      </w:pPr>
      <w:r w:rsidRPr="00B41203">
        <w:t xml:space="preserve">Deemed O&amp;M Cost Adjustment Calculation </w:t>
      </w:r>
    </w:p>
    <w:p w:rsidR="00460126" w:rsidRPr="00A05FC2" w:rsidRDefault="00460126" w:rsidP="00460126">
      <w:pPr>
        <w:rPr>
          <w:rFonts w:cstheme="minorHAnsi"/>
          <w:highlight w:val="yellow"/>
        </w:rPr>
      </w:pPr>
      <w:r w:rsidRPr="00A05FC2">
        <w:rPr>
          <w:rFonts w:cstheme="minorHAnsi"/>
        </w:rPr>
        <w:t>There are no operation and maintenance cost adjustments for this measure.</w:t>
      </w:r>
      <w:r w:rsidRPr="00A05FC2">
        <w:rPr>
          <w:rStyle w:val="FootnoteReference"/>
          <w:rFonts w:cstheme="minorHAnsi"/>
        </w:rPr>
        <w:footnoteReference w:id="9"/>
      </w:r>
    </w:p>
    <w:p w:rsidR="00460126" w:rsidRPr="000B7BB6" w:rsidDel="00991CD0" w:rsidRDefault="00460126" w:rsidP="00460126">
      <w:pPr>
        <w:pStyle w:val="Heading6"/>
        <w:rPr>
          <w:del w:id="155" w:author="Samuel Dent" w:date="2015-09-24T08:11:00Z"/>
          <w:highlight w:val="lightGray"/>
        </w:rPr>
      </w:pPr>
      <w:r>
        <w:t xml:space="preserve">Measure Code: </w:t>
      </w:r>
      <w:r w:rsidRPr="00B41203">
        <w:t>RS-APL-ESAP-V0</w:t>
      </w:r>
      <w:bookmarkStart w:id="156" w:name="_GoBack"/>
      <w:bookmarkEnd w:id="156"/>
      <w:del w:id="157" w:author="Samuel Dent" w:date="2015-09-24T08:11:00Z">
        <w:r w:rsidRPr="00B41203" w:rsidDel="00991CD0">
          <w:delText>1</w:delText>
        </w:r>
      </w:del>
      <w:ins w:id="158" w:author="Samuel Dent" w:date="2015-09-24T08:11:00Z">
        <w:r w:rsidR="00991CD0">
          <w:t>2</w:t>
        </w:r>
      </w:ins>
      <w:r w:rsidRPr="00B41203">
        <w:t>-</w:t>
      </w:r>
      <w:r>
        <w:t>1</w:t>
      </w:r>
      <w:del w:id="159" w:author="Samuel Dent" w:date="2015-09-24T08:11:00Z">
        <w:r w:rsidDel="00991CD0">
          <w:delText>2</w:delText>
        </w:r>
      </w:del>
      <w:ins w:id="160" w:author="Samuel Dent" w:date="2015-09-24T08:11:00Z">
        <w:r w:rsidR="00991CD0">
          <w:t>6</w:t>
        </w:r>
      </w:ins>
      <w:r>
        <w:t>060</w:t>
      </w:r>
      <w:r w:rsidR="00991CD0">
        <w:t>1</w:t>
      </w:r>
      <w:del w:id="161" w:author="Samuel Dent" w:date="2015-09-24T08:11:00Z">
        <w:r w:rsidDel="00991CD0">
          <w:delText>1</w:delText>
        </w:r>
      </w:del>
    </w:p>
    <w:p w:rsidR="00460126" w:rsidRPr="000B7BB6" w:rsidDel="00991CD0" w:rsidRDefault="00460126" w:rsidP="00991CD0">
      <w:pPr>
        <w:pStyle w:val="Heading6"/>
        <w:rPr>
          <w:del w:id="162" w:author="Samuel Dent" w:date="2015-09-24T08:11:00Z"/>
          <w:rFonts w:cstheme="minorHAnsi"/>
          <w:highlight w:val="lightGray"/>
        </w:rPr>
        <w:sectPr w:rsidR="00460126" w:rsidRPr="000B7BB6" w:rsidDel="00991CD0" w:rsidSect="00B64B6A">
          <w:headerReference w:type="default" r:id="rId8"/>
          <w:pgSz w:w="12240" w:h="15840" w:code="1"/>
          <w:pgMar w:top="1440" w:right="1440" w:bottom="1440" w:left="1440" w:header="720" w:footer="720" w:gutter="0"/>
          <w:cols w:space="720"/>
          <w:docGrid w:linePitch="360"/>
        </w:sectPr>
        <w:pPrChange w:id="163" w:author="Samuel Dent" w:date="2015-09-24T08:11:00Z">
          <w:pPr>
            <w:widowControl/>
            <w:jc w:val="left"/>
          </w:pPr>
        </w:pPrChange>
      </w:pPr>
    </w:p>
    <w:p w:rsidR="00D5281E" w:rsidRDefault="00D5281E" w:rsidP="00991CD0">
      <w:pPr>
        <w:pStyle w:val="Heading6"/>
        <w:pPrChange w:id="164" w:author="Samuel Dent" w:date="2015-09-24T08:11:00Z">
          <w:pPr/>
        </w:pPrChange>
      </w:pPr>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126" w:rsidRDefault="00460126" w:rsidP="00460126">
      <w:pPr>
        <w:spacing w:after="0"/>
      </w:pPr>
      <w:r>
        <w:separator/>
      </w:r>
    </w:p>
  </w:endnote>
  <w:endnote w:type="continuationSeparator" w:id="0">
    <w:p w:rsidR="00460126" w:rsidRDefault="00460126" w:rsidP="004601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126" w:rsidRDefault="00460126" w:rsidP="00460126">
      <w:pPr>
        <w:spacing w:after="0"/>
      </w:pPr>
      <w:r>
        <w:separator/>
      </w:r>
    </w:p>
  </w:footnote>
  <w:footnote w:type="continuationSeparator" w:id="0">
    <w:p w:rsidR="00460126" w:rsidRDefault="00460126" w:rsidP="00460126">
      <w:pPr>
        <w:spacing w:after="0"/>
      </w:pPr>
      <w:r>
        <w:continuationSeparator/>
      </w:r>
    </w:p>
  </w:footnote>
  <w:footnote w:id="1">
    <w:p w:rsidR="00460126" w:rsidRPr="00D53442" w:rsidRDefault="00460126" w:rsidP="00460126">
      <w:pPr>
        <w:pStyle w:val="Footnote"/>
        <w:rPr>
          <w:szCs w:val="18"/>
        </w:rPr>
      </w:pPr>
      <w:r w:rsidRPr="00225B09">
        <w:rPr>
          <w:rStyle w:val="FootnoteReference"/>
          <w:rFonts w:cstheme="minorHAnsi"/>
          <w:sz w:val="18"/>
          <w:szCs w:val="18"/>
        </w:rPr>
        <w:footnoteRef/>
      </w:r>
      <w:r w:rsidRPr="007A07C8">
        <w:rPr>
          <w:szCs w:val="18"/>
        </w:rPr>
        <w:t xml:space="preserve"> Measured according to the latest ANSI/AHAM AC-1 (AC-1) Standard  </w:t>
      </w:r>
    </w:p>
  </w:footnote>
  <w:footnote w:id="2">
    <w:p w:rsidR="00460126" w:rsidRPr="009C362B" w:rsidDel="00D44783" w:rsidRDefault="00460126" w:rsidP="00460126">
      <w:pPr>
        <w:pStyle w:val="Footnote"/>
        <w:rPr>
          <w:del w:id="17" w:author="Samuel Dent" w:date="2015-09-24T07:43:00Z"/>
          <w:rFonts w:eastAsiaTheme="minorHAnsi"/>
          <w:iCs/>
          <w:szCs w:val="18"/>
        </w:rPr>
      </w:pPr>
      <w:r w:rsidRPr="005D0D50">
        <w:rPr>
          <w:rStyle w:val="FootnoteReference"/>
          <w:rFonts w:cstheme="minorHAnsi"/>
          <w:sz w:val="18"/>
          <w:szCs w:val="18"/>
        </w:rPr>
        <w:footnoteRef/>
      </w:r>
      <w:r w:rsidRPr="0075793C">
        <w:rPr>
          <w:szCs w:val="18"/>
        </w:rPr>
        <w:t xml:space="preserve"> As defined as the average of non-ENERGY STAR products found in EPA research, 20</w:t>
      </w:r>
      <w:del w:id="18" w:author="Samuel Dent" w:date="2015-09-24T07:43:00Z">
        <w:r w:rsidRPr="0075793C" w:rsidDel="00D44783">
          <w:rPr>
            <w:szCs w:val="18"/>
          </w:rPr>
          <w:delText>08</w:delText>
        </w:r>
      </w:del>
      <w:ins w:id="19" w:author="Samuel Dent" w:date="2015-09-24T07:43:00Z">
        <w:r w:rsidR="00D44783">
          <w:rPr>
            <w:szCs w:val="18"/>
          </w:rPr>
          <w:t>11</w:t>
        </w:r>
      </w:ins>
      <w:r w:rsidRPr="0075793C">
        <w:rPr>
          <w:szCs w:val="18"/>
        </w:rPr>
        <w:t>, E</w:t>
      </w:r>
      <w:r w:rsidRPr="003B1236">
        <w:rPr>
          <w:rFonts w:eastAsiaTheme="minorHAnsi"/>
          <w:iCs/>
          <w:szCs w:val="18"/>
        </w:rPr>
        <w:t>NERGY STAR Qualified Room Air Cleaner Calculator</w:t>
      </w:r>
      <w:ins w:id="20" w:author="Samuel Dent" w:date="2015-09-24T07:44:00Z">
        <w:r w:rsidR="00D44783">
          <w:rPr>
            <w:rFonts w:eastAsiaTheme="minorHAnsi"/>
            <w:iCs/>
            <w:szCs w:val="18"/>
          </w:rPr>
          <w:t>.</w:t>
        </w:r>
      </w:ins>
      <w:del w:id="21" w:author="Samuel Dent" w:date="2015-09-24T07:43:00Z">
        <w:r w:rsidRPr="003B1236" w:rsidDel="00D44783">
          <w:rPr>
            <w:rFonts w:eastAsiaTheme="minorHAnsi"/>
            <w:iCs/>
            <w:szCs w:val="18"/>
          </w:rPr>
          <w:delText>,</w:delText>
        </w:r>
      </w:del>
    </w:p>
    <w:p w:rsidR="00460126" w:rsidRPr="009C362B" w:rsidRDefault="00460126" w:rsidP="00460126">
      <w:pPr>
        <w:pStyle w:val="Footnote"/>
        <w:rPr>
          <w:rFonts w:eastAsiaTheme="minorHAnsi"/>
          <w:szCs w:val="18"/>
        </w:rPr>
      </w:pPr>
      <w:del w:id="22" w:author="Samuel Dent" w:date="2015-09-24T07:43:00Z">
        <w:r w:rsidRPr="009C362B" w:rsidDel="00D44783">
          <w:rPr>
            <w:rFonts w:eastAsiaTheme="minorHAnsi"/>
            <w:szCs w:val="18"/>
          </w:rPr>
          <w:delText xml:space="preserve"> </w:delText>
        </w:r>
        <w:r w:rsidDel="00D44783">
          <w:fldChar w:fldCharType="begin"/>
        </w:r>
        <w:r w:rsidDel="00D44783">
          <w:delInstrText xml:space="preserve"> HYPERLINK "http://www.energystar.gov/ia/business/bulk_purchasing/bpsavings_calc/Calc_CAC.xls?8ed7-275b" </w:delInstrText>
        </w:r>
        <w:r w:rsidDel="00D44783">
          <w:fldChar w:fldCharType="separate"/>
        </w:r>
        <w:r w:rsidRPr="009C362B" w:rsidDel="00D44783">
          <w:rPr>
            <w:rStyle w:val="Hyperlink"/>
            <w:rFonts w:eastAsiaTheme="minorHAnsi"/>
            <w:iCs/>
            <w:szCs w:val="18"/>
          </w:rPr>
          <w:delText>http://www.energystar.gov/ia/business/bulk_purchasing/bpsavings_calc/CalculatorRoomAirCleaner.xls?8ed7-275b</w:delText>
        </w:r>
        <w:r w:rsidDel="00D44783">
          <w:rPr>
            <w:rStyle w:val="Hyperlink"/>
            <w:rFonts w:eastAsiaTheme="minorHAnsi"/>
            <w:iCs/>
            <w:szCs w:val="18"/>
          </w:rPr>
          <w:fldChar w:fldCharType="end"/>
        </w:r>
        <w:r w:rsidRPr="009C362B" w:rsidDel="00D44783">
          <w:rPr>
            <w:rFonts w:eastAsiaTheme="minorHAnsi"/>
            <w:szCs w:val="18"/>
          </w:rPr>
          <w:delText>.</w:delText>
        </w:r>
      </w:del>
    </w:p>
  </w:footnote>
  <w:footnote w:id="3">
    <w:p w:rsidR="00460126" w:rsidRPr="009C362B" w:rsidDel="00D44783" w:rsidRDefault="00460126" w:rsidP="00460126">
      <w:pPr>
        <w:pStyle w:val="Footnote"/>
        <w:rPr>
          <w:del w:id="23" w:author="Samuel Dent" w:date="2015-09-24T07:44:00Z"/>
          <w:rFonts w:eastAsiaTheme="minorHAnsi"/>
          <w:szCs w:val="18"/>
        </w:rPr>
      </w:pPr>
      <w:r w:rsidRPr="009C362B">
        <w:rPr>
          <w:rStyle w:val="FootnoteReference"/>
          <w:rFonts w:cstheme="minorHAnsi"/>
          <w:sz w:val="18"/>
          <w:szCs w:val="18"/>
        </w:rPr>
        <w:footnoteRef/>
      </w:r>
      <w:r w:rsidRPr="009C362B">
        <w:rPr>
          <w:szCs w:val="18"/>
        </w:rPr>
        <w:t xml:space="preserve"> E</w:t>
      </w:r>
      <w:r w:rsidRPr="009C362B">
        <w:rPr>
          <w:rFonts w:eastAsiaTheme="minorHAnsi"/>
          <w:szCs w:val="18"/>
        </w:rPr>
        <w:t>NERGY STAR Qualified Room Air Cleaner Calculator</w:t>
      </w:r>
      <w:ins w:id="24" w:author="Samuel Dent" w:date="2015-09-24T07:44:00Z">
        <w:r w:rsidR="00D44783">
          <w:rPr>
            <w:rFonts w:eastAsiaTheme="minorHAnsi"/>
            <w:szCs w:val="18"/>
          </w:rPr>
          <w:t>.</w:t>
        </w:r>
      </w:ins>
      <w:del w:id="25" w:author="Samuel Dent" w:date="2015-09-24T07:44:00Z">
        <w:r w:rsidRPr="009C362B" w:rsidDel="00D44783">
          <w:rPr>
            <w:rFonts w:eastAsiaTheme="minorHAnsi"/>
            <w:szCs w:val="18"/>
          </w:rPr>
          <w:delText xml:space="preserve">, </w:delText>
        </w:r>
      </w:del>
    </w:p>
    <w:p w:rsidR="00460126" w:rsidRPr="009C362B" w:rsidRDefault="00460126" w:rsidP="00460126">
      <w:pPr>
        <w:pStyle w:val="Footnote"/>
        <w:rPr>
          <w:rFonts w:eastAsiaTheme="minorHAnsi"/>
          <w:szCs w:val="18"/>
        </w:rPr>
      </w:pPr>
      <w:del w:id="26" w:author="Samuel Dent" w:date="2015-09-24T07:44:00Z">
        <w:r w:rsidDel="00D44783">
          <w:fldChar w:fldCharType="begin"/>
        </w:r>
        <w:r w:rsidDel="00D44783">
          <w:delInstrText xml:space="preserve"> HYPERLINK "http://www.icc.illinois.gov/downloads/public/edocket/303834.pdf?8ed7-275b" </w:delInstrText>
        </w:r>
        <w:r w:rsidDel="00D44783">
          <w:fldChar w:fldCharType="separate"/>
        </w:r>
        <w:r w:rsidRPr="009C362B" w:rsidDel="00D44783">
          <w:rPr>
            <w:rStyle w:val="Hyperlink"/>
            <w:rFonts w:eastAsiaTheme="minorHAnsi"/>
            <w:iCs/>
            <w:szCs w:val="18"/>
          </w:rPr>
          <w:delText>http://www.energystar.gov/ia/business/bulk_purchasing/bpsavings_calc/CalculatorRoomAirCleaner.xls?8ed7-275b</w:delText>
        </w:r>
        <w:r w:rsidDel="00D44783">
          <w:rPr>
            <w:rStyle w:val="Hyperlink"/>
            <w:rFonts w:eastAsiaTheme="minorHAnsi"/>
            <w:iCs/>
            <w:szCs w:val="18"/>
          </w:rPr>
          <w:fldChar w:fldCharType="end"/>
        </w:r>
        <w:r w:rsidRPr="009C362B" w:rsidDel="00D44783">
          <w:rPr>
            <w:rFonts w:eastAsiaTheme="minorHAnsi"/>
            <w:szCs w:val="18"/>
          </w:rPr>
          <w:delText>.</w:delText>
        </w:r>
      </w:del>
      <w:r w:rsidRPr="009C362B">
        <w:rPr>
          <w:rFonts w:eastAsiaTheme="minorHAnsi"/>
          <w:szCs w:val="18"/>
        </w:rPr>
        <w:t xml:space="preserve"> </w:t>
      </w:r>
    </w:p>
  </w:footnote>
  <w:footnote w:id="4">
    <w:p w:rsidR="00460126" w:rsidRPr="009C362B" w:rsidRDefault="00460126" w:rsidP="00460126">
      <w:pPr>
        <w:pStyle w:val="Footnote"/>
        <w:rPr>
          <w:szCs w:val="18"/>
        </w:rPr>
      </w:pPr>
      <w:r w:rsidRPr="009C362B">
        <w:rPr>
          <w:rStyle w:val="FootnoteReference"/>
          <w:rFonts w:cstheme="minorHAnsi"/>
          <w:sz w:val="18"/>
          <w:szCs w:val="18"/>
        </w:rPr>
        <w:footnoteRef/>
      </w:r>
      <w:r w:rsidRPr="009C362B">
        <w:rPr>
          <w:szCs w:val="18"/>
        </w:rPr>
        <w:t xml:space="preserve"> Ibid</w:t>
      </w:r>
    </w:p>
  </w:footnote>
  <w:footnote w:id="5">
    <w:p w:rsidR="00460126" w:rsidRPr="009C362B" w:rsidRDefault="00460126" w:rsidP="00460126">
      <w:pPr>
        <w:pStyle w:val="Footnote"/>
        <w:rPr>
          <w:szCs w:val="18"/>
        </w:rPr>
      </w:pPr>
      <w:r w:rsidRPr="009C362B">
        <w:rPr>
          <w:rStyle w:val="FootnoteReference"/>
          <w:rFonts w:cstheme="minorHAnsi"/>
          <w:sz w:val="18"/>
          <w:szCs w:val="18"/>
        </w:rPr>
        <w:footnoteRef/>
      </w:r>
      <w:r w:rsidRPr="009C362B">
        <w:rPr>
          <w:szCs w:val="18"/>
        </w:rPr>
        <w:t xml:space="preserve"> E</w:t>
      </w:r>
      <w:r w:rsidRPr="009C362B">
        <w:rPr>
          <w:rFonts w:eastAsiaTheme="minorHAnsi"/>
          <w:szCs w:val="18"/>
        </w:rPr>
        <w:t>NERGY STAR Qualifi</w:t>
      </w:r>
      <w:r w:rsidR="00D44783">
        <w:rPr>
          <w:rFonts w:eastAsiaTheme="minorHAnsi"/>
          <w:szCs w:val="18"/>
        </w:rPr>
        <w:t>ed Room Air Cleaner Calculator.</w:t>
      </w:r>
    </w:p>
  </w:footnote>
  <w:footnote w:id="6">
    <w:p w:rsidR="00460126" w:rsidRPr="009C362B" w:rsidRDefault="00460126" w:rsidP="00460126">
      <w:pPr>
        <w:pStyle w:val="Footnote"/>
        <w:rPr>
          <w:szCs w:val="18"/>
        </w:rPr>
      </w:pPr>
      <w:r w:rsidRPr="009C362B">
        <w:rPr>
          <w:rStyle w:val="FootnoteReference"/>
          <w:rFonts w:cstheme="minorHAnsi"/>
          <w:sz w:val="18"/>
          <w:szCs w:val="18"/>
        </w:rPr>
        <w:footnoteRef/>
      </w:r>
      <w:r w:rsidRPr="009C362B">
        <w:rPr>
          <w:szCs w:val="18"/>
        </w:rPr>
        <w:t xml:space="preserve"> Ibid.</w:t>
      </w:r>
    </w:p>
  </w:footnote>
  <w:footnote w:id="7">
    <w:p w:rsidR="00460126" w:rsidRPr="009C362B" w:rsidRDefault="00460126" w:rsidP="00460126">
      <w:pPr>
        <w:pStyle w:val="Footnote"/>
        <w:rPr>
          <w:szCs w:val="18"/>
        </w:rPr>
      </w:pPr>
      <w:r w:rsidRPr="009C362B">
        <w:rPr>
          <w:rStyle w:val="FootnoteReference"/>
          <w:rFonts w:cstheme="minorHAnsi"/>
          <w:sz w:val="18"/>
          <w:szCs w:val="18"/>
        </w:rPr>
        <w:footnoteRef/>
      </w:r>
      <w:r w:rsidRPr="009C362B">
        <w:rPr>
          <w:szCs w:val="18"/>
        </w:rPr>
        <w:t xml:space="preserve"> Consistent with ENERGY STAR </w:t>
      </w:r>
      <w:r w:rsidRPr="009C362B">
        <w:rPr>
          <w:rFonts w:eastAsiaTheme="minorHAnsi"/>
          <w:szCs w:val="18"/>
        </w:rPr>
        <w:t>Qualified Room Air Cleaner Calculator.</w:t>
      </w:r>
    </w:p>
  </w:footnote>
  <w:footnote w:id="8">
    <w:p w:rsidR="00537978" w:rsidRDefault="00537978">
      <w:pPr>
        <w:pStyle w:val="FootnoteText"/>
      </w:pPr>
      <w:ins w:id="133" w:author="Samuel Dent" w:date="2015-09-24T07:55:00Z">
        <w:r>
          <w:rPr>
            <w:rStyle w:val="FootnoteReference"/>
          </w:rPr>
          <w:footnoteRef/>
        </w:r>
        <w:r>
          <w:t xml:space="preserve"> Assumes that the purifier usage is ev</w:t>
        </w:r>
        <w:r w:rsidR="00991CD0">
          <w:t>enly spread throughout the yea</w:t>
        </w:r>
      </w:ins>
      <w:ins w:id="134" w:author="Samuel Dent" w:date="2015-09-24T08:05:00Z">
        <w:r w:rsidR="00991CD0">
          <w:t>r, therefore coincident peak</w:t>
        </w:r>
      </w:ins>
      <w:ins w:id="135" w:author="Samuel Dent" w:date="2015-09-24T07:56:00Z">
        <w:r w:rsidRPr="009C362B">
          <w:rPr>
            <w:szCs w:val="18"/>
          </w:rPr>
          <w:t xml:space="preserve"> is</w:t>
        </w:r>
        <w:r w:rsidR="00991CD0">
          <w:rPr>
            <w:szCs w:val="18"/>
          </w:rPr>
          <w:t xml:space="preserve"> calculated as 5844/876</w:t>
        </w:r>
      </w:ins>
      <w:ins w:id="136" w:author="Samuel Dent" w:date="2015-09-24T08:11:00Z">
        <w:r w:rsidR="00991CD0">
          <w:rPr>
            <w:szCs w:val="18"/>
          </w:rPr>
          <w:t>6</w:t>
        </w:r>
      </w:ins>
      <w:ins w:id="137" w:author="Samuel Dent" w:date="2015-09-24T07:56:00Z">
        <w:r>
          <w:rPr>
            <w:szCs w:val="18"/>
          </w:rPr>
          <w:t xml:space="preserve"> </w:t>
        </w:r>
        <w:r w:rsidRPr="009C362B">
          <w:rPr>
            <w:szCs w:val="18"/>
          </w:rPr>
          <w:t xml:space="preserve">= </w:t>
        </w:r>
      </w:ins>
      <w:ins w:id="138" w:author="Samuel Dent" w:date="2015-09-24T08:06:00Z">
        <w:r w:rsidR="00991CD0">
          <w:rPr>
            <w:szCs w:val="18"/>
          </w:rPr>
          <w:t>66.7</w:t>
        </w:r>
      </w:ins>
      <w:ins w:id="139" w:author="Samuel Dent" w:date="2015-09-24T07:56:00Z">
        <w:r w:rsidRPr="009C362B">
          <w:rPr>
            <w:szCs w:val="18"/>
          </w:rPr>
          <w:t>%.</w:t>
        </w:r>
      </w:ins>
    </w:p>
  </w:footnote>
  <w:footnote w:id="9">
    <w:p w:rsidR="00460126" w:rsidRPr="009C362B" w:rsidRDefault="00460126" w:rsidP="00460126">
      <w:pPr>
        <w:pStyle w:val="Footnote"/>
        <w:rPr>
          <w:szCs w:val="18"/>
        </w:rPr>
      </w:pPr>
      <w:r w:rsidRPr="009C362B">
        <w:rPr>
          <w:rStyle w:val="FootnoteReference"/>
          <w:rFonts w:cstheme="minorHAnsi"/>
          <w:sz w:val="18"/>
          <w:szCs w:val="18"/>
        </w:rPr>
        <w:footnoteRef/>
      </w:r>
      <w:r w:rsidRPr="009C362B">
        <w:rPr>
          <w:szCs w:val="18"/>
        </w:rPr>
        <w:t xml:space="preserve"> Some types of room air cleaners require filter replacement or periodic cleaning, but this is likely to be true for both efficient and baseline units and so no difference in cost is assumed.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126" w:rsidRPr="005D746C" w:rsidRDefault="00460126" w:rsidP="00645A06">
    <w:pPr>
      <w:pStyle w:val="Header"/>
      <w:pBdr>
        <w:bottom w:val="single" w:sz="4" w:space="0" w:color="auto"/>
      </w:pBdr>
      <w:jc w:val="left"/>
      <w:rPr>
        <w:sz w:val="22"/>
      </w:rPr>
    </w:pPr>
    <w:r w:rsidRPr="005D746C">
      <w:rPr>
        <w:sz w:val="22"/>
      </w:rPr>
      <w:t>Illinois Statewide Technical Reference Manual -</w:t>
    </w:r>
    <w:r>
      <w:rPr>
        <w:sz w:val="22"/>
      </w:rPr>
      <w:fldChar w:fldCharType="begin"/>
    </w:r>
    <w:r>
      <w:rPr>
        <w:sz w:val="22"/>
      </w:rPr>
      <w:instrText xml:space="preserve"> REF _Ref376528998 \r \h </w:instrText>
    </w:r>
    <w:r>
      <w:rPr>
        <w:sz w:val="22"/>
      </w:rPr>
    </w:r>
    <w:r>
      <w:rPr>
        <w:sz w:val="22"/>
      </w:rPr>
      <w:fldChar w:fldCharType="separate"/>
    </w:r>
    <w:r>
      <w:rPr>
        <w:sz w:val="22"/>
      </w:rPr>
      <w:t>5.1.1</w:t>
    </w:r>
    <w:r>
      <w:rPr>
        <w:sz w:val="22"/>
      </w:rPr>
      <w:fldChar w:fldCharType="end"/>
    </w:r>
    <w:r>
      <w:rPr>
        <w:sz w:val="22"/>
      </w:rPr>
      <w:t xml:space="preserve"> </w:t>
    </w:r>
    <w:r>
      <w:rPr>
        <w:sz w:val="22"/>
      </w:rPr>
      <w:fldChar w:fldCharType="begin"/>
    </w:r>
    <w:r>
      <w:rPr>
        <w:sz w:val="22"/>
      </w:rPr>
      <w:instrText xml:space="preserve"> REF _Ref376529003 \h </w:instrText>
    </w:r>
    <w:r>
      <w:rPr>
        <w:sz w:val="22"/>
      </w:rPr>
    </w:r>
    <w:r>
      <w:rPr>
        <w:sz w:val="22"/>
      </w:rPr>
      <w:fldChar w:fldCharType="separate"/>
    </w:r>
    <w:r w:rsidRPr="000B7BB6">
      <w:t>ENERGY STAR Air Purifier/Cleaner</w:t>
    </w:r>
    <w:r>
      <w:rPr>
        <w:sz w:val="22"/>
      </w:rPr>
      <w:fldChar w:fldCharType="end"/>
    </w:r>
    <w:r w:rsidRPr="005D746C">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93307"/>
    <w:multiLevelType w:val="multilevel"/>
    <w:tmpl w:val="B522491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126"/>
    <w:rsid w:val="00460126"/>
    <w:rsid w:val="00537978"/>
    <w:rsid w:val="00991CD0"/>
    <w:rsid w:val="00D44783"/>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126"/>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6012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6012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60126"/>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60126"/>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60126"/>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60126"/>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60126"/>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60126"/>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60126"/>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6012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60126"/>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60126"/>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60126"/>
    <w:rPr>
      <w:rFonts w:ascii="Calibri" w:eastAsiaTheme="minorEastAsia" w:hAnsi="Calibri" w:cs="Arial"/>
      <w:bCs/>
      <w:i/>
      <w:noProof/>
    </w:rPr>
  </w:style>
  <w:style w:type="character" w:customStyle="1" w:styleId="Heading5Char">
    <w:name w:val="Heading 5 Char"/>
    <w:basedOn w:val="DefaultParagraphFont"/>
    <w:link w:val="Heading5"/>
    <w:uiPriority w:val="99"/>
    <w:rsid w:val="00460126"/>
    <w:rPr>
      <w:rFonts w:ascii="Calibri" w:eastAsia="Times New Roman" w:hAnsi="Calibri" w:cs="Times New Roman"/>
      <w:sz w:val="20"/>
    </w:rPr>
  </w:style>
  <w:style w:type="character" w:customStyle="1" w:styleId="Heading6Char">
    <w:name w:val="Heading 6 Char"/>
    <w:basedOn w:val="DefaultParagraphFont"/>
    <w:link w:val="Heading6"/>
    <w:uiPriority w:val="9"/>
    <w:rsid w:val="00460126"/>
    <w:rPr>
      <w:rFonts w:eastAsia="Times New Roman" w:cs="Calibri"/>
      <w:b/>
      <w:smallCaps/>
    </w:rPr>
  </w:style>
  <w:style w:type="character" w:customStyle="1" w:styleId="Heading7Char">
    <w:name w:val="Heading 7 Char"/>
    <w:basedOn w:val="DefaultParagraphFont"/>
    <w:link w:val="Heading7"/>
    <w:uiPriority w:val="99"/>
    <w:rsid w:val="0046012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6012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60126"/>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460126"/>
    <w:rPr>
      <w:rFonts w:ascii="Calibri" w:eastAsiaTheme="minorEastAsia" w:hAnsi="Calibri" w:cs="Times New Roman"/>
      <w:bCs/>
      <w:sz w:val="24"/>
      <w:szCs w:val="24"/>
    </w:rPr>
  </w:style>
  <w:style w:type="paragraph" w:styleId="Header">
    <w:name w:val="header"/>
    <w:basedOn w:val="Normal"/>
    <w:link w:val="HeaderChar"/>
    <w:uiPriority w:val="99"/>
    <w:rsid w:val="00460126"/>
    <w:pPr>
      <w:tabs>
        <w:tab w:val="center" w:pos="4320"/>
        <w:tab w:val="right" w:pos="8640"/>
      </w:tabs>
    </w:pPr>
  </w:style>
  <w:style w:type="character" w:customStyle="1" w:styleId="HeaderChar">
    <w:name w:val="Header Char"/>
    <w:basedOn w:val="DefaultParagraphFont"/>
    <w:link w:val="Header"/>
    <w:uiPriority w:val="99"/>
    <w:rsid w:val="00460126"/>
    <w:rPr>
      <w:rFonts w:eastAsia="Times New Roman" w:cs="Times New Roman"/>
      <w:sz w:val="20"/>
    </w:rPr>
  </w:style>
  <w:style w:type="character" w:styleId="FootnoteReference">
    <w:name w:val="footnote reference"/>
    <w:aliases w:val="Footnote_Reference,o,fr"/>
    <w:uiPriority w:val="99"/>
    <w:qFormat/>
    <w:rsid w:val="00460126"/>
    <w:rPr>
      <w:rFonts w:ascii="Arial" w:hAnsi="Arial" w:cs="Times New Roman"/>
      <w:sz w:val="20"/>
      <w:vertAlign w:val="superscript"/>
    </w:rPr>
  </w:style>
  <w:style w:type="character" w:styleId="Hyperlink">
    <w:name w:val="Hyperlink"/>
    <w:uiPriority w:val="99"/>
    <w:rsid w:val="00460126"/>
    <w:rPr>
      <w:rFonts w:cs="Times New Roman"/>
      <w:color w:val="0000FF"/>
      <w:u w:val="single"/>
    </w:rPr>
  </w:style>
  <w:style w:type="paragraph" w:styleId="ListParagraph">
    <w:name w:val="List Paragraph"/>
    <w:aliases w:val="TT - List Paragraph"/>
    <w:basedOn w:val="Normal"/>
    <w:link w:val="ListParagraphChar"/>
    <w:uiPriority w:val="34"/>
    <w:qFormat/>
    <w:rsid w:val="00460126"/>
    <w:pPr>
      <w:ind w:left="720"/>
      <w:contextualSpacing/>
    </w:pPr>
  </w:style>
  <w:style w:type="paragraph" w:customStyle="1" w:styleId="TableText">
    <w:name w:val="Table Text"/>
    <w:basedOn w:val="Normal"/>
    <w:autoRedefine/>
    <w:qFormat/>
    <w:rsid w:val="00460126"/>
    <w:pPr>
      <w:jc w:val="left"/>
    </w:pPr>
    <w:rPr>
      <w:rFonts w:ascii="Calibri" w:hAnsi="Calibri" w:cs="Arial"/>
      <w:noProof/>
      <w:szCs w:val="18"/>
      <w:lang w:val="en"/>
    </w:rPr>
  </w:style>
  <w:style w:type="character" w:customStyle="1" w:styleId="FootnoteChar">
    <w:name w:val="Footnote Char"/>
    <w:basedOn w:val="DefaultParagraphFont"/>
    <w:link w:val="Footnote"/>
    <w:rsid w:val="00460126"/>
    <w:rPr>
      <w:rFonts w:eastAsiaTheme="minorEastAsia" w:cstheme="minorHAnsi"/>
      <w:sz w:val="18"/>
      <w:szCs w:val="20"/>
    </w:rPr>
  </w:style>
  <w:style w:type="paragraph" w:styleId="NormalWeb">
    <w:name w:val="Normal (Web)"/>
    <w:basedOn w:val="Normal"/>
    <w:uiPriority w:val="99"/>
    <w:unhideWhenUsed/>
    <w:rsid w:val="00460126"/>
    <w:rPr>
      <w:rFonts w:ascii="Times New Roman" w:hAnsi="Times New Roman"/>
      <w:sz w:val="24"/>
      <w:szCs w:val="24"/>
    </w:rPr>
  </w:style>
  <w:style w:type="paragraph" w:customStyle="1" w:styleId="Footnote">
    <w:name w:val="Footnote"/>
    <w:basedOn w:val="FootnoteText"/>
    <w:link w:val="FootnoteChar"/>
    <w:autoRedefine/>
    <w:qFormat/>
    <w:rsid w:val="00460126"/>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460126"/>
    <w:rPr>
      <w:rFonts w:eastAsia="Times New Roman" w:cs="Times New Roman"/>
      <w:sz w:val="20"/>
    </w:rPr>
  </w:style>
  <w:style w:type="paragraph" w:styleId="FootnoteText">
    <w:name w:val="footnote text"/>
    <w:basedOn w:val="Normal"/>
    <w:link w:val="FootnoteTextChar"/>
    <w:uiPriority w:val="99"/>
    <w:semiHidden/>
    <w:unhideWhenUsed/>
    <w:rsid w:val="00460126"/>
    <w:pPr>
      <w:spacing w:after="0"/>
    </w:pPr>
    <w:rPr>
      <w:szCs w:val="20"/>
    </w:rPr>
  </w:style>
  <w:style w:type="character" w:customStyle="1" w:styleId="FootnoteTextChar">
    <w:name w:val="Footnote Text Char"/>
    <w:basedOn w:val="DefaultParagraphFont"/>
    <w:link w:val="FootnoteText"/>
    <w:uiPriority w:val="99"/>
    <w:semiHidden/>
    <w:rsid w:val="00460126"/>
    <w:rPr>
      <w:rFonts w:eastAsia="Times New Roman" w:cs="Times New Roman"/>
      <w:sz w:val="20"/>
      <w:szCs w:val="20"/>
    </w:rPr>
  </w:style>
  <w:style w:type="paragraph" w:styleId="BalloonText">
    <w:name w:val="Balloon Text"/>
    <w:basedOn w:val="Normal"/>
    <w:link w:val="BalloonTextChar"/>
    <w:uiPriority w:val="99"/>
    <w:semiHidden/>
    <w:unhideWhenUsed/>
    <w:rsid w:val="00D447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78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126"/>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60126"/>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60126"/>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60126"/>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60126"/>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60126"/>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60126"/>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60126"/>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60126"/>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60126"/>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6012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60126"/>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60126"/>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60126"/>
    <w:rPr>
      <w:rFonts w:ascii="Calibri" w:eastAsiaTheme="minorEastAsia" w:hAnsi="Calibri" w:cs="Arial"/>
      <w:bCs/>
      <w:i/>
      <w:noProof/>
    </w:rPr>
  </w:style>
  <w:style w:type="character" w:customStyle="1" w:styleId="Heading5Char">
    <w:name w:val="Heading 5 Char"/>
    <w:basedOn w:val="DefaultParagraphFont"/>
    <w:link w:val="Heading5"/>
    <w:uiPriority w:val="99"/>
    <w:rsid w:val="00460126"/>
    <w:rPr>
      <w:rFonts w:ascii="Calibri" w:eastAsia="Times New Roman" w:hAnsi="Calibri" w:cs="Times New Roman"/>
      <w:sz w:val="20"/>
    </w:rPr>
  </w:style>
  <w:style w:type="character" w:customStyle="1" w:styleId="Heading6Char">
    <w:name w:val="Heading 6 Char"/>
    <w:basedOn w:val="DefaultParagraphFont"/>
    <w:link w:val="Heading6"/>
    <w:uiPriority w:val="9"/>
    <w:rsid w:val="00460126"/>
    <w:rPr>
      <w:rFonts w:eastAsia="Times New Roman" w:cs="Calibri"/>
      <w:b/>
      <w:smallCaps/>
    </w:rPr>
  </w:style>
  <w:style w:type="character" w:customStyle="1" w:styleId="Heading7Char">
    <w:name w:val="Heading 7 Char"/>
    <w:basedOn w:val="DefaultParagraphFont"/>
    <w:link w:val="Heading7"/>
    <w:uiPriority w:val="99"/>
    <w:rsid w:val="0046012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6012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60126"/>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460126"/>
    <w:rPr>
      <w:rFonts w:ascii="Calibri" w:eastAsiaTheme="minorEastAsia" w:hAnsi="Calibri" w:cs="Times New Roman"/>
      <w:bCs/>
      <w:sz w:val="24"/>
      <w:szCs w:val="24"/>
    </w:rPr>
  </w:style>
  <w:style w:type="paragraph" w:styleId="Header">
    <w:name w:val="header"/>
    <w:basedOn w:val="Normal"/>
    <w:link w:val="HeaderChar"/>
    <w:uiPriority w:val="99"/>
    <w:rsid w:val="00460126"/>
    <w:pPr>
      <w:tabs>
        <w:tab w:val="center" w:pos="4320"/>
        <w:tab w:val="right" w:pos="8640"/>
      </w:tabs>
    </w:pPr>
  </w:style>
  <w:style w:type="character" w:customStyle="1" w:styleId="HeaderChar">
    <w:name w:val="Header Char"/>
    <w:basedOn w:val="DefaultParagraphFont"/>
    <w:link w:val="Header"/>
    <w:uiPriority w:val="99"/>
    <w:rsid w:val="00460126"/>
    <w:rPr>
      <w:rFonts w:eastAsia="Times New Roman" w:cs="Times New Roman"/>
      <w:sz w:val="20"/>
    </w:rPr>
  </w:style>
  <w:style w:type="character" w:styleId="FootnoteReference">
    <w:name w:val="footnote reference"/>
    <w:aliases w:val="Footnote_Reference,o,fr"/>
    <w:uiPriority w:val="99"/>
    <w:qFormat/>
    <w:rsid w:val="00460126"/>
    <w:rPr>
      <w:rFonts w:ascii="Arial" w:hAnsi="Arial" w:cs="Times New Roman"/>
      <w:sz w:val="20"/>
      <w:vertAlign w:val="superscript"/>
    </w:rPr>
  </w:style>
  <w:style w:type="character" w:styleId="Hyperlink">
    <w:name w:val="Hyperlink"/>
    <w:uiPriority w:val="99"/>
    <w:rsid w:val="00460126"/>
    <w:rPr>
      <w:rFonts w:cs="Times New Roman"/>
      <w:color w:val="0000FF"/>
      <w:u w:val="single"/>
    </w:rPr>
  </w:style>
  <w:style w:type="paragraph" w:styleId="ListParagraph">
    <w:name w:val="List Paragraph"/>
    <w:aliases w:val="TT - List Paragraph"/>
    <w:basedOn w:val="Normal"/>
    <w:link w:val="ListParagraphChar"/>
    <w:uiPriority w:val="34"/>
    <w:qFormat/>
    <w:rsid w:val="00460126"/>
    <w:pPr>
      <w:ind w:left="720"/>
      <w:contextualSpacing/>
    </w:pPr>
  </w:style>
  <w:style w:type="paragraph" w:customStyle="1" w:styleId="TableText">
    <w:name w:val="Table Text"/>
    <w:basedOn w:val="Normal"/>
    <w:autoRedefine/>
    <w:qFormat/>
    <w:rsid w:val="00460126"/>
    <w:pPr>
      <w:jc w:val="left"/>
    </w:pPr>
    <w:rPr>
      <w:rFonts w:ascii="Calibri" w:hAnsi="Calibri" w:cs="Arial"/>
      <w:noProof/>
      <w:szCs w:val="18"/>
      <w:lang w:val="en"/>
    </w:rPr>
  </w:style>
  <w:style w:type="character" w:customStyle="1" w:styleId="FootnoteChar">
    <w:name w:val="Footnote Char"/>
    <w:basedOn w:val="DefaultParagraphFont"/>
    <w:link w:val="Footnote"/>
    <w:rsid w:val="00460126"/>
    <w:rPr>
      <w:rFonts w:eastAsiaTheme="minorEastAsia" w:cstheme="minorHAnsi"/>
      <w:sz w:val="18"/>
      <w:szCs w:val="20"/>
    </w:rPr>
  </w:style>
  <w:style w:type="paragraph" w:styleId="NormalWeb">
    <w:name w:val="Normal (Web)"/>
    <w:basedOn w:val="Normal"/>
    <w:uiPriority w:val="99"/>
    <w:unhideWhenUsed/>
    <w:rsid w:val="00460126"/>
    <w:rPr>
      <w:rFonts w:ascii="Times New Roman" w:hAnsi="Times New Roman"/>
      <w:sz w:val="24"/>
      <w:szCs w:val="24"/>
    </w:rPr>
  </w:style>
  <w:style w:type="paragraph" w:customStyle="1" w:styleId="Footnote">
    <w:name w:val="Footnote"/>
    <w:basedOn w:val="FootnoteText"/>
    <w:link w:val="FootnoteChar"/>
    <w:autoRedefine/>
    <w:qFormat/>
    <w:rsid w:val="00460126"/>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460126"/>
    <w:rPr>
      <w:rFonts w:eastAsia="Times New Roman" w:cs="Times New Roman"/>
      <w:sz w:val="20"/>
    </w:rPr>
  </w:style>
  <w:style w:type="paragraph" w:styleId="FootnoteText">
    <w:name w:val="footnote text"/>
    <w:basedOn w:val="Normal"/>
    <w:link w:val="FootnoteTextChar"/>
    <w:uiPriority w:val="99"/>
    <w:semiHidden/>
    <w:unhideWhenUsed/>
    <w:rsid w:val="00460126"/>
    <w:pPr>
      <w:spacing w:after="0"/>
    </w:pPr>
    <w:rPr>
      <w:szCs w:val="20"/>
    </w:rPr>
  </w:style>
  <w:style w:type="character" w:customStyle="1" w:styleId="FootnoteTextChar">
    <w:name w:val="Footnote Text Char"/>
    <w:basedOn w:val="DefaultParagraphFont"/>
    <w:link w:val="FootnoteText"/>
    <w:uiPriority w:val="99"/>
    <w:semiHidden/>
    <w:rsid w:val="00460126"/>
    <w:rPr>
      <w:rFonts w:eastAsia="Times New Roman" w:cs="Times New Roman"/>
      <w:sz w:val="20"/>
      <w:szCs w:val="20"/>
    </w:rPr>
  </w:style>
  <w:style w:type="paragraph" w:styleId="BalloonText">
    <w:name w:val="Balloon Text"/>
    <w:basedOn w:val="Normal"/>
    <w:link w:val="BalloonTextChar"/>
    <w:uiPriority w:val="99"/>
    <w:semiHidden/>
    <w:unhideWhenUsed/>
    <w:rsid w:val="00D447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78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F83A3982</Template>
  <TotalTime>0</TotalTime>
  <Pages>3</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2015-09-24T12:12:00Z</dcterms:created>
  <dcterms:modified xsi:type="dcterms:W3CDTF">2015-09-24T12:12:00Z</dcterms:modified>
</cp:coreProperties>
</file>