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45E" w:rsidRPr="008079E1" w:rsidRDefault="0043345E" w:rsidP="0043345E">
      <w:pPr>
        <w:pStyle w:val="Heading3"/>
        <w:numPr>
          <w:ilvl w:val="2"/>
          <w:numId w:val="3"/>
        </w:numPr>
      </w:pPr>
      <w:bookmarkStart w:id="0" w:name="_Ref325897879"/>
      <w:bookmarkStart w:id="1" w:name="_Ref325897885"/>
      <w:bookmarkStart w:id="2" w:name="_Toc325918709"/>
      <w:bookmarkStart w:id="3" w:name="_Toc333219032"/>
      <w:bookmarkStart w:id="4" w:name="_Toc411593458"/>
      <w:r>
        <w:t>Air Conditioner Tune-up</w:t>
      </w:r>
      <w:bookmarkEnd w:id="0"/>
      <w:bookmarkEnd w:id="1"/>
      <w:bookmarkEnd w:id="2"/>
      <w:bookmarkEnd w:id="3"/>
      <w:bookmarkEnd w:id="4"/>
    </w:p>
    <w:p w:rsidR="0043345E" w:rsidRDefault="0043345E" w:rsidP="0043345E">
      <w:pPr>
        <w:pStyle w:val="Heading6"/>
      </w:pPr>
      <w:r w:rsidRPr="002F371F">
        <w:t xml:space="preserve">Description </w:t>
      </w:r>
    </w:p>
    <w:p w:rsidR="0043345E" w:rsidRDefault="0043345E" w:rsidP="0043345E">
      <w:r>
        <w:t>An air conditioning system that is operating as designed saves energy and provides adequate cooling and comfort to the conditioned space</w:t>
      </w:r>
    </w:p>
    <w:p w:rsidR="0043345E" w:rsidRDefault="0043345E" w:rsidP="0043345E">
      <w:pPr>
        <w:pStyle w:val="Heading6"/>
      </w:pPr>
      <w:r w:rsidRPr="002F371F">
        <w:t xml:space="preserve">Definition of Efficient Equipment </w:t>
      </w:r>
    </w:p>
    <w:p w:rsidR="0043345E" w:rsidRDefault="0043345E" w:rsidP="0043345E">
      <w:r w:rsidRPr="001D4463">
        <w:t>In order for this characterization to apply, the efficient equipment is assumed to be</w:t>
      </w:r>
      <w:r>
        <w:t xml:space="preserve"> a unitary or split system air conditioner least 3 tons and preapproved by program. The measure requires that a certified technician performs the following items: </w:t>
      </w:r>
    </w:p>
    <w:p w:rsidR="0043345E" w:rsidRDefault="0043345E" w:rsidP="0043345E">
      <w:pPr>
        <w:pStyle w:val="ListParagraph"/>
        <w:widowControl/>
        <w:numPr>
          <w:ilvl w:val="0"/>
          <w:numId w:val="2"/>
        </w:numPr>
        <w:spacing w:after="240"/>
      </w:pPr>
      <w:r>
        <w:t>Check refrigerant charge</w:t>
      </w:r>
    </w:p>
    <w:p w:rsidR="0043345E" w:rsidRDefault="0043345E" w:rsidP="0043345E">
      <w:pPr>
        <w:pStyle w:val="ListParagraph"/>
        <w:widowControl/>
        <w:numPr>
          <w:ilvl w:val="0"/>
          <w:numId w:val="2"/>
        </w:numPr>
        <w:spacing w:after="240"/>
      </w:pPr>
      <w:r>
        <w:t>Identify and repair leaks if refrigerant charge is low</w:t>
      </w:r>
    </w:p>
    <w:p w:rsidR="0043345E" w:rsidRDefault="0043345E" w:rsidP="0043345E">
      <w:pPr>
        <w:pStyle w:val="ListParagraph"/>
        <w:widowControl/>
        <w:numPr>
          <w:ilvl w:val="0"/>
          <w:numId w:val="2"/>
        </w:numPr>
        <w:spacing w:after="240"/>
      </w:pPr>
      <w:r>
        <w:t>Measure and record refrigerant pressures</w:t>
      </w:r>
    </w:p>
    <w:p w:rsidR="0043345E" w:rsidRDefault="0043345E" w:rsidP="0043345E">
      <w:pPr>
        <w:pStyle w:val="ListParagraph"/>
        <w:widowControl/>
        <w:numPr>
          <w:ilvl w:val="0"/>
          <w:numId w:val="2"/>
        </w:numPr>
        <w:spacing w:after="240"/>
      </w:pPr>
      <w:r>
        <w:t>Measure and record temperature drop at indoor coil</w:t>
      </w:r>
    </w:p>
    <w:p w:rsidR="0043345E" w:rsidRDefault="0043345E" w:rsidP="0043345E">
      <w:pPr>
        <w:pStyle w:val="ListParagraph"/>
        <w:widowControl/>
        <w:numPr>
          <w:ilvl w:val="0"/>
          <w:numId w:val="2"/>
        </w:numPr>
        <w:spacing w:after="240"/>
      </w:pPr>
      <w:r>
        <w:t>Clean condensate drain line</w:t>
      </w:r>
    </w:p>
    <w:p w:rsidR="0043345E" w:rsidRDefault="0043345E" w:rsidP="0043345E">
      <w:pPr>
        <w:pStyle w:val="ListParagraph"/>
        <w:widowControl/>
        <w:numPr>
          <w:ilvl w:val="0"/>
          <w:numId w:val="2"/>
        </w:numPr>
        <w:spacing w:after="240"/>
      </w:pPr>
      <w:r>
        <w:t>Clean outdoor coil and straighten fins</w:t>
      </w:r>
    </w:p>
    <w:p w:rsidR="0043345E" w:rsidRDefault="0043345E" w:rsidP="0043345E">
      <w:pPr>
        <w:pStyle w:val="ListParagraph"/>
        <w:widowControl/>
        <w:numPr>
          <w:ilvl w:val="0"/>
          <w:numId w:val="2"/>
        </w:numPr>
        <w:spacing w:after="240"/>
      </w:pPr>
      <w:r>
        <w:t>Clean indoor and outdoor fan blades</w:t>
      </w:r>
    </w:p>
    <w:p w:rsidR="0043345E" w:rsidRDefault="0043345E" w:rsidP="0043345E">
      <w:pPr>
        <w:pStyle w:val="ListParagraph"/>
        <w:widowControl/>
        <w:numPr>
          <w:ilvl w:val="0"/>
          <w:numId w:val="2"/>
        </w:numPr>
        <w:spacing w:after="240"/>
      </w:pPr>
      <w:r>
        <w:t>Clean indoor coil with spray-on cleaner and straighten fins</w:t>
      </w:r>
    </w:p>
    <w:p w:rsidR="0043345E" w:rsidRDefault="0043345E" w:rsidP="0043345E">
      <w:pPr>
        <w:pStyle w:val="ListParagraph"/>
        <w:widowControl/>
        <w:numPr>
          <w:ilvl w:val="0"/>
          <w:numId w:val="2"/>
        </w:numPr>
        <w:spacing w:after="240"/>
      </w:pPr>
      <w:r>
        <w:t>Repair damaged insulation – suction line</w:t>
      </w:r>
    </w:p>
    <w:p w:rsidR="0043345E" w:rsidRDefault="0043345E" w:rsidP="0043345E">
      <w:pPr>
        <w:pStyle w:val="ListParagraph"/>
        <w:widowControl/>
        <w:numPr>
          <w:ilvl w:val="0"/>
          <w:numId w:val="2"/>
        </w:numPr>
        <w:spacing w:after="240"/>
      </w:pPr>
      <w:r>
        <w:t>Change air filter</w:t>
      </w:r>
    </w:p>
    <w:p w:rsidR="0043345E" w:rsidRDefault="0043345E" w:rsidP="0043345E">
      <w:pPr>
        <w:pStyle w:val="ListParagraph"/>
        <w:widowControl/>
        <w:numPr>
          <w:ilvl w:val="0"/>
          <w:numId w:val="2"/>
        </w:numPr>
        <w:spacing w:after="240"/>
      </w:pPr>
      <w:r>
        <w:t>Measure and record blower amp draw</w:t>
      </w:r>
    </w:p>
    <w:p w:rsidR="0043345E" w:rsidRDefault="0043345E" w:rsidP="0043345E">
      <w:r>
        <w:t>A copy of contractor invoices that detail the work performed to identify tune-up items, as well as additional labor and parts to improve/repair air conditioner performance must be submitted to the program</w:t>
      </w:r>
    </w:p>
    <w:p w:rsidR="0043345E" w:rsidRDefault="0043345E" w:rsidP="0043345E">
      <w:pPr>
        <w:pStyle w:val="Heading6"/>
      </w:pPr>
      <w:r w:rsidRPr="002F371F">
        <w:t xml:space="preserve">Definition of Baseline Equipment </w:t>
      </w:r>
    </w:p>
    <w:p w:rsidR="0043345E" w:rsidRPr="008A1577" w:rsidRDefault="0043345E" w:rsidP="0043345E">
      <w:r w:rsidRPr="001D4463">
        <w:t>In order for this characterization to apply, the baseline condition is assumed to be a</w:t>
      </w:r>
      <w:r>
        <w:t>n AC system that that does not have a standing maintenance contract or a tune up within in the past 36 months.</w:t>
      </w:r>
    </w:p>
    <w:p w:rsidR="0043345E" w:rsidRDefault="0043345E" w:rsidP="0043345E">
      <w:pPr>
        <w:pStyle w:val="Heading6"/>
      </w:pPr>
      <w:r w:rsidRPr="002F371F">
        <w:t xml:space="preserve">Deemed Lifetime of Efficient Equipment </w:t>
      </w:r>
    </w:p>
    <w:p w:rsidR="0043345E" w:rsidRPr="008A1577" w:rsidRDefault="0043345E" w:rsidP="0043345E">
      <w:r w:rsidRPr="00C36108">
        <w:t>The expected measure life is assumed to be</w:t>
      </w:r>
      <w:r>
        <w:t xml:space="preserve"> 3 years.</w:t>
      </w:r>
      <w:r>
        <w:rPr>
          <w:rStyle w:val="FootnoteReference"/>
        </w:rPr>
        <w:footnoteReference w:id="1"/>
      </w:r>
    </w:p>
    <w:p w:rsidR="0043345E" w:rsidRDefault="0043345E" w:rsidP="0043345E">
      <w:pPr>
        <w:pStyle w:val="Heading6"/>
      </w:pPr>
      <w:r w:rsidRPr="002F371F">
        <w:t xml:space="preserve">Deemed Measure Cost </w:t>
      </w:r>
    </w:p>
    <w:p w:rsidR="0043345E" w:rsidRPr="008A1577" w:rsidRDefault="0043345E" w:rsidP="0043345E">
      <w:r w:rsidRPr="001D4463">
        <w:t>Th</w:t>
      </w:r>
      <w:r>
        <w:t>e incremental capital cost for this measure is $35</w:t>
      </w:r>
      <w:r>
        <w:rPr>
          <w:rStyle w:val="FootnoteReference"/>
        </w:rPr>
        <w:footnoteReference w:id="2"/>
      </w:r>
      <w:r>
        <w:t xml:space="preserve"> per ton.</w:t>
      </w:r>
    </w:p>
    <w:p w:rsidR="0043345E" w:rsidRDefault="0043345E" w:rsidP="0043345E">
      <w:pPr>
        <w:pStyle w:val="Heading6"/>
      </w:pPr>
      <w:proofErr w:type="spellStart"/>
      <w:r>
        <w:t>Loadshape</w:t>
      </w:r>
      <w:proofErr w:type="spellEnd"/>
    </w:p>
    <w:p w:rsidR="0043345E" w:rsidRPr="00344D96" w:rsidRDefault="0043345E" w:rsidP="0043345E">
      <w:proofErr w:type="spellStart"/>
      <w:r w:rsidRPr="00344D96">
        <w:t>Loadshape</w:t>
      </w:r>
      <w:proofErr w:type="spellEnd"/>
      <w:r w:rsidRPr="00344D96">
        <w:t xml:space="preserve"> C03 - </w:t>
      </w:r>
      <w:r>
        <w:t>Commercial</w:t>
      </w:r>
      <w:r w:rsidRPr="00344D96">
        <w:t xml:space="preserve"> Cooling</w:t>
      </w:r>
    </w:p>
    <w:p w:rsidR="0043345E" w:rsidRDefault="0043345E" w:rsidP="0043345E">
      <w:pPr>
        <w:pStyle w:val="Heading6"/>
      </w:pPr>
      <w:r w:rsidRPr="002F371F">
        <w:t>Coincidence Factor</w:t>
      </w:r>
    </w:p>
    <w:p w:rsidR="0043345E" w:rsidRDefault="0043345E" w:rsidP="0043345E">
      <w:pPr>
        <w:ind w:left="720"/>
      </w:pPr>
      <w:r>
        <w:t>CF</w:t>
      </w:r>
      <w:r>
        <w:rPr>
          <w:vertAlign w:val="subscript"/>
        </w:rPr>
        <w:t>SSP</w:t>
      </w:r>
      <w:r>
        <w:t xml:space="preserve">  </w:t>
      </w:r>
      <w:r>
        <w:tab/>
        <w:t>= Summer System Peak Coincidence Factor for Commercial cooling (during system peak hour)</w:t>
      </w:r>
    </w:p>
    <w:p w:rsidR="0043345E" w:rsidRDefault="0043345E" w:rsidP="0043345E">
      <w:pPr>
        <w:ind w:left="1440"/>
      </w:pPr>
      <w:r>
        <w:t xml:space="preserve">= 91.3% </w:t>
      </w:r>
      <w:r>
        <w:rPr>
          <w:rStyle w:val="FootnoteReference"/>
          <w:sz w:val="22"/>
        </w:rPr>
        <w:footnoteReference w:id="3"/>
      </w:r>
    </w:p>
    <w:p w:rsidR="0043345E" w:rsidRDefault="0043345E" w:rsidP="0043345E">
      <w:pPr>
        <w:ind w:left="720"/>
      </w:pPr>
      <w:r>
        <w:lastRenderedPageBreak/>
        <w:t>CF</w:t>
      </w:r>
      <w:r>
        <w:rPr>
          <w:vertAlign w:val="subscript"/>
        </w:rPr>
        <w:t xml:space="preserve">PJM </w:t>
      </w:r>
      <w:r>
        <w:rPr>
          <w:vertAlign w:val="subscript"/>
        </w:rPr>
        <w:tab/>
      </w:r>
      <w:r>
        <w:t>= PJM Summer Peak Coincidence Factor for Commercial cooling (average during peak period)</w:t>
      </w:r>
    </w:p>
    <w:p w:rsidR="0043345E" w:rsidRDefault="0043345E" w:rsidP="0043345E">
      <w:pPr>
        <w:ind w:left="1440"/>
      </w:pPr>
      <w:r>
        <w:t>= 47.8%</w:t>
      </w:r>
      <w:r>
        <w:rPr>
          <w:vertAlign w:val="superscript"/>
        </w:rPr>
        <w:t xml:space="preserve"> </w:t>
      </w:r>
      <w:r>
        <w:rPr>
          <w:rStyle w:val="FootnoteReference"/>
          <w:sz w:val="22"/>
        </w:rPr>
        <w:footnoteReference w:id="4"/>
      </w:r>
    </w:p>
    <w:p w:rsidR="0043345E" w:rsidRPr="002F371F" w:rsidRDefault="0043345E" w:rsidP="0043345E">
      <w:pPr>
        <w:keepNext/>
        <w:pBdr>
          <w:top w:val="double" w:sz="4" w:space="1" w:color="auto"/>
          <w:bottom w:val="double" w:sz="4" w:space="1" w:color="auto"/>
        </w:pBdr>
        <w:jc w:val="center"/>
        <w:rPr>
          <w:rFonts w:cstheme="minorHAnsi"/>
          <w:b/>
          <w:szCs w:val="20"/>
        </w:rPr>
      </w:pPr>
      <w:r w:rsidRPr="002F371F">
        <w:rPr>
          <w:rFonts w:cstheme="minorHAnsi"/>
          <w:b/>
          <w:szCs w:val="20"/>
        </w:rPr>
        <w:t>Algorithm</w:t>
      </w:r>
    </w:p>
    <w:p w:rsidR="0043345E" w:rsidRDefault="0043345E" w:rsidP="0043345E">
      <w:pPr>
        <w:pStyle w:val="Heading6"/>
      </w:pPr>
      <w:r w:rsidRPr="002F371F">
        <w:t xml:space="preserve">Calculation of Savings </w:t>
      </w:r>
    </w:p>
    <w:p w:rsidR="0043345E" w:rsidRDefault="0043345E" w:rsidP="0043345E">
      <w:pPr>
        <w:pStyle w:val="Heading6"/>
      </w:pPr>
      <w:r>
        <w:t xml:space="preserve">Electric </w:t>
      </w:r>
      <w:r w:rsidRPr="002F371F">
        <w:t xml:space="preserve">Energy Savings </w:t>
      </w:r>
    </w:p>
    <w:p w:rsidR="0043345E" w:rsidDel="0043345E" w:rsidRDefault="0043345E" w:rsidP="0043345E">
      <w:pPr>
        <w:ind w:firstLine="720"/>
        <w:rPr>
          <w:del w:id="5" w:author="Samuel Dent" w:date="2015-10-09T09:11:00Z"/>
          <w:noProof/>
        </w:rPr>
      </w:pPr>
      <w:del w:id="6" w:author="Samuel Dent" w:date="2015-10-09T09:11:00Z">
        <w:r w:rsidDel="0043345E">
          <w:rPr>
            <w:noProof/>
          </w:rPr>
          <w:delText>For units with cooling capacities less than 65 kBtu/hr:</w:delText>
        </w:r>
      </w:del>
    </w:p>
    <w:p w:rsidR="0043345E" w:rsidDel="0043345E" w:rsidRDefault="0043345E" w:rsidP="0043345E">
      <w:pPr>
        <w:ind w:left="720" w:firstLine="720"/>
        <w:rPr>
          <w:del w:id="7" w:author="Samuel Dent" w:date="2015-10-09T09:11:00Z"/>
          <w:noProof/>
        </w:rPr>
      </w:pPr>
      <w:del w:id="8" w:author="Samuel Dent" w:date="2015-10-09T09:11:00Z">
        <w:r w:rsidDel="0043345E">
          <w:rPr>
            <w:noProof/>
          </w:rPr>
          <w:delText>ΔkWH</w:delText>
        </w:r>
        <w:r w:rsidDel="0043345E">
          <w:rPr>
            <w:noProof/>
          </w:rPr>
          <w:tab/>
          <w:delText>= (kBtu/hr) * [(1/SEERbefore) – (1/SEERafter)] * EFLH</w:delText>
        </w:r>
      </w:del>
    </w:p>
    <w:p w:rsidR="0043345E" w:rsidDel="0043345E" w:rsidRDefault="0043345E" w:rsidP="0043345E">
      <w:pPr>
        <w:ind w:firstLine="720"/>
        <w:rPr>
          <w:del w:id="9" w:author="Samuel Dent" w:date="2015-10-09T09:11:00Z"/>
          <w:noProof/>
        </w:rPr>
      </w:pPr>
      <w:del w:id="10" w:author="Samuel Dent" w:date="2015-10-09T09:11:00Z">
        <w:r w:rsidDel="0043345E">
          <w:rPr>
            <w:noProof/>
          </w:rPr>
          <w:delText>For units with cooling capacities equal to or greater than 65 kBtu/hr:</w:delText>
        </w:r>
      </w:del>
    </w:p>
    <w:p w:rsidR="0043345E" w:rsidRDefault="0043345E" w:rsidP="0043345E">
      <w:pPr>
        <w:ind w:left="720" w:firstLine="720"/>
        <w:rPr>
          <w:noProof/>
          <w:lang w:val="nl-NL"/>
        </w:rPr>
      </w:pPr>
      <w:r>
        <w:rPr>
          <w:noProof/>
        </w:rPr>
        <w:t>Δ</w:t>
      </w:r>
      <w:r>
        <w:rPr>
          <w:noProof/>
          <w:lang w:val="nl-NL"/>
        </w:rPr>
        <w:t>kWH</w:t>
      </w:r>
      <w:r>
        <w:rPr>
          <w:noProof/>
          <w:lang w:val="nl-NL"/>
        </w:rPr>
        <w:tab/>
        <w:t>= (kBtu/hr) * [(1/EER</w:t>
      </w:r>
      <w:r>
        <w:rPr>
          <w:noProof/>
        </w:rPr>
        <w:t>before</w:t>
      </w:r>
      <w:r>
        <w:rPr>
          <w:noProof/>
          <w:lang w:val="nl-NL"/>
        </w:rPr>
        <w:t>) – (1/EER</w:t>
      </w:r>
      <w:r>
        <w:rPr>
          <w:noProof/>
        </w:rPr>
        <w:t>after</w:t>
      </w:r>
      <w:r>
        <w:rPr>
          <w:noProof/>
          <w:lang w:val="nl-NL"/>
        </w:rPr>
        <w:t>)] * EFLH</w:t>
      </w:r>
    </w:p>
    <w:p w:rsidR="0043345E" w:rsidRDefault="0043345E" w:rsidP="0043345E">
      <w:pPr>
        <w:rPr>
          <w:noProof/>
        </w:rPr>
      </w:pPr>
      <w:r>
        <w:rPr>
          <w:noProof/>
        </w:rPr>
        <w:t>Where:</w:t>
      </w:r>
    </w:p>
    <w:p w:rsidR="0043345E" w:rsidRDefault="0043345E" w:rsidP="0043345E">
      <w:pPr>
        <w:ind w:left="2160" w:hanging="1440"/>
        <w:rPr>
          <w:noProof/>
        </w:rPr>
      </w:pPr>
      <w:r>
        <w:rPr>
          <w:noProof/>
        </w:rPr>
        <w:t xml:space="preserve">kBtu/hr </w:t>
      </w:r>
      <w:r>
        <w:rPr>
          <w:noProof/>
        </w:rPr>
        <w:tab/>
        <w:t>= capacity of the cooling equipment actually installed in kBtu per hour (1 ton of cooling capacity equals 12 kBtu/hr).</w:t>
      </w:r>
    </w:p>
    <w:p w:rsidR="0043345E" w:rsidRDefault="0043345E" w:rsidP="0043345E">
      <w:pPr>
        <w:ind w:left="2160" w:hanging="1440"/>
        <w:rPr>
          <w:noProof/>
        </w:rPr>
      </w:pPr>
      <w:r>
        <w:rPr>
          <w:noProof/>
        </w:rPr>
        <w:tab/>
        <w:t>=Actual</w:t>
      </w:r>
    </w:p>
    <w:p w:rsidR="0043345E" w:rsidDel="0043345E" w:rsidRDefault="0043345E" w:rsidP="0043345E">
      <w:pPr>
        <w:ind w:left="720"/>
        <w:rPr>
          <w:del w:id="11" w:author="Samuel Dent" w:date="2015-10-09T09:11:00Z"/>
          <w:noProof/>
        </w:rPr>
      </w:pPr>
      <w:del w:id="12" w:author="Samuel Dent" w:date="2015-10-09T09:11:00Z">
        <w:r w:rsidDel="0043345E">
          <w:rPr>
            <w:noProof/>
          </w:rPr>
          <w:delText>SEERbefore</w:delText>
        </w:r>
        <w:r w:rsidDel="0043345E">
          <w:rPr>
            <w:noProof/>
          </w:rPr>
          <w:tab/>
          <w:delText>= Seasonal Energy Efficiency Ratio of the equipment prior to tune-up</w:delText>
        </w:r>
      </w:del>
    </w:p>
    <w:p w:rsidR="0043345E" w:rsidDel="0043345E" w:rsidRDefault="0043345E" w:rsidP="0043345E">
      <w:pPr>
        <w:ind w:left="720"/>
        <w:rPr>
          <w:del w:id="13" w:author="Samuel Dent" w:date="2015-10-09T09:11:00Z"/>
          <w:noProof/>
        </w:rPr>
      </w:pPr>
      <w:del w:id="14" w:author="Samuel Dent" w:date="2015-10-09T09:11:00Z">
        <w:r w:rsidDel="0043345E">
          <w:rPr>
            <w:noProof/>
          </w:rPr>
          <w:tab/>
        </w:r>
        <w:r w:rsidDel="0043345E">
          <w:rPr>
            <w:noProof/>
          </w:rPr>
          <w:tab/>
          <w:delText>=Actual</w:delText>
        </w:r>
      </w:del>
    </w:p>
    <w:p w:rsidR="0043345E" w:rsidDel="0043345E" w:rsidRDefault="0043345E" w:rsidP="0043345E">
      <w:pPr>
        <w:ind w:left="720"/>
        <w:rPr>
          <w:del w:id="15" w:author="Samuel Dent" w:date="2015-10-09T09:11:00Z"/>
          <w:noProof/>
        </w:rPr>
      </w:pPr>
      <w:del w:id="16" w:author="Samuel Dent" w:date="2015-10-09T09:11:00Z">
        <w:r w:rsidDel="0043345E">
          <w:rPr>
            <w:noProof/>
          </w:rPr>
          <w:delText xml:space="preserve">SEERafter </w:delText>
        </w:r>
        <w:r w:rsidDel="0043345E">
          <w:rPr>
            <w:noProof/>
          </w:rPr>
          <w:tab/>
          <w:delText>= Seasonal Energy Efficiency Ratio of the equipment after to tune-up</w:delText>
        </w:r>
      </w:del>
    </w:p>
    <w:p w:rsidR="0043345E" w:rsidDel="0043345E" w:rsidRDefault="0043345E" w:rsidP="0043345E">
      <w:pPr>
        <w:ind w:left="2160" w:hanging="1440"/>
        <w:rPr>
          <w:del w:id="17" w:author="Samuel Dent" w:date="2015-10-09T09:11:00Z"/>
          <w:noProof/>
        </w:rPr>
      </w:pPr>
      <w:del w:id="18" w:author="Samuel Dent" w:date="2015-10-09T09:11:00Z">
        <w:r w:rsidDel="0043345E">
          <w:rPr>
            <w:noProof/>
          </w:rPr>
          <w:tab/>
          <w:delText>=Actual</w:delText>
        </w:r>
      </w:del>
    </w:p>
    <w:p w:rsidR="0043345E" w:rsidRDefault="0043345E" w:rsidP="0043345E">
      <w:pPr>
        <w:ind w:left="2160" w:hanging="1440"/>
        <w:rPr>
          <w:noProof/>
        </w:rPr>
      </w:pPr>
      <w:r>
        <w:rPr>
          <w:noProof/>
        </w:rPr>
        <w:t>EERbefore</w:t>
      </w:r>
      <w:r>
        <w:rPr>
          <w:noProof/>
        </w:rPr>
        <w:tab/>
        <w:t>= Energy Efficiency Ratio</w:t>
      </w:r>
      <w:ins w:id="19" w:author="Samuel Dent" w:date="2015-10-09T09:11:00Z">
        <w:r>
          <w:rPr>
            <w:rStyle w:val="FootnoteReference"/>
            <w:noProof/>
          </w:rPr>
          <w:footnoteReference w:id="5"/>
        </w:r>
      </w:ins>
      <w:r>
        <w:rPr>
          <w:noProof/>
        </w:rPr>
        <w:t xml:space="preserve"> of the baseline equipment prior to tune-up</w:t>
      </w:r>
    </w:p>
    <w:p w:rsidR="0043345E" w:rsidRDefault="0043345E" w:rsidP="0043345E">
      <w:pPr>
        <w:ind w:left="2160" w:hanging="1440"/>
        <w:rPr>
          <w:noProof/>
        </w:rPr>
      </w:pPr>
      <w:r>
        <w:rPr>
          <w:noProof/>
        </w:rPr>
        <w:tab/>
        <w:t>=Actual</w:t>
      </w:r>
    </w:p>
    <w:p w:rsidR="0043345E" w:rsidRDefault="0043345E" w:rsidP="0043345E">
      <w:pPr>
        <w:ind w:left="2160" w:hanging="1440"/>
        <w:rPr>
          <w:noProof/>
        </w:rPr>
      </w:pPr>
      <w:r>
        <w:rPr>
          <w:noProof/>
        </w:rPr>
        <w:t xml:space="preserve">EERafter </w:t>
      </w:r>
      <w:r>
        <w:rPr>
          <w:noProof/>
        </w:rPr>
        <w:tab/>
        <w:t xml:space="preserve">= Energy Efficiency Ratio of the baseline equipment after to tune-up </w:t>
      </w:r>
    </w:p>
    <w:p w:rsidR="0043345E" w:rsidRDefault="0043345E" w:rsidP="0043345E">
      <w:pPr>
        <w:ind w:left="2160" w:hanging="1440"/>
        <w:rPr>
          <w:noProof/>
        </w:rPr>
      </w:pPr>
      <w:r>
        <w:rPr>
          <w:noProof/>
        </w:rPr>
        <w:tab/>
        <w:t>=Actual</w:t>
      </w:r>
    </w:p>
    <w:p w:rsidR="0043345E" w:rsidRDefault="0043345E" w:rsidP="0043345E">
      <w:pPr>
        <w:ind w:left="2160" w:hanging="1440"/>
      </w:pPr>
      <w:r>
        <w:rPr>
          <w:noProof/>
        </w:rPr>
        <w:t xml:space="preserve">EFLH </w:t>
      </w:r>
      <w:r>
        <w:rPr>
          <w:noProof/>
        </w:rPr>
        <w:tab/>
        <w:t>= Equivalent Full Load Hours for cooling are provided in section 4.4 HVAC End Use</w:t>
      </w:r>
    </w:p>
    <w:p w:rsidR="0043345E" w:rsidRDefault="0043345E" w:rsidP="0043345E">
      <w:pPr>
        <w:pStyle w:val="Heading6"/>
      </w:pPr>
      <w:r w:rsidRPr="00933056">
        <w:t>Summer Coincident Peak Demand Savings</w:t>
      </w:r>
      <w:r>
        <w:t xml:space="preserve"> </w:t>
      </w:r>
    </w:p>
    <w:p w:rsidR="0043345E" w:rsidRDefault="0043345E" w:rsidP="0043345E">
      <w:pPr>
        <w:ind w:left="720" w:firstLine="720"/>
        <w:rPr>
          <w:vertAlign w:val="subscript"/>
        </w:rPr>
      </w:pPr>
      <w:r>
        <w:rPr>
          <w:noProof/>
        </w:rPr>
        <w:t>ΔkW</w:t>
      </w:r>
      <w:r>
        <w:rPr>
          <w:vertAlign w:val="subscript"/>
        </w:rPr>
        <w:t>SSP</w:t>
      </w:r>
      <w:r>
        <w:rPr>
          <w:noProof/>
        </w:rPr>
        <w:t xml:space="preserve"> </w:t>
      </w:r>
      <w:r>
        <w:rPr>
          <w:noProof/>
        </w:rPr>
        <w:tab/>
        <w:t>= (kBtu/hr * (1/EERbefore - 1/EERafter)) * CF</w:t>
      </w:r>
      <w:r>
        <w:rPr>
          <w:vertAlign w:val="subscript"/>
        </w:rPr>
        <w:t>SSP</w:t>
      </w:r>
    </w:p>
    <w:p w:rsidR="0043345E" w:rsidRDefault="0043345E" w:rsidP="0043345E">
      <w:pPr>
        <w:ind w:left="720" w:firstLine="720"/>
        <w:rPr>
          <w:vertAlign w:val="subscript"/>
        </w:rPr>
      </w:pPr>
      <w:r>
        <w:rPr>
          <w:noProof/>
        </w:rPr>
        <w:t>ΔkW</w:t>
      </w:r>
      <w:r>
        <w:rPr>
          <w:vertAlign w:val="subscript"/>
        </w:rPr>
        <w:t>PJM</w:t>
      </w:r>
      <w:r>
        <w:rPr>
          <w:noProof/>
        </w:rPr>
        <w:t xml:space="preserve"> </w:t>
      </w:r>
      <w:r>
        <w:rPr>
          <w:noProof/>
        </w:rPr>
        <w:tab/>
        <w:t>= (kBtu/hr * (1/</w:t>
      </w:r>
      <w:r w:rsidRPr="005622E4">
        <w:rPr>
          <w:noProof/>
        </w:rPr>
        <w:t xml:space="preserve"> </w:t>
      </w:r>
      <w:r>
        <w:rPr>
          <w:noProof/>
        </w:rPr>
        <w:t>EERbefore - 1/EERafter)) * CF</w:t>
      </w:r>
      <w:r>
        <w:rPr>
          <w:vertAlign w:val="subscript"/>
        </w:rPr>
        <w:t>PJM</w:t>
      </w:r>
    </w:p>
    <w:p w:rsidR="0043345E" w:rsidRDefault="0043345E" w:rsidP="0043345E">
      <w:pPr>
        <w:keepNext/>
        <w:rPr>
          <w:noProof/>
        </w:rPr>
      </w:pPr>
      <w:r>
        <w:rPr>
          <w:noProof/>
        </w:rPr>
        <w:t>Where:</w:t>
      </w:r>
    </w:p>
    <w:p w:rsidR="0043345E" w:rsidRDefault="0043345E" w:rsidP="0043345E">
      <w:pPr>
        <w:ind w:left="720"/>
      </w:pPr>
      <w:r>
        <w:t>CF</w:t>
      </w:r>
      <w:r>
        <w:rPr>
          <w:vertAlign w:val="subscript"/>
        </w:rPr>
        <w:t>SSP</w:t>
      </w:r>
      <w:r>
        <w:t xml:space="preserve">  </w:t>
      </w:r>
      <w:r>
        <w:tab/>
        <w:t>= Summer System Peak Coincidence Factor for Commercial cooling (during system peak hour)</w:t>
      </w:r>
    </w:p>
    <w:p w:rsidR="0043345E" w:rsidRDefault="0043345E" w:rsidP="0043345E">
      <w:pPr>
        <w:ind w:left="1440"/>
      </w:pPr>
      <w:r>
        <w:t xml:space="preserve">= 91.3% </w:t>
      </w:r>
      <w:r>
        <w:rPr>
          <w:rStyle w:val="FootnoteReference"/>
          <w:sz w:val="22"/>
        </w:rPr>
        <w:footnoteReference w:id="6"/>
      </w:r>
    </w:p>
    <w:p w:rsidR="0043345E" w:rsidRDefault="0043345E" w:rsidP="0043345E">
      <w:pPr>
        <w:ind w:left="720"/>
      </w:pPr>
      <w:r>
        <w:t>CF</w:t>
      </w:r>
      <w:r>
        <w:rPr>
          <w:vertAlign w:val="subscript"/>
        </w:rPr>
        <w:t xml:space="preserve">PJM </w:t>
      </w:r>
      <w:r>
        <w:rPr>
          <w:vertAlign w:val="subscript"/>
        </w:rPr>
        <w:tab/>
      </w:r>
      <w:r>
        <w:t>= PJM Summer Peak Coincidence Factor for Commercial cooling (average during peak period)</w:t>
      </w:r>
    </w:p>
    <w:p w:rsidR="0043345E" w:rsidRDefault="0043345E" w:rsidP="0043345E">
      <w:pPr>
        <w:ind w:left="1440"/>
      </w:pPr>
      <w:r>
        <w:t>= 47.8%</w:t>
      </w:r>
      <w:r>
        <w:rPr>
          <w:vertAlign w:val="superscript"/>
        </w:rPr>
        <w:t xml:space="preserve"> </w:t>
      </w:r>
      <w:r>
        <w:rPr>
          <w:rStyle w:val="FootnoteReference"/>
          <w:sz w:val="22"/>
        </w:rPr>
        <w:footnoteReference w:id="7"/>
      </w:r>
    </w:p>
    <w:p w:rsidR="0043345E" w:rsidRDefault="0043345E" w:rsidP="0043345E">
      <w:pPr>
        <w:pStyle w:val="Heading6"/>
      </w:pPr>
      <w:r>
        <w:lastRenderedPageBreak/>
        <w:t>Natural Gas Energy Savings</w:t>
      </w:r>
    </w:p>
    <w:p w:rsidR="0043345E" w:rsidRPr="00E40079" w:rsidRDefault="0043345E" w:rsidP="0043345E">
      <w:r>
        <w:t>N/A</w:t>
      </w:r>
    </w:p>
    <w:p w:rsidR="0043345E" w:rsidRDefault="0043345E" w:rsidP="0043345E">
      <w:pPr>
        <w:pStyle w:val="Heading6"/>
      </w:pPr>
      <w:r w:rsidRPr="002F371F">
        <w:t xml:space="preserve">Water Impact Descriptions and Calculation  </w:t>
      </w:r>
    </w:p>
    <w:p w:rsidR="0043345E" w:rsidRPr="00E40079" w:rsidRDefault="0043345E" w:rsidP="0043345E">
      <w:r>
        <w:t>N/A</w:t>
      </w:r>
    </w:p>
    <w:p w:rsidR="0043345E" w:rsidRDefault="0043345E" w:rsidP="0043345E">
      <w:pPr>
        <w:pStyle w:val="Heading6"/>
      </w:pPr>
      <w:r w:rsidRPr="002F371F">
        <w:t xml:space="preserve">Deemed O&amp;M Cost Adjustment Calculation </w:t>
      </w:r>
    </w:p>
    <w:p w:rsidR="0043345E" w:rsidRPr="00E40079" w:rsidRDefault="0043345E" w:rsidP="0043345E">
      <w:r>
        <w:t>N/A</w:t>
      </w:r>
    </w:p>
    <w:p w:rsidR="0043345E" w:rsidRDefault="0043345E" w:rsidP="0043345E">
      <w:pPr>
        <w:pStyle w:val="Heading6"/>
      </w:pPr>
      <w:r>
        <w:t xml:space="preserve">Measure Code: </w:t>
      </w:r>
      <w:r w:rsidRPr="00E74076">
        <w:t>CI-HVC-ACTU-V0</w:t>
      </w:r>
      <w:del w:id="31" w:author="Samuel Dent" w:date="2015-10-09T09:13:00Z">
        <w:r w:rsidDel="0043345E">
          <w:delText>2</w:delText>
        </w:r>
      </w:del>
      <w:ins w:id="32" w:author="Samuel Dent" w:date="2015-10-09T09:13:00Z">
        <w:r>
          <w:t>3</w:t>
        </w:r>
      </w:ins>
      <w:r w:rsidRPr="00E74076">
        <w:t>-</w:t>
      </w:r>
      <w:r>
        <w:t>1</w:t>
      </w:r>
      <w:del w:id="33" w:author="Samuel Dent" w:date="2015-10-09T09:13:00Z">
        <w:r w:rsidDel="0043345E">
          <w:delText>5</w:delText>
        </w:r>
      </w:del>
      <w:ins w:id="34" w:author="Samuel Dent" w:date="2015-10-09T09:13:00Z">
        <w:r>
          <w:t>6</w:t>
        </w:r>
      </w:ins>
      <w:r>
        <w:t>0601</w:t>
      </w:r>
    </w:p>
    <w:p w:rsidR="0043345E" w:rsidRDefault="0043345E" w:rsidP="0043345E">
      <w:pPr>
        <w:pStyle w:val="Heading6"/>
      </w:pPr>
    </w:p>
    <w:p w:rsidR="0043345E" w:rsidRDefault="0043345E" w:rsidP="0043345E">
      <w:pPr>
        <w:widowControl/>
        <w:jc w:val="left"/>
        <w:rPr>
          <w:b/>
        </w:rPr>
        <w:sectPr w:rsidR="0043345E" w:rsidSect="00B64B6A">
          <w:headerReference w:type="default" r:id="rId8"/>
          <w:pgSz w:w="12240" w:h="15840" w:code="1"/>
          <w:pgMar w:top="1440" w:right="1440" w:bottom="1440" w:left="1440" w:header="720" w:footer="720" w:gutter="0"/>
          <w:cols w:space="720"/>
          <w:docGrid w:linePitch="272"/>
        </w:sectPr>
      </w:pPr>
      <w:r>
        <w:rPr>
          <w:b/>
        </w:rPr>
        <w:br w:type="page"/>
      </w:r>
      <w:bookmarkStart w:id="35" w:name="_GoBack"/>
      <w:bookmarkEnd w:id="35"/>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45E" w:rsidRDefault="0043345E" w:rsidP="0043345E">
      <w:pPr>
        <w:spacing w:after="0"/>
      </w:pPr>
      <w:r>
        <w:separator/>
      </w:r>
    </w:p>
  </w:endnote>
  <w:endnote w:type="continuationSeparator" w:id="0">
    <w:p w:rsidR="0043345E" w:rsidRDefault="0043345E" w:rsidP="004334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MT">
    <w:altName w:val="Times New Roman"/>
    <w:panose1 w:val="00000000000000000000"/>
    <w:charset w:val="A1"/>
    <w:family w:val="auto"/>
    <w:notTrueType/>
    <w:pitch w:val="default"/>
    <w:sig w:usb0="00000081" w:usb1="00000000" w:usb2="00000000" w:usb3="00000000" w:csb0="00000008"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45E" w:rsidRDefault="0043345E" w:rsidP="0043345E">
      <w:pPr>
        <w:spacing w:after="0"/>
      </w:pPr>
      <w:r>
        <w:separator/>
      </w:r>
    </w:p>
  </w:footnote>
  <w:footnote w:type="continuationSeparator" w:id="0">
    <w:p w:rsidR="0043345E" w:rsidRDefault="0043345E" w:rsidP="0043345E">
      <w:pPr>
        <w:spacing w:after="0"/>
      </w:pPr>
      <w:r>
        <w:continuationSeparator/>
      </w:r>
    </w:p>
  </w:footnote>
  <w:footnote w:id="1">
    <w:p w:rsidR="0043345E" w:rsidRPr="005D0D50" w:rsidRDefault="0043345E" w:rsidP="0043345E">
      <w:pPr>
        <w:pStyle w:val="Footnote"/>
        <w:rPr>
          <w:szCs w:val="18"/>
        </w:rPr>
      </w:pPr>
      <w:r w:rsidRPr="00225B09">
        <w:rPr>
          <w:rStyle w:val="FootnoteReference"/>
          <w:szCs w:val="18"/>
        </w:rPr>
        <w:footnoteRef/>
      </w:r>
      <w:r w:rsidRPr="007A07C8">
        <w:rPr>
          <w:szCs w:val="18"/>
        </w:rPr>
        <w:t>Ibid.</w:t>
      </w:r>
    </w:p>
  </w:footnote>
  <w:footnote w:id="2">
    <w:p w:rsidR="0043345E" w:rsidRPr="003B1236" w:rsidRDefault="0043345E" w:rsidP="0043345E">
      <w:pPr>
        <w:pStyle w:val="Footnote"/>
        <w:rPr>
          <w:szCs w:val="18"/>
        </w:rPr>
      </w:pPr>
      <w:r w:rsidRPr="00FF0879">
        <w:rPr>
          <w:rStyle w:val="FootnoteReference"/>
          <w:szCs w:val="18"/>
        </w:rPr>
        <w:footnoteRef/>
      </w:r>
      <w:r w:rsidRPr="0075793C">
        <w:rPr>
          <w:szCs w:val="18"/>
        </w:rPr>
        <w:t>Ibid.</w:t>
      </w:r>
    </w:p>
  </w:footnote>
  <w:footnote w:id="3">
    <w:p w:rsidR="0043345E" w:rsidRPr="009C362B" w:rsidRDefault="0043345E" w:rsidP="0043345E">
      <w:pPr>
        <w:pStyle w:val="Footnote"/>
        <w:rPr>
          <w:szCs w:val="18"/>
        </w:rPr>
      </w:pPr>
      <w:r w:rsidRPr="003B1236">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AC load during the utility’s peak hour is divided by the maximum AC load during the year.</w:t>
      </w:r>
    </w:p>
  </w:footnote>
  <w:footnote w:id="4">
    <w:p w:rsidR="0043345E" w:rsidRPr="009C362B" w:rsidRDefault="0043345E" w:rsidP="0043345E">
      <w:pPr>
        <w:pStyle w:val="Footnote"/>
        <w:rPr>
          <w:szCs w:val="18"/>
        </w:rPr>
      </w:pPr>
      <w:r w:rsidRPr="009C362B">
        <w:rPr>
          <w:rStyle w:val="FootnoteReference"/>
          <w:szCs w:val="18"/>
        </w:rPr>
        <w:footnoteRef/>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5">
    <w:p w:rsidR="0043345E" w:rsidRPr="0043345E" w:rsidRDefault="0043345E">
      <w:pPr>
        <w:pStyle w:val="FootnoteText"/>
        <w:rPr>
          <w:sz w:val="18"/>
          <w:szCs w:val="18"/>
          <w:rPrChange w:id="20" w:author="Samuel Dent" w:date="2015-10-09T09:12:00Z">
            <w:rPr/>
          </w:rPrChange>
        </w:rPr>
      </w:pPr>
      <w:ins w:id="21" w:author="Samuel Dent" w:date="2015-10-09T09:11:00Z">
        <w:r>
          <w:rPr>
            <w:rStyle w:val="FootnoteReference"/>
          </w:rPr>
          <w:footnoteRef/>
        </w:r>
        <w:r>
          <w:t xml:space="preserve"> </w:t>
        </w:r>
        <w:r w:rsidRPr="0043345E">
          <w:rPr>
            <w:rStyle w:val="FootnoteReference"/>
            <w:rFonts w:asciiTheme="minorHAnsi" w:hAnsiTheme="minorHAnsi"/>
            <w:sz w:val="18"/>
            <w:szCs w:val="18"/>
            <w:vertAlign w:val="baseline"/>
            <w:rPrChange w:id="22" w:author="Samuel Dent" w:date="2015-10-09T09:12:00Z">
              <w:rPr>
                <w:rStyle w:val="FootnoteReference"/>
                <w:rFonts w:asciiTheme="minorHAnsi" w:hAnsiTheme="minorHAnsi"/>
                <w:vertAlign w:val="baseline"/>
              </w:rPr>
            </w:rPrChange>
          </w:rPr>
          <w:t>I</w:t>
        </w:r>
        <w:r w:rsidRPr="0043345E">
          <w:rPr>
            <w:sz w:val="18"/>
            <w:szCs w:val="18"/>
            <w:rPrChange w:id="23" w:author="Samuel Dent" w:date="2015-10-09T09:12:00Z">
              <w:rPr/>
            </w:rPrChange>
          </w:rPr>
          <w:t xml:space="preserve">n the context of this measure Energy Efficiency Ratio (EER) refers to field-measured </w:t>
        </w:r>
        <w:r w:rsidRPr="0043345E">
          <w:rPr>
            <w:rFonts w:cs="Arial"/>
            <w:color w:val="000000"/>
            <w:sz w:val="18"/>
            <w:szCs w:val="18"/>
            <w:rPrChange w:id="24" w:author="Samuel Dent" w:date="2015-10-09T09:12:00Z">
              <w:rPr>
                <w:rFonts w:cs="Arial"/>
                <w:color w:val="000000"/>
              </w:rPr>
            </w:rPrChange>
          </w:rPr>
          <w:t xml:space="preserve">steady-state rate of heat energy removal (e.g., cooling capacity) by the equipment in </w:t>
        </w:r>
        <w:proofErr w:type="spellStart"/>
        <w:r w:rsidRPr="0043345E">
          <w:rPr>
            <w:rFonts w:cs="Arial"/>
            <w:color w:val="000000"/>
            <w:sz w:val="18"/>
            <w:szCs w:val="18"/>
            <w:rPrChange w:id="25" w:author="Samuel Dent" w:date="2015-10-09T09:12:00Z">
              <w:rPr>
                <w:rFonts w:cs="Arial"/>
                <w:color w:val="000000"/>
              </w:rPr>
            </w:rPrChange>
          </w:rPr>
          <w:t>Btuh</w:t>
        </w:r>
        <w:proofErr w:type="spellEnd"/>
        <w:r w:rsidRPr="0043345E">
          <w:rPr>
            <w:rFonts w:cs="Arial"/>
            <w:color w:val="000000"/>
            <w:sz w:val="18"/>
            <w:szCs w:val="18"/>
            <w:rPrChange w:id="26" w:author="Samuel Dent" w:date="2015-10-09T09:12:00Z">
              <w:rPr>
                <w:rFonts w:cs="Arial"/>
                <w:color w:val="000000"/>
              </w:rPr>
            </w:rPrChange>
          </w:rPr>
          <w:t xml:space="preserve"> divided by the steady-state rate of energy input to the equipment in watts. This ratio is expressed in </w:t>
        </w:r>
        <w:proofErr w:type="spellStart"/>
        <w:r w:rsidRPr="0043345E">
          <w:rPr>
            <w:rFonts w:cs="Arial"/>
            <w:color w:val="000000"/>
            <w:sz w:val="18"/>
            <w:szCs w:val="18"/>
            <w:rPrChange w:id="27" w:author="Samuel Dent" w:date="2015-10-09T09:12:00Z">
              <w:rPr>
                <w:rFonts w:cs="Arial"/>
                <w:color w:val="000000"/>
              </w:rPr>
            </w:rPrChange>
          </w:rPr>
          <w:t>Btuh</w:t>
        </w:r>
        <w:proofErr w:type="spellEnd"/>
        <w:r w:rsidRPr="0043345E">
          <w:rPr>
            <w:rFonts w:cs="Arial"/>
            <w:color w:val="000000"/>
            <w:sz w:val="18"/>
            <w:szCs w:val="18"/>
            <w:rPrChange w:id="28" w:author="Samuel Dent" w:date="2015-10-09T09:12:00Z">
              <w:rPr>
                <w:rFonts w:cs="Arial"/>
                <w:color w:val="000000"/>
              </w:rPr>
            </w:rPrChange>
          </w:rPr>
          <w:t xml:space="preserve"> per watt (</w:t>
        </w:r>
        <w:proofErr w:type="spellStart"/>
        <w:r w:rsidRPr="0043345E">
          <w:rPr>
            <w:rFonts w:cs="Arial"/>
            <w:color w:val="000000"/>
            <w:sz w:val="18"/>
            <w:szCs w:val="18"/>
            <w:rPrChange w:id="29" w:author="Samuel Dent" w:date="2015-10-09T09:12:00Z">
              <w:rPr>
                <w:rFonts w:cs="Arial"/>
                <w:color w:val="000000"/>
              </w:rPr>
            </w:rPrChange>
          </w:rPr>
          <w:t>Btuh</w:t>
        </w:r>
        <w:proofErr w:type="spellEnd"/>
        <w:r w:rsidRPr="0043345E">
          <w:rPr>
            <w:rFonts w:cs="Arial"/>
            <w:color w:val="000000"/>
            <w:sz w:val="18"/>
            <w:szCs w:val="18"/>
            <w:rPrChange w:id="30" w:author="Samuel Dent" w:date="2015-10-09T09:12:00Z">
              <w:rPr>
                <w:rFonts w:cs="Arial"/>
                <w:color w:val="000000"/>
              </w:rPr>
            </w:rPrChange>
          </w:rPr>
          <w:t>/watt). The cooling capacity may be derived using either refrigerant or air-side measurements. The measurement is performed at the outdoor and indoor environmental conditions that are present at the time the tune-up is being performed, and should be normalized using a correction function to the AHRI 210/240 Standard test conditions. The correction function should be developed based on manufacturer’s performance data. Care must be taken to ensure the unit is fully loaded and operating at or near steady-state. Generally this requires that the outside air temperature is at least 60°F, and that the unit runs with all stages of cooling enabled for 10 to 15 minutes prior to making measurements</w:t>
        </w:r>
      </w:ins>
    </w:p>
  </w:footnote>
  <w:footnote w:id="6">
    <w:p w:rsidR="0043345E" w:rsidRPr="009C362B" w:rsidRDefault="0043345E" w:rsidP="0043345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AC load during the utility’s peak hour is divided by the maximum AC load during the year.</w:t>
      </w:r>
    </w:p>
  </w:footnote>
  <w:footnote w:id="7">
    <w:p w:rsidR="0043345E" w:rsidRPr="009C362B" w:rsidRDefault="0043345E" w:rsidP="0043345E">
      <w:pPr>
        <w:pStyle w:val="Footnote"/>
        <w:rPr>
          <w:szCs w:val="18"/>
        </w:rPr>
      </w:pPr>
      <w:r w:rsidRPr="009C362B">
        <w:rPr>
          <w:rStyle w:val="FootnoteReference"/>
          <w:szCs w:val="18"/>
        </w:rPr>
        <w:footnoteRef/>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45E" w:rsidRPr="004749D0" w:rsidRDefault="0043345E" w:rsidP="00950A89">
    <w:pPr>
      <w:pStyle w:val="Header"/>
      <w:pBdr>
        <w:bottom w:val="single" w:sz="4" w:space="0" w:color="auto"/>
      </w:pBdr>
      <w:jc w:val="left"/>
      <w:rPr>
        <w:sz w:val="22"/>
      </w:rPr>
    </w:pPr>
    <w:r w:rsidRPr="004749D0">
      <w:rPr>
        <w:sz w:val="22"/>
      </w:rPr>
      <w:t>Illinois Statewide Technical Reference Manual -</w:t>
    </w:r>
    <w:r>
      <w:rPr>
        <w:sz w:val="22"/>
      </w:rPr>
      <w:t xml:space="preserve"> </w:t>
    </w:r>
    <w:r>
      <w:rPr>
        <w:sz w:val="22"/>
      </w:rPr>
      <w:fldChar w:fldCharType="begin"/>
    </w:r>
    <w:r>
      <w:rPr>
        <w:sz w:val="22"/>
      </w:rPr>
      <w:instrText xml:space="preserve"> REF _Ref325897879 \r \h </w:instrText>
    </w:r>
    <w:r>
      <w:rPr>
        <w:sz w:val="22"/>
      </w:rPr>
    </w:r>
    <w:r>
      <w:rPr>
        <w:sz w:val="22"/>
      </w:rPr>
      <w:fldChar w:fldCharType="separate"/>
    </w:r>
    <w:r>
      <w:rPr>
        <w:sz w:val="22"/>
      </w:rPr>
      <w:t>4.4.1</w:t>
    </w:r>
    <w:r>
      <w:rPr>
        <w:sz w:val="22"/>
      </w:rPr>
      <w:fldChar w:fldCharType="end"/>
    </w:r>
    <w:r w:rsidRPr="008A5352">
      <w:rPr>
        <w:sz w:val="24"/>
      </w:rPr>
      <w:fldChar w:fldCharType="begin"/>
    </w:r>
    <w:r w:rsidRPr="008A5352">
      <w:rPr>
        <w:sz w:val="24"/>
      </w:rPr>
      <w:instrText xml:space="preserve"> REF _Ref325897879 \h </w:instrText>
    </w:r>
    <w:r>
      <w:rPr>
        <w:sz w:val="24"/>
      </w:rPr>
      <w:instrText xml:space="preserve"> \* MERGEFORMAT </w:instrText>
    </w:r>
    <w:r w:rsidRPr="008A5352">
      <w:rPr>
        <w:sz w:val="24"/>
      </w:rPr>
    </w:r>
    <w:r w:rsidRPr="008A5352">
      <w:rPr>
        <w:sz w:val="24"/>
      </w:rPr>
      <w:fldChar w:fldCharType="separate"/>
    </w:r>
    <w:r w:rsidRPr="00F679EC">
      <w:rPr>
        <w:sz w:val="22"/>
      </w:rPr>
      <w:t xml:space="preserve">Air </w:t>
    </w:r>
    <w:r>
      <w:t>Conditioner Tune-up</w:t>
    </w:r>
    <w:r w:rsidRPr="008A5352">
      <w:rPr>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C6C7B"/>
    <w:multiLevelType w:val="multilevel"/>
    <w:tmpl w:val="D54079D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6B666DA8"/>
    <w:multiLevelType w:val="hybridMultilevel"/>
    <w:tmpl w:val="C234C71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45E"/>
    <w:rsid w:val="0043345E"/>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45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3345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43345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43345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43345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43345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43345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43345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43345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43345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345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3345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43345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43345E"/>
    <w:rPr>
      <w:rFonts w:ascii="Calibri" w:eastAsiaTheme="minorEastAsia" w:hAnsi="Calibri" w:cs="Arial"/>
      <w:bCs/>
      <w:i/>
      <w:noProof/>
    </w:rPr>
  </w:style>
  <w:style w:type="character" w:customStyle="1" w:styleId="Heading5Char">
    <w:name w:val="Heading 5 Char"/>
    <w:basedOn w:val="DefaultParagraphFont"/>
    <w:link w:val="Heading5"/>
    <w:uiPriority w:val="99"/>
    <w:rsid w:val="0043345E"/>
    <w:rPr>
      <w:rFonts w:ascii="Calibri" w:eastAsia="Times New Roman" w:hAnsi="Calibri" w:cs="Times New Roman"/>
      <w:sz w:val="20"/>
    </w:rPr>
  </w:style>
  <w:style w:type="character" w:customStyle="1" w:styleId="Heading6Char">
    <w:name w:val="Heading 6 Char"/>
    <w:basedOn w:val="DefaultParagraphFont"/>
    <w:link w:val="Heading6"/>
    <w:uiPriority w:val="9"/>
    <w:rsid w:val="0043345E"/>
    <w:rPr>
      <w:rFonts w:eastAsia="Times New Roman" w:cs="Calibri"/>
      <w:b/>
      <w:smallCaps/>
    </w:rPr>
  </w:style>
  <w:style w:type="character" w:customStyle="1" w:styleId="Heading7Char">
    <w:name w:val="Heading 7 Char"/>
    <w:basedOn w:val="DefaultParagraphFont"/>
    <w:link w:val="Heading7"/>
    <w:uiPriority w:val="99"/>
    <w:rsid w:val="0043345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43345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43345E"/>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43345E"/>
    <w:rPr>
      <w:rFonts w:ascii="Calibri" w:eastAsiaTheme="minorEastAsia" w:hAnsi="Calibri" w:cs="Times New Roman"/>
      <w:bCs/>
      <w:sz w:val="24"/>
      <w:szCs w:val="24"/>
    </w:rPr>
  </w:style>
  <w:style w:type="paragraph" w:styleId="Header">
    <w:name w:val="header"/>
    <w:basedOn w:val="Normal"/>
    <w:link w:val="HeaderChar"/>
    <w:uiPriority w:val="99"/>
    <w:rsid w:val="0043345E"/>
    <w:pPr>
      <w:tabs>
        <w:tab w:val="center" w:pos="4320"/>
        <w:tab w:val="right" w:pos="8640"/>
      </w:tabs>
    </w:pPr>
  </w:style>
  <w:style w:type="character" w:customStyle="1" w:styleId="HeaderChar">
    <w:name w:val="Header Char"/>
    <w:basedOn w:val="DefaultParagraphFont"/>
    <w:link w:val="Header"/>
    <w:uiPriority w:val="99"/>
    <w:rsid w:val="0043345E"/>
    <w:rPr>
      <w:rFonts w:eastAsia="Times New Roman" w:cs="Times New Roman"/>
      <w:sz w:val="20"/>
    </w:rPr>
  </w:style>
  <w:style w:type="character" w:styleId="FootnoteReference">
    <w:name w:val="footnote reference"/>
    <w:aliases w:val="Footnote_Reference,o,fr"/>
    <w:uiPriority w:val="99"/>
    <w:qFormat/>
    <w:rsid w:val="0043345E"/>
    <w:rPr>
      <w:rFonts w:ascii="Arial" w:hAnsi="Arial" w:cs="Times New Roman"/>
      <w:sz w:val="20"/>
      <w:vertAlign w:val="superscript"/>
    </w:rPr>
  </w:style>
  <w:style w:type="paragraph" w:styleId="ListParagraph">
    <w:name w:val="List Paragraph"/>
    <w:aliases w:val="TT - List Paragraph"/>
    <w:basedOn w:val="Normal"/>
    <w:link w:val="ListParagraphChar"/>
    <w:uiPriority w:val="34"/>
    <w:qFormat/>
    <w:rsid w:val="0043345E"/>
    <w:pPr>
      <w:ind w:left="720"/>
      <w:contextualSpacing/>
    </w:pPr>
  </w:style>
  <w:style w:type="character" w:customStyle="1" w:styleId="FootnoteChar">
    <w:name w:val="Footnote Char"/>
    <w:basedOn w:val="DefaultParagraphFont"/>
    <w:link w:val="Footnote"/>
    <w:rsid w:val="0043345E"/>
    <w:rPr>
      <w:rFonts w:eastAsiaTheme="minorEastAsia" w:cstheme="minorHAnsi"/>
      <w:sz w:val="18"/>
      <w:szCs w:val="20"/>
    </w:rPr>
  </w:style>
  <w:style w:type="paragraph" w:customStyle="1" w:styleId="Footnote">
    <w:name w:val="Footnote"/>
    <w:basedOn w:val="FootnoteText"/>
    <w:link w:val="FootnoteChar"/>
    <w:autoRedefine/>
    <w:qFormat/>
    <w:rsid w:val="0043345E"/>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43345E"/>
    <w:rPr>
      <w:rFonts w:eastAsia="Times New Roman" w:cs="Times New Roman"/>
      <w:sz w:val="20"/>
    </w:rPr>
  </w:style>
  <w:style w:type="paragraph" w:styleId="FootnoteText">
    <w:name w:val="footnote text"/>
    <w:basedOn w:val="Normal"/>
    <w:link w:val="FootnoteTextChar"/>
    <w:uiPriority w:val="99"/>
    <w:semiHidden/>
    <w:unhideWhenUsed/>
    <w:rsid w:val="0043345E"/>
    <w:pPr>
      <w:spacing w:after="0"/>
    </w:pPr>
    <w:rPr>
      <w:szCs w:val="20"/>
    </w:rPr>
  </w:style>
  <w:style w:type="character" w:customStyle="1" w:styleId="FootnoteTextChar">
    <w:name w:val="Footnote Text Char"/>
    <w:basedOn w:val="DefaultParagraphFont"/>
    <w:link w:val="FootnoteText"/>
    <w:uiPriority w:val="99"/>
    <w:semiHidden/>
    <w:rsid w:val="0043345E"/>
    <w:rPr>
      <w:rFonts w:eastAsia="Times New Roman" w:cs="Times New Roman"/>
      <w:sz w:val="20"/>
      <w:szCs w:val="20"/>
    </w:rPr>
  </w:style>
  <w:style w:type="paragraph" w:styleId="BalloonText">
    <w:name w:val="Balloon Text"/>
    <w:basedOn w:val="Normal"/>
    <w:link w:val="BalloonTextChar"/>
    <w:uiPriority w:val="99"/>
    <w:semiHidden/>
    <w:unhideWhenUsed/>
    <w:rsid w:val="0043345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45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45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3345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43345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43345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43345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43345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43345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43345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43345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43345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345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3345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43345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43345E"/>
    <w:rPr>
      <w:rFonts w:ascii="Calibri" w:eastAsiaTheme="minorEastAsia" w:hAnsi="Calibri" w:cs="Arial"/>
      <w:bCs/>
      <w:i/>
      <w:noProof/>
    </w:rPr>
  </w:style>
  <w:style w:type="character" w:customStyle="1" w:styleId="Heading5Char">
    <w:name w:val="Heading 5 Char"/>
    <w:basedOn w:val="DefaultParagraphFont"/>
    <w:link w:val="Heading5"/>
    <w:uiPriority w:val="99"/>
    <w:rsid w:val="0043345E"/>
    <w:rPr>
      <w:rFonts w:ascii="Calibri" w:eastAsia="Times New Roman" w:hAnsi="Calibri" w:cs="Times New Roman"/>
      <w:sz w:val="20"/>
    </w:rPr>
  </w:style>
  <w:style w:type="character" w:customStyle="1" w:styleId="Heading6Char">
    <w:name w:val="Heading 6 Char"/>
    <w:basedOn w:val="DefaultParagraphFont"/>
    <w:link w:val="Heading6"/>
    <w:uiPriority w:val="9"/>
    <w:rsid w:val="0043345E"/>
    <w:rPr>
      <w:rFonts w:eastAsia="Times New Roman" w:cs="Calibri"/>
      <w:b/>
      <w:smallCaps/>
    </w:rPr>
  </w:style>
  <w:style w:type="character" w:customStyle="1" w:styleId="Heading7Char">
    <w:name w:val="Heading 7 Char"/>
    <w:basedOn w:val="DefaultParagraphFont"/>
    <w:link w:val="Heading7"/>
    <w:uiPriority w:val="99"/>
    <w:rsid w:val="0043345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43345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43345E"/>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43345E"/>
    <w:rPr>
      <w:rFonts w:ascii="Calibri" w:eastAsiaTheme="minorEastAsia" w:hAnsi="Calibri" w:cs="Times New Roman"/>
      <w:bCs/>
      <w:sz w:val="24"/>
      <w:szCs w:val="24"/>
    </w:rPr>
  </w:style>
  <w:style w:type="paragraph" w:styleId="Header">
    <w:name w:val="header"/>
    <w:basedOn w:val="Normal"/>
    <w:link w:val="HeaderChar"/>
    <w:uiPriority w:val="99"/>
    <w:rsid w:val="0043345E"/>
    <w:pPr>
      <w:tabs>
        <w:tab w:val="center" w:pos="4320"/>
        <w:tab w:val="right" w:pos="8640"/>
      </w:tabs>
    </w:pPr>
  </w:style>
  <w:style w:type="character" w:customStyle="1" w:styleId="HeaderChar">
    <w:name w:val="Header Char"/>
    <w:basedOn w:val="DefaultParagraphFont"/>
    <w:link w:val="Header"/>
    <w:uiPriority w:val="99"/>
    <w:rsid w:val="0043345E"/>
    <w:rPr>
      <w:rFonts w:eastAsia="Times New Roman" w:cs="Times New Roman"/>
      <w:sz w:val="20"/>
    </w:rPr>
  </w:style>
  <w:style w:type="character" w:styleId="FootnoteReference">
    <w:name w:val="footnote reference"/>
    <w:aliases w:val="Footnote_Reference,o,fr"/>
    <w:uiPriority w:val="99"/>
    <w:qFormat/>
    <w:rsid w:val="0043345E"/>
    <w:rPr>
      <w:rFonts w:ascii="Arial" w:hAnsi="Arial" w:cs="Times New Roman"/>
      <w:sz w:val="20"/>
      <w:vertAlign w:val="superscript"/>
    </w:rPr>
  </w:style>
  <w:style w:type="paragraph" w:styleId="ListParagraph">
    <w:name w:val="List Paragraph"/>
    <w:aliases w:val="TT - List Paragraph"/>
    <w:basedOn w:val="Normal"/>
    <w:link w:val="ListParagraphChar"/>
    <w:uiPriority w:val="34"/>
    <w:qFormat/>
    <w:rsid w:val="0043345E"/>
    <w:pPr>
      <w:ind w:left="720"/>
      <w:contextualSpacing/>
    </w:pPr>
  </w:style>
  <w:style w:type="character" w:customStyle="1" w:styleId="FootnoteChar">
    <w:name w:val="Footnote Char"/>
    <w:basedOn w:val="DefaultParagraphFont"/>
    <w:link w:val="Footnote"/>
    <w:rsid w:val="0043345E"/>
    <w:rPr>
      <w:rFonts w:eastAsiaTheme="minorEastAsia" w:cstheme="minorHAnsi"/>
      <w:sz w:val="18"/>
      <w:szCs w:val="20"/>
    </w:rPr>
  </w:style>
  <w:style w:type="paragraph" w:customStyle="1" w:styleId="Footnote">
    <w:name w:val="Footnote"/>
    <w:basedOn w:val="FootnoteText"/>
    <w:link w:val="FootnoteChar"/>
    <w:autoRedefine/>
    <w:qFormat/>
    <w:rsid w:val="0043345E"/>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43345E"/>
    <w:rPr>
      <w:rFonts w:eastAsia="Times New Roman" w:cs="Times New Roman"/>
      <w:sz w:val="20"/>
    </w:rPr>
  </w:style>
  <w:style w:type="paragraph" w:styleId="FootnoteText">
    <w:name w:val="footnote text"/>
    <w:basedOn w:val="Normal"/>
    <w:link w:val="FootnoteTextChar"/>
    <w:uiPriority w:val="99"/>
    <w:semiHidden/>
    <w:unhideWhenUsed/>
    <w:rsid w:val="0043345E"/>
    <w:pPr>
      <w:spacing w:after="0"/>
    </w:pPr>
    <w:rPr>
      <w:szCs w:val="20"/>
    </w:rPr>
  </w:style>
  <w:style w:type="character" w:customStyle="1" w:styleId="FootnoteTextChar">
    <w:name w:val="Footnote Text Char"/>
    <w:basedOn w:val="DefaultParagraphFont"/>
    <w:link w:val="FootnoteText"/>
    <w:uiPriority w:val="99"/>
    <w:semiHidden/>
    <w:rsid w:val="0043345E"/>
    <w:rPr>
      <w:rFonts w:eastAsia="Times New Roman" w:cs="Times New Roman"/>
      <w:sz w:val="20"/>
      <w:szCs w:val="20"/>
    </w:rPr>
  </w:style>
  <w:style w:type="paragraph" w:styleId="BalloonText">
    <w:name w:val="Balloon Text"/>
    <w:basedOn w:val="Normal"/>
    <w:link w:val="BalloonTextChar"/>
    <w:uiPriority w:val="99"/>
    <w:semiHidden/>
    <w:unhideWhenUsed/>
    <w:rsid w:val="0043345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45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13868CD</Template>
  <TotalTime>2</TotalTime>
  <Pages>4</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2015-10-09T13:10:00Z</dcterms:created>
  <dcterms:modified xsi:type="dcterms:W3CDTF">2015-10-09T13:13:00Z</dcterms:modified>
</cp:coreProperties>
</file>