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12" w:rsidRDefault="00794012" w:rsidP="00794012">
      <w:pPr>
        <w:pStyle w:val="Heading3"/>
        <w:numPr>
          <w:ilvl w:val="2"/>
          <w:numId w:val="2"/>
        </w:numPr>
      </w:pPr>
      <w:bookmarkStart w:id="0" w:name="_Ref325900302"/>
      <w:bookmarkStart w:id="1" w:name="_Ref325900311"/>
      <w:bookmarkStart w:id="2" w:name="_Ref325900395"/>
      <w:bookmarkStart w:id="3" w:name="_Ref325900403"/>
      <w:bookmarkStart w:id="4" w:name="_Toc325918728"/>
      <w:bookmarkStart w:id="5" w:name="_Toc411593494"/>
      <w:r>
        <w:t>High Performance and Reduced Wattage T8 Fixtures and Lamps</w:t>
      </w:r>
      <w:bookmarkEnd w:id="0"/>
      <w:bookmarkEnd w:id="1"/>
      <w:bookmarkEnd w:id="2"/>
      <w:bookmarkEnd w:id="3"/>
      <w:bookmarkEnd w:id="4"/>
      <w:bookmarkEnd w:id="5"/>
      <w:r>
        <w:t xml:space="preserve"> </w:t>
      </w: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 xml:space="preserve">Description </w:t>
      </w:r>
    </w:p>
    <w:p w:rsidR="00794012" w:rsidRPr="00E52196" w:rsidRDefault="00794012" w:rsidP="00794012">
      <w:pPr>
        <w:spacing w:after="240"/>
      </w:pPr>
      <w:r w:rsidRPr="00E52196">
        <w:t xml:space="preserve">This measure applies to “High Performance T8” (HPT8) lamp/ballast systems that have higher lumens per watt than standard T8 systems.  This measure applies to the installation of new equipment with efficiencies that exceed that of the equipment that would have been installed following standard market practices and is applicable to time of sale as well as retrofit measures.  Retrofit measures may include new fixtures or </w:t>
      </w:r>
      <w:proofErr w:type="spellStart"/>
      <w:r w:rsidRPr="00E52196">
        <w:t>relamp</w:t>
      </w:r>
      <w:proofErr w:type="spellEnd"/>
      <w:r w:rsidRPr="00E52196">
        <w:t>/</w:t>
      </w:r>
      <w:proofErr w:type="spellStart"/>
      <w:r w:rsidRPr="00E52196">
        <w:t>reballast</w:t>
      </w:r>
      <w:proofErr w:type="spellEnd"/>
      <w:r w:rsidRPr="00E52196">
        <w:t xml:space="preserve"> measures. In addition, options have been provided to allow for the “Reduced Wattage T8 lamps” or RWT8 lamps that result in re-lamping opportunities that produce equal or greater light levels than standard T8 lamps while using fewer watts.  </w:t>
      </w:r>
    </w:p>
    <w:p w:rsidR="00794012" w:rsidRPr="00E52196" w:rsidRDefault="00794012" w:rsidP="00794012">
      <w:pPr>
        <w:spacing w:after="240"/>
      </w:pPr>
      <w:r w:rsidRPr="00E52196">
        <w:rPr>
          <w:rFonts w:cstheme="minorHAnsi"/>
        </w:rPr>
        <w:t>If the implementation strategy does not allow for the installation location to be known, a deemed split of 99% Commercial and 1% Residential should be used</w:t>
      </w:r>
      <w:r w:rsidRPr="00E52196">
        <w:rPr>
          <w:rFonts w:ascii="Arial" w:eastAsiaTheme="minorEastAsia" w:hAnsi="Arial"/>
          <w:vertAlign w:val="superscript"/>
        </w:rPr>
        <w:footnoteReference w:id="1"/>
      </w:r>
      <w:r w:rsidRPr="00E52196">
        <w:rPr>
          <w:rFonts w:cstheme="minorHAnsi"/>
        </w:rPr>
        <w:t>.</w:t>
      </w:r>
    </w:p>
    <w:p w:rsidR="00794012" w:rsidRPr="00E52196" w:rsidRDefault="00794012" w:rsidP="00794012">
      <w:pPr>
        <w:widowControl/>
        <w:jc w:val="left"/>
        <w:rPr>
          <w:rFonts w:ascii="Calibri" w:hAnsi="Calibri" w:cs="Calibri"/>
          <w:szCs w:val="20"/>
        </w:rPr>
      </w:pPr>
      <w:r w:rsidRPr="00E52196">
        <w:rPr>
          <w:rFonts w:ascii="Calibri" w:hAnsi="Calibri" w:cs="Calibri"/>
          <w:szCs w:val="20"/>
        </w:rPr>
        <w:t xml:space="preserve">This measure was developed to be applicable to the following program types: TOS, RF, DI.  </w:t>
      </w:r>
    </w:p>
    <w:p w:rsidR="00794012" w:rsidRPr="00E52196" w:rsidRDefault="00794012" w:rsidP="00794012">
      <w:pPr>
        <w:widowControl/>
        <w:jc w:val="left"/>
        <w:rPr>
          <w:rFonts w:ascii="Calibri" w:hAnsi="Calibri" w:cs="Calibri"/>
          <w:szCs w:val="20"/>
        </w:rPr>
      </w:pPr>
      <w:r w:rsidRPr="00E52196">
        <w:rPr>
          <w:rFonts w:ascii="Calibri" w:hAnsi="Calibri" w:cs="Calibri"/>
          <w:szCs w:val="20"/>
        </w:rPr>
        <w:t>If applied to other program types, the measure savings should be verified.</w:t>
      </w:r>
    </w:p>
    <w:p w:rsidR="00794012" w:rsidRPr="00E52196" w:rsidRDefault="00794012" w:rsidP="00794012"/>
    <w:p w:rsidR="00794012" w:rsidRPr="00E52196" w:rsidRDefault="00794012" w:rsidP="00794012">
      <w:pPr>
        <w:spacing w:after="240"/>
      </w:pPr>
      <w:r w:rsidRPr="00E52196">
        <w:t>The measure applies to all commercial HPT8 installations excluding new construction and major renovation or change of use measures (see lighting power density measure).  Lookup tables have been provided to account for the different types of installations. Whenever possible, actual costs and hours of use should be utilized for savings calculations. Default new and baseline assumptions have been provided in the reference tables.  Default component costs and lifetimes have been provided for Operating and Maintenance Calculations. Please see the Definition Table to determine applicability for each program. HPT8 configurations not included in the TRM may be included in custom program design using the provided algorithms as long as energy savings is achieved. The following table defines the applicability for different programs</w:t>
      </w:r>
    </w:p>
    <w:tbl>
      <w:tblPr>
        <w:tblW w:w="9248" w:type="dxa"/>
        <w:jc w:val="center"/>
        <w:tblInd w:w="-225" w:type="dxa"/>
        <w:tblLook w:val="04A0" w:firstRow="1" w:lastRow="0" w:firstColumn="1" w:lastColumn="0" w:noHBand="0" w:noVBand="1"/>
      </w:tblPr>
      <w:tblGrid>
        <w:gridCol w:w="4388"/>
        <w:gridCol w:w="4860"/>
      </w:tblGrid>
      <w:tr w:rsidR="00794012" w:rsidRPr="00E52196" w:rsidTr="00F85BA9">
        <w:trPr>
          <w:trHeight w:hRule="exact" w:val="457"/>
          <w:tblHeader/>
          <w:jc w:val="center"/>
        </w:trPr>
        <w:tc>
          <w:tcPr>
            <w:tcW w:w="438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F85BA9">
            <w:pPr>
              <w:jc w:val="center"/>
              <w:rPr>
                <w:b/>
                <w:color w:val="FFFFFF" w:themeColor="background1"/>
              </w:rPr>
            </w:pPr>
            <w:r w:rsidRPr="00E52196">
              <w:rPr>
                <w:b/>
                <w:color w:val="FFFFFF" w:themeColor="background1"/>
              </w:rPr>
              <w:t>Time of Sale (TOS)</w:t>
            </w:r>
          </w:p>
        </w:tc>
        <w:tc>
          <w:tcPr>
            <w:tcW w:w="486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F85BA9">
            <w:pPr>
              <w:jc w:val="center"/>
              <w:rPr>
                <w:b/>
                <w:color w:val="FFFFFF" w:themeColor="background1"/>
              </w:rPr>
            </w:pPr>
            <w:r w:rsidRPr="00E52196">
              <w:rPr>
                <w:b/>
                <w:color w:val="FFFFFF" w:themeColor="background1"/>
              </w:rPr>
              <w:t>Retrofit (RF) and Direct Install (DI)</w:t>
            </w:r>
          </w:p>
        </w:tc>
      </w:tr>
      <w:tr w:rsidR="00794012" w:rsidRPr="00E52196" w:rsidTr="00F85BA9">
        <w:trPr>
          <w:trHeight w:val="300"/>
          <w:jc w:val="center"/>
        </w:trPr>
        <w:tc>
          <w:tcPr>
            <w:tcW w:w="4388" w:type="dxa"/>
            <w:tcBorders>
              <w:top w:val="nil"/>
              <w:left w:val="single" w:sz="4" w:space="0" w:color="auto"/>
              <w:bottom w:val="single" w:sz="4" w:space="0" w:color="auto"/>
              <w:right w:val="single" w:sz="4" w:space="0" w:color="auto"/>
            </w:tcBorders>
            <w:noWrap/>
            <w:hideMark/>
          </w:tcPr>
          <w:p w:rsidR="00794012" w:rsidRPr="00E52196" w:rsidRDefault="00794012" w:rsidP="00F85BA9">
            <w:r w:rsidRPr="00E52196">
              <w:t xml:space="preserve">This measure relates to the installation of new equipment with efficiency that exceeds that of equipment that would have been installed following standard market practices. In general, the measure will include qualifying high efficiency low ballast factor ballasts paired with high efficiency long life lamps as detailed in the attached tables. High-bay applications use this system paired with qualifying high ballast factor ballasts and high performance 32 w lamps. Custom lighting designs can use qualifying low, normal or high ballast factor ballasts and qualifying lamps in lumen equivalent applications where total system wattage is reduced when calculated using the Calculation of Savings Algorithms.  </w:t>
            </w:r>
          </w:p>
        </w:tc>
        <w:tc>
          <w:tcPr>
            <w:tcW w:w="4860" w:type="dxa"/>
            <w:tcBorders>
              <w:top w:val="nil"/>
              <w:left w:val="single" w:sz="4" w:space="0" w:color="auto"/>
              <w:bottom w:val="single" w:sz="4" w:space="0" w:color="auto"/>
              <w:right w:val="single" w:sz="4" w:space="0" w:color="auto"/>
            </w:tcBorders>
            <w:noWrap/>
          </w:tcPr>
          <w:p w:rsidR="00794012" w:rsidRDefault="00794012" w:rsidP="00F85BA9">
            <w:r w:rsidRPr="00E52196">
              <w:t xml:space="preserve">This measure relates to the replacement of existing equipment with new equipment with efficiency that exceeds that of the existing equipment. In general, the retrofit will include qualifying high efficiency low ballast factor ballasts paired with high efficiency long life lamps as detailed in the attached tables.  Custom lighting designs can use qualifying low, normal or high ballast factor ballasts and qualifying lamps in lumen equivalent applications where total system wattage is reduced when calculated using the Calculation of Savings Algorithms. </w:t>
            </w:r>
          </w:p>
          <w:p w:rsidR="00794012" w:rsidRPr="00E52196" w:rsidRDefault="00794012" w:rsidP="00F85BA9">
            <w:r w:rsidRPr="00E52196">
              <w:t xml:space="preserve">High efficiency </w:t>
            </w:r>
            <w:proofErr w:type="spellStart"/>
            <w:r w:rsidRPr="00E52196">
              <w:t>troffers</w:t>
            </w:r>
            <w:proofErr w:type="spellEnd"/>
            <w:r w:rsidRPr="00E52196">
              <w:t xml:space="preserve"> (new/or retrofit) utilizing HPT8 technology can provide even greater savings. When used in a high-bay application, high-performance T8 fixtures can provide equal light to HID high-bay fixtures, while using fewer watts; these systems typically utilize high ballast factor ballasts, but qualifying low and normal ballast factor ballasts may be used when appropriate light levels are provided and overall wattage is reduced.</w:t>
            </w:r>
          </w:p>
        </w:tc>
      </w:tr>
    </w:tbl>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lastRenderedPageBreak/>
        <w:t>Definition of Efficient Equipment</w:t>
      </w:r>
    </w:p>
    <w:p w:rsidR="00794012" w:rsidRPr="00E52196" w:rsidRDefault="00794012" w:rsidP="00794012">
      <w:pPr>
        <w:spacing w:after="240"/>
      </w:pPr>
      <w:r w:rsidRPr="00E52196">
        <w:t>The definition of efficient equipment varies based on the program and is defined below:</w:t>
      </w:r>
    </w:p>
    <w:tbl>
      <w:tblPr>
        <w:tblW w:w="9135" w:type="dxa"/>
        <w:jc w:val="center"/>
        <w:tblInd w:w="-225" w:type="dxa"/>
        <w:tblLook w:val="04A0" w:firstRow="1" w:lastRow="0" w:firstColumn="1" w:lastColumn="0" w:noHBand="0" w:noVBand="1"/>
      </w:tblPr>
      <w:tblGrid>
        <w:gridCol w:w="4478"/>
        <w:gridCol w:w="4657"/>
      </w:tblGrid>
      <w:tr w:rsidR="00794012" w:rsidRPr="00E52196" w:rsidTr="00F85BA9">
        <w:trPr>
          <w:trHeight w:hRule="exact" w:val="457"/>
          <w:jc w:val="center"/>
        </w:trPr>
        <w:tc>
          <w:tcPr>
            <w:tcW w:w="447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F85BA9">
            <w:pPr>
              <w:jc w:val="center"/>
              <w:rPr>
                <w:b/>
                <w:color w:val="FFFFFF" w:themeColor="background1"/>
              </w:rPr>
            </w:pPr>
            <w:r w:rsidRPr="00E52196">
              <w:rPr>
                <w:b/>
                <w:color w:val="FFFFFF" w:themeColor="background1"/>
              </w:rPr>
              <w:t>Time of Sale (TOS)</w:t>
            </w:r>
          </w:p>
        </w:tc>
        <w:tc>
          <w:tcPr>
            <w:tcW w:w="46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F85BA9">
            <w:pPr>
              <w:jc w:val="center"/>
              <w:rPr>
                <w:b/>
                <w:color w:val="FFFFFF" w:themeColor="background1"/>
              </w:rPr>
            </w:pPr>
            <w:r w:rsidRPr="00E52196">
              <w:rPr>
                <w:b/>
                <w:color w:val="FFFFFF" w:themeColor="background1"/>
              </w:rPr>
              <w:t>Retrofit (RF) and Direct Install (DI)</w:t>
            </w:r>
          </w:p>
        </w:tc>
      </w:tr>
      <w:tr w:rsidR="00794012" w:rsidRPr="00E52196" w:rsidTr="00F85BA9">
        <w:trPr>
          <w:trHeight w:val="300"/>
          <w:jc w:val="center"/>
        </w:trPr>
        <w:tc>
          <w:tcPr>
            <w:tcW w:w="4478" w:type="dxa"/>
            <w:tcBorders>
              <w:top w:val="nil"/>
              <w:left w:val="single" w:sz="4" w:space="0" w:color="auto"/>
              <w:bottom w:val="single" w:sz="4" w:space="0" w:color="auto"/>
              <w:right w:val="single" w:sz="4" w:space="0" w:color="auto"/>
            </w:tcBorders>
            <w:noWrap/>
          </w:tcPr>
          <w:p w:rsidR="00794012" w:rsidRDefault="00794012" w:rsidP="00F85BA9">
            <w:r w:rsidRPr="00E52196">
              <w:t>In order for this characterization to apply, new lamps and ballasts must be listed on the CEE website on the qualifying High Performance T8 lamps and ballasts list (</w:t>
            </w:r>
            <w:hyperlink r:id="rId8" w:history="1">
              <w:r w:rsidRPr="00E52196">
                <w:rPr>
                  <w:rStyle w:val="Hyperlink"/>
                </w:rPr>
                <w:t>http://www.cee1.org/com/com-lt/com-lt-main.php3</w:t>
              </w:r>
            </w:hyperlink>
            <w:r>
              <w:t>).</w:t>
            </w:r>
          </w:p>
          <w:p w:rsidR="00794012" w:rsidRDefault="00794012" w:rsidP="00F85BA9">
            <w:r w:rsidRPr="00E52196">
              <w:t xml:space="preserve"> High efficiency </w:t>
            </w:r>
            <w:proofErr w:type="spellStart"/>
            <w:r w:rsidRPr="00E52196">
              <w:t>troffers</w:t>
            </w:r>
            <w:proofErr w:type="spellEnd"/>
            <w:r w:rsidRPr="00E52196">
              <w:t xml:space="preserve"> combined with high efficiency lamps and ballasts allow for fewer lamps to be used to provide a given lumen output.  High efficiency </w:t>
            </w:r>
            <w:proofErr w:type="spellStart"/>
            <w:r w:rsidRPr="00E52196">
              <w:t>troffers</w:t>
            </w:r>
            <w:proofErr w:type="spellEnd"/>
            <w:r w:rsidRPr="00E52196">
              <w:t xml:space="preserve"> must have a fixture efficiency of 80% or greater to qualify. Default values are given for a 2 lamp HPT8 fixture replacing a 3 lamp standard efficiency T8 fixture, but other configurations may qualify and the Calculation of savings algorithm used to account for base watts being replaced with EE watts.  </w:t>
            </w:r>
          </w:p>
          <w:p w:rsidR="00794012" w:rsidRDefault="00794012" w:rsidP="00F85BA9">
            <w:r w:rsidRPr="00E52196">
              <w:t>High bay fixtures must have fixture efficiencies of 85% or greater.</w:t>
            </w:r>
          </w:p>
          <w:p w:rsidR="00794012" w:rsidRPr="00E52196" w:rsidRDefault="00794012" w:rsidP="00F85BA9">
            <w:r w:rsidRPr="00E52196">
              <w:t>RWT8 lamps: In order for this characterization to apply, new 4' and U-tube lamps must be listed on the CEE website on the qualifying Reduced Wattage High Performance T8 lamps list. (http://library.cee1.org/content/commercial-lighting-qualifying-products-lists).   2', 3' and 8' lamps must meet the wattage requirements specified in the RWT8 new and baseline assumptions table.  This measure assumes a lamp only purchase.</w:t>
            </w:r>
          </w:p>
        </w:tc>
        <w:tc>
          <w:tcPr>
            <w:tcW w:w="4657" w:type="dxa"/>
            <w:tcBorders>
              <w:top w:val="nil"/>
              <w:left w:val="single" w:sz="4" w:space="0" w:color="auto"/>
              <w:bottom w:val="single" w:sz="4" w:space="0" w:color="auto"/>
              <w:right w:val="single" w:sz="4" w:space="0" w:color="auto"/>
            </w:tcBorders>
            <w:noWrap/>
          </w:tcPr>
          <w:p w:rsidR="00794012" w:rsidRDefault="00794012" w:rsidP="00F85BA9">
            <w:r w:rsidRPr="00E52196">
              <w:t>In order for this characterization to apply, new lamps and ballasts must be listed on the CEE website on the qualifying High Performance T8 lamps and ballasts list (</w:t>
            </w:r>
            <w:hyperlink r:id="rId9" w:history="1">
              <w:r w:rsidRPr="00E52196">
                <w:rPr>
                  <w:rStyle w:val="Hyperlink"/>
                </w:rPr>
                <w:t>http://www.cee1.org/com/com-lt/com-lt-main.php3</w:t>
              </w:r>
            </w:hyperlink>
            <w:r w:rsidRPr="00E52196">
              <w:t>).</w:t>
            </w:r>
          </w:p>
          <w:p w:rsidR="00794012" w:rsidRPr="00E52196" w:rsidRDefault="00794012" w:rsidP="00F85BA9">
            <w:r w:rsidRPr="00E52196">
              <w:t xml:space="preserve"> High efficiency </w:t>
            </w:r>
            <w:proofErr w:type="spellStart"/>
            <w:r w:rsidRPr="00E52196">
              <w:t>troffers</w:t>
            </w:r>
            <w:proofErr w:type="spellEnd"/>
            <w:r w:rsidRPr="00E52196">
              <w:t xml:space="preserve"> (new or retrofit kits) combined with high efficiency lamps and ballasts allow for fewer lamps to be used to provide a given lumen output.  High efficiency </w:t>
            </w:r>
            <w:proofErr w:type="spellStart"/>
            <w:r w:rsidRPr="00E52196">
              <w:t>troffers</w:t>
            </w:r>
            <w:proofErr w:type="spellEnd"/>
            <w:r w:rsidRPr="00E52196">
              <w:t xml:space="preserve"> must have a fixture efficiency of 80% or greater to qualify. Default values are given for a 2 lamp HPT8 fixture replacing a 3 lamp standard efficiency T8 fixture, but other configurations may qualify and the Calculation of savings algorithm used to account for base watts being replaced with EE watts.  </w:t>
            </w:r>
          </w:p>
          <w:p w:rsidR="00794012" w:rsidRDefault="00794012" w:rsidP="00F85BA9">
            <w:r w:rsidRPr="00E52196">
              <w:t>High bay fixtures will have fixture efficiencies of 85% or greater.</w:t>
            </w:r>
          </w:p>
          <w:p w:rsidR="00794012" w:rsidRDefault="00794012" w:rsidP="00F85BA9">
            <w:r w:rsidRPr="00E52196">
              <w:t>RWT8: in order for this characterization to apply, new 4' and U-tube lamps must be listed on the CEE website on the qualifying Reduced Wattage High Performance T8 lamps list.</w:t>
            </w:r>
          </w:p>
          <w:p w:rsidR="00794012" w:rsidRPr="00E52196" w:rsidRDefault="00794012" w:rsidP="00F85BA9">
            <w:r w:rsidRPr="00E52196">
              <w:t xml:space="preserve"> (http://library.cee1.org/content/commercial-lighting-qualifying-products-lists).   2', 3' and 8' lamps must meet the wattage requirements specified in the RWT8 new and baseline assumptions table.  </w:t>
            </w:r>
          </w:p>
        </w:tc>
      </w:tr>
    </w:tbl>
    <w:p w:rsidR="00794012" w:rsidRPr="00E52196" w:rsidRDefault="00794012" w:rsidP="00794012">
      <w:pPr>
        <w:widowControl/>
        <w:jc w:val="left"/>
        <w:rPr>
          <w:rFonts w:eastAsiaTheme="majorEastAsia"/>
          <w:b/>
          <w:smallCaps/>
        </w:rPr>
      </w:pP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Definition of Baseline Equipment</w:t>
      </w:r>
    </w:p>
    <w:p w:rsidR="00794012" w:rsidRDefault="00794012" w:rsidP="00794012">
      <w:pPr>
        <w:spacing w:after="240"/>
      </w:pPr>
      <w:r w:rsidRPr="00E52196">
        <w:t>The definition of baseline equipment varies based on the program and is defined below:</w:t>
      </w:r>
      <w:r>
        <w:br w:type="page"/>
      </w:r>
    </w:p>
    <w:p w:rsidR="00794012" w:rsidRPr="00E52196" w:rsidRDefault="00794012" w:rsidP="00794012">
      <w:pPr>
        <w:spacing w:after="240"/>
      </w:pPr>
    </w:p>
    <w:tbl>
      <w:tblPr>
        <w:tblW w:w="9135" w:type="dxa"/>
        <w:jc w:val="center"/>
        <w:tblInd w:w="-225" w:type="dxa"/>
        <w:tblLook w:val="04A0" w:firstRow="1" w:lastRow="0" w:firstColumn="1" w:lastColumn="0" w:noHBand="0" w:noVBand="1"/>
      </w:tblPr>
      <w:tblGrid>
        <w:gridCol w:w="4478"/>
        <w:gridCol w:w="4657"/>
      </w:tblGrid>
      <w:tr w:rsidR="00794012" w:rsidRPr="00E52196" w:rsidTr="00F85BA9">
        <w:trPr>
          <w:trHeight w:hRule="exact" w:val="457"/>
          <w:jc w:val="center"/>
        </w:trPr>
        <w:tc>
          <w:tcPr>
            <w:tcW w:w="447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F85BA9">
            <w:pPr>
              <w:jc w:val="center"/>
              <w:rPr>
                <w:b/>
                <w:color w:val="FFFFFF" w:themeColor="background1"/>
              </w:rPr>
            </w:pPr>
            <w:r w:rsidRPr="00E52196">
              <w:rPr>
                <w:b/>
                <w:color w:val="FFFFFF" w:themeColor="background1"/>
              </w:rPr>
              <w:t>Time of Sale (TOS)</w:t>
            </w:r>
          </w:p>
        </w:tc>
        <w:tc>
          <w:tcPr>
            <w:tcW w:w="46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F85BA9">
            <w:pPr>
              <w:jc w:val="center"/>
              <w:rPr>
                <w:b/>
                <w:color w:val="FFFFFF" w:themeColor="background1"/>
              </w:rPr>
            </w:pPr>
            <w:r w:rsidRPr="00E52196">
              <w:rPr>
                <w:b/>
                <w:color w:val="FFFFFF" w:themeColor="background1"/>
              </w:rPr>
              <w:t>Retrofit (RF) and Direct Install (DI)</w:t>
            </w:r>
          </w:p>
        </w:tc>
      </w:tr>
      <w:tr w:rsidR="00794012" w:rsidRPr="00E52196" w:rsidTr="00F85BA9">
        <w:trPr>
          <w:trHeight w:val="1250"/>
          <w:jc w:val="center"/>
        </w:trPr>
        <w:tc>
          <w:tcPr>
            <w:tcW w:w="4478" w:type="dxa"/>
            <w:tcBorders>
              <w:top w:val="nil"/>
              <w:left w:val="single" w:sz="4" w:space="0" w:color="auto"/>
              <w:bottom w:val="single" w:sz="4" w:space="0" w:color="auto"/>
              <w:right w:val="single" w:sz="4" w:space="0" w:color="auto"/>
            </w:tcBorders>
            <w:noWrap/>
            <w:hideMark/>
          </w:tcPr>
          <w:p w:rsidR="00794012" w:rsidRPr="00E52196" w:rsidRDefault="00794012" w:rsidP="00F85BA9">
            <w:r w:rsidRPr="00E52196">
              <w:t xml:space="preserve">The baseline is standard efficiency T8 systems that would have been installed.  The baseline for high-bay fixtures is pulse start metal halide </w:t>
            </w:r>
            <w:proofErr w:type="gramStart"/>
            <w:r w:rsidRPr="00E52196">
              <w:t>fixtures,</w:t>
            </w:r>
            <w:proofErr w:type="gramEnd"/>
            <w:r w:rsidRPr="00E52196">
              <w:t xml:space="preserve"> the baseline for a 2 lamp high efficiency </w:t>
            </w:r>
            <w:proofErr w:type="spellStart"/>
            <w:r w:rsidRPr="00E52196">
              <w:t>troffer</w:t>
            </w:r>
            <w:proofErr w:type="spellEnd"/>
            <w:r w:rsidRPr="00E52196">
              <w:t xml:space="preserve"> is a 3 lamp standard </w:t>
            </w:r>
            <w:proofErr w:type="spellStart"/>
            <w:r w:rsidRPr="00E52196">
              <w:t>efficency</w:t>
            </w:r>
            <w:proofErr w:type="spellEnd"/>
            <w:r w:rsidRPr="00E52196">
              <w:t xml:space="preserve"> </w:t>
            </w:r>
            <w:proofErr w:type="spellStart"/>
            <w:r w:rsidRPr="00E52196">
              <w:t>troffer</w:t>
            </w:r>
            <w:proofErr w:type="spellEnd"/>
            <w:r w:rsidRPr="00E52196">
              <w:t xml:space="preserve">. </w:t>
            </w:r>
          </w:p>
        </w:tc>
        <w:tc>
          <w:tcPr>
            <w:tcW w:w="4657" w:type="dxa"/>
            <w:tcBorders>
              <w:top w:val="nil"/>
              <w:left w:val="single" w:sz="4" w:space="0" w:color="auto"/>
              <w:bottom w:val="single" w:sz="4" w:space="0" w:color="auto"/>
              <w:right w:val="single" w:sz="4" w:space="0" w:color="auto"/>
            </w:tcBorders>
            <w:noWrap/>
            <w:hideMark/>
          </w:tcPr>
          <w:p w:rsidR="00794012" w:rsidRDefault="00794012" w:rsidP="00F85BA9">
            <w:r w:rsidRPr="00E52196">
              <w:t xml:space="preserve">The baseline is the existing system. </w:t>
            </w:r>
          </w:p>
          <w:p w:rsidR="00794012" w:rsidRDefault="00794012" w:rsidP="00F85BA9">
            <w:r>
              <w:t>In</w:t>
            </w:r>
            <w:r w:rsidRPr="00F12DA6">
              <w:t xml:space="preserve"> July 14, 2012, Federal </w:t>
            </w:r>
            <w:r>
              <w:t>S</w:t>
            </w:r>
            <w:r w:rsidRPr="00F12DA6">
              <w:t>tandards w</w:t>
            </w:r>
            <w:r>
              <w:t>ere enacted that</w:t>
            </w:r>
            <w:r w:rsidRPr="00F12DA6">
              <w:t xml:space="preserve"> </w:t>
            </w:r>
            <w:r>
              <w:t xml:space="preserve">were expected to eliminate T-12s as an option for linear fluorescent fixtures. Through v3.0 of the TRM, it was assumed that the T-12 would no longer be baseline for retrofits from 1/1/2016. However, due to significant loopholes in the legislation, T-12 compliant </w:t>
            </w:r>
            <w:proofErr w:type="gramStart"/>
            <w:r>
              <w:t>product is still freely available and in Illinois T-12s continue</w:t>
            </w:r>
            <w:proofErr w:type="gramEnd"/>
            <w:r>
              <w:t xml:space="preserve"> to hold a significant share of the existing and replacement lamp market. Therefore the timing of the </w:t>
            </w:r>
            <w:proofErr w:type="spellStart"/>
            <w:r>
              <w:t>sunsetting</w:t>
            </w:r>
            <w:proofErr w:type="spellEnd"/>
            <w:r>
              <w:t xml:space="preserve"> of T-12s as a viable baseline has been pushed back in </w:t>
            </w:r>
            <w:del w:id="6" w:author="Samuel Dent" w:date="2015-10-23T05:58:00Z">
              <w:r w:rsidDel="00794012">
                <w:delText>v4</w:delText>
              </w:r>
            </w:del>
            <w:ins w:id="7" w:author="Samuel Dent" w:date="2015-10-23T05:58:00Z">
              <w:r>
                <w:t>v</w:t>
              </w:r>
              <w:r>
                <w:t>5</w:t>
              </w:r>
            </w:ins>
            <w:r>
              <w:t>.0 until 6/1/</w:t>
            </w:r>
            <w:del w:id="8" w:author="Samuel Dent" w:date="2015-10-23T05:58:00Z">
              <w:r w:rsidDel="00794012">
                <w:delText xml:space="preserve">2016 </w:delText>
              </w:r>
            </w:del>
            <w:ins w:id="9" w:author="Samuel Dent" w:date="2015-10-23T05:58:00Z">
              <w:r>
                <w:t>201</w:t>
              </w:r>
              <w:r>
                <w:t>8</w:t>
              </w:r>
              <w:r>
                <w:t xml:space="preserve"> </w:t>
              </w:r>
            </w:ins>
            <w:r>
              <w:t xml:space="preserve">and will </w:t>
            </w:r>
            <w:proofErr w:type="gramStart"/>
            <w:r>
              <w:t xml:space="preserve">be </w:t>
            </w:r>
            <w:r w:rsidRPr="00F12DA6">
              <w:t xml:space="preserve"> </w:t>
            </w:r>
            <w:r>
              <w:t>revisited</w:t>
            </w:r>
            <w:proofErr w:type="gramEnd"/>
            <w:r>
              <w:t xml:space="preserve"> in future update </w:t>
            </w:r>
            <w:commentRangeStart w:id="10"/>
            <w:r>
              <w:t>sessions</w:t>
            </w:r>
            <w:commentRangeEnd w:id="10"/>
            <w:r>
              <w:rPr>
                <w:rStyle w:val="CommentReference"/>
              </w:rPr>
              <w:commentReference w:id="10"/>
            </w:r>
            <w:r>
              <w:t xml:space="preserve">. </w:t>
            </w:r>
          </w:p>
          <w:p w:rsidR="00794012" w:rsidRPr="00E52196" w:rsidRDefault="00794012" w:rsidP="00794012">
            <w:r w:rsidRPr="00E52196">
              <w:t xml:space="preserve">There will be a baseline shift applied to all measures installed before </w:t>
            </w:r>
            <w:del w:id="11" w:author="Samuel Dent" w:date="2015-10-23T05:59:00Z">
              <w:r w:rsidRPr="00E52196" w:rsidDel="00794012">
                <w:delText>2016</w:delText>
              </w:r>
            </w:del>
            <w:ins w:id="12" w:author="Samuel Dent" w:date="2015-10-23T05:59:00Z">
              <w:r w:rsidRPr="00E52196">
                <w:t>201</w:t>
              </w:r>
              <w:r>
                <w:t>8</w:t>
              </w:r>
            </w:ins>
            <w:r w:rsidRPr="00E52196">
              <w:t>. See table C-1.</w:t>
            </w:r>
          </w:p>
        </w:tc>
      </w:tr>
    </w:tbl>
    <w:p w:rsidR="00794012" w:rsidRPr="00E52196" w:rsidRDefault="00794012" w:rsidP="00794012">
      <w:pPr>
        <w:keepNext/>
        <w:keepLines/>
        <w:spacing w:before="200"/>
        <w:outlineLvl w:val="5"/>
        <w:rPr>
          <w:rFonts w:eastAsiaTheme="majorEastAsia" w:cstheme="majorBidi"/>
          <w:b/>
          <w:iCs/>
          <w:smallCaps/>
          <w:sz w:val="22"/>
          <w:szCs w:val="18"/>
        </w:rPr>
      </w:pPr>
      <w:r w:rsidRPr="00E52196">
        <w:rPr>
          <w:rFonts w:eastAsiaTheme="majorEastAsia" w:cstheme="majorBidi"/>
          <w:b/>
          <w:iCs/>
          <w:smallCaps/>
          <w:sz w:val="22"/>
        </w:rPr>
        <w:t>Deemed Lifetime of Efficient Equipment</w:t>
      </w:r>
    </w:p>
    <w:p w:rsidR="00794012" w:rsidRPr="00E52196" w:rsidRDefault="00794012" w:rsidP="00794012">
      <w:pPr>
        <w:spacing w:after="240"/>
      </w:pPr>
      <w:r w:rsidRPr="00E52196">
        <w:t>The deemed lifetime of efficient equipment varies based on the program and is defined below:</w:t>
      </w:r>
    </w:p>
    <w:tbl>
      <w:tblPr>
        <w:tblW w:w="9135" w:type="dxa"/>
        <w:jc w:val="center"/>
        <w:tblInd w:w="-225" w:type="dxa"/>
        <w:tblLook w:val="04A0" w:firstRow="1" w:lastRow="0" w:firstColumn="1" w:lastColumn="0" w:noHBand="0" w:noVBand="1"/>
      </w:tblPr>
      <w:tblGrid>
        <w:gridCol w:w="3758"/>
        <w:gridCol w:w="5377"/>
      </w:tblGrid>
      <w:tr w:rsidR="00794012" w:rsidRPr="00E52196" w:rsidTr="00F85BA9">
        <w:trPr>
          <w:trHeight w:hRule="exact" w:val="457"/>
          <w:jc w:val="center"/>
        </w:trPr>
        <w:tc>
          <w:tcPr>
            <w:tcW w:w="375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F85BA9">
            <w:pPr>
              <w:jc w:val="center"/>
              <w:rPr>
                <w:b/>
                <w:color w:val="FFFFFF" w:themeColor="background1"/>
              </w:rPr>
            </w:pPr>
            <w:r w:rsidRPr="00E52196">
              <w:rPr>
                <w:b/>
                <w:color w:val="FFFFFF" w:themeColor="background1"/>
              </w:rPr>
              <w:t>Time of Sale (TOS)</w:t>
            </w:r>
          </w:p>
        </w:tc>
        <w:tc>
          <w:tcPr>
            <w:tcW w:w="537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794012" w:rsidRPr="00E52196" w:rsidRDefault="00794012" w:rsidP="00F85BA9">
            <w:pPr>
              <w:jc w:val="center"/>
              <w:rPr>
                <w:b/>
                <w:color w:val="FFFFFF" w:themeColor="background1"/>
              </w:rPr>
            </w:pPr>
            <w:r w:rsidRPr="00E52196">
              <w:rPr>
                <w:b/>
                <w:color w:val="FFFFFF" w:themeColor="background1"/>
              </w:rPr>
              <w:t>Retrofit (RF) and Direct Install (DI)</w:t>
            </w:r>
          </w:p>
        </w:tc>
      </w:tr>
      <w:tr w:rsidR="00794012" w:rsidRPr="00E52196" w:rsidTr="00F85BA9">
        <w:trPr>
          <w:trHeight w:val="3851"/>
          <w:jc w:val="center"/>
        </w:trPr>
        <w:tc>
          <w:tcPr>
            <w:tcW w:w="3758" w:type="dxa"/>
            <w:tcBorders>
              <w:top w:val="nil"/>
              <w:left w:val="single" w:sz="4" w:space="0" w:color="auto"/>
              <w:bottom w:val="single" w:sz="4" w:space="0" w:color="auto"/>
              <w:right w:val="single" w:sz="4" w:space="0" w:color="auto"/>
            </w:tcBorders>
            <w:noWrap/>
            <w:hideMark/>
          </w:tcPr>
          <w:p w:rsidR="00794012" w:rsidRDefault="00794012" w:rsidP="00F85BA9">
            <w:r w:rsidRPr="00E52196">
              <w:t>Fixture lifetime is 15 years</w:t>
            </w:r>
            <w:r w:rsidRPr="009C362B">
              <w:rPr>
                <w:vertAlign w:val="superscript"/>
              </w:rPr>
              <w:footnoteReference w:id="2"/>
            </w:r>
            <w:r w:rsidRPr="00E52196">
              <w:t>.</w:t>
            </w:r>
          </w:p>
          <w:p w:rsidR="00794012" w:rsidRDefault="00794012" w:rsidP="00F85BA9">
            <w:r w:rsidRPr="00E52196">
              <w:t>Fixture retrofits which utilize RWT8 lamps have a lifetime equivalent to the life of the lamp, capped at 15 years.  There is no guarantee that a reduced wattage lamp will be installed at time of burnout, but if one is, savings will be captured in the RWT8 measure below.</w:t>
            </w:r>
          </w:p>
          <w:p w:rsidR="00794012" w:rsidRPr="00E52196" w:rsidRDefault="00794012" w:rsidP="00F85BA9">
            <w:r w:rsidRPr="00E52196">
              <w:t>RWT8 lifetime is the life of the product, at the reported operating hours (lamp life in hours divided by operating hours per year – see reference table "RWT8 Component Costs and Lifetime"), capped at 15 years.</w:t>
            </w:r>
            <w:r w:rsidRPr="00E52196">
              <w:footnoteReference w:id="3"/>
            </w:r>
          </w:p>
        </w:tc>
        <w:tc>
          <w:tcPr>
            <w:tcW w:w="5377" w:type="dxa"/>
            <w:tcBorders>
              <w:top w:val="nil"/>
              <w:left w:val="single" w:sz="4" w:space="0" w:color="auto"/>
              <w:bottom w:val="single" w:sz="4" w:space="0" w:color="auto"/>
              <w:right w:val="single" w:sz="4" w:space="0" w:color="auto"/>
            </w:tcBorders>
            <w:noWrap/>
            <w:hideMark/>
          </w:tcPr>
          <w:p w:rsidR="00794012" w:rsidRDefault="00794012" w:rsidP="00F85BA9">
            <w:r w:rsidRPr="00E52196">
              <w:t>Fixture lifetime is 15 years.</w:t>
            </w:r>
          </w:p>
          <w:p w:rsidR="00794012" w:rsidRPr="00E52196" w:rsidRDefault="00794012" w:rsidP="00F85BA9">
            <w:r w:rsidRPr="00E52196">
              <w:t xml:space="preserve">As per explanation above, for existing T12 fixtures, </w:t>
            </w:r>
            <w:proofErr w:type="spellStart"/>
            <w:r w:rsidRPr="00E52196">
              <w:t>a mid</w:t>
            </w:r>
            <w:proofErr w:type="spellEnd"/>
            <w:r w:rsidRPr="00E52196">
              <w:t xml:space="preserve"> life baseline shift should be applied in Jan </w:t>
            </w:r>
            <w:del w:id="13" w:author="Samuel Dent" w:date="2015-10-23T06:01:00Z">
              <w:r w:rsidRPr="00E52196" w:rsidDel="00794012">
                <w:delText xml:space="preserve">2016 </w:delText>
              </w:r>
            </w:del>
            <w:ins w:id="14" w:author="Samuel Dent" w:date="2015-10-23T06:01:00Z">
              <w:r w:rsidRPr="00E52196">
                <w:t>201</w:t>
              </w:r>
              <w:r>
                <w:t>8</w:t>
              </w:r>
              <w:r w:rsidRPr="00E52196">
                <w:t xml:space="preserve"> </w:t>
              </w:r>
            </w:ins>
            <w:r w:rsidRPr="00E52196">
              <w:t>as described in table C-1.</w:t>
            </w:r>
          </w:p>
          <w:p w:rsidR="00794012" w:rsidRPr="00E52196" w:rsidRDefault="00794012" w:rsidP="00F85BA9">
            <w:r w:rsidRPr="00E52196">
              <w:t>Note, since the fixture lifetime is deemed at 15 years, the replacement cost of both the lamp and ballast should be incorporated in to the O&amp;M calculation.</w:t>
            </w:r>
          </w:p>
        </w:tc>
      </w:tr>
    </w:tbl>
    <w:p w:rsidR="00794012" w:rsidRPr="00E52196" w:rsidRDefault="00794012" w:rsidP="00794012">
      <w:pPr>
        <w:spacing w:after="240"/>
      </w:pPr>
    </w:p>
    <w:p w:rsidR="00794012" w:rsidRPr="00E52196" w:rsidRDefault="00794012" w:rsidP="00794012">
      <w:pPr>
        <w:keepNext/>
        <w:keepLines/>
        <w:spacing w:before="200"/>
        <w:outlineLvl w:val="5"/>
        <w:rPr>
          <w:rFonts w:eastAsiaTheme="majorEastAsia" w:cstheme="majorBidi"/>
          <w:b/>
          <w:iCs/>
          <w:smallCaps/>
          <w:sz w:val="22"/>
        </w:rPr>
      </w:pPr>
      <w:proofErr w:type="spellStart"/>
      <w:r w:rsidRPr="00E52196">
        <w:rPr>
          <w:rFonts w:eastAsiaTheme="majorEastAsia" w:cstheme="majorBidi"/>
          <w:b/>
          <w:iCs/>
          <w:smallCaps/>
          <w:sz w:val="22"/>
        </w:rPr>
        <w:t>Loadshape</w:t>
      </w:r>
      <w:proofErr w:type="spellEnd"/>
    </w:p>
    <w:tbl>
      <w:tblPr>
        <w:tblW w:w="8120" w:type="dxa"/>
        <w:tblInd w:w="93" w:type="dxa"/>
        <w:tblLook w:val="04A0" w:firstRow="1" w:lastRow="0" w:firstColumn="1" w:lastColumn="0" w:noHBand="0" w:noVBand="1"/>
      </w:tblPr>
      <w:tblGrid>
        <w:gridCol w:w="8120"/>
      </w:tblGrid>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C06 - Commercial Indoor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C07 - Grocery/Conv. Store Indoor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lastRenderedPageBreak/>
              <w:t>Loadshape</w:t>
            </w:r>
            <w:proofErr w:type="spellEnd"/>
            <w:r w:rsidRPr="00E52196">
              <w:rPr>
                <w:rFonts w:ascii="Calibri" w:hAnsi="Calibri" w:cs="Calibri"/>
                <w:color w:val="000000"/>
                <w:szCs w:val="20"/>
              </w:rPr>
              <w:t xml:space="preserve"> C08 - Hospital Indoor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C09 - Office Indoor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C10 - Restaurant Indoor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C11 - Retail Indoor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C12 - Warehouse Indoor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C13 - K-12 School Indoor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C14 - </w:t>
            </w:r>
            <w:proofErr w:type="spellStart"/>
            <w:r w:rsidRPr="00E52196">
              <w:rPr>
                <w:rFonts w:ascii="Calibri" w:hAnsi="Calibri" w:cs="Calibri"/>
                <w:color w:val="000000"/>
                <w:szCs w:val="20"/>
              </w:rPr>
              <w:t>Indust</w:t>
            </w:r>
            <w:proofErr w:type="spellEnd"/>
            <w:r w:rsidRPr="00E52196">
              <w:rPr>
                <w:rFonts w:ascii="Calibri" w:hAnsi="Calibri" w:cs="Calibri"/>
                <w:color w:val="000000"/>
                <w:szCs w:val="20"/>
              </w:rPr>
              <w:t>. 1-shift (8/5) (e.g., comp. air, lights)</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C15 - </w:t>
            </w:r>
            <w:proofErr w:type="spellStart"/>
            <w:r w:rsidRPr="00E52196">
              <w:rPr>
                <w:rFonts w:ascii="Calibri" w:hAnsi="Calibri" w:cs="Calibri"/>
                <w:color w:val="000000"/>
                <w:szCs w:val="20"/>
              </w:rPr>
              <w:t>Indust</w:t>
            </w:r>
            <w:proofErr w:type="spellEnd"/>
            <w:r w:rsidRPr="00E52196">
              <w:rPr>
                <w:rFonts w:ascii="Calibri" w:hAnsi="Calibri" w:cs="Calibri"/>
                <w:color w:val="000000"/>
                <w:szCs w:val="20"/>
              </w:rPr>
              <w:t>. 2-shift (16/5) (e.g., comp. air, lights)</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C16 - </w:t>
            </w:r>
            <w:proofErr w:type="spellStart"/>
            <w:r w:rsidRPr="00E52196">
              <w:rPr>
                <w:rFonts w:ascii="Calibri" w:hAnsi="Calibri" w:cs="Calibri"/>
                <w:color w:val="000000"/>
                <w:szCs w:val="20"/>
              </w:rPr>
              <w:t>Indust</w:t>
            </w:r>
            <w:proofErr w:type="spellEnd"/>
            <w:r w:rsidRPr="00E52196">
              <w:rPr>
                <w:rFonts w:ascii="Calibri" w:hAnsi="Calibri" w:cs="Calibri"/>
                <w:color w:val="000000"/>
                <w:szCs w:val="20"/>
              </w:rPr>
              <w:t>. 3-shift (24/5) (e.g., comp. air, lights)</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C17 - </w:t>
            </w:r>
            <w:proofErr w:type="spellStart"/>
            <w:r w:rsidRPr="00E52196">
              <w:rPr>
                <w:rFonts w:ascii="Calibri" w:hAnsi="Calibri" w:cs="Calibri"/>
                <w:color w:val="000000"/>
                <w:szCs w:val="20"/>
              </w:rPr>
              <w:t>Indust</w:t>
            </w:r>
            <w:proofErr w:type="spellEnd"/>
            <w:r w:rsidRPr="00E52196">
              <w:rPr>
                <w:rFonts w:ascii="Calibri" w:hAnsi="Calibri" w:cs="Calibri"/>
                <w:color w:val="000000"/>
                <w:szCs w:val="20"/>
              </w:rPr>
              <w:t>. 4-shift (24/7) (e.g., comp. air, lights)</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C18 - Industrial Indoor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C19 - Industrial Outdoor Lighting</w:t>
            </w:r>
          </w:p>
        </w:tc>
      </w:tr>
      <w:tr w:rsidR="00794012" w:rsidRPr="00E52196" w:rsidTr="00F85BA9">
        <w:trPr>
          <w:trHeight w:val="300"/>
        </w:trPr>
        <w:tc>
          <w:tcPr>
            <w:tcW w:w="8120" w:type="dxa"/>
            <w:noWrap/>
            <w:vAlign w:val="center"/>
            <w:hideMark/>
          </w:tcPr>
          <w:p w:rsidR="00794012" w:rsidRPr="00E52196" w:rsidRDefault="00794012" w:rsidP="00F85BA9">
            <w:pPr>
              <w:widowControl/>
              <w:spacing w:line="276" w:lineRule="auto"/>
              <w:jc w:val="left"/>
              <w:rPr>
                <w:rFonts w:ascii="Calibri" w:hAnsi="Calibri" w:cs="Calibri"/>
                <w:color w:val="000000"/>
                <w:szCs w:val="20"/>
              </w:rPr>
            </w:pPr>
            <w:proofErr w:type="spellStart"/>
            <w:r w:rsidRPr="00E52196">
              <w:rPr>
                <w:rFonts w:ascii="Calibri" w:hAnsi="Calibri" w:cs="Calibri"/>
                <w:color w:val="000000"/>
                <w:szCs w:val="20"/>
              </w:rPr>
              <w:t>Loadshape</w:t>
            </w:r>
            <w:proofErr w:type="spellEnd"/>
            <w:r w:rsidRPr="00E52196">
              <w:rPr>
                <w:rFonts w:ascii="Calibri" w:hAnsi="Calibri" w:cs="Calibri"/>
                <w:color w:val="000000"/>
                <w:szCs w:val="20"/>
              </w:rPr>
              <w:t xml:space="preserve"> C20 - Commercial Outdoor Lighting</w:t>
            </w:r>
          </w:p>
        </w:tc>
      </w:tr>
    </w:tbl>
    <w:p w:rsidR="00794012" w:rsidRPr="00E52196" w:rsidRDefault="00794012" w:rsidP="00794012">
      <w:pPr>
        <w:spacing w:after="240"/>
      </w:pPr>
    </w:p>
    <w:p w:rsidR="00794012" w:rsidRPr="00E52196" w:rsidRDefault="00794012" w:rsidP="00794012">
      <w:pPr>
        <w:keepNext/>
        <w:pBdr>
          <w:top w:val="double" w:sz="4" w:space="1" w:color="auto"/>
          <w:bottom w:val="double" w:sz="4" w:space="1" w:color="auto"/>
        </w:pBdr>
        <w:spacing w:after="240"/>
        <w:jc w:val="center"/>
        <w:rPr>
          <w:rFonts w:cstheme="minorHAnsi"/>
          <w:b/>
          <w:szCs w:val="20"/>
        </w:rPr>
      </w:pPr>
      <w:r w:rsidRPr="00E52196">
        <w:rPr>
          <w:rFonts w:cstheme="minorHAnsi"/>
          <w:b/>
          <w:szCs w:val="20"/>
        </w:rPr>
        <w:t>Algorithm</w:t>
      </w:r>
    </w:p>
    <w:p w:rsidR="00794012" w:rsidRPr="00E52196" w:rsidRDefault="00794012" w:rsidP="00794012">
      <w:pPr>
        <w:keepNext/>
        <w:keepLines/>
        <w:spacing w:before="200"/>
        <w:outlineLvl w:val="5"/>
        <w:rPr>
          <w:rFonts w:eastAsiaTheme="majorEastAsia"/>
          <w:b/>
          <w:iCs/>
          <w:smallCaps/>
          <w:sz w:val="22"/>
          <w:szCs w:val="18"/>
        </w:rPr>
      </w:pPr>
      <w:r w:rsidRPr="00E52196">
        <w:rPr>
          <w:rFonts w:eastAsiaTheme="majorEastAsia" w:cstheme="majorBidi"/>
          <w:b/>
          <w:iCs/>
          <w:smallCaps/>
          <w:sz w:val="22"/>
        </w:rPr>
        <w:t xml:space="preserve">Calculation of Savings </w:t>
      </w: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 xml:space="preserve">Electric Energy Savings </w:t>
      </w:r>
    </w:p>
    <w:p w:rsidR="00794012" w:rsidRPr="00E52196" w:rsidRDefault="00794012" w:rsidP="00794012">
      <w:pPr>
        <w:spacing w:after="240"/>
        <w:ind w:left="1440"/>
        <w:rPr>
          <w:noProof/>
        </w:rPr>
      </w:pPr>
      <w:r w:rsidRPr="00E52196">
        <w:rPr>
          <w:noProof/>
        </w:rPr>
        <w:t>ΔkWh  =( (Watts</w:t>
      </w:r>
      <w:r w:rsidRPr="00E52196">
        <w:rPr>
          <w:noProof/>
          <w:vertAlign w:val="subscript"/>
        </w:rPr>
        <w:t>base</w:t>
      </w:r>
      <w:r w:rsidRPr="00E52196">
        <w:rPr>
          <w:noProof/>
        </w:rPr>
        <w:t>-Watts</w:t>
      </w:r>
      <w:r w:rsidRPr="00E52196">
        <w:rPr>
          <w:noProof/>
          <w:vertAlign w:val="subscript"/>
        </w:rPr>
        <w:t>EE</w:t>
      </w:r>
      <w:r w:rsidRPr="00E52196">
        <w:rPr>
          <w:noProof/>
        </w:rPr>
        <w:t>)/1000)  * Hours *WHF</w:t>
      </w:r>
      <w:r w:rsidRPr="00E52196">
        <w:rPr>
          <w:noProof/>
          <w:vertAlign w:val="subscript"/>
        </w:rPr>
        <w:t>e</w:t>
      </w:r>
      <w:r w:rsidRPr="00E52196">
        <w:rPr>
          <w:noProof/>
        </w:rPr>
        <w:t xml:space="preserve">*ISR </w:t>
      </w:r>
    </w:p>
    <w:p w:rsidR="00794012" w:rsidRPr="00E52196" w:rsidRDefault="00794012" w:rsidP="00794012">
      <w:pPr>
        <w:spacing w:after="240"/>
        <w:rPr>
          <w:noProof/>
        </w:rPr>
      </w:pPr>
      <w:r w:rsidRPr="00E52196">
        <w:rPr>
          <w:noProof/>
        </w:rPr>
        <w:t>Where:</w:t>
      </w:r>
    </w:p>
    <w:p w:rsidR="00794012" w:rsidRPr="00E52196" w:rsidRDefault="00794012" w:rsidP="00794012">
      <w:pPr>
        <w:spacing w:after="240"/>
        <w:ind w:left="2160" w:hanging="1440"/>
        <w:rPr>
          <w:noProof/>
        </w:rPr>
      </w:pPr>
      <w:r w:rsidRPr="00E52196">
        <w:rPr>
          <w:noProof/>
        </w:rPr>
        <w:t>Watts</w:t>
      </w:r>
      <w:r w:rsidRPr="00E52196">
        <w:rPr>
          <w:noProof/>
          <w:vertAlign w:val="subscript"/>
        </w:rPr>
        <w:t>base</w:t>
      </w:r>
      <w:r w:rsidRPr="00E52196">
        <w:rPr>
          <w:noProof/>
        </w:rPr>
        <w:t xml:space="preserve"> </w:t>
      </w:r>
      <w:r>
        <w:rPr>
          <w:noProof/>
        </w:rPr>
        <w:tab/>
      </w:r>
      <w:r w:rsidRPr="00E52196">
        <w:rPr>
          <w:noProof/>
        </w:rPr>
        <w:t>= Input wattage of the existing system which  depends on the baseline fixture configuration (number and  type of lamp) and number of fixtures.  Value can be selected from the appropriate reference table as shown below, o</w:t>
      </w:r>
      <w:r>
        <w:rPr>
          <w:noProof/>
        </w:rPr>
        <w:t>r</w:t>
      </w:r>
      <w:r w:rsidRPr="00E52196">
        <w:rPr>
          <w:noProof/>
        </w:rPr>
        <w:t xml:space="preserve"> a custom value can be entered if the configurations in the tables is not representative of the exisitng system.</w:t>
      </w:r>
    </w:p>
    <w:tbl>
      <w:tblPr>
        <w:tblStyle w:val="TableGrid5"/>
        <w:tblW w:w="0" w:type="auto"/>
        <w:tblInd w:w="2358" w:type="dxa"/>
        <w:tblLook w:val="04A0" w:firstRow="1" w:lastRow="0" w:firstColumn="1" w:lastColumn="0" w:noHBand="0" w:noVBand="1"/>
      </w:tblPr>
      <w:tblGrid>
        <w:gridCol w:w="2790"/>
        <w:gridCol w:w="3150"/>
      </w:tblGrid>
      <w:tr w:rsidR="00794012" w:rsidRPr="00E52196" w:rsidTr="00F85BA9">
        <w:trPr>
          <w:tblHead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Program</w:t>
            </w:r>
          </w:p>
        </w:tc>
        <w:tc>
          <w:tcPr>
            <w:tcW w:w="31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Reference Table</w:t>
            </w:r>
          </w:p>
        </w:tc>
      </w:tr>
      <w:tr w:rsidR="00794012" w:rsidRPr="00E52196" w:rsidTr="00F85BA9">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 xml:space="preserve">Time of Sale </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A-1:  HPT8 New and Baseline Assumptions</w:t>
            </w:r>
          </w:p>
        </w:tc>
      </w:tr>
      <w:tr w:rsidR="00794012" w:rsidRPr="00E52196" w:rsidTr="00F85BA9">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A-2:  HPT8 New and Baseline Assumptions</w:t>
            </w:r>
          </w:p>
        </w:tc>
      </w:tr>
      <w:tr w:rsidR="00794012" w:rsidRPr="00E52196" w:rsidTr="00F85BA9">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Reduced Wattage T8, time of sale or 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A-3:  RWT8 New and Baseline Assumptions</w:t>
            </w:r>
          </w:p>
        </w:tc>
      </w:tr>
    </w:tbl>
    <w:p w:rsidR="00794012" w:rsidRPr="00E52196" w:rsidRDefault="00794012" w:rsidP="00794012">
      <w:pPr>
        <w:spacing w:after="240"/>
        <w:rPr>
          <w:rFonts w:cstheme="minorHAnsi"/>
          <w:noProof/>
        </w:rPr>
      </w:pPr>
      <w:r>
        <w:rPr>
          <w:noProof/>
        </w:rPr>
        <w:tab/>
      </w:r>
      <w:r>
        <w:rPr>
          <w:noProof/>
        </w:rPr>
        <w:tab/>
      </w:r>
    </w:p>
    <w:p w:rsidR="00794012" w:rsidRPr="00E52196" w:rsidRDefault="00794012" w:rsidP="00794012">
      <w:pPr>
        <w:spacing w:after="240"/>
        <w:ind w:left="2160" w:hanging="1440"/>
        <w:rPr>
          <w:noProof/>
        </w:rPr>
      </w:pPr>
      <w:r w:rsidRPr="00E52196">
        <w:rPr>
          <w:noProof/>
        </w:rPr>
        <w:t>Watts</w:t>
      </w:r>
      <w:r w:rsidRPr="00E52196">
        <w:rPr>
          <w:noProof/>
          <w:vertAlign w:val="subscript"/>
        </w:rPr>
        <w:t>EE</w:t>
      </w:r>
      <w:r w:rsidRPr="00E52196">
        <w:rPr>
          <w:noProof/>
        </w:rPr>
        <w:tab/>
        <w:t xml:space="preserve">= New Input wattage of EE fixture which depends on new fixture configuration (number of lamps) and ballast factor and number of fixtures.  Value can be selected from the appropriate reference table as shown below, of a custom value can be entered if the </w:t>
      </w:r>
      <w:r w:rsidRPr="00E52196">
        <w:rPr>
          <w:noProof/>
        </w:rPr>
        <w:lastRenderedPageBreak/>
        <w:t>configurations in the tables is not representative of the exisitng system.</w:t>
      </w:r>
    </w:p>
    <w:tbl>
      <w:tblPr>
        <w:tblStyle w:val="TableGrid5"/>
        <w:tblW w:w="0" w:type="auto"/>
        <w:tblInd w:w="2358" w:type="dxa"/>
        <w:tblLook w:val="04A0" w:firstRow="1" w:lastRow="0" w:firstColumn="1" w:lastColumn="0" w:noHBand="0" w:noVBand="1"/>
      </w:tblPr>
      <w:tblGrid>
        <w:gridCol w:w="2790"/>
        <w:gridCol w:w="3150"/>
      </w:tblGrid>
      <w:tr w:rsidR="00794012" w:rsidRPr="00E52196" w:rsidTr="00F85BA9">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Program</w:t>
            </w:r>
          </w:p>
        </w:tc>
        <w:tc>
          <w:tcPr>
            <w:tcW w:w="31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Reference Table</w:t>
            </w:r>
          </w:p>
        </w:tc>
      </w:tr>
      <w:tr w:rsidR="00794012" w:rsidRPr="00E52196" w:rsidTr="00F85BA9">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 xml:space="preserve">Time of Sale </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A-1:  HPT8 New and Baseline Assumptions</w:t>
            </w:r>
          </w:p>
        </w:tc>
      </w:tr>
      <w:tr w:rsidR="00794012" w:rsidRPr="00E52196" w:rsidTr="00F85BA9">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A-2:  HPT8 New and Baseline Assumptions</w:t>
            </w:r>
          </w:p>
        </w:tc>
      </w:tr>
      <w:tr w:rsidR="00794012" w:rsidRPr="00E52196" w:rsidTr="00F85BA9">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Reduced Wattage T8, time of sale or 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A-3:  RWT8 New and Baseline Assumptions</w:t>
            </w:r>
          </w:p>
        </w:tc>
      </w:tr>
    </w:tbl>
    <w:p w:rsidR="00794012" w:rsidRPr="00E52196" w:rsidRDefault="00794012" w:rsidP="00794012">
      <w:pPr>
        <w:spacing w:after="240"/>
        <w:ind w:left="1440"/>
        <w:rPr>
          <w:noProof/>
        </w:rPr>
      </w:pPr>
    </w:p>
    <w:p w:rsidR="00794012" w:rsidRPr="00E52196" w:rsidRDefault="00794012" w:rsidP="00794012">
      <w:pPr>
        <w:spacing w:after="240"/>
        <w:ind w:left="2160" w:hanging="720"/>
        <w:rPr>
          <w:rFonts w:ascii="Times New Roman" w:hAnsi="Times New Roman"/>
          <w:szCs w:val="20"/>
        </w:rPr>
      </w:pPr>
      <w:r w:rsidRPr="00E52196">
        <w:rPr>
          <w:noProof/>
        </w:rPr>
        <w:t>Hours</w:t>
      </w:r>
      <w:r w:rsidRPr="00E52196">
        <w:rPr>
          <w:noProof/>
        </w:rPr>
        <w:tab/>
        <w:t>= Average hours of use per year as provided by the customer or selected from the Reference Table in Section 4.5,</w:t>
      </w:r>
      <w:r w:rsidRPr="00E52196">
        <w:rPr>
          <w:rFonts w:cstheme="minorHAnsi"/>
          <w:b/>
          <w:bCs/>
          <w:szCs w:val="20"/>
        </w:rPr>
        <w:t xml:space="preserve"> </w:t>
      </w:r>
      <w:r w:rsidRPr="00E52196">
        <w:rPr>
          <w:noProof/>
        </w:rPr>
        <w:t>Fixture annual operating hours.  If hours or building type are unknown, use the Miscellaneous value.</w:t>
      </w:r>
      <w:r w:rsidRPr="00E52196">
        <w:rPr>
          <w:rFonts w:ascii="Times New Roman" w:hAnsi="Times New Roman"/>
          <w:szCs w:val="20"/>
        </w:rPr>
        <w:tab/>
      </w:r>
    </w:p>
    <w:p w:rsidR="00794012" w:rsidRPr="00E52196" w:rsidRDefault="00794012" w:rsidP="00794012">
      <w:pPr>
        <w:spacing w:after="240"/>
        <w:ind w:left="2160" w:hanging="720"/>
      </w:pPr>
      <w:proofErr w:type="spellStart"/>
      <w:r w:rsidRPr="00E52196">
        <w:t>WHF</w:t>
      </w:r>
      <w:r w:rsidRPr="00E52196">
        <w:rPr>
          <w:vertAlign w:val="subscript"/>
        </w:rPr>
        <w:t>e</w:t>
      </w:r>
      <w:proofErr w:type="spellEnd"/>
      <w:r w:rsidRPr="00E52196">
        <w:rPr>
          <w:vertAlign w:val="subscript"/>
        </w:rPr>
        <w:t xml:space="preserve"> </w:t>
      </w:r>
      <w:r w:rsidRPr="00E52196">
        <w:rPr>
          <w:vertAlign w:val="subscript"/>
        </w:rPr>
        <w:tab/>
      </w:r>
      <w:r w:rsidRPr="00E52196">
        <w:t xml:space="preserve">= Waste </w:t>
      </w:r>
      <w:r w:rsidRPr="00E52196">
        <w:rPr>
          <w:noProof/>
        </w:rPr>
        <w:t>heat</w:t>
      </w:r>
      <w:r w:rsidRPr="00E52196">
        <w:t xml:space="preserve"> factor for energy to account for cooling energy savings from efficient lighting is selected from the </w:t>
      </w:r>
      <w:r w:rsidRPr="00E52196">
        <w:rPr>
          <w:noProof/>
        </w:rPr>
        <w:t xml:space="preserve">Reference Table in Section 4.5 </w:t>
      </w:r>
      <w:r w:rsidRPr="00E52196">
        <w:t>for each building type.  If building is un-cooled, the value is 1.0.</w:t>
      </w:r>
    </w:p>
    <w:p w:rsidR="00794012" w:rsidRPr="00E52196" w:rsidRDefault="00794012" w:rsidP="00794012">
      <w:pPr>
        <w:spacing w:after="240"/>
        <w:ind w:left="2160" w:hanging="720"/>
        <w:rPr>
          <w:rFonts w:cstheme="minorHAnsi"/>
          <w:noProof/>
        </w:rPr>
      </w:pPr>
      <w:r w:rsidRPr="00E52196">
        <w:t xml:space="preserve">ISR </w:t>
      </w:r>
      <w:r w:rsidRPr="00E52196">
        <w:tab/>
      </w:r>
      <w:r w:rsidRPr="00E52196">
        <w:rPr>
          <w:rFonts w:ascii="Times New Roman" w:hAnsi="Times New Roman"/>
          <w:szCs w:val="20"/>
        </w:rPr>
        <w:t xml:space="preserve">= </w:t>
      </w:r>
      <w:r w:rsidRPr="00E52196">
        <w:rPr>
          <w:rFonts w:cstheme="minorHAnsi"/>
          <w:noProof/>
        </w:rPr>
        <w:t>In Service Rate or the percentage of units rebated that get installed.</w:t>
      </w:r>
    </w:p>
    <w:p w:rsidR="00794012" w:rsidRPr="00E52196" w:rsidRDefault="00794012" w:rsidP="00794012">
      <w:pPr>
        <w:tabs>
          <w:tab w:val="left" w:pos="1530"/>
        </w:tabs>
        <w:spacing w:after="240"/>
        <w:ind w:left="2160"/>
        <w:rPr>
          <w:rFonts w:cstheme="minorHAnsi"/>
          <w:noProof/>
        </w:rPr>
      </w:pPr>
      <w:r w:rsidRPr="00E52196">
        <w:rPr>
          <w:rFonts w:cstheme="minorHAnsi"/>
          <w:noProof/>
        </w:rPr>
        <w:t>=100%</w:t>
      </w:r>
      <w:r w:rsidRPr="00E52196">
        <w:rPr>
          <w:rFonts w:ascii="Arial" w:hAnsi="Arial"/>
          <w:noProof/>
          <w:vertAlign w:val="superscript"/>
        </w:rPr>
        <w:footnoteReference w:id="4"/>
      </w:r>
      <w:r w:rsidRPr="00E52196">
        <w:rPr>
          <w:rFonts w:cstheme="minorHAnsi"/>
          <w:noProof/>
        </w:rPr>
        <w:t xml:space="preserve"> if application form completed with sign off that equipment is not placed into storage</w:t>
      </w:r>
    </w:p>
    <w:p w:rsidR="00794012" w:rsidRDefault="00794012" w:rsidP="00794012">
      <w:pPr>
        <w:spacing w:after="240"/>
        <w:ind w:left="1440" w:firstLine="720"/>
        <w:rPr>
          <w:rFonts w:cstheme="minorHAnsi"/>
          <w:noProof/>
        </w:rPr>
      </w:pPr>
      <w:r w:rsidRPr="00E52196">
        <w:rPr>
          <w:rFonts w:cstheme="minorHAnsi"/>
          <w:noProof/>
        </w:rPr>
        <w:t>If sign off form not completed assume the following 3 year ISR assumptions:</w:t>
      </w:r>
    </w:p>
    <w:tbl>
      <w:tblPr>
        <w:tblStyle w:val="TableGrid5"/>
        <w:tblW w:w="0" w:type="auto"/>
        <w:tblInd w:w="2988" w:type="dxa"/>
        <w:tblLook w:val="04A0" w:firstRow="1" w:lastRow="0" w:firstColumn="1" w:lastColumn="0" w:noHBand="0" w:noVBand="1"/>
      </w:tblPr>
      <w:tblGrid>
        <w:gridCol w:w="1428"/>
        <w:gridCol w:w="1235"/>
        <w:gridCol w:w="1235"/>
        <w:gridCol w:w="1167"/>
      </w:tblGrid>
      <w:tr w:rsidR="00794012" w:rsidRPr="00E52196" w:rsidTr="00F85BA9">
        <w:trPr>
          <w:tblHeader/>
        </w:trPr>
        <w:tc>
          <w:tcPr>
            <w:tcW w:w="1428" w:type="dxa"/>
            <w:tcBorders>
              <w:top w:val="single" w:sz="4" w:space="0" w:color="auto"/>
              <w:left w:val="single" w:sz="4" w:space="0" w:color="auto"/>
              <w:bottom w:val="single" w:sz="4" w:space="0" w:color="auto"/>
              <w:right w:val="single" w:sz="4" w:space="0" w:color="auto"/>
            </w:tcBorders>
            <w:shd w:val="pct60" w:color="auto" w:fill="auto"/>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Weighted Average 1st year In Service Rate (ISR)</w:t>
            </w:r>
          </w:p>
        </w:tc>
        <w:tc>
          <w:tcPr>
            <w:tcW w:w="1235" w:type="dxa"/>
            <w:tcBorders>
              <w:top w:val="single" w:sz="4" w:space="0" w:color="auto"/>
              <w:left w:val="single" w:sz="4" w:space="0" w:color="auto"/>
              <w:bottom w:val="single" w:sz="4" w:space="0" w:color="auto"/>
              <w:right w:val="single" w:sz="4" w:space="0" w:color="auto"/>
            </w:tcBorders>
            <w:shd w:val="pct60" w:color="auto" w:fill="auto"/>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2nd year Installations</w:t>
            </w:r>
          </w:p>
        </w:tc>
        <w:tc>
          <w:tcPr>
            <w:tcW w:w="1235" w:type="dxa"/>
            <w:tcBorders>
              <w:top w:val="single" w:sz="4" w:space="0" w:color="auto"/>
              <w:left w:val="single" w:sz="4" w:space="0" w:color="auto"/>
              <w:bottom w:val="single" w:sz="4" w:space="0" w:color="auto"/>
              <w:right w:val="single" w:sz="4" w:space="0" w:color="auto"/>
            </w:tcBorders>
            <w:shd w:val="pct60" w:color="auto" w:fill="auto"/>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3rd year Installations</w:t>
            </w:r>
          </w:p>
        </w:tc>
        <w:tc>
          <w:tcPr>
            <w:tcW w:w="1167" w:type="dxa"/>
            <w:tcBorders>
              <w:top w:val="single" w:sz="4" w:space="0" w:color="auto"/>
              <w:left w:val="single" w:sz="4" w:space="0" w:color="auto"/>
              <w:bottom w:val="single" w:sz="4" w:space="0" w:color="auto"/>
              <w:right w:val="single" w:sz="4" w:space="0" w:color="auto"/>
            </w:tcBorders>
            <w:shd w:val="pct60" w:color="auto" w:fill="auto"/>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Final Lifetime In Service Rate</w:t>
            </w:r>
          </w:p>
        </w:tc>
      </w:tr>
      <w:tr w:rsidR="00794012" w:rsidRPr="00E52196" w:rsidTr="00F85BA9">
        <w:trPr>
          <w:trHeight w:val="467"/>
        </w:trPr>
        <w:tc>
          <w:tcPr>
            <w:tcW w:w="1428" w:type="dxa"/>
            <w:tcBorders>
              <w:top w:val="single" w:sz="4" w:space="0" w:color="auto"/>
              <w:left w:val="single" w:sz="4" w:space="0" w:color="auto"/>
              <w:bottom w:val="single" w:sz="4" w:space="0" w:color="auto"/>
              <w:right w:val="single" w:sz="4" w:space="0" w:color="auto"/>
            </w:tcBorders>
            <w:vAlign w:val="center"/>
            <w:hideMark/>
          </w:tcPr>
          <w:p w:rsidR="00794012" w:rsidRPr="00E52196" w:rsidRDefault="00794012" w:rsidP="00F85BA9">
            <w:pPr>
              <w:rPr>
                <w:rFonts w:asciiTheme="minorHAnsi" w:hAnsiTheme="minorHAnsi"/>
              </w:rPr>
            </w:pPr>
            <w:r w:rsidRPr="00E52196">
              <w:rPr>
                <w:rFonts w:asciiTheme="minorHAnsi" w:hAnsiTheme="minorHAnsi"/>
              </w:rPr>
              <w:t>98%</w:t>
            </w:r>
            <w:r w:rsidRPr="009C362B">
              <w:rPr>
                <w:vertAlign w:val="superscript"/>
              </w:rPr>
              <w:footnoteReference w:id="5"/>
            </w:r>
          </w:p>
        </w:tc>
        <w:tc>
          <w:tcPr>
            <w:tcW w:w="1235" w:type="dxa"/>
            <w:tcBorders>
              <w:top w:val="single" w:sz="4" w:space="0" w:color="auto"/>
              <w:left w:val="single" w:sz="4" w:space="0" w:color="auto"/>
              <w:bottom w:val="single" w:sz="4" w:space="0" w:color="auto"/>
              <w:right w:val="single" w:sz="4" w:space="0" w:color="auto"/>
            </w:tcBorders>
            <w:vAlign w:val="center"/>
            <w:hideMark/>
          </w:tcPr>
          <w:p w:rsidR="00794012" w:rsidRPr="00E52196" w:rsidRDefault="00794012" w:rsidP="00F85BA9">
            <w:pPr>
              <w:rPr>
                <w:rFonts w:asciiTheme="minorHAnsi" w:hAnsiTheme="minorHAnsi"/>
              </w:rPr>
            </w:pPr>
            <w:r w:rsidRPr="00E52196">
              <w:rPr>
                <w:rFonts w:asciiTheme="minorHAnsi" w:hAnsiTheme="minorHAnsi"/>
              </w:rPr>
              <w:t>0%</w:t>
            </w:r>
          </w:p>
        </w:tc>
        <w:tc>
          <w:tcPr>
            <w:tcW w:w="1235" w:type="dxa"/>
            <w:tcBorders>
              <w:top w:val="single" w:sz="4" w:space="0" w:color="auto"/>
              <w:left w:val="single" w:sz="4" w:space="0" w:color="auto"/>
              <w:bottom w:val="single" w:sz="4" w:space="0" w:color="auto"/>
              <w:right w:val="single" w:sz="4" w:space="0" w:color="auto"/>
            </w:tcBorders>
            <w:vAlign w:val="center"/>
            <w:hideMark/>
          </w:tcPr>
          <w:p w:rsidR="00794012" w:rsidRPr="00E52196" w:rsidRDefault="00794012" w:rsidP="00F85BA9">
            <w:pPr>
              <w:rPr>
                <w:rFonts w:asciiTheme="minorHAnsi" w:hAnsiTheme="minorHAnsi"/>
              </w:rPr>
            </w:pPr>
            <w:r w:rsidRPr="00E52196">
              <w:rPr>
                <w:rFonts w:asciiTheme="minorHAnsi" w:hAnsiTheme="minorHAnsi"/>
              </w:rPr>
              <w:t>0%</w:t>
            </w:r>
          </w:p>
        </w:tc>
        <w:tc>
          <w:tcPr>
            <w:tcW w:w="1167" w:type="dxa"/>
            <w:tcBorders>
              <w:top w:val="single" w:sz="4" w:space="0" w:color="auto"/>
              <w:left w:val="single" w:sz="4" w:space="0" w:color="auto"/>
              <w:bottom w:val="single" w:sz="4" w:space="0" w:color="auto"/>
              <w:right w:val="single" w:sz="4" w:space="0" w:color="auto"/>
            </w:tcBorders>
            <w:vAlign w:val="center"/>
            <w:hideMark/>
          </w:tcPr>
          <w:p w:rsidR="00794012" w:rsidRPr="00E52196" w:rsidRDefault="00794012" w:rsidP="00F85BA9">
            <w:pPr>
              <w:rPr>
                <w:rFonts w:asciiTheme="minorHAnsi" w:hAnsiTheme="minorHAnsi"/>
              </w:rPr>
            </w:pPr>
            <w:r w:rsidRPr="00E52196">
              <w:rPr>
                <w:rFonts w:asciiTheme="minorHAnsi" w:hAnsiTheme="minorHAnsi"/>
              </w:rPr>
              <w:t>98.0%</w:t>
            </w:r>
            <w:r w:rsidRPr="009C362B">
              <w:rPr>
                <w:vertAlign w:val="superscript"/>
              </w:rPr>
              <w:footnoteReference w:id="6"/>
            </w:r>
          </w:p>
        </w:tc>
      </w:tr>
    </w:tbl>
    <w:p w:rsidR="00794012" w:rsidRPr="00E52196" w:rsidRDefault="00794012" w:rsidP="00794012">
      <w:pPr>
        <w:spacing w:after="240"/>
        <w:ind w:left="1440"/>
      </w:pP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Heating Penalty</w:t>
      </w:r>
    </w:p>
    <w:p w:rsidR="00794012" w:rsidRPr="00E52196" w:rsidRDefault="00794012" w:rsidP="00794012">
      <w:pPr>
        <w:spacing w:after="240"/>
        <w:rPr>
          <w:rFonts w:cstheme="minorHAnsi"/>
          <w:noProof/>
        </w:rPr>
      </w:pPr>
      <w:r w:rsidRPr="00E52196">
        <w:rPr>
          <w:rFonts w:cstheme="minorHAnsi"/>
          <w:noProof/>
        </w:rPr>
        <w:t>If electrically heated building:</w:t>
      </w:r>
    </w:p>
    <w:p w:rsidR="00794012" w:rsidRPr="00E52196" w:rsidRDefault="00794012" w:rsidP="00794012">
      <w:pPr>
        <w:spacing w:after="240"/>
        <w:ind w:left="720" w:firstLine="720"/>
        <w:rPr>
          <w:noProof/>
        </w:rPr>
      </w:pPr>
      <w:r w:rsidRPr="00E52196">
        <w:rPr>
          <w:noProof/>
        </w:rPr>
        <w:t>ΔkWh</w:t>
      </w:r>
      <w:r w:rsidRPr="00E52196">
        <w:rPr>
          <w:noProof/>
          <w:vertAlign w:val="subscript"/>
        </w:rPr>
        <w:t>heatpenalty</w:t>
      </w:r>
      <w:r w:rsidRPr="00E52196">
        <w:rPr>
          <w:rFonts w:ascii="Arial" w:eastAsiaTheme="majorEastAsia" w:hAnsi="Arial" w:cstheme="minorHAnsi"/>
          <w:noProof/>
          <w:vertAlign w:val="superscript"/>
        </w:rPr>
        <w:footnoteReference w:id="7"/>
      </w:r>
      <w:r w:rsidRPr="00E52196">
        <w:rPr>
          <w:noProof/>
        </w:rPr>
        <w:t xml:space="preserve">  = (((WattsBase-WattsEE)/1000) * ISR * Hours * -IFkWh</w:t>
      </w:r>
      <w:r w:rsidRPr="00E52196">
        <w:rPr>
          <w:noProof/>
        </w:rPr>
        <w:tab/>
      </w:r>
    </w:p>
    <w:p w:rsidR="00794012" w:rsidRPr="00E52196" w:rsidRDefault="00794012" w:rsidP="00794012">
      <w:pPr>
        <w:spacing w:after="240"/>
        <w:rPr>
          <w:noProof/>
          <w:lang w:val="nl-NL"/>
        </w:rPr>
      </w:pPr>
      <w:r w:rsidRPr="00E52196">
        <w:rPr>
          <w:noProof/>
          <w:lang w:val="nl-NL"/>
        </w:rPr>
        <w:lastRenderedPageBreak/>
        <w:t>Where:</w:t>
      </w:r>
    </w:p>
    <w:p w:rsidR="00794012" w:rsidRPr="00E52196" w:rsidRDefault="00794012" w:rsidP="00794012">
      <w:pPr>
        <w:spacing w:after="240"/>
        <w:ind w:left="1440" w:hanging="720"/>
        <w:rPr>
          <w:noProof/>
          <w:lang w:val="nl-NL"/>
        </w:rPr>
      </w:pPr>
      <w:r w:rsidRPr="00E52196">
        <w:rPr>
          <w:noProof/>
          <w:lang w:val="nl-NL"/>
        </w:rPr>
        <w:t>IFkWh</w:t>
      </w:r>
      <w:r w:rsidRPr="00E52196">
        <w:rPr>
          <w:noProof/>
          <w:lang w:val="nl-NL"/>
        </w:rPr>
        <w:tab/>
        <w:t xml:space="preserve">= Lighting-HVAC Interation Factor for electric heating impacts; this factor represents the increased electric space heating requirements due to the reduction of waste heat rejected by the efficent lighting. </w:t>
      </w:r>
      <w:r w:rsidRPr="00E52196">
        <w:t>Values are</w:t>
      </w:r>
      <w:r w:rsidRPr="00E52196">
        <w:rPr>
          <w:noProof/>
        </w:rPr>
        <w:t xml:space="preserve"> provided in the Reference Table in Section 4.5</w:t>
      </w:r>
      <w:r w:rsidRPr="00E52196">
        <w:t xml:space="preserve">.  If unknown, use the </w:t>
      </w:r>
      <w:proofErr w:type="gramStart"/>
      <w:r w:rsidRPr="00E52196">
        <w:t>Miscellaneous</w:t>
      </w:r>
      <w:proofErr w:type="gramEnd"/>
      <w:r w:rsidRPr="00E52196">
        <w:t xml:space="preserve"> value.</w:t>
      </w:r>
    </w:p>
    <w:p w:rsidR="00794012" w:rsidRPr="00E52196" w:rsidRDefault="00794012" w:rsidP="00794012">
      <w:pPr>
        <w:spacing w:after="240"/>
        <w:ind w:left="1440"/>
      </w:pP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 xml:space="preserve">Summer Coincident Demand Savings </w:t>
      </w:r>
    </w:p>
    <w:p w:rsidR="00794012" w:rsidRPr="00E52196" w:rsidRDefault="00794012" w:rsidP="00794012">
      <w:pPr>
        <w:spacing w:after="240"/>
        <w:ind w:left="1440" w:hanging="720"/>
        <w:rPr>
          <w:noProof/>
        </w:rPr>
      </w:pPr>
      <w:r w:rsidRPr="00E52196">
        <w:rPr>
          <w:noProof/>
        </w:rPr>
        <w:t>ΔkW  =( (Watts</w:t>
      </w:r>
      <w:r w:rsidRPr="00E52196">
        <w:rPr>
          <w:noProof/>
          <w:vertAlign w:val="subscript"/>
        </w:rPr>
        <w:t>base</w:t>
      </w:r>
      <w:r w:rsidRPr="00E52196">
        <w:rPr>
          <w:noProof/>
        </w:rPr>
        <w:t>-Watts</w:t>
      </w:r>
      <w:r w:rsidRPr="00E52196">
        <w:rPr>
          <w:noProof/>
          <w:vertAlign w:val="subscript"/>
        </w:rPr>
        <w:t>EE</w:t>
      </w:r>
      <w:r w:rsidRPr="00E52196">
        <w:rPr>
          <w:noProof/>
        </w:rPr>
        <w:t>)/1000)  * WHF</w:t>
      </w:r>
      <w:r w:rsidRPr="00E52196">
        <w:rPr>
          <w:noProof/>
          <w:vertAlign w:val="subscript"/>
        </w:rPr>
        <w:t>d</w:t>
      </w:r>
      <w:r w:rsidRPr="00E52196">
        <w:rPr>
          <w:noProof/>
        </w:rPr>
        <w:t>*CF*ISR</w:t>
      </w:r>
    </w:p>
    <w:p w:rsidR="00794012" w:rsidRPr="00E52196" w:rsidRDefault="00794012" w:rsidP="00794012">
      <w:pPr>
        <w:spacing w:after="240"/>
        <w:rPr>
          <w:noProof/>
          <w:lang w:val="nl-NL"/>
        </w:rPr>
      </w:pPr>
      <w:r w:rsidRPr="00E52196">
        <w:rPr>
          <w:noProof/>
          <w:lang w:val="nl-NL"/>
        </w:rPr>
        <w:t>Where:</w:t>
      </w:r>
    </w:p>
    <w:p w:rsidR="00794012" w:rsidRPr="00E52196" w:rsidRDefault="00794012" w:rsidP="00794012">
      <w:pPr>
        <w:spacing w:after="240"/>
        <w:ind w:left="2160" w:hanging="1440"/>
      </w:pPr>
      <w:proofErr w:type="spellStart"/>
      <w:r w:rsidRPr="00E52196">
        <w:t>WHF</w:t>
      </w:r>
      <w:r w:rsidRPr="00E52196">
        <w:rPr>
          <w:vertAlign w:val="subscript"/>
        </w:rPr>
        <w:t>d</w:t>
      </w:r>
      <w:proofErr w:type="spellEnd"/>
      <w:r w:rsidRPr="00E52196">
        <w:t xml:space="preserve"> </w:t>
      </w:r>
      <w:r w:rsidRPr="00E52196">
        <w:tab/>
        <w:t xml:space="preserve">= Waste Heat Factor for Demand to account for cooling savings from efficient lighting in cooled buildings is selected from the Reference Table in Section 4.5 for each building type.   If the building is not cooled </w:t>
      </w:r>
      <w:proofErr w:type="spellStart"/>
      <w:r w:rsidRPr="00E52196">
        <w:t>WHFd</w:t>
      </w:r>
      <w:proofErr w:type="spellEnd"/>
      <w:r w:rsidRPr="00E52196">
        <w:t xml:space="preserve"> is 1. </w:t>
      </w:r>
    </w:p>
    <w:p w:rsidR="00794012" w:rsidRPr="00E52196" w:rsidRDefault="00794012" w:rsidP="00794012">
      <w:pPr>
        <w:spacing w:after="240"/>
        <w:ind w:left="2160" w:hanging="1440"/>
        <w:rPr>
          <w:noProof/>
        </w:rPr>
      </w:pPr>
      <w:r w:rsidRPr="00E52196">
        <w:t>CF</w:t>
      </w:r>
      <w:r w:rsidRPr="00E52196">
        <w:tab/>
        <w:t xml:space="preserve">= Summer Peak Coincidence Factor for measure is selected from the Reference Table in Section 4.5 for each building type. If the building type is unknown, use the </w:t>
      </w:r>
      <w:proofErr w:type="gramStart"/>
      <w:r w:rsidRPr="00E52196">
        <w:t>Miscellaneous</w:t>
      </w:r>
      <w:proofErr w:type="gramEnd"/>
      <w:r w:rsidRPr="00E52196">
        <w:t xml:space="preserve"> value of 0.6</w:t>
      </w:r>
      <w:r w:rsidRPr="0099307F">
        <w:t>6</w:t>
      </w:r>
      <w:r w:rsidRPr="009C362B">
        <w:t>.</w:t>
      </w:r>
      <w:r w:rsidRPr="009C362B">
        <w:rPr>
          <w:noProof/>
        </w:rPr>
        <w:t xml:space="preserve"> </w:t>
      </w:r>
    </w:p>
    <w:p w:rsidR="00794012" w:rsidRPr="00E52196" w:rsidRDefault="00794012" w:rsidP="00794012">
      <w:pPr>
        <w:spacing w:after="240"/>
        <w:ind w:left="1440"/>
        <w:rPr>
          <w:rFonts w:cstheme="minorHAnsi"/>
        </w:rPr>
      </w:pPr>
      <w:r w:rsidRPr="00E52196">
        <w:rPr>
          <w:rFonts w:cstheme="minorHAnsi"/>
        </w:rPr>
        <w:t>Other factors as defined above</w:t>
      </w: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Natural Gas Savings</w:t>
      </w:r>
    </w:p>
    <w:p w:rsidR="00794012" w:rsidRPr="00E52196" w:rsidRDefault="00794012" w:rsidP="00794012">
      <w:pPr>
        <w:keepNext/>
        <w:spacing w:after="240"/>
        <w:ind w:firstLine="720"/>
        <w:rPr>
          <w:rFonts w:cstheme="minorHAnsi"/>
          <w:noProof/>
        </w:rPr>
      </w:pPr>
      <w:r w:rsidRPr="00E52196">
        <w:rPr>
          <w:rFonts w:cstheme="minorHAnsi"/>
          <w:noProof/>
        </w:rPr>
        <w:t>ΔTherms</w:t>
      </w:r>
      <w:r w:rsidRPr="00E52196">
        <w:rPr>
          <w:rFonts w:ascii="Arial" w:hAnsi="Arial" w:cstheme="minorHAnsi"/>
          <w:noProof/>
          <w:vertAlign w:val="superscript"/>
        </w:rPr>
        <w:footnoteReference w:id="8"/>
      </w:r>
      <w:r w:rsidRPr="00E52196">
        <w:rPr>
          <w:rFonts w:cstheme="minorHAnsi"/>
          <w:noProof/>
        </w:rPr>
        <w:t xml:space="preserve">  =  (((WattsBase-WattsEE)/1000) * ISR * Hours *- IFTherms</w:t>
      </w:r>
      <w:r w:rsidRPr="00E52196">
        <w:rPr>
          <w:rFonts w:cstheme="minorHAnsi"/>
          <w:noProof/>
        </w:rPr>
        <w:tab/>
      </w:r>
    </w:p>
    <w:p w:rsidR="00794012" w:rsidRPr="00E52196" w:rsidRDefault="00794012" w:rsidP="00794012">
      <w:pPr>
        <w:spacing w:after="240"/>
      </w:pPr>
      <w:r w:rsidRPr="00E52196">
        <w:t>Where:</w:t>
      </w:r>
    </w:p>
    <w:p w:rsidR="00794012" w:rsidRPr="00E52196" w:rsidRDefault="00794012" w:rsidP="00794012">
      <w:pPr>
        <w:spacing w:after="240"/>
        <w:ind w:left="2160" w:hanging="1440"/>
      </w:pPr>
      <w:proofErr w:type="spellStart"/>
      <w:r w:rsidRPr="00E52196">
        <w:t>IFTherms</w:t>
      </w:r>
      <w:proofErr w:type="spellEnd"/>
      <w:r w:rsidRPr="00E52196">
        <w:t xml:space="preserve"> </w:t>
      </w:r>
      <w:r>
        <w:tab/>
      </w:r>
      <w:r w:rsidRPr="00E52196">
        <w:t>= Lighting-HVAC Integration Factor for gas heating impacts; this factor represents the increased gas space heating requirements due to the reduction of waste heat rejected by the efficient lighting.  Please select from the Reference Table in Section 4.5 for each building type.</w:t>
      </w:r>
    </w:p>
    <w:p w:rsidR="00794012" w:rsidRPr="00E52196" w:rsidRDefault="00794012" w:rsidP="00794012">
      <w:pPr>
        <w:spacing w:after="240"/>
        <w:rPr>
          <w:b/>
          <w:bCs/>
          <w:smallCaps/>
          <w:spacing w:val="5"/>
        </w:rPr>
      </w:pPr>
      <w:r w:rsidRPr="00E52196">
        <w:rPr>
          <w:b/>
          <w:bCs/>
          <w:smallCaps/>
          <w:spacing w:val="5"/>
        </w:rPr>
        <w:t xml:space="preserve">Water Impact Descriptions and Calculation  </w:t>
      </w:r>
    </w:p>
    <w:p w:rsidR="00794012" w:rsidRPr="00E52196" w:rsidRDefault="00794012" w:rsidP="00794012">
      <w:pPr>
        <w:spacing w:after="240"/>
      </w:pPr>
      <w:r w:rsidRPr="00E52196">
        <w:t>N/A</w:t>
      </w: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 xml:space="preserve">Deemed O&amp;M Cost Adjustment Calculation </w:t>
      </w:r>
    </w:p>
    <w:p w:rsidR="00794012" w:rsidRPr="00E52196" w:rsidRDefault="00794012" w:rsidP="00794012">
      <w:pPr>
        <w:spacing w:after="240"/>
      </w:pPr>
      <w:r w:rsidRPr="00E52196">
        <w:t>See Reference tables for Operating and Maintenance Values</w:t>
      </w:r>
    </w:p>
    <w:tbl>
      <w:tblPr>
        <w:tblStyle w:val="TableGrid5"/>
        <w:tblW w:w="0" w:type="auto"/>
        <w:tblInd w:w="2358" w:type="dxa"/>
        <w:tblLook w:val="04A0" w:firstRow="1" w:lastRow="0" w:firstColumn="1" w:lastColumn="0" w:noHBand="0" w:noVBand="1"/>
      </w:tblPr>
      <w:tblGrid>
        <w:gridCol w:w="2790"/>
        <w:gridCol w:w="3150"/>
      </w:tblGrid>
      <w:tr w:rsidR="00794012" w:rsidRPr="00E52196" w:rsidTr="00F85BA9">
        <w:trPr>
          <w:tblHead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Program</w:t>
            </w:r>
          </w:p>
        </w:tc>
        <w:tc>
          <w:tcPr>
            <w:tcW w:w="31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94012" w:rsidRPr="00E52196" w:rsidRDefault="00794012" w:rsidP="00F85BA9">
            <w:pPr>
              <w:jc w:val="center"/>
              <w:rPr>
                <w:rFonts w:asciiTheme="minorHAnsi" w:hAnsiTheme="minorHAnsi"/>
                <w:b/>
                <w:color w:val="FFFFFF" w:themeColor="background1"/>
              </w:rPr>
            </w:pPr>
            <w:r w:rsidRPr="00E52196">
              <w:rPr>
                <w:rFonts w:asciiTheme="minorHAnsi" w:hAnsiTheme="minorHAnsi"/>
                <w:b/>
                <w:color w:val="FFFFFF" w:themeColor="background1"/>
              </w:rPr>
              <w:t>Reference Table</w:t>
            </w:r>
          </w:p>
        </w:tc>
      </w:tr>
      <w:tr w:rsidR="00794012" w:rsidRPr="00E52196" w:rsidTr="00F85BA9">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 xml:space="preserve">Time of Sale </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B-1:  HPT8 Component Costs and Lifetime</w:t>
            </w:r>
          </w:p>
        </w:tc>
      </w:tr>
      <w:tr w:rsidR="00794012" w:rsidRPr="00E52196" w:rsidTr="00F85BA9">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B-2:  HPT8 Component Costs and Lifetime</w:t>
            </w:r>
          </w:p>
        </w:tc>
      </w:tr>
      <w:tr w:rsidR="00794012" w:rsidRPr="00E52196" w:rsidTr="00F85BA9">
        <w:tc>
          <w:tcPr>
            <w:tcW w:w="279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lastRenderedPageBreak/>
              <w:t>Reduced Wattage T8, time of sale or retrofit</w:t>
            </w:r>
          </w:p>
        </w:tc>
        <w:tc>
          <w:tcPr>
            <w:tcW w:w="3150" w:type="dxa"/>
            <w:tcBorders>
              <w:top w:val="single" w:sz="4" w:space="0" w:color="auto"/>
              <w:left w:val="single" w:sz="4" w:space="0" w:color="auto"/>
              <w:bottom w:val="single" w:sz="4" w:space="0" w:color="auto"/>
              <w:right w:val="single" w:sz="4" w:space="0" w:color="auto"/>
            </w:tcBorders>
            <w:hideMark/>
          </w:tcPr>
          <w:p w:rsidR="00794012" w:rsidRPr="00E52196" w:rsidRDefault="00794012" w:rsidP="00F85BA9">
            <w:pPr>
              <w:rPr>
                <w:rFonts w:asciiTheme="minorHAnsi" w:hAnsiTheme="minorHAnsi"/>
              </w:rPr>
            </w:pPr>
            <w:r w:rsidRPr="00E52196">
              <w:rPr>
                <w:rFonts w:asciiTheme="minorHAnsi" w:hAnsiTheme="minorHAnsi"/>
              </w:rPr>
              <w:t>B-3:  HPT8 Component Costs and Lifetime</w:t>
            </w:r>
          </w:p>
        </w:tc>
      </w:tr>
    </w:tbl>
    <w:p w:rsidR="00794012" w:rsidRPr="00E52196" w:rsidRDefault="00794012" w:rsidP="00794012">
      <w:pPr>
        <w:spacing w:after="240"/>
      </w:pPr>
    </w:p>
    <w:p w:rsidR="00794012" w:rsidRPr="00E52196" w:rsidRDefault="00794012" w:rsidP="00794012">
      <w:pPr>
        <w:keepNext/>
        <w:keepLines/>
        <w:spacing w:before="200"/>
        <w:outlineLvl w:val="5"/>
        <w:rPr>
          <w:rFonts w:eastAsiaTheme="majorEastAsia" w:cstheme="majorBidi"/>
          <w:b/>
          <w:iCs/>
          <w:smallCaps/>
          <w:sz w:val="22"/>
        </w:rPr>
      </w:pPr>
      <w:r w:rsidRPr="00E52196">
        <w:rPr>
          <w:rFonts w:eastAsiaTheme="majorEastAsia" w:cstheme="majorBidi"/>
          <w:b/>
          <w:iCs/>
          <w:smallCaps/>
          <w:sz w:val="22"/>
        </w:rPr>
        <w:t>Reference Tables</w:t>
      </w:r>
    </w:p>
    <w:p w:rsidR="00794012" w:rsidRPr="00E52196" w:rsidRDefault="00794012" w:rsidP="00794012">
      <w:pPr>
        <w:spacing w:after="240"/>
      </w:pPr>
      <w:r w:rsidRPr="00E52196">
        <w:t>See following page</w:t>
      </w:r>
      <w:r w:rsidRPr="00E52196">
        <w:br w:type="page"/>
      </w:r>
    </w:p>
    <w:p w:rsidR="00794012" w:rsidRPr="00E52196" w:rsidRDefault="00794012" w:rsidP="00794012">
      <w:pPr>
        <w:widowControl/>
        <w:jc w:val="left"/>
        <w:sectPr w:rsidR="00794012" w:rsidRPr="00E52196" w:rsidSect="00B64B6A">
          <w:headerReference w:type="default" r:id="rId11"/>
          <w:pgSz w:w="12240" w:h="15840"/>
          <w:pgMar w:top="1440" w:right="1440" w:bottom="1440" w:left="1440" w:header="720" w:footer="720" w:gutter="0"/>
          <w:cols w:space="720"/>
        </w:sectPr>
      </w:pPr>
    </w:p>
    <w:p w:rsidR="00794012" w:rsidRPr="00E52196" w:rsidRDefault="00794012" w:rsidP="00794012">
      <w:pPr>
        <w:jc w:val="left"/>
      </w:pPr>
    </w:p>
    <w:p w:rsidR="00794012" w:rsidRPr="00E52196" w:rsidRDefault="00794012" w:rsidP="00794012">
      <w:pPr>
        <w:spacing w:after="240"/>
        <w:rPr>
          <w:noProof/>
        </w:rPr>
      </w:pPr>
      <w:r w:rsidRPr="00E52196">
        <w:rPr>
          <w:noProof/>
        </w:rPr>
        <w:t>A-1:  Time of Sale:  HPT8 New and Baseline Assumptions</w:t>
      </w:r>
      <w:r w:rsidRPr="00E52196">
        <w:rPr>
          <w:rFonts w:ascii="Arial" w:hAnsi="Arial"/>
          <w:noProof/>
          <w:vertAlign w:val="superscript"/>
        </w:rPr>
        <w:footnoteReference w:id="9"/>
      </w:r>
      <w:r w:rsidRPr="00E52196">
        <w:rPr>
          <w:noProof/>
        </w:rPr>
        <w:t xml:space="preserve">  </w:t>
      </w:r>
    </w:p>
    <w:tbl>
      <w:tblPr>
        <w:tblW w:w="13480" w:type="dxa"/>
        <w:tblInd w:w="93" w:type="dxa"/>
        <w:tblLook w:val="04A0" w:firstRow="1" w:lastRow="0" w:firstColumn="1" w:lastColumn="0" w:noHBand="0" w:noVBand="1"/>
      </w:tblPr>
      <w:tblGrid>
        <w:gridCol w:w="3795"/>
        <w:gridCol w:w="1440"/>
        <w:gridCol w:w="3960"/>
        <w:gridCol w:w="1440"/>
        <w:gridCol w:w="1485"/>
        <w:gridCol w:w="1360"/>
      </w:tblGrid>
      <w:tr w:rsidR="00794012" w:rsidRPr="00E52196" w:rsidTr="00F85BA9">
        <w:trPr>
          <w:trHeight w:val="322"/>
          <w:tblHeader/>
        </w:trPr>
        <w:tc>
          <w:tcPr>
            <w:tcW w:w="3795" w:type="dxa"/>
            <w:tcBorders>
              <w:top w:val="single" w:sz="8" w:space="0" w:color="auto"/>
              <w:left w:val="single" w:sz="8" w:space="0" w:color="auto"/>
              <w:bottom w:val="single" w:sz="4" w:space="0" w:color="auto"/>
              <w:right w:val="single" w:sz="4" w:space="0" w:color="auto"/>
            </w:tcBorders>
            <w:shd w:val="clear" w:color="auto" w:fill="7F7F7F" w:themeFill="text1" w:themeFillTint="80"/>
            <w:vAlign w:val="bottom"/>
            <w:hideMark/>
          </w:tcPr>
          <w:p w:rsidR="00794012" w:rsidRPr="00E52196" w:rsidRDefault="00794012" w:rsidP="00F85BA9">
            <w:pPr>
              <w:jc w:val="center"/>
              <w:rPr>
                <w:rFonts w:ascii="Calibri" w:hAnsi="Calibri"/>
                <w:b/>
                <w:noProof/>
                <w:color w:val="FFFFFF" w:themeColor="background1"/>
                <w:szCs w:val="24"/>
              </w:rPr>
            </w:pPr>
            <w:r w:rsidRPr="00E52196">
              <w:rPr>
                <w:rFonts w:ascii="Calibri" w:hAnsi="Calibri"/>
                <w:b/>
                <w:noProof/>
                <w:color w:val="FFFFFF" w:themeColor="background1"/>
                <w:szCs w:val="24"/>
              </w:rPr>
              <w:t>EE Measure Description</w:t>
            </w:r>
          </w:p>
        </w:tc>
        <w:tc>
          <w:tcPr>
            <w:tcW w:w="1440" w:type="dxa"/>
            <w:tcBorders>
              <w:top w:val="single" w:sz="8" w:space="0" w:color="auto"/>
              <w:left w:val="nil"/>
              <w:bottom w:val="single" w:sz="4" w:space="0" w:color="auto"/>
              <w:right w:val="single" w:sz="4" w:space="0" w:color="auto"/>
            </w:tcBorders>
            <w:shd w:val="clear" w:color="auto" w:fill="7F7F7F" w:themeFill="text1" w:themeFillTint="80"/>
            <w:vAlign w:val="bottom"/>
            <w:hideMark/>
          </w:tcPr>
          <w:p w:rsidR="00794012" w:rsidRPr="00E52196" w:rsidRDefault="00794012" w:rsidP="00F85BA9">
            <w:pPr>
              <w:jc w:val="center"/>
              <w:rPr>
                <w:rFonts w:ascii="Calibri" w:hAnsi="Calibri"/>
                <w:b/>
                <w:noProof/>
                <w:color w:val="FFFFFF" w:themeColor="background1"/>
                <w:szCs w:val="24"/>
              </w:rPr>
            </w:pPr>
            <w:r w:rsidRPr="00E52196">
              <w:rPr>
                <w:rFonts w:ascii="Calibri" w:hAnsi="Calibri"/>
                <w:b/>
                <w:noProof/>
                <w:color w:val="FFFFFF" w:themeColor="background1"/>
                <w:szCs w:val="24"/>
              </w:rPr>
              <w:t>Watts</w:t>
            </w:r>
            <w:r w:rsidRPr="00E52196">
              <w:rPr>
                <w:rFonts w:ascii="Calibri" w:hAnsi="Calibri"/>
                <w:b/>
                <w:noProof/>
                <w:color w:val="FFFFFF" w:themeColor="background1"/>
                <w:szCs w:val="24"/>
                <w:vertAlign w:val="subscript"/>
              </w:rPr>
              <w:t>EE</w:t>
            </w:r>
          </w:p>
        </w:tc>
        <w:tc>
          <w:tcPr>
            <w:tcW w:w="3960" w:type="dxa"/>
            <w:tcBorders>
              <w:top w:val="single" w:sz="8" w:space="0" w:color="auto"/>
              <w:left w:val="nil"/>
              <w:bottom w:val="single" w:sz="4" w:space="0" w:color="auto"/>
              <w:right w:val="single" w:sz="4" w:space="0" w:color="auto"/>
            </w:tcBorders>
            <w:shd w:val="clear" w:color="auto" w:fill="7F7F7F" w:themeFill="text1" w:themeFillTint="80"/>
            <w:vAlign w:val="bottom"/>
            <w:hideMark/>
          </w:tcPr>
          <w:p w:rsidR="00794012" w:rsidRPr="00E52196" w:rsidRDefault="00794012" w:rsidP="00F85BA9">
            <w:pPr>
              <w:jc w:val="center"/>
              <w:rPr>
                <w:rFonts w:ascii="Calibri" w:hAnsi="Calibri"/>
                <w:b/>
                <w:noProof/>
                <w:color w:val="FFFFFF" w:themeColor="background1"/>
                <w:szCs w:val="24"/>
              </w:rPr>
            </w:pPr>
            <w:r w:rsidRPr="00E52196">
              <w:rPr>
                <w:rFonts w:ascii="Calibri" w:hAnsi="Calibri"/>
                <w:b/>
                <w:noProof/>
                <w:color w:val="FFFFFF" w:themeColor="background1"/>
                <w:szCs w:val="24"/>
              </w:rPr>
              <w:t>Baseline Description</w:t>
            </w:r>
          </w:p>
        </w:tc>
        <w:tc>
          <w:tcPr>
            <w:tcW w:w="1440" w:type="dxa"/>
            <w:tcBorders>
              <w:top w:val="single" w:sz="8" w:space="0" w:color="auto"/>
              <w:left w:val="nil"/>
              <w:bottom w:val="single" w:sz="4" w:space="0" w:color="auto"/>
              <w:right w:val="single" w:sz="4" w:space="0" w:color="auto"/>
            </w:tcBorders>
            <w:shd w:val="clear" w:color="auto" w:fill="7F7F7F" w:themeFill="text1" w:themeFillTint="80"/>
            <w:vAlign w:val="bottom"/>
            <w:hideMark/>
          </w:tcPr>
          <w:p w:rsidR="00794012" w:rsidRPr="00E52196" w:rsidRDefault="00794012" w:rsidP="00F85BA9">
            <w:pPr>
              <w:jc w:val="center"/>
              <w:rPr>
                <w:rFonts w:ascii="Calibri" w:hAnsi="Calibri"/>
                <w:b/>
                <w:noProof/>
                <w:color w:val="FFFFFF" w:themeColor="background1"/>
                <w:szCs w:val="24"/>
              </w:rPr>
            </w:pPr>
            <w:r w:rsidRPr="00E52196">
              <w:rPr>
                <w:rFonts w:ascii="Calibri" w:hAnsi="Calibri"/>
                <w:b/>
                <w:noProof/>
                <w:color w:val="FFFFFF" w:themeColor="background1"/>
                <w:szCs w:val="24"/>
              </w:rPr>
              <w:t>Watts</w:t>
            </w:r>
            <w:r w:rsidRPr="00E52196">
              <w:rPr>
                <w:rFonts w:ascii="Calibri" w:hAnsi="Calibri"/>
                <w:b/>
                <w:noProof/>
                <w:color w:val="FFFFFF" w:themeColor="background1"/>
                <w:szCs w:val="24"/>
                <w:vertAlign w:val="subscript"/>
              </w:rPr>
              <w:t>BASE</w:t>
            </w:r>
          </w:p>
        </w:tc>
        <w:tc>
          <w:tcPr>
            <w:tcW w:w="1485" w:type="dxa"/>
            <w:tcBorders>
              <w:top w:val="single" w:sz="8" w:space="0" w:color="auto"/>
              <w:left w:val="nil"/>
              <w:bottom w:val="single" w:sz="4" w:space="0" w:color="auto"/>
              <w:right w:val="single" w:sz="4" w:space="0" w:color="auto"/>
            </w:tcBorders>
            <w:shd w:val="clear" w:color="auto" w:fill="7F7F7F" w:themeFill="text1" w:themeFillTint="80"/>
            <w:vAlign w:val="bottom"/>
            <w:hideMark/>
          </w:tcPr>
          <w:p w:rsidR="00794012" w:rsidRPr="00E52196" w:rsidRDefault="00794012" w:rsidP="00F85BA9">
            <w:pPr>
              <w:jc w:val="center"/>
              <w:rPr>
                <w:rFonts w:ascii="Calibri" w:hAnsi="Calibri"/>
                <w:b/>
                <w:noProof/>
                <w:color w:val="FFFFFF" w:themeColor="background1"/>
                <w:szCs w:val="24"/>
              </w:rPr>
            </w:pPr>
            <w:r w:rsidRPr="00E52196">
              <w:rPr>
                <w:rFonts w:ascii="Calibri" w:hAnsi="Calibri"/>
                <w:b/>
                <w:noProof/>
                <w:color w:val="FFFFFF" w:themeColor="background1"/>
                <w:szCs w:val="24"/>
              </w:rPr>
              <w:t>Measure Cost</w:t>
            </w:r>
          </w:p>
        </w:tc>
        <w:tc>
          <w:tcPr>
            <w:tcW w:w="1360" w:type="dxa"/>
            <w:tcBorders>
              <w:top w:val="single" w:sz="8" w:space="0" w:color="auto"/>
              <w:left w:val="nil"/>
              <w:bottom w:val="single" w:sz="4" w:space="0" w:color="auto"/>
              <w:right w:val="single" w:sz="8" w:space="0" w:color="auto"/>
            </w:tcBorders>
            <w:shd w:val="clear" w:color="auto" w:fill="7F7F7F" w:themeFill="text1" w:themeFillTint="80"/>
            <w:vAlign w:val="bottom"/>
            <w:hideMark/>
          </w:tcPr>
          <w:p w:rsidR="00794012" w:rsidRPr="00E52196" w:rsidRDefault="00794012" w:rsidP="00F85BA9">
            <w:pPr>
              <w:jc w:val="center"/>
              <w:rPr>
                <w:rFonts w:ascii="Calibri" w:hAnsi="Calibri"/>
                <w:b/>
                <w:noProof/>
                <w:color w:val="FFFFFF" w:themeColor="background1"/>
                <w:szCs w:val="24"/>
              </w:rPr>
            </w:pPr>
            <w:r w:rsidRPr="00E52196">
              <w:rPr>
                <w:rFonts w:ascii="Calibri" w:hAnsi="Calibri"/>
                <w:b/>
                <w:noProof/>
                <w:color w:val="FFFFFF" w:themeColor="background1"/>
                <w:szCs w:val="24"/>
              </w:rPr>
              <w:t>Watts</w:t>
            </w:r>
            <w:r w:rsidRPr="00E52196">
              <w:rPr>
                <w:rFonts w:ascii="Calibri" w:hAnsi="Calibri"/>
                <w:b/>
                <w:noProof/>
                <w:color w:val="FFFFFF" w:themeColor="background1"/>
                <w:szCs w:val="24"/>
                <w:vertAlign w:val="subscript"/>
              </w:rPr>
              <w:t>SAVE</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pPr>
            <w:r w:rsidRPr="00E52196">
              <w:t>4-Lamp HPT8 w/ High-BF Ballast High-Bay</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146</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200 Watt Pulse Start Metal-Halide</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232</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$75</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86</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6-Lamp HPT8 w/ High-BF Ballast High-Bay</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221</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320 Watt Pulse Start Metal-Halide</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350</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$75</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129</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8-Lamp HPT8 w/ High-BF Ballast High-Bay</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280</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Proportionally Adjusted according to 6-Lamp HPT8 Equivalent to 320 PSMH</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455</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$75</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175</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 </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 </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 </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 </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 </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 </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1-Lamp HPT8-high performance 32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25</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1-Lamp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32</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$15</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7</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1-Lamp HPT8-high performance 28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22</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1-Lamp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32</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$15</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10</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1-Lamp HPT8-high performance 25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19</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1-Lamp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32</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$15</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13</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2-Lamp HPT8 -high performance 32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49</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2-Lamp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59</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$18</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10</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2-Lamp HPT8-high performance 28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43</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2-Lamp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59</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$18</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16</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2-Lamp HPT8-high performance 25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35</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2-Lamp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59</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$18</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24</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3-Lamp HPT8-high performance 32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72</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3-Lamp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88</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$20</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16</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3-Lamp HPT8-high performance 28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65</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3-Lamp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88</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$20</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23</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3-Lamp HPT8-high performance 25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58</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3-Lamp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88</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$20</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30</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4-Lamp HPT8 -high performance 32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94</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4-Lamp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114</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$23</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20</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lastRenderedPageBreak/>
              <w:t>4-Lamp HPT8-high performance 28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86</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4-Lamp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114</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$23</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28</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4-Lamp HPT8-high performance 25 w lamp</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77</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4-Lamp Standard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114</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$23</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37</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 </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 </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 </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 </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 </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 </w:t>
            </w:r>
          </w:p>
        </w:tc>
      </w:tr>
      <w:tr w:rsidR="00794012" w:rsidRPr="00E52196" w:rsidTr="00F85BA9">
        <w:trPr>
          <w:trHeight w:val="216"/>
        </w:trPr>
        <w:tc>
          <w:tcPr>
            <w:tcW w:w="3795" w:type="dxa"/>
            <w:tcBorders>
              <w:top w:val="nil"/>
              <w:left w:val="single" w:sz="8" w:space="0" w:color="auto"/>
              <w:bottom w:val="single" w:sz="4" w:space="0" w:color="auto"/>
              <w:right w:val="single" w:sz="4" w:space="0" w:color="auto"/>
            </w:tcBorders>
            <w:vAlign w:val="bottom"/>
            <w:hideMark/>
          </w:tcPr>
          <w:p w:rsidR="00794012" w:rsidRPr="00E52196" w:rsidRDefault="00794012" w:rsidP="00F85BA9">
            <w:pPr>
              <w:spacing w:after="240"/>
              <w:rPr>
                <w:szCs w:val="16"/>
              </w:rPr>
            </w:pPr>
            <w:r w:rsidRPr="00E52196">
              <w:t xml:space="preserve">2-lamp High-Performance HPT8 </w:t>
            </w:r>
            <w:proofErr w:type="spellStart"/>
            <w:r w:rsidRPr="00E52196">
              <w:t>Troffer</w:t>
            </w:r>
            <w:proofErr w:type="spellEnd"/>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49</w:t>
            </w:r>
          </w:p>
        </w:tc>
        <w:tc>
          <w:tcPr>
            <w:tcW w:w="3960" w:type="dxa"/>
            <w:tcBorders>
              <w:top w:val="nil"/>
              <w:left w:val="nil"/>
              <w:bottom w:val="single" w:sz="4" w:space="0" w:color="auto"/>
              <w:right w:val="single" w:sz="4" w:space="0" w:color="auto"/>
            </w:tcBorders>
            <w:vAlign w:val="bottom"/>
            <w:hideMark/>
          </w:tcPr>
          <w:p w:rsidR="00794012" w:rsidRPr="00E52196" w:rsidRDefault="00794012" w:rsidP="00F85BA9">
            <w:pPr>
              <w:spacing w:after="240"/>
              <w:rPr>
                <w:szCs w:val="16"/>
              </w:rPr>
            </w:pPr>
            <w:r w:rsidRPr="00E52196">
              <w:t>3-Lamp F32T8 w/ Elec. Ballast</w:t>
            </w:r>
          </w:p>
        </w:tc>
        <w:tc>
          <w:tcPr>
            <w:tcW w:w="1440"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88</w:t>
            </w:r>
          </w:p>
        </w:tc>
        <w:tc>
          <w:tcPr>
            <w:tcW w:w="1485" w:type="dxa"/>
            <w:tcBorders>
              <w:top w:val="nil"/>
              <w:left w:val="nil"/>
              <w:bottom w:val="single" w:sz="4" w:space="0" w:color="auto"/>
              <w:right w:val="single" w:sz="4" w:space="0" w:color="auto"/>
            </w:tcBorders>
            <w:noWrap/>
            <w:vAlign w:val="bottom"/>
            <w:hideMark/>
          </w:tcPr>
          <w:p w:rsidR="00794012" w:rsidRPr="00E52196" w:rsidRDefault="00794012" w:rsidP="00F85BA9">
            <w:pPr>
              <w:spacing w:after="240"/>
              <w:rPr>
                <w:szCs w:val="16"/>
              </w:rPr>
            </w:pPr>
            <w:r w:rsidRPr="00E52196">
              <w:t>$100</w:t>
            </w:r>
          </w:p>
        </w:tc>
        <w:tc>
          <w:tcPr>
            <w:tcW w:w="1360" w:type="dxa"/>
            <w:tcBorders>
              <w:top w:val="nil"/>
              <w:left w:val="nil"/>
              <w:bottom w:val="single" w:sz="4" w:space="0" w:color="auto"/>
              <w:right w:val="single" w:sz="8" w:space="0" w:color="auto"/>
            </w:tcBorders>
            <w:noWrap/>
            <w:vAlign w:val="bottom"/>
            <w:hideMark/>
          </w:tcPr>
          <w:p w:rsidR="00794012" w:rsidRPr="00E52196" w:rsidRDefault="00794012" w:rsidP="00F85BA9">
            <w:pPr>
              <w:spacing w:after="240"/>
              <w:rPr>
                <w:szCs w:val="16"/>
              </w:rPr>
            </w:pPr>
            <w:r w:rsidRPr="00E52196">
              <w:t>39</w:t>
            </w:r>
          </w:p>
        </w:tc>
      </w:tr>
      <w:tr w:rsidR="00794012" w:rsidRPr="00E52196" w:rsidTr="00F85BA9">
        <w:trPr>
          <w:trHeight w:val="216"/>
        </w:trPr>
        <w:tc>
          <w:tcPr>
            <w:tcW w:w="3795" w:type="dxa"/>
            <w:noWrap/>
            <w:vAlign w:val="bottom"/>
            <w:hideMark/>
          </w:tcPr>
          <w:p w:rsidR="00794012" w:rsidRPr="00E52196" w:rsidRDefault="00794012" w:rsidP="00F85BA9">
            <w:pPr>
              <w:widowControl/>
              <w:spacing w:line="276" w:lineRule="auto"/>
              <w:jc w:val="left"/>
              <w:rPr>
                <w:rFonts w:eastAsiaTheme="minorHAnsi"/>
                <w:sz w:val="22"/>
              </w:rPr>
            </w:pPr>
          </w:p>
        </w:tc>
        <w:tc>
          <w:tcPr>
            <w:tcW w:w="1440" w:type="dxa"/>
            <w:noWrap/>
            <w:vAlign w:val="bottom"/>
            <w:hideMark/>
          </w:tcPr>
          <w:p w:rsidR="00794012" w:rsidRPr="00E52196" w:rsidRDefault="00794012" w:rsidP="00F85BA9">
            <w:pPr>
              <w:widowControl/>
              <w:spacing w:line="276" w:lineRule="auto"/>
              <w:jc w:val="left"/>
              <w:rPr>
                <w:rFonts w:eastAsiaTheme="minorHAnsi"/>
                <w:sz w:val="22"/>
              </w:rPr>
            </w:pPr>
          </w:p>
        </w:tc>
        <w:tc>
          <w:tcPr>
            <w:tcW w:w="3960" w:type="dxa"/>
            <w:noWrap/>
            <w:vAlign w:val="bottom"/>
            <w:hideMark/>
          </w:tcPr>
          <w:p w:rsidR="00794012" w:rsidRPr="00E52196" w:rsidRDefault="00794012" w:rsidP="00F85BA9">
            <w:pPr>
              <w:widowControl/>
              <w:spacing w:line="276" w:lineRule="auto"/>
              <w:jc w:val="left"/>
              <w:rPr>
                <w:rFonts w:eastAsiaTheme="minorHAnsi"/>
                <w:sz w:val="22"/>
              </w:rPr>
            </w:pPr>
          </w:p>
        </w:tc>
        <w:tc>
          <w:tcPr>
            <w:tcW w:w="1440" w:type="dxa"/>
            <w:noWrap/>
            <w:vAlign w:val="bottom"/>
            <w:hideMark/>
          </w:tcPr>
          <w:p w:rsidR="00794012" w:rsidRPr="00E52196" w:rsidRDefault="00794012" w:rsidP="00F85BA9">
            <w:pPr>
              <w:widowControl/>
              <w:spacing w:line="276" w:lineRule="auto"/>
              <w:jc w:val="left"/>
              <w:rPr>
                <w:rFonts w:eastAsiaTheme="minorHAnsi"/>
                <w:sz w:val="22"/>
              </w:rPr>
            </w:pPr>
          </w:p>
        </w:tc>
        <w:tc>
          <w:tcPr>
            <w:tcW w:w="1485" w:type="dxa"/>
            <w:noWrap/>
            <w:vAlign w:val="bottom"/>
            <w:hideMark/>
          </w:tcPr>
          <w:p w:rsidR="00794012" w:rsidRPr="00E52196" w:rsidRDefault="00794012" w:rsidP="00F85BA9">
            <w:pPr>
              <w:widowControl/>
              <w:spacing w:line="276" w:lineRule="auto"/>
              <w:jc w:val="left"/>
              <w:rPr>
                <w:rFonts w:eastAsiaTheme="minorHAnsi"/>
                <w:sz w:val="22"/>
              </w:rPr>
            </w:pPr>
          </w:p>
        </w:tc>
        <w:tc>
          <w:tcPr>
            <w:tcW w:w="1360" w:type="dxa"/>
            <w:noWrap/>
            <w:vAlign w:val="bottom"/>
            <w:hideMark/>
          </w:tcPr>
          <w:p w:rsidR="00794012" w:rsidRPr="00E52196" w:rsidRDefault="00794012" w:rsidP="00F85BA9">
            <w:pPr>
              <w:widowControl/>
              <w:spacing w:line="276" w:lineRule="auto"/>
              <w:jc w:val="left"/>
              <w:rPr>
                <w:rFonts w:eastAsiaTheme="minorHAnsi"/>
                <w:sz w:val="22"/>
              </w:rPr>
            </w:pPr>
          </w:p>
        </w:tc>
      </w:tr>
      <w:tr w:rsidR="00794012" w:rsidRPr="00E52196" w:rsidTr="00F85BA9">
        <w:trPr>
          <w:trHeight w:val="216"/>
        </w:trPr>
        <w:tc>
          <w:tcPr>
            <w:tcW w:w="13480" w:type="dxa"/>
            <w:gridSpan w:val="6"/>
            <w:vAlign w:val="bottom"/>
            <w:hideMark/>
          </w:tcPr>
          <w:p w:rsidR="00794012" w:rsidRPr="00E52196" w:rsidRDefault="00794012" w:rsidP="00F85BA9">
            <w:pPr>
              <w:widowControl/>
              <w:spacing w:line="276" w:lineRule="auto"/>
              <w:jc w:val="left"/>
              <w:rPr>
                <w:rFonts w:eastAsiaTheme="minorHAnsi"/>
                <w:sz w:val="22"/>
              </w:rPr>
            </w:pPr>
            <w:r w:rsidRPr="00E52196">
              <w:t>Table developed using a constant ballast factor of .77.  Input wattages are an average of manufacturer inputs that account for ballast efficacy</w:t>
            </w:r>
          </w:p>
        </w:tc>
      </w:tr>
    </w:tbl>
    <w:p w:rsidR="00794012" w:rsidRPr="00E52196" w:rsidRDefault="00794012" w:rsidP="00794012">
      <w:pPr>
        <w:spacing w:after="240"/>
        <w:rPr>
          <w:noProof/>
        </w:rPr>
      </w:pPr>
    </w:p>
    <w:p w:rsidR="00794012" w:rsidRPr="00E52196" w:rsidRDefault="00794012" w:rsidP="00794012">
      <w:pPr>
        <w:jc w:val="left"/>
        <w:rPr>
          <w:noProof/>
        </w:rPr>
      </w:pPr>
      <w:r w:rsidRPr="00E52196">
        <w:rPr>
          <w:noProof/>
        </w:rPr>
        <w:br w:type="page"/>
      </w:r>
      <w:r w:rsidRPr="00E52196">
        <w:rPr>
          <w:noProof/>
        </w:rPr>
        <w:lastRenderedPageBreak/>
        <w:t>A-2:  Retrofit  HPT8 New and Baseline Assumptions</w:t>
      </w:r>
      <w:r w:rsidRPr="00E52196">
        <w:rPr>
          <w:rFonts w:ascii="Arial" w:hAnsi="Arial"/>
          <w:noProof/>
          <w:vertAlign w:val="superscript"/>
        </w:rPr>
        <w:footnoteReference w:id="10"/>
      </w:r>
      <w:r w:rsidRPr="00E52196">
        <w:rPr>
          <w:noProof/>
        </w:rPr>
        <w:t xml:space="preserve"> (Note see definiton for validity after 2016)</w:t>
      </w:r>
    </w:p>
    <w:p w:rsidR="00794012" w:rsidRPr="00E52196" w:rsidRDefault="00794012" w:rsidP="00794012">
      <w:pPr>
        <w:spacing w:after="240"/>
      </w:pPr>
      <w:r w:rsidRPr="00E52196">
        <w:rPr>
          <w:noProof/>
        </w:rPr>
        <w:drawing>
          <wp:inline distT="0" distB="0" distL="0" distR="0" wp14:anchorId="3573BD8C" wp14:editId="343B741C">
            <wp:extent cx="6007395" cy="4949755"/>
            <wp:effectExtent l="0" t="0" r="0" b="3810"/>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0979" cy="4952708"/>
                    </a:xfrm>
                    <a:prstGeom prst="rect">
                      <a:avLst/>
                    </a:prstGeom>
                    <a:noFill/>
                    <a:ln>
                      <a:noFill/>
                    </a:ln>
                  </pic:spPr>
                </pic:pic>
              </a:graphicData>
            </a:graphic>
          </wp:inline>
        </w:drawing>
      </w:r>
      <w:r w:rsidRPr="00E52196">
        <w:br w:type="page"/>
      </w:r>
    </w:p>
    <w:p w:rsidR="00794012" w:rsidRPr="00E52196" w:rsidRDefault="00794012" w:rsidP="00794012">
      <w:pPr>
        <w:spacing w:after="240"/>
      </w:pPr>
    </w:p>
    <w:p w:rsidR="00794012" w:rsidRPr="00E52196" w:rsidRDefault="00794012" w:rsidP="00794012">
      <w:pPr>
        <w:spacing w:after="240"/>
      </w:pPr>
      <w:r w:rsidRPr="00E52196">
        <w:t>A– 3:  RWT8 New and Baseline Assumptions</w:t>
      </w:r>
    </w:p>
    <w:p w:rsidR="00794012" w:rsidRPr="00E52196" w:rsidRDefault="00794012" w:rsidP="00794012">
      <w:pPr>
        <w:spacing w:after="240"/>
        <w:rPr>
          <w:rFonts w:ascii="Times New Roman" w:hAnsi="Times New Roman"/>
          <w:szCs w:val="20"/>
        </w:rPr>
      </w:pPr>
      <w:r w:rsidRPr="00E52196">
        <w:rPr>
          <w:noProof/>
        </w:rPr>
        <w:drawing>
          <wp:inline distT="0" distB="0" distL="0" distR="0" wp14:anchorId="3BED439B" wp14:editId="184753B3">
            <wp:extent cx="7915275" cy="1866900"/>
            <wp:effectExtent l="0" t="0" r="9525" b="0"/>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15275" cy="1866900"/>
                    </a:xfrm>
                    <a:prstGeom prst="rect">
                      <a:avLst/>
                    </a:prstGeom>
                    <a:noFill/>
                    <a:ln>
                      <a:noFill/>
                    </a:ln>
                  </pic:spPr>
                </pic:pic>
              </a:graphicData>
            </a:graphic>
          </wp:inline>
        </w:drawing>
      </w:r>
    </w:p>
    <w:p w:rsidR="00794012" w:rsidRPr="00E52196" w:rsidRDefault="00794012" w:rsidP="00794012">
      <w:pPr>
        <w:spacing w:after="240"/>
      </w:pPr>
      <w:r w:rsidRPr="00E52196">
        <w:t>B-1:  Time of Sale T8 Component Costs and Lifetime</w:t>
      </w:r>
      <w:r w:rsidRPr="00E52196">
        <w:rPr>
          <w:rFonts w:ascii="Arial" w:hAnsi="Arial"/>
          <w:vertAlign w:val="superscript"/>
        </w:rPr>
        <w:footnoteReference w:id="11"/>
      </w:r>
    </w:p>
    <w:p w:rsidR="00794012" w:rsidRPr="00E52196" w:rsidRDefault="00794012" w:rsidP="00794012">
      <w:pPr>
        <w:spacing w:after="240"/>
        <w:rPr>
          <w:color w:val="548DD4" w:themeColor="text2" w:themeTint="99"/>
        </w:rPr>
      </w:pPr>
      <w:r w:rsidRPr="00E52196">
        <w:rPr>
          <w:noProof/>
          <w:color w:val="FF0000"/>
        </w:rPr>
        <w:drawing>
          <wp:inline distT="0" distB="0" distL="0" distR="0" wp14:anchorId="1BD7C04E" wp14:editId="3EF92157">
            <wp:extent cx="7686675" cy="2152650"/>
            <wp:effectExtent l="0" t="0" r="9525" b="0"/>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86675" cy="2152650"/>
                    </a:xfrm>
                    <a:prstGeom prst="rect">
                      <a:avLst/>
                    </a:prstGeom>
                    <a:noFill/>
                    <a:ln>
                      <a:noFill/>
                    </a:ln>
                  </pic:spPr>
                </pic:pic>
              </a:graphicData>
            </a:graphic>
          </wp:inline>
        </w:drawing>
      </w:r>
    </w:p>
    <w:p w:rsidR="00794012" w:rsidRPr="00E52196" w:rsidRDefault="00794012" w:rsidP="00794012">
      <w:pPr>
        <w:widowControl/>
        <w:jc w:val="left"/>
      </w:pPr>
      <w:r w:rsidRPr="00E52196">
        <w:br w:type="page"/>
      </w:r>
      <w:r w:rsidRPr="00E52196">
        <w:lastRenderedPageBreak/>
        <w:t>B-2:  T8 Retrofit Component Costs and Lifetime</w:t>
      </w:r>
      <w:r w:rsidRPr="00E52196">
        <w:rPr>
          <w:rFonts w:ascii="Arial" w:hAnsi="Arial"/>
          <w:vertAlign w:val="superscript"/>
        </w:rPr>
        <w:footnoteReference w:id="12"/>
      </w:r>
    </w:p>
    <w:p w:rsidR="00794012" w:rsidRPr="00E52196" w:rsidRDefault="00794012" w:rsidP="00794012">
      <w:pPr>
        <w:spacing w:after="240"/>
      </w:pPr>
      <w:r w:rsidRPr="00E52196">
        <w:rPr>
          <w:noProof/>
        </w:rPr>
        <w:drawing>
          <wp:inline distT="0" distB="0" distL="0" distR="0" wp14:anchorId="4E677855" wp14:editId="72803CA7">
            <wp:extent cx="6943725" cy="4019550"/>
            <wp:effectExtent l="0" t="0" r="9525" b="0"/>
            <wp:docPr id="531" name="Picture 531" descr="cid:image001.png@01CD0366.67BC3E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id:image001.png@01CD0366.67BC3EB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6943725" cy="4019550"/>
                    </a:xfrm>
                    <a:prstGeom prst="rect">
                      <a:avLst/>
                    </a:prstGeom>
                    <a:noFill/>
                    <a:ln>
                      <a:noFill/>
                    </a:ln>
                  </pic:spPr>
                </pic:pic>
              </a:graphicData>
            </a:graphic>
          </wp:inline>
        </w:drawing>
      </w:r>
    </w:p>
    <w:p w:rsidR="00794012" w:rsidRPr="00E52196" w:rsidRDefault="00794012" w:rsidP="00794012">
      <w:pPr>
        <w:spacing w:after="240"/>
        <w:rPr>
          <w:color w:val="548DD4" w:themeColor="text2" w:themeTint="99"/>
        </w:rPr>
      </w:pPr>
    </w:p>
    <w:p w:rsidR="00794012" w:rsidRDefault="00794012" w:rsidP="00794012">
      <w:pPr>
        <w:spacing w:after="240"/>
      </w:pPr>
    </w:p>
    <w:p w:rsidR="00794012" w:rsidRDefault="00794012" w:rsidP="00794012">
      <w:pPr>
        <w:spacing w:after="240"/>
      </w:pPr>
    </w:p>
    <w:p w:rsidR="00794012" w:rsidRPr="00E52196" w:rsidRDefault="00794012" w:rsidP="00794012">
      <w:pPr>
        <w:spacing w:after="240"/>
      </w:pPr>
      <w:r w:rsidRPr="00E52196">
        <w:t>B-3:  Reduced Wattage T8 Component Costs and Lifetime</w:t>
      </w:r>
      <w:r w:rsidRPr="00E52196">
        <w:rPr>
          <w:rFonts w:ascii="Arial" w:hAnsi="Arial"/>
          <w:vertAlign w:val="superscript"/>
        </w:rPr>
        <w:footnoteReference w:id="13"/>
      </w:r>
      <w:r w:rsidRPr="00E52196">
        <w:t xml:space="preserve">  </w:t>
      </w:r>
    </w:p>
    <w:p w:rsidR="00794012" w:rsidRPr="00E52196" w:rsidRDefault="00794012" w:rsidP="00794012">
      <w:pPr>
        <w:spacing w:after="240"/>
      </w:pPr>
      <w:r w:rsidRPr="00E52196">
        <w:rPr>
          <w:noProof/>
        </w:rPr>
        <w:lastRenderedPageBreak/>
        <w:drawing>
          <wp:inline distT="0" distB="0" distL="0" distR="0" wp14:anchorId="2A426E33" wp14:editId="518A5C8A">
            <wp:extent cx="7877175" cy="2276475"/>
            <wp:effectExtent l="0" t="0" r="9525" b="9525"/>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77175" cy="2276475"/>
                    </a:xfrm>
                    <a:prstGeom prst="rect">
                      <a:avLst/>
                    </a:prstGeom>
                    <a:noFill/>
                    <a:ln>
                      <a:noFill/>
                    </a:ln>
                  </pic:spPr>
                </pic:pic>
              </a:graphicData>
            </a:graphic>
          </wp:inline>
        </w:drawing>
      </w:r>
    </w:p>
    <w:p w:rsidR="00794012" w:rsidRPr="00E52196" w:rsidRDefault="00794012" w:rsidP="00794012">
      <w:pPr>
        <w:spacing w:after="240"/>
      </w:pPr>
    </w:p>
    <w:p w:rsidR="00794012" w:rsidRPr="00E52196" w:rsidRDefault="00794012" w:rsidP="00794012">
      <w:pPr>
        <w:widowControl/>
        <w:jc w:val="left"/>
      </w:pPr>
    </w:p>
    <w:p w:rsidR="00794012" w:rsidRPr="00E52196" w:rsidRDefault="00794012" w:rsidP="00794012">
      <w:pPr>
        <w:widowControl/>
        <w:jc w:val="left"/>
        <w:sectPr w:rsidR="00794012" w:rsidRPr="00E52196" w:rsidSect="00B64B6A">
          <w:pgSz w:w="15840" w:h="12240" w:orient="landscape"/>
          <w:pgMar w:top="1440" w:right="1440" w:bottom="1440" w:left="1440" w:header="720" w:footer="720" w:gutter="0"/>
          <w:cols w:space="720"/>
        </w:sectPr>
      </w:pPr>
    </w:p>
    <w:p w:rsidR="00794012" w:rsidRPr="00E52196" w:rsidRDefault="00794012" w:rsidP="00794012">
      <w:pPr>
        <w:spacing w:after="240"/>
      </w:pPr>
      <w:r w:rsidRPr="00E52196">
        <w:lastRenderedPageBreak/>
        <w:t>C-1:  T12 Baseline Adjustment:</w:t>
      </w:r>
    </w:p>
    <w:p w:rsidR="00794012" w:rsidRPr="00E52196" w:rsidRDefault="00794012" w:rsidP="00794012">
      <w:pPr>
        <w:spacing w:after="240"/>
        <w:rPr>
          <w:b/>
          <w:bCs/>
        </w:rPr>
      </w:pPr>
      <w:r w:rsidRPr="00E52196">
        <w:t xml:space="preserve">For measures installed </w:t>
      </w:r>
      <w:r>
        <w:t>up to 6/1/</w:t>
      </w:r>
      <w:del w:id="15" w:author="Samuel Dent" w:date="2015-10-23T06:02:00Z">
        <w:r w:rsidDel="00794012">
          <w:delText>2016</w:delText>
        </w:r>
      </w:del>
      <w:ins w:id="16" w:author="Samuel Dent" w:date="2015-10-23T06:02:00Z">
        <w:r>
          <w:t>201</w:t>
        </w:r>
        <w:r>
          <w:t>8</w:t>
        </w:r>
      </w:ins>
      <w:r w:rsidRPr="00E52196">
        <w:t xml:space="preserve">, the full savings (as calculated above in the Algorithm section) will be claimed </w:t>
      </w:r>
      <w:r>
        <w:t>up to 6/1/</w:t>
      </w:r>
      <w:del w:id="17" w:author="Samuel Dent" w:date="2015-10-23T06:02:00Z">
        <w:r w:rsidDel="00794012">
          <w:delText>2016</w:delText>
        </w:r>
      </w:del>
      <w:ins w:id="18" w:author="Samuel Dent" w:date="2015-10-23T06:02:00Z">
        <w:r>
          <w:t>201</w:t>
        </w:r>
        <w:r>
          <w:t>8</w:t>
        </w:r>
      </w:ins>
      <w:r w:rsidRPr="00E52196">
        <w:t>.  A savings adjustment will be applied to the annual savings for the remainder of the measure life.  The adjustment to be applied for each measure is listed in the reference table below.</w:t>
      </w:r>
    </w:p>
    <w:tbl>
      <w:tblPr>
        <w:tblW w:w="5000" w:type="pct"/>
        <w:tblCellMar>
          <w:left w:w="0" w:type="dxa"/>
          <w:right w:w="0" w:type="dxa"/>
        </w:tblCellMar>
        <w:tblLook w:val="04A0" w:firstRow="1" w:lastRow="0" w:firstColumn="1" w:lastColumn="0" w:noHBand="0" w:noVBand="1"/>
      </w:tblPr>
      <w:tblGrid>
        <w:gridCol w:w="3713"/>
        <w:gridCol w:w="1428"/>
        <w:gridCol w:w="1428"/>
        <w:gridCol w:w="2899"/>
      </w:tblGrid>
      <w:tr w:rsidR="00794012" w:rsidRPr="00E52196" w:rsidTr="00F85BA9">
        <w:trPr>
          <w:trHeight w:val="281"/>
        </w:trPr>
        <w:tc>
          <w:tcPr>
            <w:tcW w:w="1961" w:type="pct"/>
            <w:noWrap/>
            <w:tcMar>
              <w:top w:w="0" w:type="dxa"/>
              <w:left w:w="108" w:type="dxa"/>
              <w:bottom w:w="0" w:type="dxa"/>
              <w:right w:w="108" w:type="dxa"/>
            </w:tcMar>
            <w:vAlign w:val="bottom"/>
            <w:hideMark/>
          </w:tcPr>
          <w:p w:rsidR="00794012" w:rsidRPr="00E52196" w:rsidRDefault="00794012" w:rsidP="00F85BA9">
            <w:pPr>
              <w:rPr>
                <w:rFonts w:eastAsiaTheme="minorHAnsi"/>
              </w:rPr>
            </w:pPr>
            <w:r w:rsidRPr="00E52196">
              <w:t>Savings Adjustment Factors</w:t>
            </w:r>
          </w:p>
        </w:tc>
        <w:tc>
          <w:tcPr>
            <w:tcW w:w="754" w:type="pct"/>
            <w:noWrap/>
            <w:tcMar>
              <w:top w:w="0" w:type="dxa"/>
              <w:left w:w="108" w:type="dxa"/>
              <w:bottom w:w="0" w:type="dxa"/>
              <w:right w:w="108" w:type="dxa"/>
            </w:tcMar>
            <w:vAlign w:val="bottom"/>
          </w:tcPr>
          <w:p w:rsidR="00794012" w:rsidRPr="00E52196" w:rsidRDefault="00794012" w:rsidP="00F85BA9">
            <w:pPr>
              <w:rPr>
                <w:rFonts w:eastAsiaTheme="minorHAnsi"/>
              </w:rPr>
            </w:pPr>
          </w:p>
        </w:tc>
        <w:tc>
          <w:tcPr>
            <w:tcW w:w="754" w:type="pct"/>
          </w:tcPr>
          <w:p w:rsidR="00794012" w:rsidRPr="00E52196" w:rsidRDefault="00794012" w:rsidP="00F85BA9">
            <w:pPr>
              <w:rPr>
                <w:rFonts w:eastAsiaTheme="minorHAnsi"/>
              </w:rPr>
            </w:pPr>
          </w:p>
        </w:tc>
        <w:tc>
          <w:tcPr>
            <w:tcW w:w="1532" w:type="pct"/>
          </w:tcPr>
          <w:p w:rsidR="00794012" w:rsidRPr="00E52196" w:rsidRDefault="00794012" w:rsidP="00F85BA9">
            <w:pPr>
              <w:rPr>
                <w:rFonts w:eastAsiaTheme="minorHAnsi"/>
              </w:rPr>
            </w:pPr>
          </w:p>
        </w:tc>
      </w:tr>
      <w:tr w:rsidR="00794012" w:rsidRPr="005F666B" w:rsidTr="00F85BA9">
        <w:trPr>
          <w:trHeight w:val="754"/>
        </w:trPr>
        <w:tc>
          <w:tcPr>
            <w:tcW w:w="1961" w:type="pct"/>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794012" w:rsidRPr="005F666B" w:rsidRDefault="00794012" w:rsidP="00F85BA9">
            <w:pPr>
              <w:jc w:val="center"/>
              <w:rPr>
                <w:rFonts w:eastAsiaTheme="minorHAnsi"/>
                <w:b/>
                <w:color w:val="FFFFFF" w:themeColor="background1"/>
              </w:rPr>
            </w:pPr>
            <w:r w:rsidRPr="005F666B">
              <w:rPr>
                <w:b/>
                <w:color w:val="FFFFFF" w:themeColor="background1"/>
              </w:rPr>
              <w:t>EE Measure Description</w:t>
            </w:r>
          </w:p>
        </w:tc>
        <w:tc>
          <w:tcPr>
            <w:tcW w:w="754" w:type="pct"/>
            <w:tcBorders>
              <w:top w:val="single" w:sz="8"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rsidR="00794012" w:rsidRPr="005F666B" w:rsidRDefault="00794012" w:rsidP="00F85BA9">
            <w:pPr>
              <w:jc w:val="center"/>
              <w:rPr>
                <w:rFonts w:eastAsiaTheme="minorHAnsi"/>
                <w:b/>
                <w:color w:val="FFFFFF" w:themeColor="background1"/>
              </w:rPr>
            </w:pPr>
            <w:r w:rsidRPr="005F666B">
              <w:rPr>
                <w:b/>
                <w:color w:val="FFFFFF" w:themeColor="background1"/>
              </w:rPr>
              <w:t xml:space="preserve">Savings Adjustment T12 </w:t>
            </w:r>
            <w:proofErr w:type="spellStart"/>
            <w:r w:rsidRPr="005F666B">
              <w:rPr>
                <w:b/>
                <w:color w:val="FFFFFF" w:themeColor="background1"/>
              </w:rPr>
              <w:t>EEmag</w:t>
            </w:r>
            <w:proofErr w:type="spellEnd"/>
            <w:r w:rsidRPr="005F666B">
              <w:rPr>
                <w:b/>
                <w:color w:val="FFFFFF" w:themeColor="background1"/>
              </w:rPr>
              <w:t xml:space="preserve"> ballast and 34 w lamps to HPT8</w:t>
            </w:r>
          </w:p>
        </w:tc>
        <w:tc>
          <w:tcPr>
            <w:tcW w:w="754" w:type="pct"/>
            <w:tcBorders>
              <w:top w:val="single" w:sz="8" w:space="0" w:color="auto"/>
              <w:left w:val="nil"/>
              <w:bottom w:val="single" w:sz="8" w:space="0" w:color="auto"/>
              <w:right w:val="single" w:sz="8" w:space="0" w:color="auto"/>
            </w:tcBorders>
            <w:shd w:val="clear" w:color="auto" w:fill="7F7F7F" w:themeFill="text1" w:themeFillTint="80"/>
            <w:vAlign w:val="center"/>
            <w:hideMark/>
          </w:tcPr>
          <w:p w:rsidR="00794012" w:rsidRPr="005F666B" w:rsidRDefault="00794012" w:rsidP="00F85BA9">
            <w:pPr>
              <w:jc w:val="center"/>
              <w:rPr>
                <w:b/>
                <w:color w:val="FFFFFF" w:themeColor="background1"/>
              </w:rPr>
            </w:pPr>
            <w:r w:rsidRPr="005F666B">
              <w:rPr>
                <w:b/>
                <w:color w:val="FFFFFF" w:themeColor="background1"/>
              </w:rPr>
              <w:t xml:space="preserve">Savings Adjustment T12 </w:t>
            </w:r>
            <w:proofErr w:type="spellStart"/>
            <w:r w:rsidRPr="005F666B">
              <w:rPr>
                <w:b/>
                <w:color w:val="FFFFFF" w:themeColor="background1"/>
              </w:rPr>
              <w:t>EEmag</w:t>
            </w:r>
            <w:proofErr w:type="spellEnd"/>
            <w:r w:rsidRPr="005F666B">
              <w:rPr>
                <w:b/>
                <w:color w:val="FFFFFF" w:themeColor="background1"/>
              </w:rPr>
              <w:t xml:space="preserve"> ballast and 40 w  lamps to HPT8</w:t>
            </w:r>
          </w:p>
        </w:tc>
        <w:tc>
          <w:tcPr>
            <w:tcW w:w="1532" w:type="pct"/>
            <w:tcBorders>
              <w:top w:val="single" w:sz="8" w:space="0" w:color="auto"/>
              <w:left w:val="nil"/>
              <w:bottom w:val="single" w:sz="8" w:space="0" w:color="auto"/>
              <w:right w:val="single" w:sz="8" w:space="0" w:color="auto"/>
            </w:tcBorders>
            <w:shd w:val="clear" w:color="auto" w:fill="7F7F7F" w:themeFill="text1" w:themeFillTint="80"/>
            <w:vAlign w:val="center"/>
            <w:hideMark/>
          </w:tcPr>
          <w:p w:rsidR="00794012" w:rsidRPr="005F666B" w:rsidRDefault="00794012" w:rsidP="00F85BA9">
            <w:pPr>
              <w:jc w:val="center"/>
              <w:rPr>
                <w:b/>
                <w:color w:val="FFFFFF" w:themeColor="background1"/>
              </w:rPr>
            </w:pPr>
            <w:r w:rsidRPr="005F666B">
              <w:rPr>
                <w:b/>
                <w:color w:val="FFFFFF" w:themeColor="background1"/>
              </w:rPr>
              <w:t>Savings Adjustment T12 mag ballast and 40 w lamps to HPT8</w:t>
            </w:r>
          </w:p>
        </w:tc>
      </w:tr>
      <w:tr w:rsidR="00794012" w:rsidRPr="00E52196" w:rsidTr="00F85BA9">
        <w:trPr>
          <w:trHeight w:val="312"/>
        </w:trPr>
        <w:tc>
          <w:tcPr>
            <w:tcW w:w="196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4012" w:rsidRPr="00E52196" w:rsidRDefault="00794012" w:rsidP="00F85BA9">
            <w:pPr>
              <w:rPr>
                <w:rFonts w:eastAsiaTheme="minorHAnsi"/>
              </w:rPr>
            </w:pPr>
            <w:r w:rsidRPr="00E52196">
              <w:t xml:space="preserve">1-Lamp </w:t>
            </w:r>
            <w:proofErr w:type="spellStart"/>
            <w:r w:rsidRPr="00E52196">
              <w:t>Relamp</w:t>
            </w:r>
            <w:proofErr w:type="spellEnd"/>
            <w:r w:rsidRPr="00E52196">
              <w:t>/</w:t>
            </w:r>
            <w:proofErr w:type="spellStart"/>
            <w:r w:rsidRPr="00E52196">
              <w:t>Reballast</w:t>
            </w:r>
            <w:proofErr w:type="spellEnd"/>
            <w:r w:rsidRPr="00E52196">
              <w:t xml:space="preserve"> T12 to HPT8</w:t>
            </w:r>
          </w:p>
        </w:tc>
        <w:tc>
          <w:tcPr>
            <w:tcW w:w="754" w:type="pct"/>
            <w:tcBorders>
              <w:top w:val="nil"/>
              <w:left w:val="nil"/>
              <w:bottom w:val="single" w:sz="8" w:space="0" w:color="auto"/>
              <w:right w:val="single" w:sz="8" w:space="0" w:color="auto"/>
            </w:tcBorders>
            <w:noWrap/>
            <w:tcMar>
              <w:top w:w="0" w:type="dxa"/>
              <w:left w:w="108" w:type="dxa"/>
              <w:bottom w:w="0" w:type="dxa"/>
              <w:right w:w="108" w:type="dxa"/>
            </w:tcMar>
            <w:hideMark/>
          </w:tcPr>
          <w:p w:rsidR="00794012" w:rsidRPr="00E52196" w:rsidRDefault="00794012" w:rsidP="00F85BA9">
            <w:pPr>
              <w:jc w:val="center"/>
              <w:rPr>
                <w:rFonts w:eastAsiaTheme="minorHAnsi"/>
              </w:rPr>
            </w:pPr>
            <w:r w:rsidRPr="00E52196">
              <w:rPr>
                <w:rFonts w:eastAsiaTheme="minorHAnsi"/>
              </w:rPr>
              <w:t>47%</w:t>
            </w:r>
          </w:p>
        </w:tc>
        <w:tc>
          <w:tcPr>
            <w:tcW w:w="754" w:type="pct"/>
            <w:tcBorders>
              <w:top w:val="nil"/>
              <w:left w:val="nil"/>
              <w:bottom w:val="single" w:sz="8" w:space="0" w:color="auto"/>
              <w:right w:val="single" w:sz="8" w:space="0" w:color="auto"/>
            </w:tcBorders>
            <w:hideMark/>
          </w:tcPr>
          <w:p w:rsidR="00794012" w:rsidRPr="00E52196" w:rsidRDefault="00794012" w:rsidP="00F85BA9">
            <w:pPr>
              <w:jc w:val="center"/>
              <w:rPr>
                <w:rFonts w:eastAsiaTheme="minorHAnsi"/>
              </w:rPr>
            </w:pPr>
            <w:r w:rsidRPr="00E52196">
              <w:rPr>
                <w:rFonts w:eastAsiaTheme="minorHAnsi"/>
              </w:rPr>
              <w:t>30%</w:t>
            </w:r>
          </w:p>
        </w:tc>
        <w:tc>
          <w:tcPr>
            <w:tcW w:w="1532" w:type="pct"/>
            <w:tcBorders>
              <w:top w:val="nil"/>
              <w:left w:val="nil"/>
              <w:bottom w:val="single" w:sz="8" w:space="0" w:color="auto"/>
              <w:right w:val="single" w:sz="8" w:space="0" w:color="auto"/>
            </w:tcBorders>
            <w:hideMark/>
          </w:tcPr>
          <w:p w:rsidR="00794012" w:rsidRPr="00E52196" w:rsidRDefault="00794012" w:rsidP="00F85BA9">
            <w:pPr>
              <w:jc w:val="center"/>
              <w:rPr>
                <w:rFonts w:eastAsiaTheme="minorHAnsi"/>
              </w:rPr>
            </w:pPr>
            <w:r w:rsidRPr="00E52196">
              <w:rPr>
                <w:rFonts w:eastAsiaTheme="minorHAnsi"/>
              </w:rPr>
              <w:t>20%</w:t>
            </w:r>
          </w:p>
        </w:tc>
      </w:tr>
      <w:tr w:rsidR="00794012" w:rsidRPr="00E52196" w:rsidTr="00F85BA9">
        <w:trPr>
          <w:trHeight w:val="312"/>
        </w:trPr>
        <w:tc>
          <w:tcPr>
            <w:tcW w:w="196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4012" w:rsidRPr="00E52196" w:rsidRDefault="00794012" w:rsidP="00F85BA9">
            <w:pPr>
              <w:rPr>
                <w:rFonts w:eastAsiaTheme="minorHAnsi"/>
              </w:rPr>
            </w:pPr>
            <w:r w:rsidRPr="00E52196">
              <w:t xml:space="preserve">2-Lamp </w:t>
            </w:r>
            <w:proofErr w:type="spellStart"/>
            <w:r w:rsidRPr="00E52196">
              <w:t>Relamp</w:t>
            </w:r>
            <w:proofErr w:type="spellEnd"/>
            <w:r w:rsidRPr="00E52196">
              <w:t>/</w:t>
            </w:r>
            <w:proofErr w:type="spellStart"/>
            <w:r w:rsidRPr="00E52196">
              <w:t>Reballast</w:t>
            </w:r>
            <w:proofErr w:type="spellEnd"/>
            <w:r w:rsidRPr="00E52196">
              <w:t xml:space="preserve"> T12 to HPT8</w:t>
            </w:r>
          </w:p>
        </w:tc>
        <w:tc>
          <w:tcPr>
            <w:tcW w:w="754" w:type="pct"/>
            <w:tcBorders>
              <w:top w:val="nil"/>
              <w:left w:val="nil"/>
              <w:bottom w:val="single" w:sz="8" w:space="0" w:color="auto"/>
              <w:right w:val="single" w:sz="8" w:space="0" w:color="auto"/>
            </w:tcBorders>
            <w:noWrap/>
            <w:tcMar>
              <w:top w:w="0" w:type="dxa"/>
              <w:left w:w="108" w:type="dxa"/>
              <w:bottom w:w="0" w:type="dxa"/>
              <w:right w:w="108" w:type="dxa"/>
            </w:tcMar>
            <w:hideMark/>
          </w:tcPr>
          <w:p w:rsidR="00794012" w:rsidRPr="00E52196" w:rsidRDefault="00794012" w:rsidP="00F85BA9">
            <w:pPr>
              <w:jc w:val="center"/>
              <w:rPr>
                <w:rFonts w:eastAsiaTheme="minorHAnsi"/>
              </w:rPr>
            </w:pPr>
            <w:r w:rsidRPr="00E52196">
              <w:rPr>
                <w:rFonts w:eastAsiaTheme="minorHAnsi"/>
              </w:rPr>
              <w:t>53%</w:t>
            </w:r>
          </w:p>
        </w:tc>
        <w:tc>
          <w:tcPr>
            <w:tcW w:w="754" w:type="pct"/>
            <w:tcBorders>
              <w:top w:val="nil"/>
              <w:left w:val="nil"/>
              <w:bottom w:val="single" w:sz="8" w:space="0" w:color="auto"/>
              <w:right w:val="single" w:sz="8" w:space="0" w:color="auto"/>
            </w:tcBorders>
            <w:hideMark/>
          </w:tcPr>
          <w:p w:rsidR="00794012" w:rsidRPr="00E52196" w:rsidRDefault="00794012" w:rsidP="00F85BA9">
            <w:pPr>
              <w:jc w:val="center"/>
              <w:rPr>
                <w:rFonts w:eastAsiaTheme="minorHAnsi"/>
              </w:rPr>
            </w:pPr>
            <w:r w:rsidRPr="00E52196">
              <w:rPr>
                <w:rFonts w:eastAsiaTheme="minorHAnsi"/>
              </w:rPr>
              <w:t>30%</w:t>
            </w:r>
          </w:p>
        </w:tc>
        <w:tc>
          <w:tcPr>
            <w:tcW w:w="1532" w:type="pct"/>
            <w:tcBorders>
              <w:top w:val="nil"/>
              <w:left w:val="nil"/>
              <w:bottom w:val="single" w:sz="8" w:space="0" w:color="auto"/>
              <w:right w:val="single" w:sz="8" w:space="0" w:color="auto"/>
            </w:tcBorders>
            <w:hideMark/>
          </w:tcPr>
          <w:p w:rsidR="00794012" w:rsidRPr="00E52196" w:rsidRDefault="00794012" w:rsidP="00F85BA9">
            <w:pPr>
              <w:jc w:val="center"/>
              <w:rPr>
                <w:rFonts w:eastAsiaTheme="minorHAnsi"/>
              </w:rPr>
            </w:pPr>
            <w:r w:rsidRPr="00E52196">
              <w:rPr>
                <w:rFonts w:eastAsiaTheme="minorHAnsi"/>
              </w:rPr>
              <w:t>22%</w:t>
            </w:r>
          </w:p>
        </w:tc>
      </w:tr>
      <w:tr w:rsidR="00794012" w:rsidRPr="00E52196" w:rsidTr="00F85BA9">
        <w:trPr>
          <w:trHeight w:val="312"/>
        </w:trPr>
        <w:tc>
          <w:tcPr>
            <w:tcW w:w="196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4012" w:rsidRPr="00E52196" w:rsidRDefault="00794012" w:rsidP="00F85BA9">
            <w:pPr>
              <w:rPr>
                <w:rFonts w:eastAsiaTheme="minorHAnsi"/>
              </w:rPr>
            </w:pPr>
            <w:r w:rsidRPr="00E52196">
              <w:t xml:space="preserve">3-Lamp </w:t>
            </w:r>
            <w:proofErr w:type="spellStart"/>
            <w:r w:rsidRPr="00E52196">
              <w:t>Relamp</w:t>
            </w:r>
            <w:proofErr w:type="spellEnd"/>
            <w:r w:rsidRPr="00E52196">
              <w:t>/</w:t>
            </w:r>
            <w:proofErr w:type="spellStart"/>
            <w:r w:rsidRPr="00E52196">
              <w:t>Reballast</w:t>
            </w:r>
            <w:proofErr w:type="spellEnd"/>
            <w:r w:rsidRPr="00E52196">
              <w:t xml:space="preserve"> T12 to HPT8</w:t>
            </w:r>
          </w:p>
        </w:tc>
        <w:tc>
          <w:tcPr>
            <w:tcW w:w="754" w:type="pct"/>
            <w:tcBorders>
              <w:top w:val="nil"/>
              <w:left w:val="nil"/>
              <w:bottom w:val="single" w:sz="8" w:space="0" w:color="auto"/>
              <w:right w:val="single" w:sz="8" w:space="0" w:color="auto"/>
            </w:tcBorders>
            <w:noWrap/>
            <w:tcMar>
              <w:top w:w="0" w:type="dxa"/>
              <w:left w:w="108" w:type="dxa"/>
              <w:bottom w:w="0" w:type="dxa"/>
              <w:right w:w="108" w:type="dxa"/>
            </w:tcMar>
            <w:hideMark/>
          </w:tcPr>
          <w:p w:rsidR="00794012" w:rsidRPr="00E52196" w:rsidRDefault="00794012" w:rsidP="00F85BA9">
            <w:pPr>
              <w:jc w:val="center"/>
              <w:rPr>
                <w:rFonts w:eastAsiaTheme="minorHAnsi"/>
              </w:rPr>
            </w:pPr>
            <w:r w:rsidRPr="00E52196">
              <w:rPr>
                <w:rFonts w:eastAsiaTheme="minorHAnsi"/>
              </w:rPr>
              <w:t>42%</w:t>
            </w:r>
          </w:p>
        </w:tc>
        <w:tc>
          <w:tcPr>
            <w:tcW w:w="754" w:type="pct"/>
            <w:tcBorders>
              <w:top w:val="nil"/>
              <w:left w:val="nil"/>
              <w:bottom w:val="single" w:sz="8" w:space="0" w:color="auto"/>
              <w:right w:val="single" w:sz="8" w:space="0" w:color="auto"/>
            </w:tcBorders>
            <w:hideMark/>
          </w:tcPr>
          <w:p w:rsidR="00794012" w:rsidRPr="00E52196" w:rsidRDefault="00794012" w:rsidP="00F85BA9">
            <w:pPr>
              <w:jc w:val="center"/>
              <w:rPr>
                <w:rFonts w:eastAsiaTheme="minorHAnsi"/>
              </w:rPr>
            </w:pPr>
            <w:r w:rsidRPr="00E52196">
              <w:rPr>
                <w:rFonts w:eastAsiaTheme="minorHAnsi"/>
              </w:rPr>
              <w:t>38%</w:t>
            </w:r>
          </w:p>
        </w:tc>
        <w:tc>
          <w:tcPr>
            <w:tcW w:w="1532" w:type="pct"/>
            <w:tcBorders>
              <w:top w:val="nil"/>
              <w:left w:val="nil"/>
              <w:bottom w:val="single" w:sz="8" w:space="0" w:color="auto"/>
              <w:right w:val="single" w:sz="8" w:space="0" w:color="auto"/>
            </w:tcBorders>
            <w:hideMark/>
          </w:tcPr>
          <w:p w:rsidR="00794012" w:rsidRPr="00E52196" w:rsidRDefault="00794012" w:rsidP="00F85BA9">
            <w:pPr>
              <w:jc w:val="center"/>
              <w:rPr>
                <w:rFonts w:eastAsiaTheme="minorHAnsi"/>
              </w:rPr>
            </w:pPr>
            <w:r w:rsidRPr="00E52196">
              <w:rPr>
                <w:rFonts w:eastAsiaTheme="minorHAnsi"/>
              </w:rPr>
              <w:t>21%</w:t>
            </w:r>
          </w:p>
        </w:tc>
      </w:tr>
      <w:tr w:rsidR="00794012" w:rsidRPr="00E52196" w:rsidTr="00F85BA9">
        <w:trPr>
          <w:trHeight w:val="327"/>
        </w:trPr>
        <w:tc>
          <w:tcPr>
            <w:tcW w:w="196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94012" w:rsidRPr="00E52196" w:rsidRDefault="00794012" w:rsidP="00F85BA9">
            <w:pPr>
              <w:rPr>
                <w:rFonts w:eastAsiaTheme="minorHAnsi"/>
              </w:rPr>
            </w:pPr>
            <w:r w:rsidRPr="00E52196">
              <w:t xml:space="preserve">4-Lamp </w:t>
            </w:r>
            <w:proofErr w:type="spellStart"/>
            <w:r w:rsidRPr="00E52196">
              <w:t>Relamp</w:t>
            </w:r>
            <w:proofErr w:type="spellEnd"/>
            <w:r w:rsidRPr="00E52196">
              <w:t>/</w:t>
            </w:r>
            <w:proofErr w:type="spellStart"/>
            <w:r w:rsidRPr="00E52196">
              <w:t>Reballast</w:t>
            </w:r>
            <w:proofErr w:type="spellEnd"/>
            <w:r w:rsidRPr="00E52196">
              <w:t xml:space="preserve"> T12 to HPT8</w:t>
            </w:r>
          </w:p>
        </w:tc>
        <w:tc>
          <w:tcPr>
            <w:tcW w:w="754" w:type="pct"/>
            <w:tcBorders>
              <w:top w:val="nil"/>
              <w:left w:val="nil"/>
              <w:bottom w:val="single" w:sz="8" w:space="0" w:color="auto"/>
              <w:right w:val="single" w:sz="8" w:space="0" w:color="auto"/>
            </w:tcBorders>
            <w:noWrap/>
            <w:tcMar>
              <w:top w:w="0" w:type="dxa"/>
              <w:left w:w="108" w:type="dxa"/>
              <w:bottom w:w="0" w:type="dxa"/>
              <w:right w:w="108" w:type="dxa"/>
            </w:tcMar>
            <w:hideMark/>
          </w:tcPr>
          <w:p w:rsidR="00794012" w:rsidRPr="00E52196" w:rsidRDefault="00794012" w:rsidP="00F85BA9">
            <w:pPr>
              <w:jc w:val="center"/>
              <w:rPr>
                <w:rFonts w:eastAsiaTheme="minorHAnsi"/>
              </w:rPr>
            </w:pPr>
            <w:r w:rsidRPr="00E52196">
              <w:rPr>
                <w:rFonts w:eastAsiaTheme="minorHAnsi"/>
              </w:rPr>
              <w:t>44%</w:t>
            </w:r>
          </w:p>
        </w:tc>
        <w:tc>
          <w:tcPr>
            <w:tcW w:w="754" w:type="pct"/>
            <w:tcBorders>
              <w:top w:val="nil"/>
              <w:left w:val="nil"/>
              <w:bottom w:val="single" w:sz="8" w:space="0" w:color="auto"/>
              <w:right w:val="single" w:sz="8" w:space="0" w:color="auto"/>
            </w:tcBorders>
            <w:hideMark/>
          </w:tcPr>
          <w:p w:rsidR="00794012" w:rsidRPr="00E52196" w:rsidRDefault="00794012" w:rsidP="00F85BA9">
            <w:pPr>
              <w:jc w:val="center"/>
              <w:rPr>
                <w:rFonts w:eastAsiaTheme="minorHAnsi"/>
              </w:rPr>
            </w:pPr>
            <w:r w:rsidRPr="00E52196">
              <w:rPr>
                <w:rFonts w:eastAsiaTheme="minorHAnsi"/>
              </w:rPr>
              <w:t>29%</w:t>
            </w:r>
          </w:p>
        </w:tc>
        <w:tc>
          <w:tcPr>
            <w:tcW w:w="1532" w:type="pct"/>
            <w:tcBorders>
              <w:top w:val="nil"/>
              <w:left w:val="nil"/>
              <w:bottom w:val="single" w:sz="8" w:space="0" w:color="auto"/>
              <w:right w:val="single" w:sz="8" w:space="0" w:color="auto"/>
            </w:tcBorders>
            <w:hideMark/>
          </w:tcPr>
          <w:p w:rsidR="00794012" w:rsidRPr="00E52196" w:rsidRDefault="00794012" w:rsidP="00F85BA9">
            <w:pPr>
              <w:jc w:val="center"/>
              <w:rPr>
                <w:rFonts w:eastAsiaTheme="minorHAnsi"/>
              </w:rPr>
            </w:pPr>
            <w:r w:rsidRPr="00E52196">
              <w:rPr>
                <w:rFonts w:eastAsiaTheme="minorHAnsi"/>
              </w:rPr>
              <w:t>23%</w:t>
            </w:r>
          </w:p>
        </w:tc>
      </w:tr>
    </w:tbl>
    <w:p w:rsidR="00794012" w:rsidRPr="00E52196" w:rsidRDefault="00794012" w:rsidP="00794012">
      <w:pPr>
        <w:spacing w:after="240"/>
      </w:pPr>
    </w:p>
    <w:p w:rsidR="00794012" w:rsidRPr="00E52196" w:rsidRDefault="00794012" w:rsidP="00794012">
      <w:pPr>
        <w:spacing w:after="240"/>
      </w:pPr>
      <w:r w:rsidRPr="00E52196">
        <w:t xml:space="preserve">Measures installed in </w:t>
      </w:r>
      <w:del w:id="19" w:author="Samuel Dent" w:date="2015-10-23T06:02:00Z">
        <w:r w:rsidRPr="00E52196" w:rsidDel="00794012">
          <w:delText xml:space="preserve">2012 </w:delText>
        </w:r>
      </w:del>
      <w:ins w:id="20" w:author="Samuel Dent" w:date="2015-10-23T06:02:00Z">
        <w:r w:rsidRPr="00E52196">
          <w:t>201</w:t>
        </w:r>
        <w:r>
          <w:t>6</w:t>
        </w:r>
        <w:r w:rsidRPr="00E52196">
          <w:t xml:space="preserve"> </w:t>
        </w:r>
      </w:ins>
      <w:r w:rsidRPr="00E52196">
        <w:t xml:space="preserve">will claim full savings for </w:t>
      </w:r>
      <w:del w:id="21" w:author="Samuel Dent" w:date="2015-10-23T06:02:00Z">
        <w:r w:rsidRPr="00E52196" w:rsidDel="00794012">
          <w:delText xml:space="preserve">four </w:delText>
        </w:r>
      </w:del>
      <w:ins w:id="22" w:author="Samuel Dent" w:date="2015-10-23T06:02:00Z">
        <w:r>
          <w:t>two</w:t>
        </w:r>
        <w:r w:rsidRPr="00E52196">
          <w:t xml:space="preserve"> </w:t>
        </w:r>
      </w:ins>
      <w:r w:rsidRPr="00E52196">
        <w:t>years</w:t>
      </w:r>
      <w:del w:id="23" w:author="Samuel Dent" w:date="2015-10-23T06:02:00Z">
        <w:r w:rsidRPr="00E52196" w:rsidDel="00794012">
          <w:delText>,</w:delText>
        </w:r>
      </w:del>
      <w:ins w:id="24" w:author="Samuel Dent" w:date="2015-10-23T06:02:00Z">
        <w:r>
          <w:t xml:space="preserve"> and</w:t>
        </w:r>
      </w:ins>
      <w:r w:rsidRPr="00E52196">
        <w:t xml:space="preserve"> </w:t>
      </w:r>
      <w:del w:id="25" w:author="Samuel Dent" w:date="2015-10-23T06:02:00Z">
        <w:r w:rsidRPr="00E52196" w:rsidDel="00794012">
          <w:delText xml:space="preserve">2013 </w:delText>
        </w:r>
      </w:del>
      <w:ins w:id="26" w:author="Samuel Dent" w:date="2015-10-23T06:02:00Z">
        <w:r w:rsidRPr="00E52196">
          <w:t>201</w:t>
        </w:r>
        <w:r>
          <w:t>7</w:t>
        </w:r>
        <w:r w:rsidRPr="00E52196">
          <w:t xml:space="preserve"> </w:t>
        </w:r>
      </w:ins>
      <w:r w:rsidRPr="00E52196">
        <w:t xml:space="preserve">for </w:t>
      </w:r>
      <w:del w:id="27" w:author="Samuel Dent" w:date="2015-10-23T06:02:00Z">
        <w:r w:rsidRPr="00E52196" w:rsidDel="00794012">
          <w:delText xml:space="preserve">three </w:delText>
        </w:r>
      </w:del>
      <w:ins w:id="28" w:author="Samuel Dent" w:date="2015-10-23T06:02:00Z">
        <w:r>
          <w:t>one</w:t>
        </w:r>
        <w:r w:rsidRPr="00E52196">
          <w:t xml:space="preserve"> </w:t>
        </w:r>
      </w:ins>
      <w:r w:rsidRPr="00E52196">
        <w:t>year</w:t>
      </w:r>
      <w:del w:id="29" w:author="Samuel Dent" w:date="2015-10-23T06:02:00Z">
        <w:r w:rsidRPr="00E52196" w:rsidDel="00794012">
          <w:delText>s</w:delText>
        </w:r>
      </w:del>
      <w:proofErr w:type="gramStart"/>
      <w:r w:rsidRPr="00E52196">
        <w:t>,</w:t>
      </w:r>
      <w:del w:id="30" w:author="Samuel Dent" w:date="2015-10-23T06:02:00Z">
        <w:r w:rsidRPr="00E52196" w:rsidDel="00794012">
          <w:delText xml:space="preserve"> 2014 two years and 2015 one year</w:delText>
        </w:r>
      </w:del>
      <w:r w:rsidRPr="00E52196">
        <w:t>.</w:t>
      </w:r>
      <w:proofErr w:type="gramEnd"/>
      <w:r w:rsidRPr="00E52196">
        <w:t xml:space="preserve">  Savings adjustment factors will be applied to the full savings for savings starting in </w:t>
      </w:r>
      <w:r>
        <w:t>6/1</w:t>
      </w:r>
      <w:ins w:id="31" w:author="Samuel Dent" w:date="2015-10-23T06:02:00Z">
        <w:r>
          <w:t>/</w:t>
        </w:r>
      </w:ins>
      <w:r w:rsidRPr="00E52196">
        <w:t>201</w:t>
      </w:r>
      <w:del w:id="32" w:author="Samuel Dent" w:date="2015-10-23T06:02:00Z">
        <w:r w:rsidRPr="00E52196" w:rsidDel="00794012">
          <w:delText>6</w:delText>
        </w:r>
      </w:del>
      <w:ins w:id="33" w:author="Samuel Dent" w:date="2015-10-23T06:02:00Z">
        <w:r>
          <w:t>8</w:t>
        </w:r>
      </w:ins>
      <w:r w:rsidRPr="00E52196">
        <w:t xml:space="preserve"> and for the remainder of the measure life.  The savings adjustment is equal to the ratio between wattage reduction from T8 baseline to HPT8 and wattage reduction from T12 EE ballast with 40 w lamp </w:t>
      </w:r>
      <w:proofErr w:type="gramStart"/>
      <w:r w:rsidRPr="00E52196">
        <w:t>baseline</w:t>
      </w:r>
      <w:proofErr w:type="gramEnd"/>
      <w:r w:rsidRPr="00E52196">
        <w:t xml:space="preserve"> from the table ‘T8 New and Baseline Assumptions’.</w:t>
      </w:r>
      <w:r w:rsidRPr="00E52196">
        <w:rPr>
          <w:rFonts w:ascii="Arial" w:hAnsi="Arial"/>
          <w:vertAlign w:val="superscript"/>
        </w:rPr>
        <w:footnoteReference w:id="14"/>
      </w:r>
    </w:p>
    <w:p w:rsidR="00794012" w:rsidRPr="00E52196" w:rsidRDefault="00794012" w:rsidP="00794012">
      <w:pPr>
        <w:spacing w:after="240"/>
        <w:rPr>
          <w:color w:val="1F497D"/>
        </w:rPr>
      </w:pPr>
      <w:r w:rsidRPr="00E52196">
        <w:t xml:space="preserve">Example:  2 </w:t>
      </w:r>
      <w:proofErr w:type="gramStart"/>
      <w:r w:rsidRPr="00E52196">
        <w:t>lamp</w:t>
      </w:r>
      <w:proofErr w:type="gramEnd"/>
      <w:r w:rsidRPr="00E52196">
        <w:t xml:space="preserve"> T8 to 2 lamp HPT8 retrofit saves 10 watts, while the T12 EE with 40 w lamp to HPT8 saves 33 watts. Thus the ratio of wattage reduced is 30%. Thus the ratio of wattage reduced is 30%.  </w:t>
      </w:r>
    </w:p>
    <w:p w:rsidR="00794012" w:rsidRDefault="00794012" w:rsidP="00794012">
      <w:pPr>
        <w:keepNext/>
        <w:keepLines/>
        <w:spacing w:before="200"/>
        <w:jc w:val="left"/>
        <w:outlineLvl w:val="5"/>
        <w:rPr>
          <w:rFonts w:eastAsiaTheme="majorEastAsia" w:cstheme="majorBidi"/>
          <w:b/>
          <w:iCs/>
          <w:smallCaps/>
          <w:sz w:val="22"/>
        </w:rPr>
        <w:sectPr w:rsidR="00794012" w:rsidSect="00B64B6A">
          <w:headerReference w:type="default" r:id="rId18"/>
          <w:type w:val="continuous"/>
          <w:pgSz w:w="12240" w:h="15840"/>
          <w:pgMar w:top="1440" w:right="1440" w:bottom="1440" w:left="1440" w:header="720" w:footer="720" w:gutter="0"/>
          <w:cols w:space="720"/>
        </w:sectPr>
      </w:pPr>
      <w:r w:rsidRPr="00E52196">
        <w:rPr>
          <w:rFonts w:eastAsiaTheme="majorEastAsia" w:cstheme="majorBidi"/>
          <w:b/>
          <w:iCs/>
          <w:smallCaps/>
          <w:sz w:val="22"/>
        </w:rPr>
        <w:t>Measure Code: CI-LTG-T8FX-</w:t>
      </w:r>
      <w:del w:id="34" w:author="Samuel Dent" w:date="2015-10-23T06:03:00Z">
        <w:r w:rsidRPr="00E52196" w:rsidDel="00794012">
          <w:rPr>
            <w:rFonts w:eastAsiaTheme="majorEastAsia" w:cstheme="majorBidi"/>
            <w:b/>
            <w:iCs/>
            <w:smallCaps/>
            <w:sz w:val="22"/>
          </w:rPr>
          <w:delText>V04</w:delText>
        </w:r>
      </w:del>
      <w:ins w:id="35" w:author="Samuel Dent" w:date="2015-10-23T06:03:00Z">
        <w:r w:rsidRPr="00E52196">
          <w:rPr>
            <w:rFonts w:eastAsiaTheme="majorEastAsia" w:cstheme="majorBidi"/>
            <w:b/>
            <w:iCs/>
            <w:smallCaps/>
            <w:sz w:val="22"/>
          </w:rPr>
          <w:t>V0</w:t>
        </w:r>
        <w:r>
          <w:rPr>
            <w:rFonts w:eastAsiaTheme="majorEastAsia" w:cstheme="majorBidi"/>
            <w:b/>
            <w:iCs/>
            <w:smallCaps/>
            <w:sz w:val="22"/>
          </w:rPr>
          <w:t>5</w:t>
        </w:r>
      </w:ins>
      <w:r w:rsidRPr="00E52196">
        <w:rPr>
          <w:rFonts w:eastAsiaTheme="majorEastAsia" w:cstheme="majorBidi"/>
          <w:b/>
          <w:iCs/>
          <w:smallCaps/>
          <w:sz w:val="22"/>
        </w:rPr>
        <w:t>-1</w:t>
      </w:r>
      <w:del w:id="36" w:author="Samuel Dent" w:date="2015-10-23T06:03:00Z">
        <w:r w:rsidRPr="00E52196" w:rsidDel="00794012">
          <w:rPr>
            <w:rFonts w:eastAsiaTheme="majorEastAsia" w:cstheme="majorBidi"/>
            <w:b/>
            <w:iCs/>
            <w:smallCaps/>
            <w:sz w:val="22"/>
          </w:rPr>
          <w:delText>5</w:delText>
        </w:r>
      </w:del>
      <w:ins w:id="37" w:author="Samuel Dent" w:date="2015-10-23T06:03:00Z">
        <w:r>
          <w:rPr>
            <w:rFonts w:eastAsiaTheme="majorEastAsia" w:cstheme="majorBidi"/>
            <w:b/>
            <w:iCs/>
            <w:smallCaps/>
            <w:sz w:val="22"/>
          </w:rPr>
          <w:t>6</w:t>
        </w:r>
      </w:ins>
      <w:bookmarkStart w:id="38" w:name="_GoBack"/>
      <w:bookmarkEnd w:id="38"/>
      <w:r w:rsidRPr="00E52196">
        <w:rPr>
          <w:rFonts w:eastAsiaTheme="majorEastAsia" w:cstheme="majorBidi"/>
          <w:b/>
          <w:iCs/>
          <w:smallCaps/>
          <w:sz w:val="22"/>
        </w:rPr>
        <w:t>0601</w:t>
      </w:r>
    </w:p>
    <w:p w:rsidR="00D5281E" w:rsidRDefault="00D5281E"/>
    <w:sectPr w:rsidR="00D5281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Samuel Dent" w:date="2015-10-23T06:01:00Z" w:initials="SD">
    <w:p w:rsidR="00794012" w:rsidRDefault="00794012">
      <w:pPr>
        <w:pStyle w:val="CommentText"/>
      </w:pPr>
      <w:r>
        <w:rPr>
          <w:rStyle w:val="CommentReference"/>
        </w:rPr>
        <w:annotationRef/>
      </w:r>
      <w:r>
        <w:t xml:space="preserve">Note – ICC Staff suggestion that this should be pushed two years, since updated TRM will be used for EE planning and so need to provide insight for at least another year. </w:t>
      </w:r>
    </w:p>
    <w:p w:rsidR="00794012" w:rsidRDefault="00794012">
      <w:pPr>
        <w:pStyle w:val="CommentText"/>
      </w:pPr>
      <w:r>
        <w:t>But – we will review again for v6, and also reserve the right to remove T12 baseline if ComEd study released in early 2016 shows that the market is already transformed.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012" w:rsidRDefault="00794012" w:rsidP="00794012">
      <w:pPr>
        <w:spacing w:after="0"/>
      </w:pPr>
      <w:r>
        <w:separator/>
      </w:r>
    </w:p>
  </w:endnote>
  <w:endnote w:type="continuationSeparator" w:id="0">
    <w:p w:rsidR="00794012" w:rsidRDefault="00794012" w:rsidP="007940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012" w:rsidRDefault="00794012" w:rsidP="00794012">
      <w:pPr>
        <w:spacing w:after="0"/>
      </w:pPr>
      <w:r>
        <w:separator/>
      </w:r>
    </w:p>
  </w:footnote>
  <w:footnote w:type="continuationSeparator" w:id="0">
    <w:p w:rsidR="00794012" w:rsidRDefault="00794012" w:rsidP="00794012">
      <w:pPr>
        <w:spacing w:after="0"/>
      </w:pPr>
      <w:r>
        <w:continuationSeparator/>
      </w:r>
    </w:p>
  </w:footnote>
  <w:footnote w:id="1">
    <w:p w:rsidR="00794012" w:rsidRPr="009C362B" w:rsidRDefault="00794012" w:rsidP="00794012">
      <w:pPr>
        <w:pStyle w:val="Footnote"/>
        <w:rPr>
          <w:szCs w:val="18"/>
        </w:rPr>
      </w:pPr>
      <w:r w:rsidRPr="00D53442">
        <w:rPr>
          <w:rStyle w:val="FootnoteReference"/>
          <w:sz w:val="18"/>
          <w:szCs w:val="18"/>
        </w:rPr>
        <w:footnoteRef/>
      </w:r>
      <w:r w:rsidRPr="005D0D50">
        <w:rPr>
          <w:szCs w:val="18"/>
        </w:rPr>
        <w:t xml:space="preserve"> </w:t>
      </w:r>
      <w:proofErr w:type="gramStart"/>
      <w:r w:rsidRPr="005D0D50">
        <w:rPr>
          <w:szCs w:val="18"/>
        </w:rPr>
        <w:t>Based on</w:t>
      </w:r>
      <w:r w:rsidRPr="0075793C">
        <w:rPr>
          <w:szCs w:val="18"/>
        </w:rPr>
        <w:t xml:space="preserve"> weighted average of</w:t>
      </w:r>
      <w:r w:rsidRPr="003B1236">
        <w:rPr>
          <w:szCs w:val="18"/>
        </w:rPr>
        <w:t xml:space="preserve"> </w:t>
      </w:r>
      <w:r w:rsidRPr="009C362B">
        <w:rPr>
          <w:szCs w:val="18"/>
        </w:rPr>
        <w:t xml:space="preserve">Final </w:t>
      </w:r>
      <w:proofErr w:type="spellStart"/>
      <w:r w:rsidRPr="009C362B">
        <w:rPr>
          <w:szCs w:val="18"/>
        </w:rPr>
        <w:t>ComEd’s</w:t>
      </w:r>
      <w:proofErr w:type="spellEnd"/>
      <w:r w:rsidRPr="009C362B">
        <w:rPr>
          <w:szCs w:val="18"/>
        </w:rPr>
        <w:t xml:space="preserve"> BILD program data from PY5 and PY6.</w:t>
      </w:r>
      <w:proofErr w:type="gramEnd"/>
      <w:r w:rsidRPr="009C362B">
        <w:rPr>
          <w:szCs w:val="18"/>
        </w:rPr>
        <w:t xml:space="preserve"> For Residential installations, hours of use assumptions from ‘5.5 Interior Hardwired Compact Fluorescent Lamp (CFL) Fixture’ measure should be used.</w:t>
      </w:r>
    </w:p>
  </w:footnote>
  <w:footnote w:id="2">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15 years from GDS Measure Life Report, June 2007</w:t>
      </w:r>
    </w:p>
  </w:footnote>
  <w:footnote w:id="3">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ibid </w:t>
      </w:r>
    </w:p>
  </w:footnote>
  <w:footnote w:id="4">
    <w:p w:rsidR="00794012" w:rsidRPr="009C362B" w:rsidRDefault="00794012" w:rsidP="00794012">
      <w:pPr>
        <w:pStyle w:val="Footnote"/>
        <w:rPr>
          <w:szCs w:val="18"/>
        </w:rPr>
      </w:pPr>
      <w:r w:rsidRPr="009C362B">
        <w:rPr>
          <w:szCs w:val="18"/>
          <w:vertAlign w:val="superscript"/>
        </w:rPr>
        <w:footnoteRef/>
      </w:r>
      <w:r w:rsidRPr="009C362B">
        <w:rPr>
          <w:szCs w:val="18"/>
        </w:rPr>
        <w:t xml:space="preserve"> Illinois evaluation of PY1 through PY3 has not found that fixtures or lamps placed into storage to be a significant enough issue to warrant including an “In-Service Rate” when commercial customers complete an application form.</w:t>
      </w:r>
    </w:p>
  </w:footnote>
  <w:footnote w:id="5">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1</w:t>
      </w:r>
      <w:r w:rsidRPr="009C362B">
        <w:rPr>
          <w:szCs w:val="18"/>
          <w:vertAlign w:val="superscript"/>
        </w:rPr>
        <w:t>st</w:t>
      </w:r>
      <w:r w:rsidRPr="009C362B">
        <w:rPr>
          <w:szCs w:val="18"/>
        </w:rPr>
        <w:t xml:space="preserve"> year in service rate is based upon review of PY5-6 evaluations from </w:t>
      </w:r>
      <w:proofErr w:type="spellStart"/>
      <w:r w:rsidRPr="009C362B">
        <w:rPr>
          <w:szCs w:val="18"/>
        </w:rPr>
        <w:t>ComEd’s</w:t>
      </w:r>
      <w:proofErr w:type="spellEnd"/>
      <w:r w:rsidRPr="009C362B">
        <w:rPr>
          <w:szCs w:val="18"/>
        </w:rPr>
        <w:t xml:space="preserve"> commercial lighting program (BILD) (see ‘IL Commercial Lighting ISR_2014.xls’ for more information </w:t>
      </w:r>
    </w:p>
  </w:footnote>
  <w:footnote w:id="6">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The 98% Lifetime ISR assumption is based upon review of two evaluations:</w:t>
      </w:r>
    </w:p>
    <w:p w:rsidR="00794012" w:rsidRPr="009C362B" w:rsidRDefault="00794012" w:rsidP="00794012">
      <w:pPr>
        <w:pStyle w:val="Footnote"/>
        <w:rPr>
          <w:szCs w:val="18"/>
        </w:rPr>
      </w:pPr>
      <w:r w:rsidRPr="009C362B">
        <w:rPr>
          <w:szCs w:val="18"/>
        </w:rPr>
        <w:t xml:space="preserve">‘Nexus Market Research, RLW Analytics and GDS Associates study; “New England Residential Lighting Markdown Impact Evaluation, January 20, 2009’ and ‘KEMA </w:t>
      </w:r>
      <w:proofErr w:type="spellStart"/>
      <w:r w:rsidRPr="009C362B">
        <w:rPr>
          <w:szCs w:val="18"/>
        </w:rPr>
        <w:t>Inc</w:t>
      </w:r>
      <w:proofErr w:type="spellEnd"/>
      <w:r w:rsidRPr="009C362B">
        <w:rPr>
          <w:szCs w:val="18"/>
        </w:rPr>
        <w:t>, Feb 2010, Final Evaluation Report</w:t>
      </w:r>
      <w:proofErr w:type="gramStart"/>
      <w:r w:rsidRPr="009C362B">
        <w:rPr>
          <w:szCs w:val="18"/>
        </w:rPr>
        <w:t>:,</w:t>
      </w:r>
      <w:proofErr w:type="gramEnd"/>
      <w:r w:rsidRPr="009C362B">
        <w:rPr>
          <w:szCs w:val="18"/>
        </w:rPr>
        <w:t xml:space="preserve"> Upstream Lighting Program, Volume 1.’ This implies that only 2% of bulbs purchased are never installed. The second and third year installations are based upon Ameren analysis of the Californian KEMA </w:t>
      </w:r>
      <w:proofErr w:type="gramStart"/>
      <w:r w:rsidRPr="009C362B">
        <w:rPr>
          <w:szCs w:val="18"/>
        </w:rPr>
        <w:t>study showing that 54% of future installs occur</w:t>
      </w:r>
      <w:proofErr w:type="gramEnd"/>
      <w:r w:rsidRPr="009C362B">
        <w:rPr>
          <w:szCs w:val="18"/>
        </w:rPr>
        <w:t xml:space="preserve"> in year 2 and 46% in year 3. The 2</w:t>
      </w:r>
      <w:r w:rsidRPr="009C362B">
        <w:rPr>
          <w:szCs w:val="18"/>
          <w:vertAlign w:val="superscript"/>
        </w:rPr>
        <w:t>nd</w:t>
      </w:r>
      <w:r w:rsidRPr="009C362B">
        <w:rPr>
          <w:szCs w:val="18"/>
        </w:rPr>
        <w:t xml:space="preserve"> and 3</w:t>
      </w:r>
      <w:r w:rsidRPr="009C362B">
        <w:rPr>
          <w:szCs w:val="18"/>
          <w:vertAlign w:val="superscript"/>
        </w:rPr>
        <w:t>rd</w:t>
      </w:r>
      <w:r w:rsidRPr="009C362B">
        <w:rPr>
          <w:szCs w:val="18"/>
        </w:rPr>
        <w:t xml:space="preserve"> year installations should be counted as part of those future program year savings. Note that this Final Install Rate does NOT account for leakage of purchased bulbs being installed outside of the utility territory. EM&amp;V should assess how and if data from evaluation should adjust this final installation rate to account for this impact</w:t>
      </w:r>
    </w:p>
  </w:footnote>
  <w:footnote w:id="7">
    <w:p w:rsidR="00794012" w:rsidRPr="009C362B" w:rsidRDefault="00794012" w:rsidP="00794012">
      <w:pPr>
        <w:pStyle w:val="Footnote"/>
        <w:rPr>
          <w:szCs w:val="18"/>
        </w:rPr>
      </w:pPr>
      <w:r w:rsidRPr="009C362B">
        <w:rPr>
          <w:rStyle w:val="FootnoteReference"/>
          <w:sz w:val="18"/>
          <w:szCs w:val="18"/>
        </w:rPr>
        <w:footnoteRef/>
      </w:r>
      <w:proofErr w:type="gramStart"/>
      <w:r w:rsidRPr="009C362B">
        <w:rPr>
          <w:szCs w:val="18"/>
        </w:rPr>
        <w:t>Negative value because this is an increase in heating consumption due to the efficient lighting.</w:t>
      </w:r>
      <w:proofErr w:type="gramEnd"/>
    </w:p>
  </w:footnote>
  <w:footnote w:id="8">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w:t>
      </w:r>
      <w:proofErr w:type="gramStart"/>
      <w:r w:rsidRPr="009C362B">
        <w:rPr>
          <w:szCs w:val="18"/>
        </w:rPr>
        <w:t>Negative value because this is an increase in heating consumption due to the efficient lighting.</w:t>
      </w:r>
      <w:proofErr w:type="gramEnd"/>
      <w:r w:rsidRPr="009C362B">
        <w:rPr>
          <w:szCs w:val="18"/>
        </w:rPr>
        <w:t xml:space="preserve"> </w:t>
      </w:r>
    </w:p>
  </w:footnote>
  <w:footnote w:id="9">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Adapted from Efficiency Vermont Technical Reference User Manual (TRM) Measure Savings Algorithms and Cost Assumptions, October 26, 2011.  </w:t>
      </w:r>
    </w:p>
  </w:footnote>
  <w:footnote w:id="10">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Adapted from Efficiency Vermont Technical Reference User Manual (TRM) Measure Savings Algorithms and Cost Assumptions, October 26, 2011. </w:t>
      </w:r>
    </w:p>
  </w:footnote>
  <w:footnote w:id="11">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w:t>
      </w:r>
      <w:proofErr w:type="gramStart"/>
      <w:r w:rsidRPr="009C362B">
        <w:rPr>
          <w:szCs w:val="18"/>
        </w:rPr>
        <w:t>Ibid.</w:t>
      </w:r>
      <w:proofErr w:type="gramEnd"/>
      <w:r w:rsidRPr="009C362B">
        <w:rPr>
          <w:szCs w:val="18"/>
        </w:rPr>
        <w:t xml:space="preserve"> </w:t>
      </w:r>
    </w:p>
  </w:footnote>
  <w:footnote w:id="12">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Efficiency Vermont Technical Reference User Manual (TRM) Measure Savings Algorithms and Cost Assumptions, January 2012. </w:t>
      </w:r>
    </w:p>
  </w:footnote>
  <w:footnote w:id="13">
    <w:p w:rsidR="00794012" w:rsidRPr="009C362B" w:rsidRDefault="00794012" w:rsidP="00794012">
      <w:pPr>
        <w:pStyle w:val="Footnote"/>
        <w:rPr>
          <w:szCs w:val="18"/>
        </w:rPr>
      </w:pPr>
      <w:r w:rsidRPr="009C362B">
        <w:rPr>
          <w:rStyle w:val="FootnoteReference"/>
          <w:sz w:val="18"/>
          <w:szCs w:val="18"/>
        </w:rPr>
        <w:footnoteRef/>
      </w:r>
      <w:r w:rsidRPr="009C362B">
        <w:rPr>
          <w:szCs w:val="18"/>
        </w:rPr>
        <w:t xml:space="preserve"> Adapted from EVT Technical Resource Manual, 2012-75, page 85.</w:t>
      </w:r>
    </w:p>
  </w:footnote>
  <w:footnote w:id="14">
    <w:p w:rsidR="00794012" w:rsidRPr="009C362B" w:rsidRDefault="00794012" w:rsidP="00794012">
      <w:pPr>
        <w:pStyle w:val="Footnote"/>
        <w:rPr>
          <w:szCs w:val="18"/>
        </w:rPr>
      </w:pPr>
      <w:r w:rsidRPr="009C362B">
        <w:rPr>
          <w:szCs w:val="18"/>
          <w:vertAlign w:val="superscript"/>
        </w:rPr>
        <w:footnoteRef/>
      </w:r>
      <w:r w:rsidRPr="009C362B">
        <w:rPr>
          <w:szCs w:val="18"/>
        </w:rPr>
        <w:t xml:space="preserve"> Efficiency Vermont Technical Reference User Manual (TRM) Measure Savings Algorithms and Cost Assumptions, October 26, 2011 </w:t>
      </w:r>
    </w:p>
    <w:p w:rsidR="00794012" w:rsidRPr="009C362B" w:rsidRDefault="00794012" w:rsidP="00794012">
      <w:pPr>
        <w:pStyle w:val="Footnote"/>
        <w:rPr>
          <w:szCs w:val="18"/>
        </w:rPr>
      </w:pPr>
      <w:r w:rsidRPr="009C362B">
        <w:rPr>
          <w:szCs w:val="18"/>
        </w:rPr>
        <w:t xml:space="preserve">  EPE Program Downloads.  Web accessed </w:t>
      </w:r>
      <w:hyperlink r:id="rId1" w:history="1">
        <w:r w:rsidRPr="009C362B">
          <w:rPr>
            <w:rStyle w:val="Hyperlink"/>
            <w:rFonts w:cstheme="minorHAnsi"/>
            <w:szCs w:val="18"/>
          </w:rPr>
          <w:t>http://www.epelectricefficiency.com/downloads.asp?section=ci</w:t>
        </w:r>
      </w:hyperlink>
      <w:r w:rsidRPr="009C362B">
        <w:rPr>
          <w:szCs w:val="18"/>
        </w:rPr>
        <w:t xml:space="preserve">  download Copy of LSF_2012_v4.04_250rows.xls. </w:t>
      </w:r>
    </w:p>
    <w:p w:rsidR="00794012" w:rsidRPr="009C362B" w:rsidRDefault="00794012" w:rsidP="00794012">
      <w:pPr>
        <w:pStyle w:val="Footnote"/>
        <w:rPr>
          <w:szCs w:val="18"/>
        </w:rPr>
      </w:pPr>
      <w:r w:rsidRPr="009C362B">
        <w:rPr>
          <w:szCs w:val="18"/>
        </w:rPr>
        <w:t xml:space="preserve">  </w:t>
      </w:r>
      <w:proofErr w:type="spellStart"/>
      <w:r w:rsidRPr="009C362B">
        <w:rPr>
          <w:szCs w:val="18"/>
        </w:rPr>
        <w:t>Kuiken</w:t>
      </w:r>
      <w:proofErr w:type="spellEnd"/>
      <w:r w:rsidRPr="009C362B">
        <w:rPr>
          <w:szCs w:val="18"/>
        </w:rPr>
        <w:t xml:space="preserve"> et al, Focus on Energy Evaluation. Business Programs:  Deemed Savings Manual v1.0, </w:t>
      </w:r>
      <w:proofErr w:type="spellStart"/>
      <w:r w:rsidRPr="009C362B">
        <w:rPr>
          <w:szCs w:val="18"/>
        </w:rPr>
        <w:t>Kema</w:t>
      </w:r>
      <w:proofErr w:type="spellEnd"/>
      <w:r w:rsidRPr="009C362B">
        <w:rPr>
          <w:szCs w:val="18"/>
        </w:rPr>
        <w:t xml:space="preserve">, </w:t>
      </w:r>
      <w:proofErr w:type="gramStart"/>
      <w:r w:rsidRPr="009C362B">
        <w:rPr>
          <w:szCs w:val="18"/>
        </w:rPr>
        <w:t>march</w:t>
      </w:r>
      <w:proofErr w:type="gramEnd"/>
      <w:r w:rsidRPr="009C362B">
        <w:rPr>
          <w:szCs w:val="18"/>
        </w:rPr>
        <w:t xml:space="preserve"> 22, 2010 available at      </w:t>
      </w:r>
      <w:hyperlink r:id="rId2" w:history="1">
        <w:r w:rsidRPr="009C362B">
          <w:rPr>
            <w:rStyle w:val="Hyperlink"/>
            <w:rFonts w:cstheme="minorHAnsi"/>
            <w:szCs w:val="18"/>
          </w:rPr>
          <w:t>http://www.focusonenergy.com/files/Document_Management_System/Evaluation/bpdeemedsavingsmanuav10_evaluationreport.pdf</w:t>
        </w:r>
      </w:hyperlink>
      <w:r w:rsidRPr="009C362B">
        <w:rPr>
          <w:szCs w:val="18"/>
        </w:rPr>
        <w:t xml:space="preserve"> Based on </w:t>
      </w:r>
      <w:proofErr w:type="spellStart"/>
      <w:r w:rsidRPr="009C362B">
        <w:rPr>
          <w:szCs w:val="18"/>
        </w:rPr>
        <w:t>ComEd’s</w:t>
      </w:r>
      <w:proofErr w:type="spellEnd"/>
      <w:r w:rsidRPr="009C362B">
        <w:rPr>
          <w:szCs w:val="18"/>
        </w:rPr>
        <w:t xml:space="preserve"> BILD program data from PY4 and PY5. For Residential installations, hours of use assumptions from ‘5.5.6 LED </w:t>
      </w:r>
      <w:proofErr w:type="spellStart"/>
      <w:r w:rsidRPr="009C362B">
        <w:rPr>
          <w:szCs w:val="18"/>
        </w:rPr>
        <w:t>Downlights</w:t>
      </w:r>
      <w:proofErr w:type="spellEnd"/>
      <w:r w:rsidRPr="009C362B">
        <w:rPr>
          <w:szCs w:val="18"/>
        </w:rPr>
        <w:t>’ should be used for LED fixtures and ‘5.5.8 LED Screw Based Omnidirectional Bulbs’ should be used for LED bulbs.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012" w:rsidRPr="00CE5983" w:rsidRDefault="00794012" w:rsidP="008F033B">
    <w:pPr>
      <w:pStyle w:val="Header"/>
      <w:pBdr>
        <w:bottom w:val="single" w:sz="4" w:space="1" w:color="auto"/>
      </w:pBdr>
      <w:jc w:val="left"/>
      <w:rPr>
        <w:sz w:val="22"/>
      </w:rPr>
    </w:pPr>
    <w:r w:rsidRPr="00CE5983">
      <w:rPr>
        <w:sz w:val="22"/>
      </w:rPr>
      <w:t>Illinois Statewide Technical Reference Manual</w:t>
    </w:r>
    <w:r>
      <w:rPr>
        <w:sz w:val="22"/>
      </w:rPr>
      <w:t xml:space="preserve"> - </w:t>
    </w:r>
    <w:r>
      <w:rPr>
        <w:sz w:val="22"/>
      </w:rPr>
      <w:fldChar w:fldCharType="begin"/>
    </w:r>
    <w:r>
      <w:rPr>
        <w:sz w:val="22"/>
      </w:rPr>
      <w:instrText xml:space="preserve"> REF _Ref325900302 \r \h </w:instrText>
    </w:r>
    <w:r>
      <w:rPr>
        <w:sz w:val="22"/>
      </w:rPr>
    </w:r>
    <w:r>
      <w:rPr>
        <w:sz w:val="22"/>
      </w:rPr>
      <w:fldChar w:fldCharType="separate"/>
    </w:r>
    <w:r>
      <w:rPr>
        <w:sz w:val="22"/>
      </w:rPr>
      <w:t>4.5.3</w:t>
    </w:r>
    <w:r>
      <w:rPr>
        <w:sz w:val="22"/>
      </w:rPr>
      <w:fldChar w:fldCharType="end"/>
    </w:r>
    <w:r>
      <w:rPr>
        <w:sz w:val="22"/>
      </w:rPr>
      <w:t xml:space="preserve"> </w:t>
    </w:r>
    <w:r>
      <w:rPr>
        <w:sz w:val="22"/>
      </w:rPr>
      <w:fldChar w:fldCharType="begin"/>
    </w:r>
    <w:r>
      <w:rPr>
        <w:sz w:val="22"/>
      </w:rPr>
      <w:instrText xml:space="preserve"> REF _Ref325900302 \h </w:instrText>
    </w:r>
    <w:r>
      <w:rPr>
        <w:sz w:val="22"/>
      </w:rPr>
    </w:r>
    <w:r>
      <w:rPr>
        <w:sz w:val="22"/>
      </w:rPr>
      <w:fldChar w:fldCharType="separate"/>
    </w:r>
    <w:r>
      <w:t>High Performance and Reduced Wattage T8 Fixtures and Lamps</w:t>
    </w:r>
    <w:r>
      <w:rPr>
        <w:sz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012" w:rsidRPr="00CE5983" w:rsidRDefault="00794012" w:rsidP="008F033B">
    <w:pPr>
      <w:pStyle w:val="Header"/>
      <w:pBdr>
        <w:bottom w:val="single" w:sz="4" w:space="1" w:color="auto"/>
      </w:pBdr>
      <w:jc w:val="left"/>
      <w:rPr>
        <w:sz w:val="22"/>
      </w:rPr>
    </w:pPr>
    <w:r w:rsidRPr="00CE5983">
      <w:rPr>
        <w:sz w:val="22"/>
      </w:rPr>
      <w:t>Illinois Statewide Technical Reference Manual</w:t>
    </w:r>
    <w:r>
      <w:rPr>
        <w:sz w:val="22"/>
      </w:rPr>
      <w:t xml:space="preserve"> - </w:t>
    </w:r>
    <w:r>
      <w:rPr>
        <w:sz w:val="22"/>
      </w:rPr>
      <w:fldChar w:fldCharType="begin"/>
    </w:r>
    <w:r>
      <w:rPr>
        <w:sz w:val="22"/>
      </w:rPr>
      <w:instrText xml:space="preserve"> REF _Ref325900302 \r \h </w:instrText>
    </w:r>
    <w:r>
      <w:rPr>
        <w:sz w:val="22"/>
      </w:rPr>
    </w:r>
    <w:r>
      <w:rPr>
        <w:sz w:val="22"/>
      </w:rPr>
      <w:fldChar w:fldCharType="separate"/>
    </w:r>
    <w:r>
      <w:rPr>
        <w:sz w:val="22"/>
      </w:rPr>
      <w:t>4.5.3</w:t>
    </w:r>
    <w:r>
      <w:rPr>
        <w:sz w:val="22"/>
      </w:rPr>
      <w:fldChar w:fldCharType="end"/>
    </w:r>
    <w:r>
      <w:rPr>
        <w:sz w:val="22"/>
      </w:rPr>
      <w:t xml:space="preserve"> </w:t>
    </w:r>
    <w:r>
      <w:rPr>
        <w:sz w:val="22"/>
      </w:rPr>
      <w:fldChar w:fldCharType="begin"/>
    </w:r>
    <w:r>
      <w:rPr>
        <w:sz w:val="22"/>
      </w:rPr>
      <w:instrText xml:space="preserve"> REF _Ref325900302 \h </w:instrText>
    </w:r>
    <w:r>
      <w:rPr>
        <w:sz w:val="22"/>
      </w:rPr>
    </w:r>
    <w:r>
      <w:rPr>
        <w:sz w:val="22"/>
      </w:rPr>
      <w:fldChar w:fldCharType="separate"/>
    </w:r>
    <w:r>
      <w:t>High Performance and Reduced Wattage T8 Fixtures and Lamps</w:t>
    </w:r>
    <w:r>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62B923DF"/>
    <w:multiLevelType w:val="multilevel"/>
    <w:tmpl w:val="A64ADAE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012"/>
    <w:rsid w:val="00794012"/>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01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79401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79401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79401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79401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794012"/>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79401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79401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79401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9401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79401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79401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794012"/>
    <w:rPr>
      <w:rFonts w:ascii="Calibri" w:eastAsiaTheme="minorEastAsia" w:hAnsi="Calibri" w:cs="Arial"/>
      <w:bCs/>
      <w:i/>
      <w:noProof/>
    </w:rPr>
  </w:style>
  <w:style w:type="character" w:customStyle="1" w:styleId="Heading5Char">
    <w:name w:val="Heading 5 Char"/>
    <w:basedOn w:val="DefaultParagraphFont"/>
    <w:link w:val="Heading5"/>
    <w:uiPriority w:val="99"/>
    <w:rsid w:val="00794012"/>
    <w:rPr>
      <w:rFonts w:ascii="Calibri" w:eastAsia="Times New Roman" w:hAnsi="Calibri" w:cs="Times New Roman"/>
      <w:sz w:val="20"/>
    </w:rPr>
  </w:style>
  <w:style w:type="character" w:customStyle="1" w:styleId="Heading7Char">
    <w:name w:val="Heading 7 Char"/>
    <w:basedOn w:val="DefaultParagraphFont"/>
    <w:link w:val="Heading7"/>
    <w:uiPriority w:val="99"/>
    <w:rsid w:val="0079401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79401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794012"/>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794012"/>
    <w:rPr>
      <w:rFonts w:ascii="Calibri" w:eastAsiaTheme="minorEastAsia" w:hAnsi="Calibri" w:cs="Times New Roman"/>
      <w:bCs/>
      <w:sz w:val="24"/>
      <w:szCs w:val="24"/>
    </w:rPr>
  </w:style>
  <w:style w:type="paragraph" w:styleId="Header">
    <w:name w:val="header"/>
    <w:basedOn w:val="Normal"/>
    <w:link w:val="HeaderChar"/>
    <w:uiPriority w:val="99"/>
    <w:rsid w:val="00794012"/>
    <w:pPr>
      <w:tabs>
        <w:tab w:val="center" w:pos="4320"/>
        <w:tab w:val="right" w:pos="8640"/>
      </w:tabs>
    </w:pPr>
  </w:style>
  <w:style w:type="character" w:customStyle="1" w:styleId="HeaderChar">
    <w:name w:val="Header Char"/>
    <w:basedOn w:val="DefaultParagraphFont"/>
    <w:link w:val="Header"/>
    <w:uiPriority w:val="99"/>
    <w:rsid w:val="00794012"/>
    <w:rPr>
      <w:rFonts w:eastAsia="Times New Roman" w:cs="Times New Roman"/>
      <w:sz w:val="20"/>
    </w:rPr>
  </w:style>
  <w:style w:type="character" w:styleId="FootnoteReference">
    <w:name w:val="footnote reference"/>
    <w:aliases w:val="Footnote_Reference,o,fr"/>
    <w:uiPriority w:val="99"/>
    <w:qFormat/>
    <w:rsid w:val="00794012"/>
    <w:rPr>
      <w:rFonts w:ascii="Arial" w:hAnsi="Arial" w:cs="Times New Roman"/>
      <w:sz w:val="20"/>
      <w:vertAlign w:val="superscript"/>
    </w:rPr>
  </w:style>
  <w:style w:type="character" w:styleId="Hyperlink">
    <w:name w:val="Hyperlink"/>
    <w:uiPriority w:val="99"/>
    <w:rsid w:val="00794012"/>
    <w:rPr>
      <w:rFonts w:cs="Times New Roman"/>
      <w:color w:val="0000FF"/>
      <w:u w:val="single"/>
    </w:rPr>
  </w:style>
  <w:style w:type="character" w:customStyle="1" w:styleId="FootnoteChar">
    <w:name w:val="Footnote Char"/>
    <w:basedOn w:val="DefaultParagraphFont"/>
    <w:link w:val="Footnote"/>
    <w:rsid w:val="00794012"/>
    <w:rPr>
      <w:rFonts w:eastAsiaTheme="minorEastAsia" w:cstheme="minorHAnsi"/>
      <w:sz w:val="18"/>
      <w:szCs w:val="20"/>
    </w:rPr>
  </w:style>
  <w:style w:type="paragraph" w:customStyle="1" w:styleId="Footnote">
    <w:name w:val="Footnote"/>
    <w:basedOn w:val="FootnoteText"/>
    <w:link w:val="FootnoteChar"/>
    <w:autoRedefine/>
    <w:qFormat/>
    <w:rsid w:val="00794012"/>
    <w:pPr>
      <w:jc w:val="left"/>
    </w:pPr>
    <w:rPr>
      <w:rFonts w:eastAsiaTheme="minorEastAsia" w:cstheme="minorHAnsi"/>
      <w:sz w:val="18"/>
    </w:rPr>
  </w:style>
  <w:style w:type="table" w:customStyle="1" w:styleId="TableGrid5">
    <w:name w:val="Table Grid5"/>
    <w:basedOn w:val="TableNormal"/>
    <w:next w:val="TableGrid"/>
    <w:uiPriority w:val="59"/>
    <w:rsid w:val="0079401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794012"/>
    <w:pPr>
      <w:spacing w:after="0"/>
    </w:pPr>
    <w:rPr>
      <w:szCs w:val="20"/>
    </w:rPr>
  </w:style>
  <w:style w:type="character" w:customStyle="1" w:styleId="FootnoteTextChar">
    <w:name w:val="Footnote Text Char"/>
    <w:basedOn w:val="DefaultParagraphFont"/>
    <w:link w:val="FootnoteText"/>
    <w:uiPriority w:val="99"/>
    <w:semiHidden/>
    <w:rsid w:val="00794012"/>
    <w:rPr>
      <w:rFonts w:eastAsia="Times New Roman" w:cs="Times New Roman"/>
      <w:sz w:val="20"/>
      <w:szCs w:val="20"/>
    </w:rPr>
  </w:style>
  <w:style w:type="table" w:styleId="TableGrid">
    <w:name w:val="Table Grid"/>
    <w:basedOn w:val="TableNormal"/>
    <w:uiPriority w:val="59"/>
    <w:rsid w:val="007940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9401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01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94012"/>
    <w:rPr>
      <w:sz w:val="16"/>
      <w:szCs w:val="16"/>
    </w:rPr>
  </w:style>
  <w:style w:type="paragraph" w:styleId="CommentText">
    <w:name w:val="annotation text"/>
    <w:basedOn w:val="Normal"/>
    <w:link w:val="CommentTextChar"/>
    <w:uiPriority w:val="99"/>
    <w:semiHidden/>
    <w:unhideWhenUsed/>
    <w:rsid w:val="00794012"/>
    <w:rPr>
      <w:szCs w:val="20"/>
    </w:rPr>
  </w:style>
  <w:style w:type="character" w:customStyle="1" w:styleId="CommentTextChar">
    <w:name w:val="Comment Text Char"/>
    <w:basedOn w:val="DefaultParagraphFont"/>
    <w:link w:val="CommentText"/>
    <w:uiPriority w:val="99"/>
    <w:semiHidden/>
    <w:rsid w:val="0079401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94012"/>
    <w:rPr>
      <w:b/>
      <w:bCs/>
    </w:rPr>
  </w:style>
  <w:style w:type="character" w:customStyle="1" w:styleId="CommentSubjectChar">
    <w:name w:val="Comment Subject Char"/>
    <w:basedOn w:val="CommentTextChar"/>
    <w:link w:val="CommentSubject"/>
    <w:uiPriority w:val="99"/>
    <w:semiHidden/>
    <w:rsid w:val="00794012"/>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01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79401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79401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79401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79401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794012"/>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79401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79401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79401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9401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79401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79401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794012"/>
    <w:rPr>
      <w:rFonts w:ascii="Calibri" w:eastAsiaTheme="minorEastAsia" w:hAnsi="Calibri" w:cs="Arial"/>
      <w:bCs/>
      <w:i/>
      <w:noProof/>
    </w:rPr>
  </w:style>
  <w:style w:type="character" w:customStyle="1" w:styleId="Heading5Char">
    <w:name w:val="Heading 5 Char"/>
    <w:basedOn w:val="DefaultParagraphFont"/>
    <w:link w:val="Heading5"/>
    <w:uiPriority w:val="99"/>
    <w:rsid w:val="00794012"/>
    <w:rPr>
      <w:rFonts w:ascii="Calibri" w:eastAsia="Times New Roman" w:hAnsi="Calibri" w:cs="Times New Roman"/>
      <w:sz w:val="20"/>
    </w:rPr>
  </w:style>
  <w:style w:type="character" w:customStyle="1" w:styleId="Heading7Char">
    <w:name w:val="Heading 7 Char"/>
    <w:basedOn w:val="DefaultParagraphFont"/>
    <w:link w:val="Heading7"/>
    <w:uiPriority w:val="99"/>
    <w:rsid w:val="0079401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79401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794012"/>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794012"/>
    <w:rPr>
      <w:rFonts w:ascii="Calibri" w:eastAsiaTheme="minorEastAsia" w:hAnsi="Calibri" w:cs="Times New Roman"/>
      <w:bCs/>
      <w:sz w:val="24"/>
      <w:szCs w:val="24"/>
    </w:rPr>
  </w:style>
  <w:style w:type="paragraph" w:styleId="Header">
    <w:name w:val="header"/>
    <w:basedOn w:val="Normal"/>
    <w:link w:val="HeaderChar"/>
    <w:uiPriority w:val="99"/>
    <w:rsid w:val="00794012"/>
    <w:pPr>
      <w:tabs>
        <w:tab w:val="center" w:pos="4320"/>
        <w:tab w:val="right" w:pos="8640"/>
      </w:tabs>
    </w:pPr>
  </w:style>
  <w:style w:type="character" w:customStyle="1" w:styleId="HeaderChar">
    <w:name w:val="Header Char"/>
    <w:basedOn w:val="DefaultParagraphFont"/>
    <w:link w:val="Header"/>
    <w:uiPriority w:val="99"/>
    <w:rsid w:val="00794012"/>
    <w:rPr>
      <w:rFonts w:eastAsia="Times New Roman" w:cs="Times New Roman"/>
      <w:sz w:val="20"/>
    </w:rPr>
  </w:style>
  <w:style w:type="character" w:styleId="FootnoteReference">
    <w:name w:val="footnote reference"/>
    <w:aliases w:val="Footnote_Reference,o,fr"/>
    <w:uiPriority w:val="99"/>
    <w:qFormat/>
    <w:rsid w:val="00794012"/>
    <w:rPr>
      <w:rFonts w:ascii="Arial" w:hAnsi="Arial" w:cs="Times New Roman"/>
      <w:sz w:val="20"/>
      <w:vertAlign w:val="superscript"/>
    </w:rPr>
  </w:style>
  <w:style w:type="character" w:styleId="Hyperlink">
    <w:name w:val="Hyperlink"/>
    <w:uiPriority w:val="99"/>
    <w:rsid w:val="00794012"/>
    <w:rPr>
      <w:rFonts w:cs="Times New Roman"/>
      <w:color w:val="0000FF"/>
      <w:u w:val="single"/>
    </w:rPr>
  </w:style>
  <w:style w:type="character" w:customStyle="1" w:styleId="FootnoteChar">
    <w:name w:val="Footnote Char"/>
    <w:basedOn w:val="DefaultParagraphFont"/>
    <w:link w:val="Footnote"/>
    <w:rsid w:val="00794012"/>
    <w:rPr>
      <w:rFonts w:eastAsiaTheme="minorEastAsia" w:cstheme="minorHAnsi"/>
      <w:sz w:val="18"/>
      <w:szCs w:val="20"/>
    </w:rPr>
  </w:style>
  <w:style w:type="paragraph" w:customStyle="1" w:styleId="Footnote">
    <w:name w:val="Footnote"/>
    <w:basedOn w:val="FootnoteText"/>
    <w:link w:val="FootnoteChar"/>
    <w:autoRedefine/>
    <w:qFormat/>
    <w:rsid w:val="00794012"/>
    <w:pPr>
      <w:jc w:val="left"/>
    </w:pPr>
    <w:rPr>
      <w:rFonts w:eastAsiaTheme="minorEastAsia" w:cstheme="minorHAnsi"/>
      <w:sz w:val="18"/>
    </w:rPr>
  </w:style>
  <w:style w:type="table" w:customStyle="1" w:styleId="TableGrid5">
    <w:name w:val="Table Grid5"/>
    <w:basedOn w:val="TableNormal"/>
    <w:next w:val="TableGrid"/>
    <w:uiPriority w:val="59"/>
    <w:rsid w:val="0079401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794012"/>
    <w:pPr>
      <w:spacing w:after="0"/>
    </w:pPr>
    <w:rPr>
      <w:szCs w:val="20"/>
    </w:rPr>
  </w:style>
  <w:style w:type="character" w:customStyle="1" w:styleId="FootnoteTextChar">
    <w:name w:val="Footnote Text Char"/>
    <w:basedOn w:val="DefaultParagraphFont"/>
    <w:link w:val="FootnoteText"/>
    <w:uiPriority w:val="99"/>
    <w:semiHidden/>
    <w:rsid w:val="00794012"/>
    <w:rPr>
      <w:rFonts w:eastAsia="Times New Roman" w:cs="Times New Roman"/>
      <w:sz w:val="20"/>
      <w:szCs w:val="20"/>
    </w:rPr>
  </w:style>
  <w:style w:type="table" w:styleId="TableGrid">
    <w:name w:val="Table Grid"/>
    <w:basedOn w:val="TableNormal"/>
    <w:uiPriority w:val="59"/>
    <w:rsid w:val="007940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9401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01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794012"/>
    <w:rPr>
      <w:sz w:val="16"/>
      <w:szCs w:val="16"/>
    </w:rPr>
  </w:style>
  <w:style w:type="paragraph" w:styleId="CommentText">
    <w:name w:val="annotation text"/>
    <w:basedOn w:val="Normal"/>
    <w:link w:val="CommentTextChar"/>
    <w:uiPriority w:val="99"/>
    <w:semiHidden/>
    <w:unhideWhenUsed/>
    <w:rsid w:val="00794012"/>
    <w:rPr>
      <w:szCs w:val="20"/>
    </w:rPr>
  </w:style>
  <w:style w:type="character" w:customStyle="1" w:styleId="CommentTextChar">
    <w:name w:val="Comment Text Char"/>
    <w:basedOn w:val="DefaultParagraphFont"/>
    <w:link w:val="CommentText"/>
    <w:uiPriority w:val="99"/>
    <w:semiHidden/>
    <w:rsid w:val="0079401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94012"/>
    <w:rPr>
      <w:b/>
      <w:bCs/>
    </w:rPr>
  </w:style>
  <w:style w:type="character" w:customStyle="1" w:styleId="CommentSubjectChar">
    <w:name w:val="Comment Subject Char"/>
    <w:basedOn w:val="CommentTextChar"/>
    <w:link w:val="CommentSubject"/>
    <w:uiPriority w:val="99"/>
    <w:semiHidden/>
    <w:rsid w:val="00794012"/>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e1.org/com/com-lt/com-lt-main.php3" TargetMode="External"/><Relationship Id="rId13" Type="http://schemas.openxmlformats.org/officeDocument/2006/relationships/image" Target="media/image2.emf"/><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image" Target="cid:image001.png@01CD0366.67BC3EB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lsag.org/questions" TargetMode="Externa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deeresources.com" TargetMode="External"/><Relationship Id="rId1" Type="http://schemas.openxmlformats.org/officeDocument/2006/relationships/hyperlink" Target="http://www.eia.gov/consumption/residential/data/2009/xls/HC7.9%20Air%20Conditioning%20in%20Midwest%20Region.xls?section=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B1D5ECEB</Template>
  <TotalTime>7</TotalTime>
  <Pages>15</Pages>
  <Words>2507</Words>
  <Characters>14295</Characters>
  <Application>Microsoft Office Word</Application>
  <DocSecurity>0</DocSecurity>
  <Lines>119</Lines>
  <Paragraphs>33</Paragraphs>
  <ScaleCrop>false</ScaleCrop>
  <Company>VEIC</Company>
  <LinksUpToDate>false</LinksUpToDate>
  <CharactersWithSpaces>16769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2015-10-23T09:57:00Z</dcterms:created>
  <dcterms:modified xsi:type="dcterms:W3CDTF">2015-10-23T10:04:00Z</dcterms:modified>
</cp:coreProperties>
</file>