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FE4" w:rsidRPr="009C362B" w:rsidRDefault="003A6FE4" w:rsidP="003A6FE4">
      <w:pPr>
        <w:widowControl/>
        <w:spacing w:after="160" w:line="360" w:lineRule="auto"/>
        <w:jc w:val="center"/>
        <w:rPr>
          <w:rFonts w:eastAsia="Franklin Gothic Book"/>
          <w:b/>
          <w:sz w:val="40"/>
          <w:szCs w:val="40"/>
        </w:rPr>
      </w:pPr>
      <w:r w:rsidRPr="009C362B">
        <w:rPr>
          <w:rFonts w:eastAsia="Franklin Gothic Book"/>
          <w:b/>
          <w:sz w:val="40"/>
          <w:szCs w:val="40"/>
        </w:rPr>
        <w:t>Illinois Statewide</w:t>
      </w:r>
    </w:p>
    <w:p w:rsidR="003A6FE4" w:rsidRPr="009C362B" w:rsidRDefault="003A6FE4" w:rsidP="003A6FE4">
      <w:pPr>
        <w:widowControl/>
        <w:spacing w:after="160" w:line="360" w:lineRule="auto"/>
        <w:jc w:val="center"/>
        <w:rPr>
          <w:rFonts w:eastAsia="Franklin Gothic Book"/>
          <w:b/>
          <w:sz w:val="40"/>
          <w:szCs w:val="40"/>
        </w:rPr>
      </w:pPr>
      <w:r w:rsidRPr="009C362B">
        <w:rPr>
          <w:rFonts w:eastAsia="Franklin Gothic Book"/>
          <w:b/>
          <w:sz w:val="40"/>
          <w:szCs w:val="40"/>
        </w:rPr>
        <w:t>Technical Reference Manual</w:t>
      </w:r>
    </w:p>
    <w:p w:rsidR="003A6FE4" w:rsidRPr="009C362B" w:rsidRDefault="003A6FE4" w:rsidP="003A6FE4">
      <w:pPr>
        <w:widowControl/>
        <w:spacing w:after="160" w:line="360" w:lineRule="auto"/>
        <w:jc w:val="center"/>
        <w:rPr>
          <w:rFonts w:eastAsia="Franklin Gothic Book"/>
          <w:b/>
          <w:sz w:val="40"/>
          <w:szCs w:val="40"/>
        </w:rPr>
      </w:pPr>
      <w:proofErr w:type="gramStart"/>
      <w:r w:rsidRPr="009C362B">
        <w:rPr>
          <w:rFonts w:eastAsia="Franklin Gothic Book"/>
          <w:b/>
          <w:sz w:val="40"/>
          <w:szCs w:val="40"/>
        </w:rPr>
        <w:t>for</w:t>
      </w:r>
      <w:proofErr w:type="gramEnd"/>
      <w:r w:rsidRPr="009C362B">
        <w:rPr>
          <w:rFonts w:eastAsia="Franklin Gothic Book"/>
          <w:b/>
          <w:sz w:val="40"/>
          <w:szCs w:val="40"/>
        </w:rPr>
        <w:t xml:space="preserve"> Energy Efficiency</w:t>
      </w:r>
    </w:p>
    <w:p w:rsidR="003A6FE4" w:rsidRPr="009C362B" w:rsidRDefault="003A6FE4" w:rsidP="003A6FE4">
      <w:pPr>
        <w:widowControl/>
        <w:spacing w:after="160" w:line="360" w:lineRule="auto"/>
        <w:jc w:val="center"/>
        <w:rPr>
          <w:rFonts w:eastAsia="Franklin Gothic Book"/>
          <w:b/>
          <w:sz w:val="72"/>
          <w:szCs w:val="72"/>
        </w:rPr>
      </w:pPr>
      <w:r>
        <w:rPr>
          <w:rFonts w:eastAsia="Franklin Gothic Book"/>
          <w:b/>
          <w:sz w:val="72"/>
          <w:szCs w:val="72"/>
        </w:rPr>
        <w:t>Attachment B</w:t>
      </w:r>
    </w:p>
    <w:p w:rsidR="003A6FE4" w:rsidRPr="009C362B" w:rsidRDefault="003A6FE4" w:rsidP="003A6FE4">
      <w:pPr>
        <w:widowControl/>
        <w:spacing w:after="160" w:line="360" w:lineRule="auto"/>
        <w:jc w:val="center"/>
        <w:rPr>
          <w:rFonts w:eastAsia="Franklin Gothic Book"/>
          <w:b/>
          <w:sz w:val="72"/>
          <w:szCs w:val="72"/>
        </w:rPr>
      </w:pPr>
      <w:r w:rsidRPr="009C362B">
        <w:rPr>
          <w:rFonts w:eastAsia="Franklin Gothic Book"/>
          <w:b/>
          <w:sz w:val="72"/>
          <w:szCs w:val="72"/>
        </w:rPr>
        <w:t xml:space="preserve">Illinois Statewide </w:t>
      </w:r>
    </w:p>
    <w:p w:rsidR="003A6FE4" w:rsidRPr="009C362B" w:rsidRDefault="003A6FE4" w:rsidP="003A6FE4">
      <w:pPr>
        <w:widowControl/>
        <w:spacing w:after="160" w:line="360" w:lineRule="auto"/>
        <w:jc w:val="center"/>
        <w:rPr>
          <w:rFonts w:eastAsia="Franklin Gothic Book"/>
          <w:b/>
          <w:sz w:val="72"/>
          <w:szCs w:val="72"/>
        </w:rPr>
      </w:pPr>
      <w:r>
        <w:rPr>
          <w:rFonts w:eastAsia="Franklin Gothic Book"/>
          <w:b/>
          <w:sz w:val="72"/>
          <w:szCs w:val="72"/>
        </w:rPr>
        <w:t>Non Energy Benefits</w:t>
      </w:r>
    </w:p>
    <w:p w:rsidR="003A6FE4" w:rsidRPr="009C362B" w:rsidRDefault="003A6FE4" w:rsidP="003A6FE4">
      <w:pPr>
        <w:widowControl/>
        <w:spacing w:after="160" w:line="360" w:lineRule="auto"/>
        <w:jc w:val="center"/>
        <w:rPr>
          <w:rFonts w:eastAsia="Franklin Gothic Book"/>
          <w:b/>
          <w:sz w:val="72"/>
          <w:szCs w:val="72"/>
        </w:rPr>
      </w:pPr>
      <w:r w:rsidRPr="009C362B">
        <w:rPr>
          <w:rFonts w:eastAsia="Franklin Gothic Book"/>
          <w:b/>
          <w:sz w:val="72"/>
          <w:szCs w:val="72"/>
        </w:rPr>
        <w:t>Methodologies</w:t>
      </w:r>
    </w:p>
    <w:p w:rsidR="003A6FE4" w:rsidRPr="009C362B" w:rsidRDefault="003A6FE4" w:rsidP="003A6FE4">
      <w:pPr>
        <w:widowControl/>
        <w:spacing w:after="160"/>
        <w:jc w:val="center"/>
        <w:rPr>
          <w:rFonts w:eastAsia="Franklin Gothic Book"/>
          <w:b/>
          <w:sz w:val="48"/>
          <w:szCs w:val="48"/>
        </w:rPr>
      </w:pPr>
    </w:p>
    <w:p w:rsidR="003A6FE4" w:rsidRPr="009C362B" w:rsidRDefault="003A6FE4" w:rsidP="003A6FE4">
      <w:pPr>
        <w:widowControl/>
        <w:spacing w:after="160"/>
        <w:jc w:val="center"/>
        <w:rPr>
          <w:rFonts w:eastAsia="Franklin Gothic Book"/>
          <w:b/>
          <w:sz w:val="48"/>
          <w:szCs w:val="48"/>
        </w:rPr>
      </w:pPr>
      <w:r>
        <w:rPr>
          <w:rFonts w:eastAsia="Franklin Gothic Book"/>
          <w:b/>
          <w:sz w:val="48"/>
          <w:szCs w:val="48"/>
        </w:rPr>
        <w:t>DRAFT</w:t>
      </w:r>
    </w:p>
    <w:p w:rsidR="003A6FE4" w:rsidRPr="009C362B" w:rsidRDefault="003A6FE4" w:rsidP="003A6FE4">
      <w:pPr>
        <w:widowControl/>
        <w:spacing w:after="160"/>
        <w:jc w:val="center"/>
        <w:rPr>
          <w:rFonts w:eastAsia="Franklin Gothic Book"/>
          <w:b/>
          <w:sz w:val="48"/>
          <w:szCs w:val="48"/>
        </w:rPr>
      </w:pPr>
    </w:p>
    <w:p w:rsidR="003A6FE4" w:rsidRPr="009C362B" w:rsidRDefault="003A6FE4" w:rsidP="003A6FE4">
      <w:pPr>
        <w:widowControl/>
        <w:tabs>
          <w:tab w:val="left" w:pos="2044"/>
          <w:tab w:val="center" w:pos="4680"/>
        </w:tabs>
        <w:spacing w:after="160"/>
        <w:jc w:val="left"/>
        <w:rPr>
          <w:rFonts w:eastAsia="Franklin Gothic Book"/>
          <w:b/>
          <w:sz w:val="48"/>
          <w:szCs w:val="48"/>
        </w:rPr>
      </w:pPr>
      <w:r w:rsidRPr="009C362B">
        <w:rPr>
          <w:rFonts w:eastAsia="Franklin Gothic Book"/>
          <w:b/>
          <w:sz w:val="48"/>
          <w:szCs w:val="48"/>
        </w:rPr>
        <w:tab/>
      </w:r>
      <w:r w:rsidRPr="009C362B">
        <w:rPr>
          <w:rFonts w:eastAsia="Franklin Gothic Book"/>
          <w:b/>
          <w:sz w:val="48"/>
          <w:szCs w:val="48"/>
        </w:rPr>
        <w:tab/>
        <w:t>Effective for Evaluation:</w:t>
      </w:r>
    </w:p>
    <w:p w:rsidR="00D5281E" w:rsidRDefault="003A6FE4" w:rsidP="003A6FE4">
      <w:pPr>
        <w:ind w:left="2880" w:firstLine="720"/>
        <w:rPr>
          <w:rFonts w:eastAsia="Franklin Gothic Book"/>
          <w:b/>
          <w:sz w:val="48"/>
          <w:szCs w:val="48"/>
        </w:rPr>
      </w:pPr>
      <w:r w:rsidRPr="009C362B">
        <w:rPr>
          <w:rFonts w:eastAsia="Franklin Gothic Book"/>
          <w:b/>
          <w:sz w:val="48"/>
          <w:szCs w:val="48"/>
        </w:rPr>
        <w:t>June 1</w:t>
      </w:r>
      <w:r w:rsidRPr="009C362B">
        <w:rPr>
          <w:rFonts w:eastAsia="Franklin Gothic Book"/>
          <w:b/>
          <w:sz w:val="48"/>
          <w:szCs w:val="48"/>
          <w:vertAlign w:val="superscript"/>
        </w:rPr>
        <w:t>st</w:t>
      </w:r>
      <w:r w:rsidRPr="009C362B">
        <w:rPr>
          <w:rFonts w:eastAsia="Franklin Gothic Book"/>
          <w:b/>
          <w:sz w:val="48"/>
          <w:szCs w:val="48"/>
        </w:rPr>
        <w:t>, 201</w:t>
      </w:r>
      <w:r>
        <w:rPr>
          <w:rFonts w:eastAsia="Franklin Gothic Book"/>
          <w:b/>
          <w:sz w:val="48"/>
          <w:szCs w:val="48"/>
        </w:rPr>
        <w:t>6</w:t>
      </w:r>
    </w:p>
    <w:p w:rsidR="003A6FE4" w:rsidRDefault="003A6FE4" w:rsidP="0026070A">
      <w:pPr>
        <w:pStyle w:val="Heading1"/>
        <w:rPr>
          <w:rFonts w:eastAsia="Franklin Gothic Book"/>
        </w:rPr>
      </w:pPr>
      <w:r>
        <w:rPr>
          <w:rFonts w:eastAsia="Franklin Gothic Book"/>
        </w:rPr>
        <w:lastRenderedPageBreak/>
        <w:t xml:space="preserve">Residential </w:t>
      </w:r>
      <w:r w:rsidR="0026070A">
        <w:rPr>
          <w:rFonts w:eastAsia="Franklin Gothic Book"/>
        </w:rPr>
        <w:t xml:space="preserve">Whole House Retrofit </w:t>
      </w:r>
      <w:r>
        <w:rPr>
          <w:rFonts w:eastAsia="Franklin Gothic Book"/>
        </w:rPr>
        <w:t>Non Energy Benefits</w:t>
      </w:r>
    </w:p>
    <w:p w:rsidR="0026070A" w:rsidRPr="0026070A" w:rsidRDefault="0026070A" w:rsidP="0026070A">
      <w:pPr>
        <w:rPr>
          <w:rFonts w:eastAsia="Franklin Gothic Book"/>
        </w:rPr>
      </w:pPr>
    </w:p>
    <w:p w:rsidR="003A6FE4" w:rsidRDefault="00E9381E" w:rsidP="00B530CB">
      <w:pPr>
        <w:rPr>
          <w:rFonts w:eastAsia="Franklin Gothic Book"/>
          <w:szCs w:val="20"/>
        </w:rPr>
      </w:pPr>
      <w:r>
        <w:rPr>
          <w:rFonts w:eastAsia="Franklin Gothic Book"/>
          <w:szCs w:val="20"/>
        </w:rPr>
        <w:t xml:space="preserve">Figure 3 </w:t>
      </w:r>
      <w:r w:rsidR="003A6FE4" w:rsidRPr="003A6FE4">
        <w:rPr>
          <w:rFonts w:eastAsia="Franklin Gothic Book"/>
          <w:szCs w:val="20"/>
        </w:rPr>
        <w:t xml:space="preserve">below represents </w:t>
      </w:r>
      <w:commentRangeStart w:id="0"/>
      <w:r w:rsidR="0059147B">
        <w:t>Technical Advisory Committee</w:t>
      </w:r>
      <w:r w:rsidR="0059147B">
        <w:rPr>
          <w:rFonts w:eastAsia="Franklin Gothic Book"/>
          <w:szCs w:val="20"/>
        </w:rPr>
        <w:t xml:space="preserve"> (</w:t>
      </w:r>
      <w:r w:rsidR="00E84FCE">
        <w:rPr>
          <w:rFonts w:eastAsia="Franklin Gothic Book"/>
          <w:szCs w:val="20"/>
        </w:rPr>
        <w:t>TAC</w:t>
      </w:r>
      <w:r w:rsidR="0059147B">
        <w:rPr>
          <w:rFonts w:eastAsia="Franklin Gothic Book"/>
          <w:szCs w:val="20"/>
        </w:rPr>
        <w:t>)-</w:t>
      </w:r>
      <w:r w:rsidR="003A6FE4">
        <w:rPr>
          <w:rFonts w:eastAsia="Franklin Gothic Book"/>
          <w:szCs w:val="20"/>
        </w:rPr>
        <w:t xml:space="preserve">approved </w:t>
      </w:r>
      <w:commentRangeEnd w:id="0"/>
      <w:r w:rsidR="00844FE1">
        <w:rPr>
          <w:rStyle w:val="CommentReference"/>
        </w:rPr>
        <w:commentReference w:id="0"/>
      </w:r>
      <w:r w:rsidR="003A6FE4">
        <w:rPr>
          <w:rFonts w:eastAsia="Franklin Gothic Book"/>
          <w:szCs w:val="20"/>
        </w:rPr>
        <w:t xml:space="preserve">multipliers to first year kWh or Therm savings to determine a </w:t>
      </w:r>
      <w:r>
        <w:rPr>
          <w:rFonts w:eastAsia="Franklin Gothic Book"/>
          <w:szCs w:val="20"/>
        </w:rPr>
        <w:t xml:space="preserve">lifetime </w:t>
      </w:r>
      <w:r w:rsidR="00844FE1">
        <w:rPr>
          <w:rFonts w:eastAsia="Franklin Gothic Book"/>
          <w:szCs w:val="20"/>
        </w:rPr>
        <w:t>net present value (</w:t>
      </w:r>
      <w:r>
        <w:rPr>
          <w:rFonts w:eastAsia="Franklin Gothic Book"/>
          <w:szCs w:val="20"/>
        </w:rPr>
        <w:t>NPV</w:t>
      </w:r>
      <w:r w:rsidR="00844FE1">
        <w:rPr>
          <w:rFonts w:eastAsia="Franklin Gothic Book"/>
          <w:szCs w:val="20"/>
        </w:rPr>
        <w:t>)</w:t>
      </w:r>
      <w:r>
        <w:rPr>
          <w:rFonts w:eastAsia="Franklin Gothic Book"/>
          <w:szCs w:val="20"/>
        </w:rPr>
        <w:t xml:space="preserve"> of </w:t>
      </w:r>
      <w:r w:rsidR="00B530CB">
        <w:rPr>
          <w:rFonts w:eastAsia="Franklin Gothic Book"/>
          <w:szCs w:val="20"/>
        </w:rPr>
        <w:t>Non-Energy</w:t>
      </w:r>
      <w:r w:rsidR="003A6FE4">
        <w:rPr>
          <w:rFonts w:eastAsia="Franklin Gothic Book"/>
          <w:szCs w:val="20"/>
        </w:rPr>
        <w:t xml:space="preserve"> Benefit</w:t>
      </w:r>
      <w:r>
        <w:rPr>
          <w:rFonts w:eastAsia="Franklin Gothic Book"/>
          <w:szCs w:val="20"/>
        </w:rPr>
        <w:t>s</w:t>
      </w:r>
      <w:r w:rsidR="003A6FE4">
        <w:rPr>
          <w:rFonts w:eastAsia="Franklin Gothic Book"/>
          <w:szCs w:val="20"/>
        </w:rPr>
        <w:t xml:space="preserve"> </w:t>
      </w:r>
      <w:r w:rsidR="00A777B5">
        <w:rPr>
          <w:rFonts w:eastAsia="Franklin Gothic Book"/>
          <w:szCs w:val="20"/>
        </w:rPr>
        <w:t>(NEB</w:t>
      </w:r>
      <w:r>
        <w:rPr>
          <w:rFonts w:eastAsia="Franklin Gothic Book"/>
          <w:szCs w:val="20"/>
        </w:rPr>
        <w:t>s</w:t>
      </w:r>
      <w:r w:rsidR="00A777B5">
        <w:rPr>
          <w:rFonts w:eastAsia="Franklin Gothic Book"/>
          <w:szCs w:val="20"/>
        </w:rPr>
        <w:t xml:space="preserve">) </w:t>
      </w:r>
      <w:r w:rsidR="003A6FE4">
        <w:rPr>
          <w:rFonts w:eastAsia="Franklin Gothic Book"/>
          <w:szCs w:val="20"/>
        </w:rPr>
        <w:t>for</w:t>
      </w:r>
      <w:r w:rsidR="00B530CB">
        <w:rPr>
          <w:rFonts w:eastAsia="Franklin Gothic Book"/>
          <w:szCs w:val="20"/>
        </w:rPr>
        <w:t xml:space="preserve"> measures in a Residential whole house retrofit program. This additional benefit should be </w:t>
      </w:r>
      <w:r w:rsidR="003A6FE4">
        <w:rPr>
          <w:rFonts w:eastAsia="Franklin Gothic Book"/>
          <w:szCs w:val="20"/>
        </w:rPr>
        <w:t>add</w:t>
      </w:r>
      <w:r w:rsidR="00B530CB">
        <w:rPr>
          <w:rFonts w:eastAsia="Franklin Gothic Book"/>
          <w:szCs w:val="20"/>
        </w:rPr>
        <w:t>ed</w:t>
      </w:r>
      <w:r w:rsidR="003A6FE4">
        <w:rPr>
          <w:rFonts w:eastAsia="Franklin Gothic Book"/>
          <w:szCs w:val="20"/>
        </w:rPr>
        <w:t xml:space="preserve"> to the </w:t>
      </w:r>
      <w:r w:rsidR="00B530CB">
        <w:rPr>
          <w:rFonts w:eastAsia="Franklin Gothic Book"/>
          <w:szCs w:val="20"/>
        </w:rPr>
        <w:t>E</w:t>
      </w:r>
      <w:r w:rsidR="003A6FE4">
        <w:rPr>
          <w:rFonts w:eastAsia="Franklin Gothic Book"/>
          <w:szCs w:val="20"/>
        </w:rPr>
        <w:t>nergy benefits</w:t>
      </w:r>
      <w:r w:rsidR="00B530CB">
        <w:rPr>
          <w:rFonts w:eastAsia="Franklin Gothic Book"/>
          <w:szCs w:val="20"/>
        </w:rPr>
        <w:t xml:space="preserve"> and applied</w:t>
      </w:r>
      <w:r w:rsidR="003A6FE4">
        <w:rPr>
          <w:rFonts w:eastAsia="Franklin Gothic Book"/>
          <w:szCs w:val="20"/>
        </w:rPr>
        <w:t xml:space="preserve"> in the Cost Effectiveness Tests. </w:t>
      </w:r>
    </w:p>
    <w:p w:rsidR="00B530CB" w:rsidRDefault="003A6FE4" w:rsidP="00B530CB">
      <w:pPr>
        <w:rPr>
          <w:rFonts w:ascii="Times-Italic" w:hAnsi="Times-Italic"/>
          <w:i/>
          <w:iCs/>
          <w:color w:val="000000"/>
          <w:szCs w:val="20"/>
        </w:rPr>
      </w:pPr>
      <w:r>
        <w:rPr>
          <w:rFonts w:eastAsia="Franklin Gothic Book"/>
          <w:szCs w:val="20"/>
        </w:rPr>
        <w:t xml:space="preserve">The values are based </w:t>
      </w:r>
      <w:r w:rsidR="009770DB">
        <w:rPr>
          <w:rFonts w:eastAsia="Franklin Gothic Book"/>
          <w:szCs w:val="20"/>
        </w:rPr>
        <w:t>up</w:t>
      </w:r>
      <w:r>
        <w:rPr>
          <w:rFonts w:eastAsia="Franklin Gothic Book"/>
          <w:szCs w:val="20"/>
        </w:rPr>
        <w:t xml:space="preserve">on </w:t>
      </w:r>
      <w:r w:rsidR="00A777B5">
        <w:rPr>
          <w:rFonts w:eastAsia="Franklin Gothic Book"/>
          <w:szCs w:val="20"/>
        </w:rPr>
        <w:t xml:space="preserve">a </w:t>
      </w:r>
      <w:r>
        <w:rPr>
          <w:rFonts w:eastAsia="Franklin Gothic Book"/>
          <w:szCs w:val="20"/>
        </w:rPr>
        <w:t>work</w:t>
      </w:r>
      <w:r w:rsidR="00A777B5">
        <w:rPr>
          <w:rFonts w:eastAsia="Franklin Gothic Book"/>
          <w:szCs w:val="20"/>
        </w:rPr>
        <w:t xml:space="preserve">paper produced for the Illinois Technical Advisory Committee by </w:t>
      </w:r>
      <w:proofErr w:type="spellStart"/>
      <w:r w:rsidR="00A777B5">
        <w:rPr>
          <w:rFonts w:eastAsia="Franklin Gothic Book"/>
          <w:szCs w:val="20"/>
        </w:rPr>
        <w:t>Skumatz</w:t>
      </w:r>
      <w:proofErr w:type="spellEnd"/>
      <w:r w:rsidR="00A777B5">
        <w:rPr>
          <w:rFonts w:eastAsia="Franklin Gothic Book"/>
          <w:szCs w:val="20"/>
        </w:rPr>
        <w:t xml:space="preserve"> Ec</w:t>
      </w:r>
      <w:r w:rsidR="009770DB">
        <w:rPr>
          <w:rFonts w:eastAsia="Franklin Gothic Book"/>
          <w:szCs w:val="20"/>
        </w:rPr>
        <w:t>onomic Research Association</w:t>
      </w:r>
      <w:r w:rsidR="009770DB" w:rsidRPr="009770DB">
        <w:rPr>
          <w:rFonts w:eastAsia="Franklin Gothic Book"/>
          <w:i/>
          <w:szCs w:val="20"/>
        </w:rPr>
        <w:t xml:space="preserve">; </w:t>
      </w:r>
      <w:proofErr w:type="spellStart"/>
      <w:r w:rsidR="00A777B5" w:rsidRPr="009770DB">
        <w:rPr>
          <w:rFonts w:eastAsia="Franklin Gothic Book"/>
          <w:i/>
          <w:szCs w:val="20"/>
        </w:rPr>
        <w:t>Skumatz</w:t>
      </w:r>
      <w:proofErr w:type="spellEnd"/>
      <w:r w:rsidR="009770DB" w:rsidRPr="009770DB">
        <w:rPr>
          <w:rFonts w:eastAsia="Franklin Gothic Book"/>
          <w:i/>
          <w:szCs w:val="20"/>
        </w:rPr>
        <w:t xml:space="preserve"> Lisa A., 2015</w:t>
      </w:r>
      <w:r w:rsidR="00A777B5" w:rsidRPr="009770DB">
        <w:rPr>
          <w:rFonts w:eastAsia="Franklin Gothic Book"/>
          <w:i/>
          <w:szCs w:val="20"/>
        </w:rPr>
        <w:t xml:space="preserve">, </w:t>
      </w:r>
      <w:r w:rsidR="00A777B5" w:rsidRPr="009770DB">
        <w:rPr>
          <w:rFonts w:ascii="Times-Italic" w:hAnsi="Times-Italic"/>
          <w:i/>
          <w:iCs/>
          <w:color w:val="000000"/>
          <w:szCs w:val="20"/>
        </w:rPr>
        <w:t>Considering</w:t>
      </w:r>
      <w:r w:rsidR="00A777B5" w:rsidRPr="00A777B5">
        <w:rPr>
          <w:rFonts w:ascii="Times-Italic" w:hAnsi="Times-Italic"/>
          <w:i/>
          <w:iCs/>
          <w:color w:val="000000"/>
          <w:szCs w:val="20"/>
        </w:rPr>
        <w:t xml:space="preserve"> the Inclusion of NEBs in IL TRM for Single and Multi</w:t>
      </w:r>
      <w:r w:rsidR="00A777B5">
        <w:rPr>
          <w:rFonts w:ascii="Times-Italic" w:hAnsi="Times-Italic"/>
          <w:i/>
          <w:iCs/>
          <w:color w:val="000000"/>
          <w:szCs w:val="20"/>
        </w:rPr>
        <w:t>-</w:t>
      </w:r>
      <w:r w:rsidR="00A777B5" w:rsidRPr="00A777B5">
        <w:rPr>
          <w:rFonts w:ascii="Times-Italic" w:hAnsi="Times-Italic"/>
          <w:i/>
          <w:iCs/>
          <w:color w:val="000000"/>
          <w:szCs w:val="20"/>
        </w:rPr>
        <w:t>family</w:t>
      </w:r>
      <w:r w:rsidR="00A777B5">
        <w:rPr>
          <w:rFonts w:ascii="Times-Italic" w:hAnsi="Times-Italic"/>
          <w:i/>
          <w:iCs/>
          <w:color w:val="000000"/>
          <w:szCs w:val="20"/>
        </w:rPr>
        <w:t xml:space="preserve"> </w:t>
      </w:r>
      <w:r w:rsidR="00A777B5" w:rsidRPr="00A777B5">
        <w:rPr>
          <w:rFonts w:ascii="Times-Italic" w:hAnsi="Times-Italic"/>
          <w:i/>
          <w:iCs/>
          <w:color w:val="000000"/>
          <w:szCs w:val="20"/>
        </w:rPr>
        <w:t>Whole Building Retrofit Programs: The Issue of Measure</w:t>
      </w:r>
      <w:r w:rsidR="00A777B5">
        <w:rPr>
          <w:rFonts w:ascii="Times-Italic" w:hAnsi="Times-Italic"/>
          <w:i/>
          <w:iCs/>
          <w:color w:val="000000"/>
          <w:szCs w:val="20"/>
        </w:rPr>
        <w:t>-</w:t>
      </w:r>
      <w:r w:rsidR="00A777B5" w:rsidRPr="00A777B5">
        <w:rPr>
          <w:rFonts w:ascii="Times-Italic" w:hAnsi="Times-Italic"/>
          <w:i/>
          <w:iCs/>
          <w:color w:val="000000"/>
          <w:szCs w:val="20"/>
        </w:rPr>
        <w:t>Based NEBs</w:t>
      </w:r>
      <w:r w:rsidR="009770DB">
        <w:rPr>
          <w:rFonts w:ascii="Times-Italic" w:hAnsi="Times-Italic"/>
          <w:i/>
          <w:iCs/>
          <w:color w:val="000000"/>
          <w:szCs w:val="20"/>
        </w:rPr>
        <w:t xml:space="preserve">. </w:t>
      </w:r>
    </w:p>
    <w:p w:rsidR="003A6FE4" w:rsidRDefault="006E50FC" w:rsidP="00B530CB">
      <w:pPr>
        <w:rPr>
          <w:rFonts w:ascii="Calibri-Italic" w:hAnsi="Calibri-Italic"/>
          <w:iCs/>
          <w:color w:val="000000"/>
          <w:szCs w:val="20"/>
        </w:rPr>
      </w:pPr>
      <w:r>
        <w:rPr>
          <w:rFonts w:eastAsia="Franklin Gothic Book"/>
          <w:szCs w:val="20"/>
        </w:rPr>
        <w:t xml:space="preserve">The study examined literature from across the nation and found “consistency in some NEB categories, sufficient to indicate strong NEB values and attribution to some measures”. </w:t>
      </w:r>
      <w:r w:rsidR="009770DB" w:rsidRPr="00B530CB">
        <w:rPr>
          <w:rFonts w:eastAsia="Franklin Gothic Book"/>
          <w:szCs w:val="20"/>
        </w:rPr>
        <w:t xml:space="preserve">The ultimate recommendation was to base </w:t>
      </w:r>
      <w:r>
        <w:rPr>
          <w:rFonts w:eastAsia="Franklin Gothic Book"/>
          <w:szCs w:val="20"/>
        </w:rPr>
        <w:t xml:space="preserve">Illinois </w:t>
      </w:r>
      <w:r w:rsidR="009770DB" w:rsidRPr="00B530CB">
        <w:rPr>
          <w:rFonts w:eastAsia="Franklin Gothic Book"/>
          <w:szCs w:val="20"/>
        </w:rPr>
        <w:t>NEB values</w:t>
      </w:r>
      <w:r>
        <w:rPr>
          <w:rFonts w:eastAsia="Franklin Gothic Book"/>
          <w:szCs w:val="20"/>
        </w:rPr>
        <w:t xml:space="preserve"> for whole house Retrofit program measures</w:t>
      </w:r>
      <w:r w:rsidR="009770DB" w:rsidRPr="00B530CB">
        <w:rPr>
          <w:rFonts w:eastAsia="Franklin Gothic Book"/>
          <w:szCs w:val="20"/>
        </w:rPr>
        <w:t xml:space="preserve"> on an evaluation</w:t>
      </w:r>
      <w:r w:rsidR="003A6FE4">
        <w:rPr>
          <w:rFonts w:eastAsia="Franklin Gothic Book"/>
          <w:szCs w:val="20"/>
        </w:rPr>
        <w:t xml:space="preserve"> prepared for Massachusetts Program Administrator</w:t>
      </w:r>
      <w:r w:rsidR="00B530CB">
        <w:rPr>
          <w:rFonts w:eastAsia="Franklin Gothic Book"/>
          <w:szCs w:val="20"/>
        </w:rPr>
        <w:t>s</w:t>
      </w:r>
      <w:r w:rsidR="003A6FE4">
        <w:rPr>
          <w:rFonts w:eastAsia="Franklin Gothic Book"/>
          <w:szCs w:val="20"/>
        </w:rPr>
        <w:t xml:space="preserve">; </w:t>
      </w:r>
      <w:r w:rsidR="003A6FE4" w:rsidRPr="00B530CB">
        <w:rPr>
          <w:rFonts w:ascii="Times-Roman" w:hAnsi="Times-Roman"/>
          <w:i/>
          <w:color w:val="000000"/>
          <w:szCs w:val="20"/>
        </w:rPr>
        <w:t>NMR Group, Inc., Tetra Tech (2011).</w:t>
      </w:r>
      <w:r w:rsidR="003A6FE4">
        <w:rPr>
          <w:rFonts w:ascii="Times-Roman" w:hAnsi="Times-Roman"/>
          <w:color w:val="000000"/>
          <w:szCs w:val="20"/>
        </w:rPr>
        <w:t xml:space="preserve"> </w:t>
      </w:r>
      <w:r w:rsidR="003A6FE4">
        <w:rPr>
          <w:rFonts w:ascii="Times-Italic" w:hAnsi="Times-Italic"/>
          <w:i/>
          <w:iCs/>
          <w:color w:val="000000"/>
          <w:szCs w:val="20"/>
        </w:rPr>
        <w:t>Massachusetts Special and Cross-Sector Studies Area, Residential and Low-Income Non-Energy Impacts (NEI) Evaluation</w:t>
      </w:r>
      <w:r w:rsidR="003A6FE4">
        <w:rPr>
          <w:rFonts w:ascii="Times-Roman" w:hAnsi="Times-Roman"/>
          <w:color w:val="000000"/>
          <w:szCs w:val="20"/>
        </w:rPr>
        <w:t xml:space="preserve">. </w:t>
      </w:r>
      <w:r w:rsidR="00A777B5">
        <w:rPr>
          <w:rFonts w:eastAsia="Franklin Gothic Book"/>
          <w:szCs w:val="20"/>
        </w:rPr>
        <w:t xml:space="preserve"> </w:t>
      </w:r>
      <w:r w:rsidR="00B530CB">
        <w:rPr>
          <w:rFonts w:eastAsia="Franklin Gothic Book"/>
          <w:szCs w:val="20"/>
        </w:rPr>
        <w:t>This study</w:t>
      </w:r>
      <w:r>
        <w:rPr>
          <w:rFonts w:eastAsia="Franklin Gothic Book"/>
          <w:szCs w:val="20"/>
        </w:rPr>
        <w:t xml:space="preserve">, itself based upon </w:t>
      </w:r>
      <w:r w:rsidRPr="00B530CB">
        <w:rPr>
          <w:rFonts w:eastAsia="Franklin Gothic Book"/>
          <w:szCs w:val="20"/>
        </w:rPr>
        <w:t>in</w:t>
      </w:r>
      <w:r w:rsidR="0059147B">
        <w:rPr>
          <w:rFonts w:eastAsia="Franklin Gothic Book"/>
          <w:szCs w:val="20"/>
        </w:rPr>
        <w:t>-</w:t>
      </w:r>
      <w:r w:rsidRPr="00B530CB">
        <w:rPr>
          <w:rFonts w:eastAsia="Franklin Gothic Book"/>
          <w:szCs w:val="20"/>
        </w:rPr>
        <w:t xml:space="preserve">depth participant surveys and </w:t>
      </w:r>
      <w:r>
        <w:rPr>
          <w:rFonts w:eastAsia="Franklin Gothic Book"/>
          <w:szCs w:val="20"/>
        </w:rPr>
        <w:t>extensive</w:t>
      </w:r>
      <w:r w:rsidRPr="00B530CB">
        <w:rPr>
          <w:rFonts w:eastAsia="Franklin Gothic Book"/>
          <w:szCs w:val="20"/>
        </w:rPr>
        <w:t xml:space="preserve"> literature review</w:t>
      </w:r>
      <w:r>
        <w:rPr>
          <w:rFonts w:eastAsia="Franklin Gothic Book"/>
          <w:szCs w:val="20"/>
        </w:rPr>
        <w:t>,</w:t>
      </w:r>
      <w:r w:rsidR="00B530CB">
        <w:rPr>
          <w:rFonts w:eastAsia="Franklin Gothic Book"/>
          <w:szCs w:val="20"/>
        </w:rPr>
        <w:t xml:space="preserve"> was found to be </w:t>
      </w:r>
      <w:r>
        <w:rPr>
          <w:rFonts w:eastAsia="Franklin Gothic Book"/>
          <w:szCs w:val="20"/>
        </w:rPr>
        <w:t xml:space="preserve">robust and provides measure attribution and total non-energy benefits values consistent with other studies. </w:t>
      </w:r>
      <w:r w:rsidR="00A777B5">
        <w:rPr>
          <w:rFonts w:eastAsia="Franklin Gothic Book"/>
          <w:szCs w:val="20"/>
        </w:rPr>
        <w:t>Table 9-10 from th</w:t>
      </w:r>
      <w:r w:rsidR="00B530CB">
        <w:rPr>
          <w:rFonts w:eastAsia="Franklin Gothic Book"/>
          <w:szCs w:val="20"/>
        </w:rPr>
        <w:t>is</w:t>
      </w:r>
      <w:r w:rsidR="00A777B5">
        <w:rPr>
          <w:rFonts w:eastAsia="Franklin Gothic Book"/>
          <w:szCs w:val="20"/>
        </w:rPr>
        <w:t xml:space="preserve"> study provides </w:t>
      </w:r>
      <w:r>
        <w:rPr>
          <w:rFonts w:eastAsia="Franklin Gothic Book"/>
          <w:szCs w:val="20"/>
        </w:rPr>
        <w:t xml:space="preserve">the </w:t>
      </w:r>
      <w:r w:rsidR="00A777B5">
        <w:rPr>
          <w:rFonts w:eastAsia="Franklin Gothic Book"/>
          <w:szCs w:val="20"/>
        </w:rPr>
        <w:t>attribution of NEB values to energy efficiency measures through a whole house retrofit program</w:t>
      </w:r>
      <w:r>
        <w:rPr>
          <w:rFonts w:eastAsia="Franklin Gothic Book"/>
          <w:szCs w:val="20"/>
        </w:rPr>
        <w:t xml:space="preserve"> and the values</w:t>
      </w:r>
      <w:r w:rsidR="00B530CB">
        <w:rPr>
          <w:rFonts w:eastAsia="Franklin Gothic Book"/>
          <w:szCs w:val="20"/>
        </w:rPr>
        <w:t xml:space="preserve"> are summarized </w:t>
      </w:r>
      <w:r w:rsidR="009770DB">
        <w:rPr>
          <w:rFonts w:eastAsia="Franklin Gothic Book"/>
          <w:szCs w:val="20"/>
        </w:rPr>
        <w:t xml:space="preserve">below in </w:t>
      </w:r>
      <w:r w:rsidR="0059147B">
        <w:rPr>
          <w:rFonts w:eastAsia="Franklin Gothic Book"/>
          <w:szCs w:val="20"/>
        </w:rPr>
        <w:t>F</w:t>
      </w:r>
      <w:r w:rsidR="009770DB">
        <w:rPr>
          <w:rFonts w:eastAsia="Franklin Gothic Book"/>
          <w:szCs w:val="20"/>
        </w:rPr>
        <w:t xml:space="preserve">igure </w:t>
      </w:r>
      <w:r w:rsidR="0059147B">
        <w:rPr>
          <w:rFonts w:eastAsia="Franklin Gothic Book"/>
          <w:szCs w:val="20"/>
        </w:rPr>
        <w:t>1</w:t>
      </w:r>
      <w:r>
        <w:rPr>
          <w:rFonts w:eastAsia="Franklin Gothic Book"/>
          <w:szCs w:val="20"/>
        </w:rPr>
        <w:t>. Note that two exceptions, appliances and lighting</w:t>
      </w:r>
      <w:r w:rsidR="0059147B">
        <w:rPr>
          <w:rFonts w:eastAsia="Franklin Gothic Book"/>
          <w:szCs w:val="20"/>
        </w:rPr>
        <w:t>,</w:t>
      </w:r>
      <w:r w:rsidR="009770DB">
        <w:rPr>
          <w:rFonts w:eastAsia="Franklin Gothic Book"/>
          <w:szCs w:val="20"/>
        </w:rPr>
        <w:t xml:space="preserve"> </w:t>
      </w:r>
      <w:r w:rsidR="0059147B">
        <w:rPr>
          <w:rFonts w:eastAsia="Franklin Gothic Book"/>
          <w:szCs w:val="20"/>
        </w:rPr>
        <w:t>are</w:t>
      </w:r>
      <w:r>
        <w:rPr>
          <w:rFonts w:eastAsia="Franklin Gothic Book"/>
          <w:szCs w:val="20"/>
        </w:rPr>
        <w:t xml:space="preserve"> provided</w:t>
      </w:r>
      <w:r w:rsidR="0059147B">
        <w:rPr>
          <w:rFonts w:eastAsia="Franklin Gothic Book"/>
          <w:szCs w:val="20"/>
        </w:rPr>
        <w:t>,</w:t>
      </w:r>
      <w:r>
        <w:rPr>
          <w:rFonts w:eastAsia="Franklin Gothic Book"/>
          <w:szCs w:val="20"/>
        </w:rPr>
        <w:t xml:space="preserve"> </w:t>
      </w:r>
      <w:r w:rsidR="009770DB">
        <w:rPr>
          <w:rFonts w:eastAsia="Franklin Gothic Book"/>
          <w:szCs w:val="20"/>
        </w:rPr>
        <w:t xml:space="preserve">where </w:t>
      </w:r>
      <w:r w:rsidR="00B530CB">
        <w:rPr>
          <w:rFonts w:eastAsia="Franklin Gothic Book"/>
          <w:szCs w:val="20"/>
        </w:rPr>
        <w:t>the</w:t>
      </w:r>
      <w:r w:rsidR="009770DB">
        <w:rPr>
          <w:rFonts w:eastAsia="Franklin Gothic Book"/>
          <w:szCs w:val="20"/>
        </w:rPr>
        <w:t xml:space="preserve"> recommend</w:t>
      </w:r>
      <w:r>
        <w:rPr>
          <w:rFonts w:eastAsia="Franklin Gothic Book"/>
          <w:szCs w:val="20"/>
        </w:rPr>
        <w:t>ation</w:t>
      </w:r>
      <w:r w:rsidR="009770DB">
        <w:rPr>
          <w:rFonts w:eastAsia="Franklin Gothic Book"/>
          <w:szCs w:val="20"/>
        </w:rPr>
        <w:t xml:space="preserve"> </w:t>
      </w:r>
      <w:r w:rsidR="00844FE1">
        <w:rPr>
          <w:rFonts w:eastAsia="Franklin Gothic Book"/>
          <w:szCs w:val="20"/>
        </w:rPr>
        <w:t>wa</w:t>
      </w:r>
      <w:r w:rsidR="0059147B">
        <w:rPr>
          <w:rFonts w:eastAsia="Franklin Gothic Book"/>
          <w:szCs w:val="20"/>
        </w:rPr>
        <w:t>s</w:t>
      </w:r>
      <w:r w:rsidR="00B530CB">
        <w:rPr>
          <w:rFonts w:eastAsia="Franklin Gothic Book"/>
          <w:szCs w:val="20"/>
        </w:rPr>
        <w:t xml:space="preserve"> to </w:t>
      </w:r>
      <w:r w:rsidR="009770DB">
        <w:rPr>
          <w:rFonts w:eastAsia="Franklin Gothic Book"/>
          <w:szCs w:val="20"/>
        </w:rPr>
        <w:t xml:space="preserve">instead </w:t>
      </w:r>
      <w:r w:rsidR="0059147B">
        <w:rPr>
          <w:rFonts w:eastAsia="Franklin Gothic Book"/>
          <w:szCs w:val="20"/>
        </w:rPr>
        <w:t xml:space="preserve">use </w:t>
      </w:r>
      <w:r w:rsidR="009770DB">
        <w:rPr>
          <w:rFonts w:eastAsia="Franklin Gothic Book"/>
          <w:szCs w:val="20"/>
        </w:rPr>
        <w:t xml:space="preserve">work performed in </w:t>
      </w:r>
      <w:proofErr w:type="spellStart"/>
      <w:r w:rsidR="009770DB">
        <w:rPr>
          <w:rFonts w:ascii="Calibri-Italic" w:hAnsi="Calibri-Italic"/>
          <w:i/>
          <w:iCs/>
          <w:color w:val="000000"/>
          <w:szCs w:val="20"/>
        </w:rPr>
        <w:t>Skumatz</w:t>
      </w:r>
      <w:proofErr w:type="spellEnd"/>
      <w:r w:rsidR="009770DB">
        <w:rPr>
          <w:rFonts w:ascii="Calibri-Italic" w:hAnsi="Calibri-Italic"/>
          <w:i/>
          <w:iCs/>
          <w:color w:val="000000"/>
          <w:szCs w:val="20"/>
        </w:rPr>
        <w:t>, Lisa A., 2004, Non</w:t>
      </w:r>
      <w:r w:rsidR="009770DB">
        <w:rPr>
          <w:rFonts w:ascii="Cambria Math" w:hAnsi="Cambria Math" w:cs="Cambria Math"/>
          <w:i/>
          <w:iCs/>
          <w:color w:val="000000"/>
          <w:szCs w:val="20"/>
        </w:rPr>
        <w:t>‐</w:t>
      </w:r>
      <w:r w:rsidR="009770DB">
        <w:rPr>
          <w:rFonts w:ascii="Calibri-Italic" w:hAnsi="Calibri-Italic"/>
          <w:i/>
          <w:iCs/>
          <w:color w:val="000000"/>
          <w:szCs w:val="20"/>
        </w:rPr>
        <w:t>Energy Benefits from ENERGY STAR</w:t>
      </w:r>
      <w:r w:rsidR="009770DB">
        <w:rPr>
          <w:rFonts w:ascii="Times New Roman" w:hAnsi="Times New Roman"/>
          <w:i/>
          <w:iCs/>
          <w:color w:val="000000"/>
          <w:szCs w:val="20"/>
        </w:rPr>
        <w:t>®</w:t>
      </w:r>
      <w:r w:rsidR="009770DB">
        <w:rPr>
          <w:rFonts w:ascii="Calibri-Italic" w:hAnsi="Calibri-Italic"/>
          <w:i/>
          <w:iCs/>
          <w:color w:val="000000"/>
          <w:szCs w:val="20"/>
        </w:rPr>
        <w:t xml:space="preserve">: Comprehensive Analysis of </w:t>
      </w:r>
      <w:proofErr w:type="spellStart"/>
      <w:r w:rsidR="009770DB">
        <w:rPr>
          <w:rFonts w:ascii="Calibri-Italic" w:hAnsi="Calibri-Italic"/>
          <w:i/>
          <w:iCs/>
          <w:color w:val="000000"/>
          <w:szCs w:val="20"/>
        </w:rPr>
        <w:t>Appliance</w:t>
      </w:r>
      <w:proofErr w:type="gramStart"/>
      <w:r w:rsidR="009770DB">
        <w:rPr>
          <w:rFonts w:ascii="Calibri-Italic" w:hAnsi="Calibri-Italic"/>
          <w:i/>
          <w:iCs/>
          <w:color w:val="000000"/>
          <w:szCs w:val="20"/>
        </w:rPr>
        <w:t>,Outreach</w:t>
      </w:r>
      <w:proofErr w:type="spellEnd"/>
      <w:proofErr w:type="gramEnd"/>
      <w:r w:rsidR="009770DB">
        <w:rPr>
          <w:rFonts w:ascii="Calibri-Italic" w:hAnsi="Calibri-Italic"/>
          <w:i/>
          <w:iCs/>
          <w:color w:val="000000"/>
          <w:szCs w:val="20"/>
        </w:rPr>
        <w:t xml:space="preserve">, and Homes Programs, Proceedings of the 2004 ACEEE Summer Study, </w:t>
      </w:r>
      <w:proofErr w:type="spellStart"/>
      <w:r w:rsidR="009770DB">
        <w:rPr>
          <w:rFonts w:ascii="Calibri-Italic" w:hAnsi="Calibri-Italic"/>
          <w:i/>
          <w:iCs/>
          <w:color w:val="000000"/>
          <w:szCs w:val="20"/>
        </w:rPr>
        <w:t>Asilomar</w:t>
      </w:r>
      <w:proofErr w:type="spellEnd"/>
      <w:r w:rsidR="009770DB">
        <w:rPr>
          <w:rFonts w:ascii="Calibri-Italic" w:hAnsi="Calibri-Italic"/>
          <w:i/>
          <w:iCs/>
          <w:color w:val="000000"/>
          <w:szCs w:val="20"/>
        </w:rPr>
        <w:t>, CA, August</w:t>
      </w:r>
      <w:r w:rsidR="00B530CB">
        <w:rPr>
          <w:rFonts w:ascii="Calibri-Italic" w:hAnsi="Calibri-Italic"/>
          <w:i/>
          <w:iCs/>
          <w:color w:val="000000"/>
          <w:szCs w:val="20"/>
        </w:rPr>
        <w:t xml:space="preserve">. </w:t>
      </w:r>
      <w:r w:rsidR="009770DB" w:rsidRPr="00B530CB">
        <w:rPr>
          <w:iCs/>
          <w:color w:val="000000"/>
          <w:szCs w:val="20"/>
        </w:rPr>
        <w:t>Figure 2</w:t>
      </w:r>
      <w:r>
        <w:rPr>
          <w:iCs/>
          <w:color w:val="000000"/>
          <w:szCs w:val="20"/>
        </w:rPr>
        <w:t xml:space="preserve"> below </w:t>
      </w:r>
      <w:r w:rsidR="00B530CB" w:rsidRPr="00B530CB">
        <w:rPr>
          <w:iCs/>
          <w:color w:val="000000"/>
          <w:szCs w:val="20"/>
        </w:rPr>
        <w:t xml:space="preserve">provides these additional values, noting that </w:t>
      </w:r>
      <w:r w:rsidR="009770DB" w:rsidRPr="00B530CB">
        <w:rPr>
          <w:iCs/>
          <w:color w:val="000000"/>
          <w:szCs w:val="20"/>
        </w:rPr>
        <w:t>th</w:t>
      </w:r>
      <w:r w:rsidR="00B530CB" w:rsidRPr="00B530CB">
        <w:rPr>
          <w:iCs/>
          <w:color w:val="000000"/>
          <w:szCs w:val="20"/>
        </w:rPr>
        <w:t>e</w:t>
      </w:r>
      <w:r w:rsidR="009770DB" w:rsidRPr="00B530CB">
        <w:rPr>
          <w:iCs/>
          <w:color w:val="000000"/>
          <w:szCs w:val="20"/>
        </w:rPr>
        <w:t xml:space="preserve"> 2004 study</w:t>
      </w:r>
      <w:r w:rsidR="00B530CB" w:rsidRPr="00B530CB">
        <w:rPr>
          <w:iCs/>
          <w:color w:val="000000"/>
          <w:szCs w:val="20"/>
        </w:rPr>
        <w:t xml:space="preserve"> results for lighting </w:t>
      </w:r>
      <w:r w:rsidR="009770DB" w:rsidRPr="00B530CB">
        <w:rPr>
          <w:iCs/>
          <w:color w:val="000000"/>
          <w:szCs w:val="20"/>
        </w:rPr>
        <w:t xml:space="preserve">are further refined to remove impacts from longer measure lives and </w:t>
      </w:r>
      <w:r w:rsidR="0059147B">
        <w:rPr>
          <w:iCs/>
          <w:color w:val="000000"/>
          <w:szCs w:val="20"/>
        </w:rPr>
        <w:t>o</w:t>
      </w:r>
      <w:r w:rsidR="009770DB" w:rsidRPr="00B530CB">
        <w:rPr>
          <w:iCs/>
          <w:color w:val="000000"/>
          <w:szCs w:val="20"/>
        </w:rPr>
        <w:t xml:space="preserve">peration and </w:t>
      </w:r>
      <w:r w:rsidR="0059147B">
        <w:rPr>
          <w:iCs/>
          <w:color w:val="000000"/>
          <w:szCs w:val="20"/>
        </w:rPr>
        <w:t>m</w:t>
      </w:r>
      <w:r w:rsidR="009770DB" w:rsidRPr="00B530CB">
        <w:rPr>
          <w:iCs/>
          <w:color w:val="000000"/>
          <w:szCs w:val="20"/>
        </w:rPr>
        <w:t xml:space="preserve">aintenance (O&amp;M) savings due to those already being accounted for in the </w:t>
      </w:r>
      <w:r w:rsidR="00B530CB" w:rsidRPr="00B530CB">
        <w:rPr>
          <w:iCs/>
          <w:color w:val="000000"/>
          <w:szCs w:val="20"/>
        </w:rPr>
        <w:t xml:space="preserve">TRM </w:t>
      </w:r>
      <w:r w:rsidR="009770DB" w:rsidRPr="00B530CB">
        <w:rPr>
          <w:iCs/>
          <w:color w:val="000000"/>
          <w:szCs w:val="20"/>
        </w:rPr>
        <w:t>measures themselves.</w:t>
      </w:r>
    </w:p>
    <w:p w:rsidR="009770DB" w:rsidRPr="009770DB" w:rsidRDefault="00FF5AF3" w:rsidP="003A6FE4">
      <w:pPr>
        <w:jc w:val="left"/>
        <w:rPr>
          <w:rFonts w:eastAsia="Franklin Gothic Book"/>
          <w:szCs w:val="20"/>
        </w:rPr>
      </w:pPr>
      <w:r>
        <w:rPr>
          <w:rFonts w:eastAsia="Franklin Gothic Book"/>
          <w:noProof/>
          <w:szCs w:val="20"/>
        </w:rPr>
        <w:drawing>
          <wp:inline distT="0" distB="0" distL="0" distR="0" wp14:anchorId="6A083A05" wp14:editId="58A6C31C">
            <wp:extent cx="5934075" cy="3933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3933825"/>
                    </a:xfrm>
                    <a:prstGeom prst="rect">
                      <a:avLst/>
                    </a:prstGeom>
                    <a:noFill/>
                    <a:ln>
                      <a:noFill/>
                    </a:ln>
                  </pic:spPr>
                </pic:pic>
              </a:graphicData>
            </a:graphic>
          </wp:inline>
        </w:drawing>
      </w:r>
    </w:p>
    <w:p w:rsidR="00FF5F0B" w:rsidRDefault="00FF5F0B" w:rsidP="003A6FE4">
      <w:pPr>
        <w:jc w:val="left"/>
        <w:rPr>
          <w:rFonts w:eastAsia="Franklin Gothic Book"/>
          <w:szCs w:val="20"/>
        </w:rPr>
      </w:pPr>
      <w:r>
        <w:rPr>
          <w:rFonts w:eastAsia="Franklin Gothic Book"/>
          <w:szCs w:val="20"/>
        </w:rPr>
        <w:t xml:space="preserve">Upon review, NRDC amended their proposal by requesting the removal of the lighting adders at this time stating </w:t>
      </w:r>
      <w:r>
        <w:rPr>
          <w:rFonts w:eastAsia="Franklin Gothic Book"/>
          <w:szCs w:val="20"/>
        </w:rPr>
        <w:lastRenderedPageBreak/>
        <w:t xml:space="preserve">that they believe “there is </w:t>
      </w:r>
      <w:r>
        <w:t xml:space="preserve">empirical evidence to suggest that there </w:t>
      </w:r>
      <w:proofErr w:type="gramStart"/>
      <w:r>
        <w:t>are</w:t>
      </w:r>
      <w:proofErr w:type="gramEnd"/>
      <w:r>
        <w:t xml:space="preserve"> lighting NEBs beyond those associated with either the environmental benefits and longer measure life than </w:t>
      </w:r>
      <w:proofErr w:type="spellStart"/>
      <w:r>
        <w:t>incandescents</w:t>
      </w:r>
      <w:proofErr w:type="spellEnd"/>
      <w:r>
        <w:t>/halogens (which translates to O&amp;M savings).  Lisa’s 2004 ACEEE paper makes that clear.  However, it is also true that environmental benefits and lifetime/O&amp;M benefits, both of which are already captured in either avoided costs or the current TRM assumptions, are the biggest of the lighting NEBs</w:t>
      </w:r>
      <w:r>
        <w:t>”</w:t>
      </w:r>
      <w:r>
        <w:t>.</w:t>
      </w:r>
      <w:r>
        <w:rPr>
          <w:rStyle w:val="FootnoteReference"/>
        </w:rPr>
        <w:footnoteReference w:id="1"/>
      </w:r>
      <w:r>
        <w:t xml:space="preserve">  </w:t>
      </w:r>
      <w:r>
        <w:rPr>
          <w:rFonts w:eastAsia="Franklin Gothic Book"/>
          <w:szCs w:val="20"/>
        </w:rPr>
        <w:t xml:space="preserve"> Lighting assumptions have therefore been removed from the following table.</w:t>
      </w:r>
    </w:p>
    <w:p w:rsidR="00FF5F0B" w:rsidRDefault="00FF5F0B" w:rsidP="003A6FE4">
      <w:pPr>
        <w:jc w:val="left"/>
        <w:rPr>
          <w:rFonts w:eastAsia="Franklin Gothic Book"/>
          <w:szCs w:val="20"/>
        </w:rPr>
      </w:pPr>
    </w:p>
    <w:p w:rsidR="00FF5AF3" w:rsidRDefault="00FF5AF3" w:rsidP="003A6FE4">
      <w:pPr>
        <w:jc w:val="left"/>
        <w:rPr>
          <w:rFonts w:eastAsia="Franklin Gothic Book"/>
          <w:szCs w:val="20"/>
        </w:rPr>
      </w:pPr>
      <w:r>
        <w:rPr>
          <w:rFonts w:eastAsia="Franklin Gothic Book"/>
          <w:szCs w:val="20"/>
        </w:rPr>
        <w:t>To turn the percentage multiplier</w:t>
      </w:r>
      <w:r w:rsidR="006E50FC">
        <w:rPr>
          <w:rFonts w:eastAsia="Franklin Gothic Book"/>
          <w:szCs w:val="20"/>
        </w:rPr>
        <w:t>s</w:t>
      </w:r>
      <w:r>
        <w:rPr>
          <w:rFonts w:eastAsia="Franklin Gothic Book"/>
          <w:szCs w:val="20"/>
        </w:rPr>
        <w:t xml:space="preserve"> o</w:t>
      </w:r>
      <w:r w:rsidR="0026070A">
        <w:rPr>
          <w:rFonts w:eastAsia="Franklin Gothic Book"/>
          <w:szCs w:val="20"/>
        </w:rPr>
        <w:t>f</w:t>
      </w:r>
      <w:r w:rsidR="006E50FC">
        <w:rPr>
          <w:rFonts w:eastAsia="Franklin Gothic Book"/>
          <w:szCs w:val="20"/>
        </w:rPr>
        <w:t xml:space="preserve"> bill savings </w:t>
      </w:r>
      <w:r w:rsidR="00FF5F0B">
        <w:rPr>
          <w:rFonts w:eastAsia="Franklin Gothic Book"/>
          <w:szCs w:val="20"/>
        </w:rPr>
        <w:t>from</w:t>
      </w:r>
      <w:r>
        <w:rPr>
          <w:rFonts w:eastAsia="Franklin Gothic Book"/>
          <w:szCs w:val="20"/>
        </w:rPr>
        <w:t xml:space="preserve"> the tables above into a </w:t>
      </w:r>
      <w:r w:rsidR="00FF5F0B">
        <w:rPr>
          <w:rFonts w:eastAsia="Franklin Gothic Book"/>
          <w:szCs w:val="20"/>
        </w:rPr>
        <w:t xml:space="preserve">single lifetime </w:t>
      </w:r>
      <w:r w:rsidR="00844FE1">
        <w:rPr>
          <w:rFonts w:eastAsia="Franklin Gothic Book"/>
          <w:szCs w:val="20"/>
        </w:rPr>
        <w:t>NPV</w:t>
      </w:r>
      <w:r w:rsidR="0026070A">
        <w:rPr>
          <w:rFonts w:eastAsia="Franklin Gothic Book"/>
          <w:szCs w:val="20"/>
        </w:rPr>
        <w:t xml:space="preserve"> N</w:t>
      </w:r>
      <w:r>
        <w:rPr>
          <w:rFonts w:eastAsia="Franklin Gothic Book"/>
          <w:szCs w:val="20"/>
        </w:rPr>
        <w:t xml:space="preserve">EB </w:t>
      </w:r>
      <w:r w:rsidR="0026070A">
        <w:rPr>
          <w:rFonts w:eastAsia="Franklin Gothic Book"/>
          <w:szCs w:val="20"/>
        </w:rPr>
        <w:t xml:space="preserve">adder </w:t>
      </w:r>
      <w:r>
        <w:rPr>
          <w:rFonts w:eastAsia="Franklin Gothic Book"/>
          <w:szCs w:val="20"/>
        </w:rPr>
        <w:t xml:space="preserve">per first year kWh or Therm, VEIC </w:t>
      </w:r>
      <w:r w:rsidR="0059147B">
        <w:rPr>
          <w:rFonts w:eastAsia="Franklin Gothic Book"/>
          <w:szCs w:val="20"/>
        </w:rPr>
        <w:t xml:space="preserve">used </w:t>
      </w:r>
      <w:r>
        <w:rPr>
          <w:rFonts w:eastAsia="Franklin Gothic Book"/>
          <w:szCs w:val="20"/>
        </w:rPr>
        <w:t xml:space="preserve">the </w:t>
      </w:r>
      <w:r w:rsidR="00844FE1">
        <w:rPr>
          <w:rFonts w:eastAsia="Franklin Gothic Book"/>
          <w:szCs w:val="20"/>
        </w:rPr>
        <w:t xml:space="preserve">appropriate measure </w:t>
      </w:r>
      <w:r>
        <w:rPr>
          <w:rFonts w:eastAsia="Franklin Gothic Book"/>
          <w:szCs w:val="20"/>
        </w:rPr>
        <w:t xml:space="preserve">lifetime assumptions in the TRM and an average Electric and Therm </w:t>
      </w:r>
      <w:r w:rsidR="0059147B">
        <w:rPr>
          <w:rFonts w:eastAsia="Franklin Gothic Book"/>
          <w:szCs w:val="20"/>
        </w:rPr>
        <w:t xml:space="preserve">residential retail </w:t>
      </w:r>
      <w:r>
        <w:rPr>
          <w:rFonts w:eastAsia="Franklin Gothic Book"/>
          <w:szCs w:val="20"/>
        </w:rPr>
        <w:t>rate (derived from Electric and Gas Sales Statistics documents published on the Illinois Commerce Commission website</w:t>
      </w:r>
      <w:r>
        <w:rPr>
          <w:rStyle w:val="FootnoteReference"/>
          <w:rFonts w:eastAsia="Franklin Gothic Book"/>
          <w:szCs w:val="20"/>
        </w:rPr>
        <w:footnoteReference w:id="2"/>
      </w:r>
      <w:r w:rsidR="0026070A">
        <w:rPr>
          <w:rFonts w:eastAsia="Franklin Gothic Book"/>
          <w:szCs w:val="20"/>
        </w:rPr>
        <w:t>) to calculate the following factors</w:t>
      </w:r>
      <w:r w:rsidR="0026070A">
        <w:rPr>
          <w:rStyle w:val="FootnoteReference"/>
          <w:rFonts w:eastAsia="Franklin Gothic Book"/>
          <w:szCs w:val="20"/>
        </w:rPr>
        <w:footnoteReference w:id="3"/>
      </w:r>
      <w:r w:rsidR="006E50FC">
        <w:rPr>
          <w:rFonts w:eastAsia="Franklin Gothic Book"/>
          <w:szCs w:val="20"/>
        </w:rPr>
        <w:t>:</w:t>
      </w:r>
    </w:p>
    <w:tbl>
      <w:tblPr>
        <w:tblW w:w="9076" w:type="dxa"/>
        <w:tblInd w:w="108" w:type="dxa"/>
        <w:tblLook w:val="04A0" w:firstRow="1" w:lastRow="0" w:firstColumn="1" w:lastColumn="0" w:noHBand="0" w:noVBand="1"/>
      </w:tblPr>
      <w:tblGrid>
        <w:gridCol w:w="3240"/>
        <w:gridCol w:w="1079"/>
        <w:gridCol w:w="222"/>
        <w:gridCol w:w="222"/>
        <w:gridCol w:w="3337"/>
        <w:gridCol w:w="976"/>
      </w:tblGrid>
      <w:tr w:rsidR="00FF5AF3" w:rsidRPr="00FF5AF3" w:rsidTr="00844FE1">
        <w:trPr>
          <w:trHeight w:val="420"/>
        </w:trPr>
        <w:tc>
          <w:tcPr>
            <w:tcW w:w="8100" w:type="dxa"/>
            <w:gridSpan w:val="5"/>
            <w:tcBorders>
              <w:top w:val="nil"/>
              <w:left w:val="nil"/>
              <w:bottom w:val="nil"/>
              <w:right w:val="nil"/>
            </w:tcBorders>
            <w:shd w:val="clear" w:color="auto" w:fill="auto"/>
            <w:noWrap/>
            <w:vAlign w:val="bottom"/>
            <w:hideMark/>
          </w:tcPr>
          <w:p w:rsidR="00FF5AF3" w:rsidRPr="00BA209D" w:rsidRDefault="0026070A" w:rsidP="00FF5AF3">
            <w:pPr>
              <w:widowControl/>
              <w:spacing w:after="0"/>
              <w:jc w:val="left"/>
              <w:rPr>
                <w:b/>
                <w:iCs/>
                <w:color w:val="000000"/>
                <w:sz w:val="22"/>
              </w:rPr>
            </w:pPr>
            <w:r w:rsidRPr="00BA209D">
              <w:rPr>
                <w:b/>
                <w:iCs/>
                <w:color w:val="000000"/>
                <w:sz w:val="22"/>
              </w:rPr>
              <w:t xml:space="preserve">Figure 3: </w:t>
            </w:r>
            <w:r w:rsidR="00FF5AF3" w:rsidRPr="00BA209D">
              <w:rPr>
                <w:b/>
                <w:iCs/>
                <w:color w:val="000000"/>
                <w:sz w:val="22"/>
              </w:rPr>
              <w:t xml:space="preserve">For measures in whole house retrofit program only </w:t>
            </w:r>
          </w:p>
        </w:tc>
        <w:tc>
          <w:tcPr>
            <w:tcW w:w="976" w:type="dxa"/>
            <w:tcBorders>
              <w:top w:val="nil"/>
              <w:left w:val="nil"/>
              <w:right w:val="nil"/>
            </w:tcBorders>
            <w:shd w:val="clear" w:color="auto" w:fill="auto"/>
            <w:noWrap/>
            <w:vAlign w:val="bottom"/>
            <w:hideMark/>
          </w:tcPr>
          <w:p w:rsidR="00FF5AF3" w:rsidRPr="00FF5AF3" w:rsidRDefault="00FF5AF3" w:rsidP="00FF5AF3">
            <w:pPr>
              <w:widowControl/>
              <w:spacing w:after="0"/>
              <w:jc w:val="left"/>
              <w:rPr>
                <w:color w:val="000000"/>
                <w:szCs w:val="20"/>
              </w:rPr>
            </w:pPr>
          </w:p>
        </w:tc>
      </w:tr>
      <w:tr w:rsidR="00FF5AF3" w:rsidRPr="00FF5AF3" w:rsidTr="00844FE1">
        <w:trPr>
          <w:trHeight w:val="300"/>
        </w:trPr>
        <w:tc>
          <w:tcPr>
            <w:tcW w:w="8100" w:type="dxa"/>
            <w:gridSpan w:val="5"/>
            <w:tcBorders>
              <w:top w:val="nil"/>
              <w:left w:val="nil"/>
              <w:bottom w:val="nil"/>
              <w:right w:val="nil"/>
            </w:tcBorders>
            <w:shd w:val="clear" w:color="auto" w:fill="auto"/>
            <w:noWrap/>
            <w:vAlign w:val="bottom"/>
            <w:hideMark/>
          </w:tcPr>
          <w:p w:rsidR="00FF5AF3" w:rsidRPr="00FF5AF3" w:rsidRDefault="00FF5AF3" w:rsidP="00844FE1">
            <w:pPr>
              <w:widowControl/>
              <w:spacing w:after="0"/>
              <w:jc w:val="left"/>
              <w:rPr>
                <w:color w:val="000000"/>
                <w:szCs w:val="20"/>
              </w:rPr>
            </w:pPr>
            <w:r w:rsidRPr="00FF5AF3">
              <w:rPr>
                <w:color w:val="000000"/>
                <w:szCs w:val="20"/>
              </w:rPr>
              <w:t xml:space="preserve">To calculate </w:t>
            </w:r>
            <w:r w:rsidR="00224A0F">
              <w:rPr>
                <w:color w:val="000000"/>
                <w:szCs w:val="20"/>
              </w:rPr>
              <w:t xml:space="preserve">a </w:t>
            </w:r>
            <w:r w:rsidR="00844FE1">
              <w:rPr>
                <w:i/>
                <w:color w:val="000000"/>
                <w:szCs w:val="20"/>
              </w:rPr>
              <w:t>single NPV</w:t>
            </w:r>
            <w:r w:rsidRPr="00FF5AF3">
              <w:rPr>
                <w:color w:val="000000"/>
                <w:szCs w:val="20"/>
              </w:rPr>
              <w:t xml:space="preserve"> non-energy benefit, multiply the first year annual kWh or therm savings by:</w:t>
            </w:r>
          </w:p>
        </w:tc>
        <w:tc>
          <w:tcPr>
            <w:tcW w:w="976" w:type="dxa"/>
            <w:tcBorders>
              <w:top w:val="nil"/>
              <w:left w:val="nil"/>
              <w:right w:val="nil"/>
            </w:tcBorders>
            <w:shd w:val="clear" w:color="auto" w:fill="auto"/>
            <w:noWrap/>
            <w:vAlign w:val="bottom"/>
            <w:hideMark/>
          </w:tcPr>
          <w:p w:rsidR="00FF5AF3" w:rsidRPr="00FF5AF3" w:rsidRDefault="00FF5AF3" w:rsidP="00FF5AF3">
            <w:pPr>
              <w:widowControl/>
              <w:spacing w:after="0"/>
              <w:jc w:val="left"/>
              <w:rPr>
                <w:color w:val="000000"/>
                <w:szCs w:val="20"/>
              </w:rPr>
            </w:pPr>
          </w:p>
        </w:tc>
      </w:tr>
      <w:tr w:rsidR="00224A0F" w:rsidRPr="00FF5AF3" w:rsidTr="00844FE1">
        <w:trPr>
          <w:trHeight w:val="300"/>
        </w:trPr>
        <w:tc>
          <w:tcPr>
            <w:tcW w:w="8100" w:type="dxa"/>
            <w:gridSpan w:val="5"/>
            <w:tcBorders>
              <w:top w:val="nil"/>
              <w:left w:val="nil"/>
              <w:bottom w:val="nil"/>
              <w:right w:val="nil"/>
            </w:tcBorders>
            <w:shd w:val="clear" w:color="auto" w:fill="auto"/>
            <w:noWrap/>
            <w:vAlign w:val="bottom"/>
          </w:tcPr>
          <w:p w:rsidR="00224A0F" w:rsidRPr="00FF5AF3" w:rsidRDefault="00224A0F" w:rsidP="00224A0F">
            <w:pPr>
              <w:widowControl/>
              <w:spacing w:after="0"/>
              <w:jc w:val="left"/>
              <w:rPr>
                <w:color w:val="000000"/>
                <w:szCs w:val="20"/>
              </w:rPr>
            </w:pPr>
          </w:p>
        </w:tc>
        <w:tc>
          <w:tcPr>
            <w:tcW w:w="976" w:type="dxa"/>
            <w:tcBorders>
              <w:left w:val="nil"/>
              <w:bottom w:val="single" w:sz="4" w:space="0" w:color="auto"/>
              <w:right w:val="nil"/>
            </w:tcBorders>
            <w:shd w:val="clear" w:color="auto" w:fill="auto"/>
            <w:noWrap/>
            <w:vAlign w:val="bottom"/>
          </w:tcPr>
          <w:p w:rsidR="00224A0F" w:rsidRPr="00FF5AF3" w:rsidRDefault="00224A0F" w:rsidP="00FF5AF3">
            <w:pPr>
              <w:widowControl/>
              <w:spacing w:after="0"/>
              <w:jc w:val="left"/>
              <w:rPr>
                <w:color w:val="000000"/>
                <w:szCs w:val="20"/>
              </w:rPr>
            </w:pPr>
          </w:p>
        </w:tc>
      </w:tr>
      <w:tr w:rsidR="00E807B8" w:rsidRPr="00FF5AF3" w:rsidTr="00844FE1">
        <w:trPr>
          <w:trHeight w:val="900"/>
        </w:trPr>
        <w:tc>
          <w:tcPr>
            <w:tcW w:w="324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E807B8" w:rsidRPr="00FF5AF3" w:rsidRDefault="00E807B8" w:rsidP="00E807B8">
            <w:pPr>
              <w:widowControl/>
              <w:spacing w:after="0"/>
              <w:jc w:val="center"/>
              <w:rPr>
                <w:color w:val="000000"/>
                <w:szCs w:val="20"/>
              </w:rPr>
            </w:pPr>
            <w:r w:rsidRPr="00E807B8">
              <w:rPr>
                <w:b/>
                <w:color w:val="FFFFFF" w:themeColor="background1"/>
                <w:szCs w:val="20"/>
              </w:rPr>
              <w:t>Electric Saving Measures</w:t>
            </w:r>
          </w:p>
        </w:tc>
        <w:tc>
          <w:tcPr>
            <w:tcW w:w="10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E807B8" w:rsidRPr="00FF5AF3" w:rsidRDefault="00E807B8" w:rsidP="0026070A">
            <w:pPr>
              <w:widowControl/>
              <w:spacing w:after="0"/>
              <w:jc w:val="center"/>
              <w:rPr>
                <w:b/>
                <w:color w:val="FFFFFF" w:themeColor="background1"/>
                <w:szCs w:val="20"/>
              </w:rPr>
            </w:pPr>
            <w:r w:rsidRPr="00FF5AF3">
              <w:rPr>
                <w:b/>
                <w:color w:val="FFFFFF" w:themeColor="background1"/>
                <w:szCs w:val="20"/>
              </w:rPr>
              <w:t>$/First year kWh</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E807B8" w:rsidRPr="00FF5AF3" w:rsidRDefault="00E807B8" w:rsidP="00673202">
            <w:pPr>
              <w:widowControl/>
              <w:spacing w:after="0"/>
              <w:jc w:val="center"/>
              <w:rPr>
                <w:color w:val="000000"/>
                <w:szCs w:val="20"/>
              </w:rPr>
            </w:pPr>
            <w:r>
              <w:rPr>
                <w:b/>
                <w:color w:val="FFFFFF" w:themeColor="background1"/>
                <w:szCs w:val="20"/>
              </w:rPr>
              <w:t>Gas</w:t>
            </w:r>
            <w:r w:rsidRPr="00E807B8">
              <w:rPr>
                <w:b/>
                <w:color w:val="FFFFFF" w:themeColor="background1"/>
                <w:szCs w:val="20"/>
              </w:rPr>
              <w:t xml:space="preserve"> Saving Measures</w:t>
            </w:r>
          </w:p>
        </w:tc>
        <w:tc>
          <w:tcPr>
            <w:tcW w:w="97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E807B8" w:rsidRPr="00FF5AF3" w:rsidRDefault="00E807B8" w:rsidP="0026070A">
            <w:pPr>
              <w:widowControl/>
              <w:spacing w:after="0"/>
              <w:jc w:val="center"/>
              <w:rPr>
                <w:b/>
                <w:color w:val="000000"/>
                <w:szCs w:val="20"/>
              </w:rPr>
            </w:pPr>
            <w:r w:rsidRPr="00FF5AF3">
              <w:rPr>
                <w:b/>
                <w:color w:val="FFFFFF" w:themeColor="background1"/>
                <w:szCs w:val="20"/>
              </w:rPr>
              <w:t>$/First year Therm</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roofErr w:type="spellStart"/>
            <w:r w:rsidRPr="00FF5AF3">
              <w:rPr>
                <w:color w:val="000000"/>
                <w:szCs w:val="20"/>
              </w:rPr>
              <w:t>Airsealing</w:t>
            </w:r>
            <w:proofErr w:type="spellEnd"/>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$0.53</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roofErr w:type="spellStart"/>
            <w:r w:rsidRPr="00FF5AF3">
              <w:rPr>
                <w:color w:val="000000"/>
                <w:szCs w:val="20"/>
              </w:rPr>
              <w:t>Airsealing</w:t>
            </w:r>
            <w:proofErr w:type="spellEnd"/>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$4.21</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Refrigerators</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$0.28</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Dishwashers</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$5.28</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Dishwashers</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$0.66</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Clothes washers</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$4.62</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Clothes washers</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$0.58</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Duct Sealing</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$0.43</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Room AC</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$0.68</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Heating &amp; Hot Water system</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$0.85</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Cooling Systems</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$0.34</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Heating System</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$24.74</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Duct Sealing</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$0.05</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Hot Water system</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$0.65</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Heating &amp; Cooling system</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$0.30</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Insulation</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$14.00</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Heating System</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$2.92</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Service to heating or cooling</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$0.06</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Hot Water system</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$0.08</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Low Flow Showerhead</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$0.07</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Insulation</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$1.76</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Programmable Thermostat</w:t>
            </w:r>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right"/>
              <w:rPr>
                <w:color w:val="000000"/>
                <w:szCs w:val="20"/>
              </w:rPr>
            </w:pPr>
            <w:r w:rsidRPr="00FF5AF3">
              <w:rPr>
                <w:color w:val="000000"/>
                <w:szCs w:val="20"/>
              </w:rPr>
              <w:t>$0.45</w:t>
            </w: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Service to heating or cooling</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$0.01</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976"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Low Flow Showerhead</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$0.01</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976"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r>
      <w:tr w:rsidR="00E807B8" w:rsidRPr="00FF5AF3" w:rsidTr="00844FE1">
        <w:trPr>
          <w:trHeight w:val="300"/>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FF5AF3">
            <w:pPr>
              <w:widowControl/>
              <w:spacing w:after="0"/>
              <w:jc w:val="left"/>
              <w:rPr>
                <w:color w:val="000000"/>
                <w:szCs w:val="20"/>
              </w:rPr>
            </w:pPr>
            <w:r w:rsidRPr="00FF5AF3">
              <w:rPr>
                <w:color w:val="000000"/>
                <w:szCs w:val="20"/>
              </w:rPr>
              <w:t>Programmable Thermostat</w:t>
            </w:r>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07B8" w:rsidRPr="00FF5AF3" w:rsidRDefault="00E807B8" w:rsidP="0026070A">
            <w:pPr>
              <w:widowControl/>
              <w:spacing w:after="0"/>
              <w:jc w:val="center"/>
              <w:rPr>
                <w:color w:val="000000"/>
                <w:szCs w:val="20"/>
              </w:rPr>
            </w:pPr>
            <w:r w:rsidRPr="00FF5AF3">
              <w:rPr>
                <w:color w:val="000000"/>
                <w:szCs w:val="20"/>
              </w:rPr>
              <w:t>$0.06</w:t>
            </w:r>
          </w:p>
        </w:tc>
        <w:tc>
          <w:tcPr>
            <w:tcW w:w="222" w:type="dxa"/>
            <w:tcBorders>
              <w:top w:val="nil"/>
              <w:left w:val="single" w:sz="4" w:space="0" w:color="auto"/>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222"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3337"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c>
          <w:tcPr>
            <w:tcW w:w="976" w:type="dxa"/>
            <w:tcBorders>
              <w:top w:val="nil"/>
              <w:left w:val="nil"/>
              <w:bottom w:val="nil"/>
              <w:right w:val="nil"/>
            </w:tcBorders>
            <w:shd w:val="clear" w:color="auto" w:fill="auto"/>
            <w:noWrap/>
            <w:vAlign w:val="bottom"/>
            <w:hideMark/>
          </w:tcPr>
          <w:p w:rsidR="00E807B8" w:rsidRPr="00FF5AF3" w:rsidRDefault="00E807B8" w:rsidP="00FF5AF3">
            <w:pPr>
              <w:widowControl/>
              <w:spacing w:after="0"/>
              <w:jc w:val="left"/>
              <w:rPr>
                <w:color w:val="000000"/>
                <w:szCs w:val="20"/>
              </w:rPr>
            </w:pPr>
          </w:p>
        </w:tc>
      </w:tr>
    </w:tbl>
    <w:p w:rsidR="00FF5AF3" w:rsidRDefault="00FF5AF3" w:rsidP="003A6FE4">
      <w:pPr>
        <w:jc w:val="left"/>
        <w:rPr>
          <w:rFonts w:eastAsia="Franklin Gothic Book"/>
          <w:szCs w:val="20"/>
        </w:rPr>
      </w:pPr>
    </w:p>
    <w:p w:rsidR="00BA209D" w:rsidRDefault="00BA209D" w:rsidP="003A6FE4">
      <w:pPr>
        <w:jc w:val="left"/>
        <w:rPr>
          <w:rFonts w:eastAsia="Franklin Gothic Book"/>
          <w:szCs w:val="20"/>
        </w:rPr>
      </w:pPr>
    </w:p>
    <w:p w:rsidR="00BA209D" w:rsidRDefault="00BA209D" w:rsidP="003A6FE4">
      <w:pPr>
        <w:jc w:val="left"/>
        <w:rPr>
          <w:rFonts w:eastAsia="Franklin Gothic Book"/>
          <w:szCs w:val="20"/>
        </w:rPr>
      </w:pPr>
    </w:p>
    <w:p w:rsidR="00BA209D" w:rsidRDefault="00BA209D" w:rsidP="003A6FE4">
      <w:pPr>
        <w:jc w:val="left"/>
        <w:rPr>
          <w:rFonts w:eastAsia="Franklin Gothic Book"/>
          <w:szCs w:val="20"/>
        </w:rPr>
      </w:pPr>
    </w:p>
    <w:p w:rsidR="00BA209D" w:rsidRDefault="00BA209D" w:rsidP="003A6FE4">
      <w:pPr>
        <w:jc w:val="left"/>
        <w:rPr>
          <w:rFonts w:eastAsia="Franklin Gothic Book"/>
          <w:szCs w:val="20"/>
        </w:rPr>
      </w:pPr>
    </w:p>
    <w:p w:rsidR="00BA209D" w:rsidRDefault="00BA209D" w:rsidP="003A6FE4">
      <w:pPr>
        <w:jc w:val="left"/>
        <w:rPr>
          <w:rFonts w:eastAsia="Franklin Gothic Book"/>
          <w:szCs w:val="20"/>
        </w:rPr>
      </w:pPr>
    </w:p>
    <w:p w:rsidR="0026070A" w:rsidRDefault="0026070A" w:rsidP="0026070A">
      <w:pPr>
        <w:pStyle w:val="Heading1"/>
        <w:rPr>
          <w:rFonts w:eastAsia="Franklin Gothic Book"/>
        </w:rPr>
      </w:pPr>
      <w:r w:rsidRPr="0026070A">
        <w:rPr>
          <w:rFonts w:eastAsia="Franklin Gothic Book"/>
        </w:rPr>
        <w:lastRenderedPageBreak/>
        <w:t>Commercial Retrofit Non Energy Benefits</w:t>
      </w:r>
    </w:p>
    <w:p w:rsidR="0026070A" w:rsidRDefault="0026070A" w:rsidP="0026070A"/>
    <w:p w:rsidR="006E50FC" w:rsidRDefault="00E84FCE" w:rsidP="0026070A">
      <w:pPr>
        <w:rPr>
          <w:i/>
        </w:rPr>
      </w:pPr>
      <w:r>
        <w:t xml:space="preserve">For Commercial Retrofit programs, the following annual non energy benefits (NEBs) were approved through the </w:t>
      </w:r>
      <w:r w:rsidR="0059147B">
        <w:t>TAC</w:t>
      </w:r>
      <w:r w:rsidR="00844FE1">
        <w:t xml:space="preserve"> process</w:t>
      </w:r>
      <w:r>
        <w:t>. These are based upon another Massachusetts study</w:t>
      </w:r>
      <w:r w:rsidR="0059147B">
        <w:t>:</w:t>
      </w:r>
      <w:r>
        <w:t xml:space="preserve"> </w:t>
      </w:r>
      <w:r w:rsidRPr="00E84FCE">
        <w:rPr>
          <w:i/>
        </w:rPr>
        <w:t xml:space="preserve">KEMA, </w:t>
      </w:r>
      <w:proofErr w:type="spellStart"/>
      <w:r w:rsidRPr="00E84FCE">
        <w:rPr>
          <w:i/>
        </w:rPr>
        <w:t>Inc</w:t>
      </w:r>
      <w:proofErr w:type="spellEnd"/>
      <w:r w:rsidRPr="00E84FCE">
        <w:rPr>
          <w:i/>
        </w:rPr>
        <w:t>, 2012, Massachusetts Program Administrators Final Report – Commercial and Industrial Non-Energy Impacts Study.</w:t>
      </w:r>
      <w:r>
        <w:rPr>
          <w:i/>
        </w:rPr>
        <w:t xml:space="preserve"> </w:t>
      </w:r>
    </w:p>
    <w:p w:rsidR="0026070A" w:rsidRDefault="00E84FCE" w:rsidP="0026070A">
      <w:r>
        <w:t xml:space="preserve">VEIC reviewed this study and </w:t>
      </w:r>
      <w:r w:rsidR="00224A0F">
        <w:t>confirmed</w:t>
      </w:r>
      <w:r>
        <w:t xml:space="preserve"> that it was </w:t>
      </w:r>
      <w:r w:rsidR="00224A0F">
        <w:t>appropriately based upon participant benefits and not societal benefits (so carbon emissions were not included), and that water impacts were also handled separately (so as not to double count water savings claimed through the TRM). The values proposed in this study</w:t>
      </w:r>
      <w:r w:rsidR="0059147B">
        <w:t>,</w:t>
      </w:r>
      <w:r w:rsidR="00224A0F">
        <w:t xml:space="preserve"> however</w:t>
      </w:r>
      <w:r w:rsidR="0059147B">
        <w:t>,</w:t>
      </w:r>
      <w:r w:rsidR="00224A0F">
        <w:t xml:space="preserve"> d</w:t>
      </w:r>
      <w:r w:rsidR="00844FE1">
        <w:t>id</w:t>
      </w:r>
      <w:r w:rsidR="00224A0F">
        <w:t xml:space="preserve"> include O&amp;M</w:t>
      </w:r>
      <w:r w:rsidR="00844FE1">
        <w:t xml:space="preserve"> benefits</w:t>
      </w:r>
      <w:r w:rsidR="0059147B">
        <w:t>,</w:t>
      </w:r>
      <w:r w:rsidR="00224A0F">
        <w:t xml:space="preserve"> and so the appropriate O&amp;M percentages of total (also provided in the study</w:t>
      </w:r>
      <w:r w:rsidR="00844FE1">
        <w:t xml:space="preserve"> in</w:t>
      </w:r>
      <w:r w:rsidR="00224A0F">
        <w:t xml:space="preserve"> tables 4-7 and 4-12) were removed for those measures where these </w:t>
      </w:r>
      <w:r w:rsidR="006E50FC">
        <w:t xml:space="preserve">O&amp;M impacts </w:t>
      </w:r>
      <w:r w:rsidR="00224A0F">
        <w:t xml:space="preserve">are </w:t>
      </w:r>
      <w:r w:rsidR="006E50FC">
        <w:t xml:space="preserve">already </w:t>
      </w:r>
      <w:r w:rsidR="00224A0F">
        <w:t xml:space="preserve">being accounted for directly in the TRM (namely lighting and CHP). The resultant values are provided in Figure </w:t>
      </w:r>
      <w:r w:rsidR="0059147B">
        <w:t>4</w:t>
      </w:r>
      <w:r w:rsidR="00224A0F">
        <w:t xml:space="preserve"> below:</w:t>
      </w:r>
    </w:p>
    <w:p w:rsidR="00224A0F" w:rsidRDefault="00224A0F" w:rsidP="0026070A"/>
    <w:tbl>
      <w:tblPr>
        <w:tblW w:w="10700" w:type="dxa"/>
        <w:tblInd w:w="108" w:type="dxa"/>
        <w:tblLook w:val="04A0" w:firstRow="1" w:lastRow="0" w:firstColumn="1" w:lastColumn="0" w:noHBand="0" w:noVBand="1"/>
      </w:tblPr>
      <w:tblGrid>
        <w:gridCol w:w="10700"/>
      </w:tblGrid>
      <w:tr w:rsidR="00224A0F" w:rsidRPr="0059147B" w:rsidTr="00BA209D">
        <w:trPr>
          <w:trHeight w:val="420"/>
        </w:trPr>
        <w:tc>
          <w:tcPr>
            <w:tcW w:w="10700" w:type="dxa"/>
            <w:tcBorders>
              <w:top w:val="nil"/>
              <w:left w:val="nil"/>
              <w:bottom w:val="nil"/>
              <w:right w:val="nil"/>
            </w:tcBorders>
            <w:shd w:val="clear" w:color="auto" w:fill="auto"/>
            <w:noWrap/>
            <w:vAlign w:val="bottom"/>
            <w:hideMark/>
          </w:tcPr>
          <w:p w:rsidR="00224A0F" w:rsidRPr="00BA209D" w:rsidRDefault="00224A0F" w:rsidP="00224A0F">
            <w:pPr>
              <w:widowControl/>
              <w:spacing w:after="0"/>
              <w:jc w:val="left"/>
              <w:rPr>
                <w:b/>
                <w:iCs/>
                <w:color w:val="000000"/>
                <w:sz w:val="22"/>
              </w:rPr>
            </w:pPr>
            <w:r w:rsidRPr="00BA209D">
              <w:rPr>
                <w:b/>
                <w:iCs/>
                <w:color w:val="000000"/>
                <w:sz w:val="22"/>
              </w:rPr>
              <w:t xml:space="preserve">Figure </w:t>
            </w:r>
            <w:r w:rsidR="0059147B">
              <w:rPr>
                <w:b/>
                <w:iCs/>
                <w:color w:val="000000"/>
                <w:sz w:val="22"/>
              </w:rPr>
              <w:t>4</w:t>
            </w:r>
            <w:r w:rsidRPr="00BA209D">
              <w:rPr>
                <w:b/>
                <w:iCs/>
                <w:color w:val="000000"/>
                <w:sz w:val="22"/>
              </w:rPr>
              <w:t xml:space="preserve">: For measures in C&amp;I Retrofit or Direct Install program only </w:t>
            </w:r>
          </w:p>
        </w:tc>
      </w:tr>
      <w:tr w:rsidR="00224A0F" w:rsidRPr="00FF5AF3" w:rsidTr="00BA209D">
        <w:trPr>
          <w:trHeight w:val="300"/>
        </w:trPr>
        <w:tc>
          <w:tcPr>
            <w:tcW w:w="10700" w:type="dxa"/>
            <w:tcBorders>
              <w:top w:val="nil"/>
              <w:left w:val="nil"/>
              <w:bottom w:val="nil"/>
              <w:right w:val="nil"/>
            </w:tcBorders>
            <w:shd w:val="clear" w:color="auto" w:fill="auto"/>
            <w:noWrap/>
            <w:vAlign w:val="bottom"/>
            <w:hideMark/>
          </w:tcPr>
          <w:p w:rsidR="00BA209D" w:rsidRDefault="00224A0F" w:rsidP="00BA209D">
            <w:pPr>
              <w:widowControl/>
              <w:spacing w:after="0"/>
              <w:jc w:val="left"/>
              <w:rPr>
                <w:color w:val="000000"/>
                <w:szCs w:val="20"/>
              </w:rPr>
            </w:pPr>
            <w:r w:rsidRPr="00FF5AF3">
              <w:rPr>
                <w:color w:val="000000"/>
                <w:szCs w:val="20"/>
              </w:rPr>
              <w:t>To calculate</w:t>
            </w:r>
            <w:r>
              <w:rPr>
                <w:color w:val="000000"/>
                <w:szCs w:val="20"/>
              </w:rPr>
              <w:t xml:space="preserve"> the</w:t>
            </w:r>
            <w:r w:rsidRPr="00FF5AF3">
              <w:rPr>
                <w:color w:val="000000"/>
                <w:szCs w:val="20"/>
              </w:rPr>
              <w:t xml:space="preserve"> </w:t>
            </w:r>
            <w:r w:rsidRPr="00224A0F">
              <w:rPr>
                <w:i/>
                <w:color w:val="000000"/>
                <w:szCs w:val="20"/>
              </w:rPr>
              <w:t>annual</w:t>
            </w:r>
            <w:r w:rsidRPr="00FF5AF3">
              <w:rPr>
                <w:color w:val="000000"/>
                <w:szCs w:val="20"/>
              </w:rPr>
              <w:t xml:space="preserve"> non-energy benefit, multiply the kWh or therm savings by</w:t>
            </w:r>
            <w:r w:rsidR="00BA209D">
              <w:rPr>
                <w:color w:val="000000"/>
                <w:szCs w:val="20"/>
              </w:rPr>
              <w:t xml:space="preserve"> the following multiplier </w:t>
            </w:r>
          </w:p>
          <w:p w:rsidR="00224A0F" w:rsidRPr="00FF5AF3" w:rsidRDefault="00BA209D" w:rsidP="00BA209D">
            <w:pPr>
              <w:widowControl/>
              <w:spacing w:after="0"/>
              <w:jc w:val="left"/>
              <w:rPr>
                <w:color w:val="000000"/>
                <w:szCs w:val="20"/>
              </w:rPr>
            </w:pPr>
            <w:r>
              <w:rPr>
                <w:color w:val="000000"/>
                <w:szCs w:val="20"/>
              </w:rPr>
              <w:t xml:space="preserve">for each year within the measures </w:t>
            </w:r>
            <w:commentRangeStart w:id="1"/>
            <w:r>
              <w:rPr>
                <w:color w:val="000000"/>
                <w:szCs w:val="20"/>
              </w:rPr>
              <w:t>lifetime</w:t>
            </w:r>
            <w:commentRangeEnd w:id="1"/>
            <w:r>
              <w:rPr>
                <w:rStyle w:val="CommentReference"/>
              </w:rPr>
              <w:commentReference w:id="1"/>
            </w:r>
            <w:r w:rsidR="00224A0F" w:rsidRPr="00FF5AF3">
              <w:rPr>
                <w:color w:val="000000"/>
                <w:szCs w:val="20"/>
              </w:rPr>
              <w:t>:</w:t>
            </w:r>
          </w:p>
        </w:tc>
      </w:tr>
    </w:tbl>
    <w:p w:rsidR="00224A0F" w:rsidRDefault="00224A0F" w:rsidP="0026070A"/>
    <w:tbl>
      <w:tblPr>
        <w:tblW w:w="6860" w:type="dxa"/>
        <w:tblInd w:w="93" w:type="dxa"/>
        <w:tblLook w:val="0600" w:firstRow="0" w:lastRow="0" w:firstColumn="0" w:lastColumn="0" w:noHBand="1" w:noVBand="1"/>
      </w:tblPr>
      <w:tblGrid>
        <w:gridCol w:w="1400"/>
        <w:gridCol w:w="1400"/>
        <w:gridCol w:w="2280"/>
        <w:gridCol w:w="1780"/>
      </w:tblGrid>
      <w:tr w:rsidR="00224A0F" w:rsidRPr="00224A0F" w:rsidTr="00224A0F">
        <w:trPr>
          <w:trHeight w:val="630"/>
        </w:trPr>
        <w:tc>
          <w:tcPr>
            <w:tcW w:w="1400" w:type="dxa"/>
            <w:tcBorders>
              <w:top w:val="single" w:sz="4" w:space="0" w:color="auto"/>
              <w:left w:val="single" w:sz="4" w:space="0" w:color="auto"/>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Fuel</w:t>
            </w:r>
          </w:p>
        </w:tc>
        <w:tc>
          <w:tcPr>
            <w:tcW w:w="1400" w:type="dxa"/>
            <w:tcBorders>
              <w:top w:val="single" w:sz="4" w:space="0" w:color="auto"/>
              <w:left w:val="nil"/>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 xml:space="preserve"> Program</w:t>
            </w:r>
          </w:p>
        </w:tc>
        <w:tc>
          <w:tcPr>
            <w:tcW w:w="2280" w:type="dxa"/>
            <w:tcBorders>
              <w:top w:val="single" w:sz="4" w:space="0" w:color="auto"/>
              <w:left w:val="nil"/>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Measure/End Use</w:t>
            </w:r>
          </w:p>
        </w:tc>
        <w:tc>
          <w:tcPr>
            <w:tcW w:w="1780" w:type="dxa"/>
            <w:tcBorders>
              <w:top w:val="single" w:sz="4" w:space="0" w:color="auto"/>
              <w:left w:val="nil"/>
              <w:bottom w:val="single" w:sz="4" w:space="0" w:color="auto"/>
              <w:right w:val="single" w:sz="4" w:space="0" w:color="auto"/>
            </w:tcBorders>
            <w:shd w:val="clear" w:color="000000" w:fill="808080"/>
            <w:vAlign w:val="center"/>
            <w:hideMark/>
          </w:tcPr>
          <w:p w:rsidR="00224A0F" w:rsidRPr="00224A0F" w:rsidRDefault="00224A0F" w:rsidP="00BA209D">
            <w:pPr>
              <w:widowControl/>
              <w:spacing w:after="0"/>
              <w:jc w:val="center"/>
              <w:rPr>
                <w:b/>
                <w:bCs/>
                <w:color w:val="FFFFFF"/>
                <w:szCs w:val="20"/>
              </w:rPr>
            </w:pPr>
            <w:r w:rsidRPr="00224A0F">
              <w:rPr>
                <w:b/>
                <w:bCs/>
                <w:color w:val="FFFFFF"/>
                <w:szCs w:val="20"/>
              </w:rPr>
              <w:t>Annual $ NEB / kWh</w:t>
            </w:r>
          </w:p>
        </w:tc>
      </w:tr>
      <w:tr w:rsidR="00224A0F" w:rsidRPr="00224A0F" w:rsidTr="00224A0F">
        <w:trPr>
          <w:trHeight w:val="315"/>
        </w:trPr>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center"/>
              <w:rPr>
                <w:color w:val="000000"/>
                <w:szCs w:val="20"/>
              </w:rPr>
            </w:pPr>
            <w:r w:rsidRPr="00224A0F">
              <w:rPr>
                <w:color w:val="000000"/>
                <w:szCs w:val="20"/>
              </w:rPr>
              <w:t>Electric</w:t>
            </w:r>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center"/>
              <w:rPr>
                <w:color w:val="000000"/>
                <w:szCs w:val="20"/>
              </w:rPr>
            </w:pPr>
            <w:r w:rsidRPr="00224A0F">
              <w:rPr>
                <w:color w:val="000000"/>
                <w:szCs w:val="20"/>
              </w:rPr>
              <w:t>C&amp;I Large Retrofit or Direct Install</w:t>
            </w: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Rx Lighting</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$0.01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Rx HVAC</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$0.10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Custom HVAC</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$0.02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Custom Lighting</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$0.02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Refrigeration</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Other</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$0.06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CHP</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$0.01 </w:t>
            </w:r>
          </w:p>
        </w:tc>
      </w:tr>
      <w:tr w:rsidR="00224A0F" w:rsidRPr="00224A0F" w:rsidTr="00E807B8">
        <w:trPr>
          <w:trHeight w:val="215"/>
        </w:trPr>
        <w:tc>
          <w:tcPr>
            <w:tcW w:w="6860" w:type="dxa"/>
            <w:gridSpan w:val="4"/>
            <w:tcBorders>
              <w:top w:val="single" w:sz="4" w:space="0" w:color="auto"/>
              <w:left w:val="single" w:sz="4" w:space="0" w:color="auto"/>
              <w:bottom w:val="single" w:sz="4" w:space="0" w:color="auto"/>
              <w:right w:val="single" w:sz="4" w:space="0" w:color="000000"/>
            </w:tcBorders>
            <w:shd w:val="clear" w:color="000000" w:fill="E7F4FF"/>
            <w:vAlign w:val="bottom"/>
            <w:hideMark/>
          </w:tcPr>
          <w:p w:rsidR="00224A0F" w:rsidRPr="00224A0F" w:rsidRDefault="00224A0F" w:rsidP="00224A0F">
            <w:pPr>
              <w:widowControl/>
              <w:spacing w:after="0"/>
              <w:jc w:val="center"/>
              <w:rPr>
                <w:rFonts w:cs="Arial"/>
                <w:szCs w:val="20"/>
              </w:rPr>
            </w:pPr>
            <w:r w:rsidRPr="00224A0F">
              <w:rPr>
                <w:rFonts w:cs="Arial"/>
                <w:szCs w:val="20"/>
              </w:rPr>
              <w:t> </w:t>
            </w:r>
          </w:p>
        </w:tc>
      </w:tr>
      <w:tr w:rsidR="00224A0F" w:rsidRPr="00224A0F" w:rsidTr="00224A0F">
        <w:trPr>
          <w:trHeight w:val="630"/>
        </w:trPr>
        <w:tc>
          <w:tcPr>
            <w:tcW w:w="1400" w:type="dxa"/>
            <w:tcBorders>
              <w:top w:val="nil"/>
              <w:left w:val="single" w:sz="4" w:space="0" w:color="auto"/>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Fuel</w:t>
            </w:r>
          </w:p>
        </w:tc>
        <w:tc>
          <w:tcPr>
            <w:tcW w:w="1400" w:type="dxa"/>
            <w:tcBorders>
              <w:top w:val="nil"/>
              <w:left w:val="nil"/>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 xml:space="preserve"> Program</w:t>
            </w:r>
          </w:p>
        </w:tc>
        <w:tc>
          <w:tcPr>
            <w:tcW w:w="2280" w:type="dxa"/>
            <w:tcBorders>
              <w:top w:val="nil"/>
              <w:left w:val="nil"/>
              <w:bottom w:val="single" w:sz="4" w:space="0" w:color="auto"/>
              <w:right w:val="single" w:sz="4" w:space="0" w:color="auto"/>
            </w:tcBorders>
            <w:shd w:val="clear" w:color="000000" w:fill="808080"/>
            <w:vAlign w:val="bottom"/>
            <w:hideMark/>
          </w:tcPr>
          <w:p w:rsidR="00224A0F" w:rsidRPr="00224A0F" w:rsidRDefault="00224A0F" w:rsidP="00224A0F">
            <w:pPr>
              <w:widowControl/>
              <w:spacing w:after="0"/>
              <w:jc w:val="center"/>
              <w:rPr>
                <w:b/>
                <w:bCs/>
                <w:color w:val="FFFFFF"/>
                <w:szCs w:val="20"/>
              </w:rPr>
            </w:pPr>
            <w:r w:rsidRPr="00224A0F">
              <w:rPr>
                <w:b/>
                <w:bCs/>
                <w:color w:val="FFFFFF"/>
                <w:szCs w:val="20"/>
              </w:rPr>
              <w:t>Measure/End Use</w:t>
            </w:r>
          </w:p>
        </w:tc>
        <w:tc>
          <w:tcPr>
            <w:tcW w:w="1780" w:type="dxa"/>
            <w:tcBorders>
              <w:top w:val="nil"/>
              <w:left w:val="nil"/>
              <w:bottom w:val="single" w:sz="4" w:space="0" w:color="auto"/>
              <w:right w:val="single" w:sz="4" w:space="0" w:color="auto"/>
            </w:tcBorders>
            <w:shd w:val="clear" w:color="000000" w:fill="808080"/>
            <w:vAlign w:val="center"/>
            <w:hideMark/>
          </w:tcPr>
          <w:p w:rsidR="00224A0F" w:rsidRPr="00224A0F" w:rsidRDefault="00224A0F" w:rsidP="00224A0F">
            <w:pPr>
              <w:widowControl/>
              <w:spacing w:after="0"/>
              <w:jc w:val="center"/>
              <w:rPr>
                <w:b/>
                <w:bCs/>
                <w:color w:val="FFFFFF"/>
                <w:szCs w:val="20"/>
              </w:rPr>
            </w:pPr>
            <w:r w:rsidRPr="00224A0F">
              <w:rPr>
                <w:b/>
                <w:bCs/>
                <w:color w:val="FFFFFF"/>
                <w:szCs w:val="20"/>
              </w:rPr>
              <w:t>Annual $ NEB / First year Therm</w:t>
            </w:r>
          </w:p>
        </w:tc>
      </w:tr>
      <w:tr w:rsidR="00224A0F" w:rsidRPr="00224A0F" w:rsidTr="00224A0F">
        <w:trPr>
          <w:trHeight w:val="315"/>
        </w:trPr>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center"/>
              <w:rPr>
                <w:color w:val="000000"/>
                <w:szCs w:val="20"/>
              </w:rPr>
            </w:pPr>
            <w:r w:rsidRPr="00224A0F">
              <w:rPr>
                <w:color w:val="000000"/>
                <w:szCs w:val="20"/>
              </w:rPr>
              <w:t>Gas</w:t>
            </w:r>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center"/>
              <w:rPr>
                <w:color w:val="000000"/>
                <w:szCs w:val="20"/>
              </w:rPr>
            </w:pPr>
            <w:r w:rsidRPr="00224A0F">
              <w:rPr>
                <w:color w:val="000000"/>
                <w:szCs w:val="20"/>
              </w:rPr>
              <w:t>C&amp;I Large Retrofit</w:t>
            </w: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Boiler Reset Controls</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$1.35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Steam Traps</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$1.35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Thermostats</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$1.35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Custom</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$0.25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center"/>
              <w:rPr>
                <w:color w:val="000000"/>
                <w:szCs w:val="20"/>
              </w:rPr>
            </w:pPr>
            <w:r w:rsidRPr="00224A0F">
              <w:rPr>
                <w:color w:val="000000"/>
                <w:szCs w:val="20"/>
              </w:rPr>
              <w:t>C&amp;I Direct Install</w:t>
            </w: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Thermostats</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$1.35 </w:t>
            </w:r>
          </w:p>
        </w:tc>
      </w:tr>
      <w:tr w:rsidR="00224A0F" w:rsidRPr="00224A0F" w:rsidTr="00224A0F">
        <w:trPr>
          <w:trHeight w:val="315"/>
        </w:trPr>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rsidR="00224A0F" w:rsidRPr="00224A0F" w:rsidRDefault="00224A0F" w:rsidP="00224A0F">
            <w:pPr>
              <w:widowControl/>
              <w:spacing w:after="0"/>
              <w:jc w:val="left"/>
              <w:rPr>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rsidR="00224A0F" w:rsidRPr="00224A0F" w:rsidRDefault="00224A0F" w:rsidP="00224A0F">
            <w:pPr>
              <w:widowControl/>
              <w:spacing w:after="0"/>
              <w:jc w:val="left"/>
              <w:rPr>
                <w:color w:val="000000"/>
                <w:szCs w:val="20"/>
              </w:rPr>
            </w:pPr>
            <w:r w:rsidRPr="00224A0F">
              <w:rPr>
                <w:color w:val="000000"/>
                <w:szCs w:val="20"/>
              </w:rPr>
              <w:t>Duct Insulation</w:t>
            </w:r>
          </w:p>
        </w:tc>
        <w:tc>
          <w:tcPr>
            <w:tcW w:w="1780" w:type="dxa"/>
            <w:tcBorders>
              <w:top w:val="nil"/>
              <w:left w:val="nil"/>
              <w:bottom w:val="single" w:sz="4" w:space="0" w:color="auto"/>
              <w:right w:val="single" w:sz="4" w:space="0" w:color="auto"/>
            </w:tcBorders>
            <w:shd w:val="clear" w:color="000000" w:fill="E7F4FF"/>
            <w:vAlign w:val="bottom"/>
            <w:hideMark/>
          </w:tcPr>
          <w:p w:rsidR="00224A0F" w:rsidRPr="00224A0F" w:rsidRDefault="00224A0F" w:rsidP="00224A0F">
            <w:pPr>
              <w:widowControl/>
              <w:spacing w:after="0"/>
              <w:jc w:val="center"/>
              <w:rPr>
                <w:color w:val="000000"/>
                <w:szCs w:val="20"/>
              </w:rPr>
            </w:pPr>
            <w:r w:rsidRPr="00224A0F">
              <w:rPr>
                <w:color w:val="000000"/>
                <w:szCs w:val="20"/>
              </w:rPr>
              <w:t xml:space="preserve">$1.35 </w:t>
            </w:r>
          </w:p>
        </w:tc>
      </w:tr>
    </w:tbl>
    <w:p w:rsidR="00224A0F" w:rsidRDefault="00224A0F" w:rsidP="0026070A"/>
    <w:p w:rsidR="006E50FC" w:rsidRDefault="006E50FC" w:rsidP="0026070A"/>
    <w:p w:rsidR="006E50FC" w:rsidRPr="00E84FCE" w:rsidRDefault="006E50FC" w:rsidP="0026070A">
      <w:r>
        <w:t xml:space="preserve">Refining the Non Energy Benefit values presented above and </w:t>
      </w:r>
      <w:r w:rsidR="00844FE1">
        <w:t xml:space="preserve">the </w:t>
      </w:r>
      <w:r>
        <w:t xml:space="preserve">determination of appropriate values for additional </w:t>
      </w:r>
      <w:r>
        <w:lastRenderedPageBreak/>
        <w:t>measures should be an area of focus for future evaluation</w:t>
      </w:r>
      <w:r w:rsidR="00844FE1">
        <w:t xml:space="preserve"> and discussion</w:t>
      </w:r>
      <w:bookmarkStart w:id="2" w:name="_GoBack"/>
      <w:bookmarkEnd w:id="2"/>
      <w:r>
        <w:t>.</w:t>
      </w:r>
    </w:p>
    <w:sectPr w:rsidR="006E50FC" w:rsidRPr="00E84FCE">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amuel Dent" w:date="2015-10-23T10:42:00Z" w:initials="SD">
    <w:p w:rsidR="00844FE1" w:rsidRDefault="00844FE1">
      <w:pPr>
        <w:pStyle w:val="CommentText"/>
      </w:pPr>
      <w:r>
        <w:rPr>
          <w:rStyle w:val="CommentReference"/>
        </w:rPr>
        <w:annotationRef/>
      </w:r>
      <w:r>
        <w:t>Note this is language for if/when it is approved – rather than suggesting it already is.</w:t>
      </w:r>
    </w:p>
  </w:comment>
  <w:comment w:id="1" w:author="Samuel Dent" w:date="2015-10-23T10:49:00Z" w:initials="SD">
    <w:p w:rsidR="00BA209D" w:rsidRDefault="00BA209D">
      <w:pPr>
        <w:pStyle w:val="CommentText"/>
      </w:pPr>
      <w:r>
        <w:rPr>
          <w:rStyle w:val="CommentReference"/>
        </w:rPr>
        <w:annotationRef/>
      </w:r>
      <w:r>
        <w:t>Note this is</w:t>
      </w:r>
      <w:r w:rsidR="00844FE1">
        <w:t xml:space="preserve"> a </w:t>
      </w:r>
      <w:r>
        <w:t xml:space="preserve">different </w:t>
      </w:r>
      <w:r w:rsidR="00844FE1">
        <w:t xml:space="preserve">form </w:t>
      </w:r>
      <w:r>
        <w:t xml:space="preserve">to the RES multipliers. For Res it is a single value based upon multiplying the Lifetime NPV of NEBs by the first year annual savings. For C&amp;I it is an annual adder which would be added each year within the measure life. </w:t>
      </w:r>
    </w:p>
    <w:p w:rsidR="00BA209D" w:rsidRDefault="00BA209D">
      <w:pPr>
        <w:pStyle w:val="CommentText"/>
      </w:pPr>
      <w:r>
        <w:t xml:space="preserve">Ultimately we should </w:t>
      </w:r>
      <w:r w:rsidR="00844FE1">
        <w:t xml:space="preserve">likely </w:t>
      </w:r>
      <w:r>
        <w:t>make these consistent, and the methodology we chose should be determined by which is easier</w:t>
      </w:r>
      <w:r w:rsidR="00844FE1">
        <w:t xml:space="preserve"> for the program administrators</w:t>
      </w:r>
      <w:r>
        <w:t xml:space="preserve"> to apply </w:t>
      </w:r>
      <w:r w:rsidR="00844FE1">
        <w:t xml:space="preserve">in the </w:t>
      </w:r>
      <w:r>
        <w:t>screening tools.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49" w:rsidRDefault="00844349" w:rsidP="00FF5AF3">
      <w:pPr>
        <w:spacing w:after="0"/>
      </w:pPr>
      <w:r>
        <w:separator/>
      </w:r>
    </w:p>
  </w:endnote>
  <w:endnote w:type="continuationSeparator" w:id="0">
    <w:p w:rsidR="00844349" w:rsidRDefault="00844349" w:rsidP="00FF5A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imes-Italic">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49" w:rsidRDefault="00844349" w:rsidP="00FF5AF3">
      <w:pPr>
        <w:spacing w:after="0"/>
      </w:pPr>
      <w:r>
        <w:separator/>
      </w:r>
    </w:p>
  </w:footnote>
  <w:footnote w:type="continuationSeparator" w:id="0">
    <w:p w:rsidR="00844349" w:rsidRDefault="00844349" w:rsidP="00FF5AF3">
      <w:pPr>
        <w:spacing w:after="0"/>
      </w:pPr>
      <w:r>
        <w:continuationSeparator/>
      </w:r>
    </w:p>
  </w:footnote>
  <w:footnote w:id="1">
    <w:p w:rsidR="00FF5F0B" w:rsidRDefault="00FF5F0B">
      <w:pPr>
        <w:pStyle w:val="FootnoteText"/>
      </w:pPr>
      <w:r>
        <w:rPr>
          <w:rStyle w:val="FootnoteReference"/>
        </w:rPr>
        <w:footnoteRef/>
      </w:r>
      <w:r>
        <w:t xml:space="preserve"> Email to TRM administrator </w:t>
      </w:r>
      <w:r w:rsidR="00844FE1">
        <w:t xml:space="preserve">from Chris </w:t>
      </w:r>
      <w:proofErr w:type="spellStart"/>
      <w:r w:rsidR="00844FE1">
        <w:t>Neme</w:t>
      </w:r>
      <w:proofErr w:type="spellEnd"/>
      <w:r w:rsidR="00844FE1">
        <w:t xml:space="preserve">, </w:t>
      </w:r>
      <w:r>
        <w:t>10/22/2015.</w:t>
      </w:r>
    </w:p>
  </w:footnote>
  <w:footnote w:id="2">
    <w:p w:rsidR="00FF5AF3" w:rsidRDefault="00FF5AF3">
      <w:pPr>
        <w:pStyle w:val="FootnoteText"/>
      </w:pPr>
      <w:r>
        <w:rPr>
          <w:rStyle w:val="FootnoteReference"/>
        </w:rPr>
        <w:footnoteRef/>
      </w:r>
      <w:r>
        <w:t xml:space="preserve"> </w:t>
      </w:r>
      <w:hyperlink r:id="rId1" w:history="1">
        <w:r w:rsidRPr="00C56654">
          <w:rPr>
            <w:rStyle w:val="Hyperlink"/>
          </w:rPr>
          <w:t>http://www.icc.illinois.gov/publicutility/salesstatistics.aspx?type=e</w:t>
        </w:r>
      </w:hyperlink>
    </w:p>
  </w:footnote>
  <w:footnote w:id="3">
    <w:p w:rsidR="0026070A" w:rsidRDefault="0026070A">
      <w:pPr>
        <w:pStyle w:val="FootnoteText"/>
      </w:pPr>
      <w:r>
        <w:rPr>
          <w:rStyle w:val="FootnoteReference"/>
        </w:rPr>
        <w:footnoteRef/>
      </w:r>
      <w:r>
        <w:t xml:space="preserve"> See</w:t>
      </w:r>
      <w:r w:rsidR="006E50FC">
        <w:t xml:space="preserve"> ‘Residential Whole House Retrofit NEB factor </w:t>
      </w:r>
      <w:proofErr w:type="gramStart"/>
      <w:r w:rsidR="006E50FC">
        <w:t>calculator.xls’</w:t>
      </w:r>
      <w:proofErr w:type="gramEnd"/>
      <w:r w:rsidR="00FF5F0B">
        <w:t xml:space="preserve"> for more details</w:t>
      </w:r>
      <w:r w:rsidR="006E50F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0FC" w:rsidRDefault="006E50FC" w:rsidP="006E50FC">
    <w:pPr>
      <w:pStyle w:val="HeaderIL"/>
    </w:pPr>
    <w:r>
      <w:t xml:space="preserve">Illinois Statewide Technical Reference Manual- Attachment B; Non Energy Benefits </w:t>
    </w:r>
  </w:p>
  <w:p w:rsidR="006E50FC" w:rsidRDefault="006E50FC">
    <w:pPr>
      <w:pStyle w:val="Header"/>
    </w:pPr>
  </w:p>
  <w:p w:rsidR="006E50FC" w:rsidRDefault="006E50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265D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FE4"/>
    <w:rsid w:val="00224A0F"/>
    <w:rsid w:val="0026070A"/>
    <w:rsid w:val="003A6FE4"/>
    <w:rsid w:val="0059147B"/>
    <w:rsid w:val="006E50FC"/>
    <w:rsid w:val="00844349"/>
    <w:rsid w:val="00844FE1"/>
    <w:rsid w:val="009770DB"/>
    <w:rsid w:val="00A777B5"/>
    <w:rsid w:val="00B530CB"/>
    <w:rsid w:val="00BA209D"/>
    <w:rsid w:val="00D5281E"/>
    <w:rsid w:val="00E807B8"/>
    <w:rsid w:val="00E84FCE"/>
    <w:rsid w:val="00E9381E"/>
    <w:rsid w:val="00FF5AF3"/>
    <w:rsid w:val="00FF5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FE4"/>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26070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6070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6070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070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6070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6070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6070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6070A"/>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26070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77B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7B5"/>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FF5AF3"/>
    <w:pPr>
      <w:spacing w:after="0"/>
    </w:pPr>
    <w:rPr>
      <w:szCs w:val="20"/>
    </w:rPr>
  </w:style>
  <w:style w:type="character" w:customStyle="1" w:styleId="FootnoteTextChar">
    <w:name w:val="Footnote Text Char"/>
    <w:basedOn w:val="DefaultParagraphFont"/>
    <w:link w:val="FootnoteText"/>
    <w:uiPriority w:val="99"/>
    <w:semiHidden/>
    <w:rsid w:val="00FF5AF3"/>
    <w:rPr>
      <w:rFonts w:eastAsia="Times New Roman" w:cs="Times New Roman"/>
      <w:sz w:val="20"/>
      <w:szCs w:val="20"/>
    </w:rPr>
  </w:style>
  <w:style w:type="character" w:styleId="FootnoteReference">
    <w:name w:val="footnote reference"/>
    <w:basedOn w:val="DefaultParagraphFont"/>
    <w:uiPriority w:val="99"/>
    <w:semiHidden/>
    <w:unhideWhenUsed/>
    <w:rsid w:val="00FF5AF3"/>
    <w:rPr>
      <w:vertAlign w:val="superscript"/>
    </w:rPr>
  </w:style>
  <w:style w:type="character" w:styleId="Hyperlink">
    <w:name w:val="Hyperlink"/>
    <w:basedOn w:val="DefaultParagraphFont"/>
    <w:uiPriority w:val="99"/>
    <w:unhideWhenUsed/>
    <w:rsid w:val="00FF5AF3"/>
    <w:rPr>
      <w:color w:val="0000FF" w:themeColor="hyperlink"/>
      <w:u w:val="single"/>
    </w:rPr>
  </w:style>
  <w:style w:type="character" w:customStyle="1" w:styleId="Heading1Char">
    <w:name w:val="Heading 1 Char"/>
    <w:basedOn w:val="DefaultParagraphFont"/>
    <w:link w:val="Heading1"/>
    <w:uiPriority w:val="9"/>
    <w:rsid w:val="002607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607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6070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semiHidden/>
    <w:rsid w:val="0026070A"/>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semiHidden/>
    <w:rsid w:val="0026070A"/>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26070A"/>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26070A"/>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2607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6070A"/>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6E50FC"/>
    <w:pPr>
      <w:tabs>
        <w:tab w:val="center" w:pos="4680"/>
        <w:tab w:val="right" w:pos="9360"/>
      </w:tabs>
      <w:spacing w:after="0"/>
    </w:pPr>
  </w:style>
  <w:style w:type="character" w:customStyle="1" w:styleId="HeaderChar">
    <w:name w:val="Header Char"/>
    <w:basedOn w:val="DefaultParagraphFont"/>
    <w:link w:val="Header"/>
    <w:uiPriority w:val="99"/>
    <w:rsid w:val="006E50FC"/>
    <w:rPr>
      <w:rFonts w:eastAsia="Times New Roman" w:cs="Times New Roman"/>
      <w:sz w:val="20"/>
    </w:rPr>
  </w:style>
  <w:style w:type="paragraph" w:styleId="Footer">
    <w:name w:val="footer"/>
    <w:basedOn w:val="Normal"/>
    <w:link w:val="FooterChar"/>
    <w:uiPriority w:val="99"/>
    <w:unhideWhenUsed/>
    <w:rsid w:val="006E50FC"/>
    <w:pPr>
      <w:tabs>
        <w:tab w:val="center" w:pos="4680"/>
        <w:tab w:val="right" w:pos="9360"/>
      </w:tabs>
      <w:spacing w:after="0"/>
    </w:pPr>
  </w:style>
  <w:style w:type="character" w:customStyle="1" w:styleId="FooterChar">
    <w:name w:val="Footer Char"/>
    <w:basedOn w:val="DefaultParagraphFont"/>
    <w:link w:val="Footer"/>
    <w:uiPriority w:val="99"/>
    <w:rsid w:val="006E50FC"/>
    <w:rPr>
      <w:rFonts w:eastAsia="Times New Roman" w:cs="Times New Roman"/>
      <w:sz w:val="20"/>
    </w:rPr>
  </w:style>
  <w:style w:type="paragraph" w:customStyle="1" w:styleId="HeaderIL">
    <w:name w:val="Header IL"/>
    <w:basedOn w:val="Header"/>
    <w:link w:val="HeaderILChar"/>
    <w:qFormat/>
    <w:rsid w:val="006E50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E50FC"/>
    <w:rPr>
      <w:rFonts w:eastAsia="Times New Roman" w:cs="Times New Roman"/>
      <w:sz w:val="20"/>
    </w:rPr>
  </w:style>
  <w:style w:type="character" w:styleId="CommentReference">
    <w:name w:val="annotation reference"/>
    <w:basedOn w:val="DefaultParagraphFont"/>
    <w:uiPriority w:val="99"/>
    <w:semiHidden/>
    <w:unhideWhenUsed/>
    <w:rsid w:val="0059147B"/>
    <w:rPr>
      <w:sz w:val="16"/>
      <w:szCs w:val="16"/>
    </w:rPr>
  </w:style>
  <w:style w:type="paragraph" w:styleId="CommentText">
    <w:name w:val="annotation text"/>
    <w:basedOn w:val="Normal"/>
    <w:link w:val="CommentTextChar"/>
    <w:uiPriority w:val="99"/>
    <w:semiHidden/>
    <w:unhideWhenUsed/>
    <w:rsid w:val="0059147B"/>
    <w:rPr>
      <w:szCs w:val="20"/>
    </w:rPr>
  </w:style>
  <w:style w:type="character" w:customStyle="1" w:styleId="CommentTextChar">
    <w:name w:val="Comment Text Char"/>
    <w:basedOn w:val="DefaultParagraphFont"/>
    <w:link w:val="CommentText"/>
    <w:uiPriority w:val="99"/>
    <w:semiHidden/>
    <w:rsid w:val="0059147B"/>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147B"/>
    <w:rPr>
      <w:b/>
      <w:bCs/>
    </w:rPr>
  </w:style>
  <w:style w:type="character" w:customStyle="1" w:styleId="CommentSubjectChar">
    <w:name w:val="Comment Subject Char"/>
    <w:basedOn w:val="CommentTextChar"/>
    <w:link w:val="CommentSubject"/>
    <w:uiPriority w:val="99"/>
    <w:semiHidden/>
    <w:rsid w:val="0059147B"/>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FE4"/>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26070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6070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6070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6070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6070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6070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6070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6070A"/>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26070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77B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7B5"/>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FF5AF3"/>
    <w:pPr>
      <w:spacing w:after="0"/>
    </w:pPr>
    <w:rPr>
      <w:szCs w:val="20"/>
    </w:rPr>
  </w:style>
  <w:style w:type="character" w:customStyle="1" w:styleId="FootnoteTextChar">
    <w:name w:val="Footnote Text Char"/>
    <w:basedOn w:val="DefaultParagraphFont"/>
    <w:link w:val="FootnoteText"/>
    <w:uiPriority w:val="99"/>
    <w:semiHidden/>
    <w:rsid w:val="00FF5AF3"/>
    <w:rPr>
      <w:rFonts w:eastAsia="Times New Roman" w:cs="Times New Roman"/>
      <w:sz w:val="20"/>
      <w:szCs w:val="20"/>
    </w:rPr>
  </w:style>
  <w:style w:type="character" w:styleId="FootnoteReference">
    <w:name w:val="footnote reference"/>
    <w:basedOn w:val="DefaultParagraphFont"/>
    <w:uiPriority w:val="99"/>
    <w:semiHidden/>
    <w:unhideWhenUsed/>
    <w:rsid w:val="00FF5AF3"/>
    <w:rPr>
      <w:vertAlign w:val="superscript"/>
    </w:rPr>
  </w:style>
  <w:style w:type="character" w:styleId="Hyperlink">
    <w:name w:val="Hyperlink"/>
    <w:basedOn w:val="DefaultParagraphFont"/>
    <w:uiPriority w:val="99"/>
    <w:unhideWhenUsed/>
    <w:rsid w:val="00FF5AF3"/>
    <w:rPr>
      <w:color w:val="0000FF" w:themeColor="hyperlink"/>
      <w:u w:val="single"/>
    </w:rPr>
  </w:style>
  <w:style w:type="character" w:customStyle="1" w:styleId="Heading1Char">
    <w:name w:val="Heading 1 Char"/>
    <w:basedOn w:val="DefaultParagraphFont"/>
    <w:link w:val="Heading1"/>
    <w:uiPriority w:val="9"/>
    <w:rsid w:val="0026070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6070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6070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semiHidden/>
    <w:rsid w:val="0026070A"/>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semiHidden/>
    <w:rsid w:val="0026070A"/>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26070A"/>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26070A"/>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2607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6070A"/>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6E50FC"/>
    <w:pPr>
      <w:tabs>
        <w:tab w:val="center" w:pos="4680"/>
        <w:tab w:val="right" w:pos="9360"/>
      </w:tabs>
      <w:spacing w:after="0"/>
    </w:pPr>
  </w:style>
  <w:style w:type="character" w:customStyle="1" w:styleId="HeaderChar">
    <w:name w:val="Header Char"/>
    <w:basedOn w:val="DefaultParagraphFont"/>
    <w:link w:val="Header"/>
    <w:uiPriority w:val="99"/>
    <w:rsid w:val="006E50FC"/>
    <w:rPr>
      <w:rFonts w:eastAsia="Times New Roman" w:cs="Times New Roman"/>
      <w:sz w:val="20"/>
    </w:rPr>
  </w:style>
  <w:style w:type="paragraph" w:styleId="Footer">
    <w:name w:val="footer"/>
    <w:basedOn w:val="Normal"/>
    <w:link w:val="FooterChar"/>
    <w:uiPriority w:val="99"/>
    <w:unhideWhenUsed/>
    <w:rsid w:val="006E50FC"/>
    <w:pPr>
      <w:tabs>
        <w:tab w:val="center" w:pos="4680"/>
        <w:tab w:val="right" w:pos="9360"/>
      </w:tabs>
      <w:spacing w:after="0"/>
    </w:pPr>
  </w:style>
  <w:style w:type="character" w:customStyle="1" w:styleId="FooterChar">
    <w:name w:val="Footer Char"/>
    <w:basedOn w:val="DefaultParagraphFont"/>
    <w:link w:val="Footer"/>
    <w:uiPriority w:val="99"/>
    <w:rsid w:val="006E50FC"/>
    <w:rPr>
      <w:rFonts w:eastAsia="Times New Roman" w:cs="Times New Roman"/>
      <w:sz w:val="20"/>
    </w:rPr>
  </w:style>
  <w:style w:type="paragraph" w:customStyle="1" w:styleId="HeaderIL">
    <w:name w:val="Header IL"/>
    <w:basedOn w:val="Header"/>
    <w:link w:val="HeaderILChar"/>
    <w:qFormat/>
    <w:rsid w:val="006E50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E50FC"/>
    <w:rPr>
      <w:rFonts w:eastAsia="Times New Roman" w:cs="Times New Roman"/>
      <w:sz w:val="20"/>
    </w:rPr>
  </w:style>
  <w:style w:type="character" w:styleId="CommentReference">
    <w:name w:val="annotation reference"/>
    <w:basedOn w:val="DefaultParagraphFont"/>
    <w:uiPriority w:val="99"/>
    <w:semiHidden/>
    <w:unhideWhenUsed/>
    <w:rsid w:val="0059147B"/>
    <w:rPr>
      <w:sz w:val="16"/>
      <w:szCs w:val="16"/>
    </w:rPr>
  </w:style>
  <w:style w:type="paragraph" w:styleId="CommentText">
    <w:name w:val="annotation text"/>
    <w:basedOn w:val="Normal"/>
    <w:link w:val="CommentTextChar"/>
    <w:uiPriority w:val="99"/>
    <w:semiHidden/>
    <w:unhideWhenUsed/>
    <w:rsid w:val="0059147B"/>
    <w:rPr>
      <w:szCs w:val="20"/>
    </w:rPr>
  </w:style>
  <w:style w:type="character" w:customStyle="1" w:styleId="CommentTextChar">
    <w:name w:val="Comment Text Char"/>
    <w:basedOn w:val="DefaultParagraphFont"/>
    <w:link w:val="CommentText"/>
    <w:uiPriority w:val="99"/>
    <w:semiHidden/>
    <w:rsid w:val="0059147B"/>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147B"/>
    <w:rPr>
      <w:b/>
      <w:bCs/>
    </w:rPr>
  </w:style>
  <w:style w:type="character" w:customStyle="1" w:styleId="CommentSubjectChar">
    <w:name w:val="Comment Subject Char"/>
    <w:basedOn w:val="CommentTextChar"/>
    <w:link w:val="CommentSubject"/>
    <w:uiPriority w:val="99"/>
    <w:semiHidden/>
    <w:rsid w:val="0059147B"/>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633586">
      <w:bodyDiv w:val="1"/>
      <w:marLeft w:val="0"/>
      <w:marRight w:val="0"/>
      <w:marTop w:val="0"/>
      <w:marBottom w:val="0"/>
      <w:divBdr>
        <w:top w:val="none" w:sz="0" w:space="0" w:color="auto"/>
        <w:left w:val="none" w:sz="0" w:space="0" w:color="auto"/>
        <w:bottom w:val="none" w:sz="0" w:space="0" w:color="auto"/>
        <w:right w:val="none" w:sz="0" w:space="0" w:color="auto"/>
      </w:divBdr>
    </w:div>
    <w:div w:id="79275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www.icc.illinois.gov/publicutility/salesstatistics.aspx?typ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DCBAF-B454-4632-936A-7F458FF4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B1D5ECEB</Template>
  <TotalTime>19</TotalTime>
  <Pages>4</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cp:lastPrinted>2015-10-22T13:00:00Z</cp:lastPrinted>
  <dcterms:created xsi:type="dcterms:W3CDTF">2015-10-22T16:06:00Z</dcterms:created>
  <dcterms:modified xsi:type="dcterms:W3CDTF">2015-10-23T14:49:00Z</dcterms:modified>
</cp:coreProperties>
</file>