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7E890A" w14:textId="733C4647" w:rsidR="00D466B6" w:rsidRDefault="00707BC0" w:rsidP="004E20D6">
      <w:pPr>
        <w:pStyle w:val="Heading1"/>
        <w:numPr>
          <w:ilvl w:val="0"/>
          <w:numId w:val="0"/>
        </w:numPr>
        <w:ind w:left="432" w:hanging="432"/>
      </w:pPr>
      <w:bookmarkStart w:id="0" w:name="_Toc319585400"/>
      <w:bookmarkStart w:id="1" w:name="_Toc319585393"/>
      <w:bookmarkStart w:id="2" w:name="_Toc315447626"/>
      <w:r>
        <w:t>NEW</w:t>
      </w:r>
      <w:r>
        <w:tab/>
      </w:r>
      <w:r>
        <w:tab/>
      </w:r>
      <w:r w:rsidR="004E20D6">
        <w:t>Heat Recovery Grease Trap Filter</w:t>
      </w:r>
    </w:p>
    <w:p w14:paraId="737E890D" w14:textId="77777777" w:rsidR="00D466B6" w:rsidRDefault="00D466B6" w:rsidP="007333C0">
      <w:pPr>
        <w:pStyle w:val="Heading6"/>
      </w:pPr>
      <w:r>
        <w:t>Description</w:t>
      </w:r>
    </w:p>
    <w:p w14:paraId="3CBA55B5" w14:textId="56B58FC5" w:rsidR="001167E0" w:rsidRPr="001167E0" w:rsidRDefault="004E20D6" w:rsidP="007F4407">
      <w:pPr>
        <w:spacing w:after="120"/>
      </w:pPr>
      <w:r>
        <w:t xml:space="preserve">A heat recovery grease trap filter </w:t>
      </w:r>
      <w:r w:rsidRPr="004E20D6">
        <w:t xml:space="preserve">combines grease filters and </w:t>
      </w:r>
      <w:r>
        <w:t>a heat exchanger to recover</w:t>
      </w:r>
      <w:r w:rsidRPr="004E20D6">
        <w:t xml:space="preserve"> heat leaving kitchen hoods.</w:t>
      </w:r>
      <w:r>
        <w:t xml:space="preserve"> As a direct replacement for conventional hood mounted filters in commercial kitchens, they are plumbed </w:t>
      </w:r>
      <w:r w:rsidRPr="004E20D6">
        <w:t>to the domestic hot water system to provide preheating energy to incoming water</w:t>
      </w:r>
      <w:r>
        <w:t xml:space="preserve">. </w:t>
      </w:r>
    </w:p>
    <w:p w14:paraId="783EE946" w14:textId="77777777" w:rsidR="004E20D6" w:rsidRDefault="001D1C11" w:rsidP="004E20D6">
      <w:pPr>
        <w:widowControl/>
        <w:spacing w:after="0"/>
        <w:jc w:val="left"/>
        <w:rPr>
          <w:rFonts w:cs="Calibri"/>
          <w:szCs w:val="20"/>
        </w:rPr>
      </w:pPr>
      <w:r w:rsidRPr="008D2142">
        <w:rPr>
          <w:rFonts w:cs="Calibri"/>
          <w:szCs w:val="20"/>
        </w:rPr>
        <w:t>This measure was developed to be applicable to the following program types:</w:t>
      </w:r>
      <w:r w:rsidR="004E20D6">
        <w:rPr>
          <w:rFonts w:cs="Calibri"/>
          <w:szCs w:val="20"/>
        </w:rPr>
        <w:t xml:space="preserve"> TOS</w:t>
      </w:r>
      <w:r w:rsidR="008D2142" w:rsidRPr="008D2142">
        <w:rPr>
          <w:rFonts w:cs="Calibri"/>
          <w:szCs w:val="20"/>
        </w:rPr>
        <w:t xml:space="preserve"> and RF</w:t>
      </w:r>
      <w:r w:rsidRPr="008D2142">
        <w:rPr>
          <w:rFonts w:cs="Calibri"/>
          <w:szCs w:val="20"/>
        </w:rPr>
        <w:t>. If applied to other program types, the measure savings should be verified</w:t>
      </w:r>
      <w:r w:rsidR="008D2142" w:rsidRPr="008D2142">
        <w:rPr>
          <w:rFonts w:cs="Calibri"/>
          <w:szCs w:val="20"/>
        </w:rPr>
        <w:t>.</w:t>
      </w:r>
      <w:r w:rsidR="004E20D6">
        <w:rPr>
          <w:rFonts w:cs="Calibri"/>
          <w:szCs w:val="20"/>
        </w:rPr>
        <w:t xml:space="preserve"> For NC projects, this measure may be applicable if code requirements are otherwise satisfied.</w:t>
      </w:r>
    </w:p>
    <w:p w14:paraId="33FBBF64" w14:textId="208825B5" w:rsidR="001D1C11" w:rsidRPr="004E20D6" w:rsidRDefault="001D1C11" w:rsidP="004E20D6">
      <w:pPr>
        <w:widowControl/>
        <w:spacing w:after="0"/>
        <w:jc w:val="left"/>
      </w:pPr>
      <w:r w:rsidRPr="007F4407">
        <w:rPr>
          <w:i/>
        </w:rPr>
        <w:t xml:space="preserve">  </w:t>
      </w:r>
    </w:p>
    <w:p w14:paraId="737E890E" w14:textId="5BEA259C" w:rsidR="00D466B6" w:rsidRDefault="00D466B6" w:rsidP="007333C0">
      <w:pPr>
        <w:pStyle w:val="Heading6"/>
      </w:pPr>
      <w:r>
        <w:t>Definition of Efficient Equipment</w:t>
      </w:r>
    </w:p>
    <w:p w14:paraId="4E0FC343" w14:textId="0A75CBE6" w:rsidR="005A14E9" w:rsidRPr="005A14E9" w:rsidRDefault="00EC0DA6" w:rsidP="007F4407">
      <w:pPr>
        <w:spacing w:after="120"/>
      </w:pPr>
      <w:r>
        <w:t xml:space="preserve">Grease filters </w:t>
      </w:r>
      <w:r w:rsidR="00B83C73">
        <w:t>with heat exchangers carrying domestic hot water in kitchen exhaust air ducts.</w:t>
      </w:r>
    </w:p>
    <w:p w14:paraId="737E890F" w14:textId="31EDEE33" w:rsidR="00D466B6" w:rsidRDefault="00D466B6" w:rsidP="007333C0">
      <w:pPr>
        <w:pStyle w:val="Heading6"/>
      </w:pPr>
      <w:r>
        <w:t>Definition of Baseline Equipment</w:t>
      </w:r>
    </w:p>
    <w:p w14:paraId="757F7ACC" w14:textId="14DF1E92" w:rsidR="001D1C11" w:rsidRPr="00C0464D" w:rsidRDefault="00EC0DA6" w:rsidP="007F4407">
      <w:pPr>
        <w:spacing w:after="120"/>
        <w:rPr>
          <w:i/>
        </w:rPr>
      </w:pPr>
      <w:proofErr w:type="gramStart"/>
      <w:r>
        <w:t>Kitchen exhaust air duct with constant air flow</w:t>
      </w:r>
      <w:r w:rsidR="00D30214">
        <w:rPr>
          <w:rStyle w:val="FootnoteReference"/>
        </w:rPr>
        <w:footnoteReference w:id="1"/>
      </w:r>
      <w:r>
        <w:t xml:space="preserve"> and no heat recovery.</w:t>
      </w:r>
      <w:proofErr w:type="gramEnd"/>
    </w:p>
    <w:p w14:paraId="737E8910" w14:textId="77777777" w:rsidR="00D466B6" w:rsidRDefault="00D466B6" w:rsidP="007333C0">
      <w:pPr>
        <w:pStyle w:val="Heading6"/>
      </w:pPr>
      <w:r>
        <w:t>Deemed Lifetime of Efficient Equipment</w:t>
      </w:r>
    </w:p>
    <w:p w14:paraId="71C696EB" w14:textId="654298B1" w:rsidR="00081C72" w:rsidRPr="00081C72" w:rsidRDefault="00081C72" w:rsidP="007333C0">
      <w:pPr>
        <w:pStyle w:val="Heading6"/>
        <w:rPr>
          <w:rFonts w:eastAsia="Times New Roman"/>
          <w:b w:val="0"/>
          <w:smallCaps w:val="0"/>
        </w:rPr>
      </w:pPr>
      <w:r w:rsidRPr="00081C72">
        <w:rPr>
          <w:rFonts w:eastAsia="Times New Roman"/>
          <w:b w:val="0"/>
          <w:smallCaps w:val="0"/>
        </w:rPr>
        <w:t>The expected measure life is assumed to be 15 years.</w:t>
      </w:r>
      <w:r>
        <w:rPr>
          <w:rStyle w:val="FootnoteReference"/>
          <w:rFonts w:eastAsia="Times New Roman"/>
          <w:b w:val="0"/>
          <w:smallCaps w:val="0"/>
        </w:rPr>
        <w:footnoteReference w:id="2"/>
      </w:r>
    </w:p>
    <w:p w14:paraId="737E8911" w14:textId="77777777" w:rsidR="00D466B6" w:rsidRDefault="00D466B6" w:rsidP="007333C0">
      <w:pPr>
        <w:pStyle w:val="Heading6"/>
      </w:pPr>
      <w:r>
        <w:t xml:space="preserve">Deemed Measure Cost </w:t>
      </w:r>
    </w:p>
    <w:p w14:paraId="5F07508C" w14:textId="3916134D" w:rsidR="006B4B46" w:rsidRDefault="006B4B46" w:rsidP="007333C0">
      <w:pPr>
        <w:pStyle w:val="Heading6"/>
      </w:pPr>
      <w:r>
        <w:rPr>
          <w:rFonts w:eastAsia="Times New Roman"/>
          <w:b w:val="0"/>
          <w:smallCaps w:val="0"/>
        </w:rPr>
        <w:t xml:space="preserve">Full installation costs, including plumbing materials, labor and any associated </w:t>
      </w:r>
      <w:proofErr w:type="spellStart"/>
      <w:r>
        <w:rPr>
          <w:rFonts w:eastAsia="Times New Roman"/>
          <w:b w:val="0"/>
          <w:smallCaps w:val="0"/>
        </w:rPr>
        <w:t>contols</w:t>
      </w:r>
      <w:proofErr w:type="spellEnd"/>
      <w:r>
        <w:rPr>
          <w:rFonts w:eastAsia="Times New Roman"/>
          <w:b w:val="0"/>
          <w:smallCaps w:val="0"/>
        </w:rPr>
        <w:t>, should be used for screening purposes.</w:t>
      </w:r>
    </w:p>
    <w:p w14:paraId="737E8913" w14:textId="77777777" w:rsidR="00D466B6" w:rsidRPr="007333C0" w:rsidRDefault="00D466B6" w:rsidP="007333C0">
      <w:pPr>
        <w:pStyle w:val="Heading6"/>
      </w:pPr>
      <w:r w:rsidRPr="007333C0">
        <w:t>Loadshape</w:t>
      </w:r>
    </w:p>
    <w:p w14:paraId="44DDA205" w14:textId="03481710" w:rsidR="007333C0" w:rsidRDefault="007333C0" w:rsidP="007F4407">
      <w:pPr>
        <w:spacing w:after="120"/>
        <w:rPr>
          <w:i/>
          <w:strike/>
        </w:rPr>
      </w:pPr>
      <w:r>
        <w:rPr>
          <w:szCs w:val="20"/>
        </w:rPr>
        <w:t>Loadshape C01 - Commercial Electric Cooking</w:t>
      </w:r>
    </w:p>
    <w:p w14:paraId="737E8914" w14:textId="1765D56D" w:rsidR="00D466B6" w:rsidRPr="00EC0DA6" w:rsidRDefault="00D466B6" w:rsidP="007333C0">
      <w:pPr>
        <w:pStyle w:val="Heading6"/>
      </w:pPr>
      <w:r w:rsidRPr="00EC0DA6">
        <w:t>Coincidence Factor</w:t>
      </w:r>
    </w:p>
    <w:p w14:paraId="5E0EF0F6" w14:textId="77777777" w:rsidR="00B9187C" w:rsidRDefault="00B9187C" w:rsidP="00B9187C">
      <w:r>
        <w:t>Summer Peak Coincidence Factor for measure is provided below for different building type</w:t>
      </w:r>
      <w:r>
        <w:rPr>
          <w:rStyle w:val="FootnoteReference"/>
        </w:rPr>
        <w:footnoteReference w:id="3"/>
      </w:r>
      <w:r>
        <w:t>:</w:t>
      </w:r>
    </w:p>
    <w:tbl>
      <w:tblPr>
        <w:tblW w:w="3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126"/>
      </w:tblGrid>
      <w:tr w:rsidR="00B9187C" w:rsidRPr="00E64232" w14:paraId="2D3130ED" w14:textId="77777777" w:rsidTr="007F0F07">
        <w:trPr>
          <w:trHeight w:hRule="exact" w:val="288"/>
          <w:jc w:val="center"/>
        </w:trPr>
        <w:tc>
          <w:tcPr>
            <w:tcW w:w="2640" w:type="dxa"/>
            <w:shd w:val="clear" w:color="auto" w:fill="7F7F7F" w:themeFill="text1" w:themeFillTint="80"/>
            <w:hideMark/>
          </w:tcPr>
          <w:p w14:paraId="7E3F083F" w14:textId="77777777" w:rsidR="00B9187C" w:rsidRPr="00E64232" w:rsidRDefault="00B9187C" w:rsidP="007F0F07">
            <w:pPr>
              <w:pStyle w:val="TableHeading"/>
            </w:pPr>
            <w:r w:rsidRPr="00E64232">
              <w:t>Location</w:t>
            </w:r>
          </w:p>
        </w:tc>
        <w:tc>
          <w:tcPr>
            <w:tcW w:w="1126" w:type="dxa"/>
            <w:shd w:val="clear" w:color="auto" w:fill="7F7F7F" w:themeFill="text1" w:themeFillTint="80"/>
          </w:tcPr>
          <w:p w14:paraId="532C54E4" w14:textId="77777777" w:rsidR="00B9187C" w:rsidRPr="00E64232" w:rsidRDefault="00B9187C" w:rsidP="007F0F07">
            <w:pPr>
              <w:pStyle w:val="TableHeading"/>
            </w:pPr>
            <w:r w:rsidRPr="00E64232">
              <w:t>CF</w:t>
            </w:r>
          </w:p>
          <w:p w14:paraId="66C1A058" w14:textId="77777777" w:rsidR="00B9187C" w:rsidRPr="00E64232" w:rsidRDefault="00B9187C" w:rsidP="007F0F07">
            <w:pPr>
              <w:pStyle w:val="TableHeading"/>
            </w:pPr>
            <w:r w:rsidRPr="00E64232">
              <w:t>CF</w:t>
            </w:r>
          </w:p>
        </w:tc>
      </w:tr>
      <w:tr w:rsidR="00B9187C" w:rsidRPr="00E64232" w14:paraId="03BB87E9" w14:textId="77777777" w:rsidTr="007F0F07">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14:paraId="532ECF96" w14:textId="77777777" w:rsidR="00B9187C" w:rsidRPr="00E64232" w:rsidRDefault="00B9187C" w:rsidP="007F0F07">
            <w:r w:rsidRPr="00E64232">
              <w:t>Fast Food Limited Menu</w:t>
            </w:r>
          </w:p>
        </w:tc>
        <w:tc>
          <w:tcPr>
            <w:tcW w:w="1126" w:type="dxa"/>
            <w:tcBorders>
              <w:top w:val="single" w:sz="4" w:space="0" w:color="auto"/>
              <w:left w:val="single" w:sz="4" w:space="0" w:color="auto"/>
              <w:bottom w:val="single" w:sz="4" w:space="0" w:color="auto"/>
              <w:right w:val="single" w:sz="4" w:space="0" w:color="auto"/>
            </w:tcBorders>
          </w:tcPr>
          <w:p w14:paraId="45DE7F04" w14:textId="77777777" w:rsidR="00B9187C" w:rsidRPr="00E64232" w:rsidRDefault="00B9187C" w:rsidP="007F0F07">
            <w:pPr>
              <w:ind w:right="43"/>
            </w:pPr>
            <w:r w:rsidRPr="00E64232">
              <w:t>0.32</w:t>
            </w:r>
          </w:p>
        </w:tc>
      </w:tr>
      <w:tr w:rsidR="00B9187C" w:rsidRPr="00E64232" w14:paraId="60D69C22" w14:textId="77777777" w:rsidTr="007F0F07">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14:paraId="4C59A5C0" w14:textId="77777777" w:rsidR="00B9187C" w:rsidRPr="00E64232" w:rsidRDefault="00B9187C" w:rsidP="007F0F07">
            <w:r w:rsidRPr="00E64232">
              <w:t>Fast Food Expanded Menu</w:t>
            </w:r>
          </w:p>
        </w:tc>
        <w:tc>
          <w:tcPr>
            <w:tcW w:w="1126" w:type="dxa"/>
            <w:tcBorders>
              <w:top w:val="single" w:sz="4" w:space="0" w:color="auto"/>
              <w:left w:val="single" w:sz="4" w:space="0" w:color="auto"/>
              <w:bottom w:val="single" w:sz="4" w:space="0" w:color="auto"/>
              <w:right w:val="single" w:sz="4" w:space="0" w:color="auto"/>
            </w:tcBorders>
          </w:tcPr>
          <w:p w14:paraId="263881C1" w14:textId="77777777" w:rsidR="00B9187C" w:rsidRPr="00E64232" w:rsidRDefault="00B9187C" w:rsidP="007F0F07">
            <w:r w:rsidRPr="00E64232">
              <w:t>0.41</w:t>
            </w:r>
          </w:p>
        </w:tc>
      </w:tr>
      <w:tr w:rsidR="00B9187C" w:rsidRPr="00E64232" w14:paraId="7CA887E9" w14:textId="77777777" w:rsidTr="007F0F07">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14:paraId="2430A815" w14:textId="77777777" w:rsidR="00B9187C" w:rsidRPr="00E64232" w:rsidRDefault="00B9187C" w:rsidP="007F0F07">
            <w:r w:rsidRPr="00E64232">
              <w:t>Pizza</w:t>
            </w:r>
          </w:p>
        </w:tc>
        <w:tc>
          <w:tcPr>
            <w:tcW w:w="1126" w:type="dxa"/>
            <w:tcBorders>
              <w:top w:val="single" w:sz="4" w:space="0" w:color="auto"/>
              <w:left w:val="single" w:sz="4" w:space="0" w:color="auto"/>
              <w:bottom w:val="single" w:sz="4" w:space="0" w:color="auto"/>
              <w:right w:val="single" w:sz="4" w:space="0" w:color="auto"/>
            </w:tcBorders>
          </w:tcPr>
          <w:p w14:paraId="79ACFE66" w14:textId="77777777" w:rsidR="00B9187C" w:rsidRPr="00E64232" w:rsidRDefault="00B9187C" w:rsidP="007F0F07">
            <w:r w:rsidRPr="00E64232">
              <w:t>0.46</w:t>
            </w:r>
          </w:p>
        </w:tc>
      </w:tr>
      <w:tr w:rsidR="00B9187C" w:rsidRPr="00E64232" w14:paraId="4BDC2DC7" w14:textId="77777777" w:rsidTr="007F0F07">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14:paraId="6872F565" w14:textId="77777777" w:rsidR="00B9187C" w:rsidRPr="00E64232" w:rsidRDefault="00B9187C" w:rsidP="007F0F07">
            <w:r w:rsidRPr="00E64232">
              <w:t>Full Service Limited Menu</w:t>
            </w:r>
          </w:p>
        </w:tc>
        <w:tc>
          <w:tcPr>
            <w:tcW w:w="1126" w:type="dxa"/>
            <w:tcBorders>
              <w:top w:val="single" w:sz="4" w:space="0" w:color="auto"/>
              <w:left w:val="single" w:sz="4" w:space="0" w:color="auto"/>
              <w:bottom w:val="single" w:sz="4" w:space="0" w:color="auto"/>
              <w:right w:val="single" w:sz="4" w:space="0" w:color="auto"/>
            </w:tcBorders>
          </w:tcPr>
          <w:p w14:paraId="1D3D185B" w14:textId="77777777" w:rsidR="00B9187C" w:rsidRPr="00E64232" w:rsidRDefault="00B9187C" w:rsidP="007F0F07">
            <w:r w:rsidRPr="00E64232">
              <w:t>0.51</w:t>
            </w:r>
          </w:p>
        </w:tc>
      </w:tr>
      <w:tr w:rsidR="00B9187C" w:rsidRPr="00E64232" w14:paraId="030E30D5" w14:textId="77777777" w:rsidTr="007F0F07">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14:paraId="58D51983" w14:textId="77777777" w:rsidR="00B9187C" w:rsidRPr="00E64232" w:rsidRDefault="00B9187C" w:rsidP="007F0F07">
            <w:r w:rsidRPr="00E64232">
              <w:t>Full Service Expanded Menu</w:t>
            </w:r>
          </w:p>
        </w:tc>
        <w:tc>
          <w:tcPr>
            <w:tcW w:w="1126" w:type="dxa"/>
            <w:tcBorders>
              <w:top w:val="single" w:sz="4" w:space="0" w:color="auto"/>
              <w:left w:val="single" w:sz="4" w:space="0" w:color="auto"/>
              <w:bottom w:val="single" w:sz="4" w:space="0" w:color="auto"/>
              <w:right w:val="single" w:sz="4" w:space="0" w:color="auto"/>
            </w:tcBorders>
          </w:tcPr>
          <w:p w14:paraId="024097DA" w14:textId="77777777" w:rsidR="00B9187C" w:rsidRPr="00E64232" w:rsidRDefault="00B9187C" w:rsidP="007F0F07">
            <w:r w:rsidRPr="00E64232">
              <w:t>0.36</w:t>
            </w:r>
          </w:p>
        </w:tc>
      </w:tr>
      <w:tr w:rsidR="00B9187C" w:rsidRPr="00E64232" w14:paraId="198C0E54" w14:textId="77777777" w:rsidTr="007F0F07">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14:paraId="52741C6B" w14:textId="77777777" w:rsidR="00B9187C" w:rsidRPr="00E64232" w:rsidRDefault="00B9187C" w:rsidP="007F0F07">
            <w:r w:rsidRPr="00E64232">
              <w:t>Cafeteria</w:t>
            </w:r>
          </w:p>
        </w:tc>
        <w:tc>
          <w:tcPr>
            <w:tcW w:w="1126" w:type="dxa"/>
            <w:tcBorders>
              <w:top w:val="single" w:sz="4" w:space="0" w:color="auto"/>
              <w:left w:val="single" w:sz="4" w:space="0" w:color="auto"/>
              <w:bottom w:val="single" w:sz="4" w:space="0" w:color="auto"/>
              <w:right w:val="single" w:sz="4" w:space="0" w:color="auto"/>
            </w:tcBorders>
          </w:tcPr>
          <w:p w14:paraId="4B7318D2" w14:textId="77777777" w:rsidR="00B9187C" w:rsidRPr="00E64232" w:rsidRDefault="00B9187C" w:rsidP="007F0F07">
            <w:r w:rsidRPr="00E64232">
              <w:t>0.36</w:t>
            </w:r>
          </w:p>
        </w:tc>
      </w:tr>
      <w:tr w:rsidR="00847246" w:rsidRPr="00AE76FC" w14:paraId="11761AB1" w14:textId="77777777" w:rsidTr="007F0F07">
        <w:trPr>
          <w:trHeight w:hRule="exact" w:val="288"/>
          <w:jc w:val="center"/>
        </w:trPr>
        <w:tc>
          <w:tcPr>
            <w:tcW w:w="2640" w:type="dxa"/>
            <w:noWrap/>
            <w:vAlign w:val="bottom"/>
          </w:tcPr>
          <w:p w14:paraId="49B6F32C" w14:textId="77777777" w:rsidR="00847246" w:rsidRPr="00847246" w:rsidRDefault="00847246" w:rsidP="00847246">
            <w:r w:rsidRPr="00847246">
              <w:t>Unknown</w:t>
            </w:r>
          </w:p>
        </w:tc>
        <w:tc>
          <w:tcPr>
            <w:tcW w:w="1126" w:type="dxa"/>
          </w:tcPr>
          <w:p w14:paraId="0A9BAE30" w14:textId="77777777" w:rsidR="00847246" w:rsidRPr="00847246" w:rsidRDefault="00847246" w:rsidP="00847246">
            <w:r w:rsidRPr="00847246">
              <w:t>0.40</w:t>
            </w:r>
          </w:p>
        </w:tc>
      </w:tr>
    </w:tbl>
    <w:p w14:paraId="2D0E5E6B" w14:textId="77777777" w:rsidR="00B9187C" w:rsidRDefault="00B9187C" w:rsidP="00B9187C"/>
    <w:p w14:paraId="737E8915" w14:textId="54D07D8E" w:rsidR="00D466B6" w:rsidRDefault="00D466B6" w:rsidP="00D466B6">
      <w:pPr>
        <w:pStyle w:val="AlgorithmHeading"/>
      </w:pPr>
      <w:r>
        <w:lastRenderedPageBreak/>
        <w:t>Algorithm</w:t>
      </w:r>
      <w:r w:rsidR="006F084B">
        <w:t xml:space="preserve"> </w:t>
      </w:r>
    </w:p>
    <w:p w14:paraId="737E8916" w14:textId="77777777" w:rsidR="00D466B6" w:rsidRDefault="00D466B6" w:rsidP="007333C0">
      <w:pPr>
        <w:pStyle w:val="Heading6"/>
      </w:pPr>
      <w:r>
        <w:t xml:space="preserve">Calculation of Energy Savings </w:t>
      </w:r>
    </w:p>
    <w:p w14:paraId="4D569B7A" w14:textId="77777777" w:rsidR="009372CB" w:rsidRDefault="00D466B6" w:rsidP="007333C0">
      <w:pPr>
        <w:pStyle w:val="Heading6"/>
      </w:pPr>
      <w:r>
        <w:t>Electric Energy Savings</w:t>
      </w:r>
    </w:p>
    <w:p w14:paraId="6D915D4C" w14:textId="58DD9D47" w:rsidR="00072317" w:rsidRPr="00072317" w:rsidRDefault="004D7251" w:rsidP="00904990">
      <w:pPr>
        <w:tabs>
          <w:tab w:val="left" w:pos="540"/>
        </w:tabs>
        <w:ind w:left="540" w:hanging="540"/>
        <w:jc w:val="left"/>
        <w:rPr>
          <w:rFonts w:eastAsiaTheme="majorEastAsia"/>
        </w:rPr>
      </w:pPr>
      <w:r>
        <w:rPr>
          <w:rFonts w:eastAsiaTheme="majorEastAsia"/>
        </w:rPr>
        <w:tab/>
      </w:r>
      <w:proofErr w:type="spellStart"/>
      <w:r w:rsidR="00072317" w:rsidRPr="00072317">
        <w:rPr>
          <w:rFonts w:eastAsiaTheme="majorEastAsia"/>
        </w:rPr>
        <w:t>Δ</w:t>
      </w:r>
      <w:r w:rsidR="00072317">
        <w:rPr>
          <w:rFonts w:eastAsiaTheme="majorEastAsia"/>
        </w:rPr>
        <w:t>kWh</w:t>
      </w:r>
      <w:proofErr w:type="spellEnd"/>
      <w:r w:rsidR="00072317">
        <w:rPr>
          <w:rFonts w:eastAsiaTheme="majorEastAsia"/>
        </w:rPr>
        <w:t xml:space="preserve"> </w:t>
      </w:r>
      <w:r w:rsidR="00904990">
        <w:rPr>
          <w:rFonts w:eastAsiaTheme="majorEastAsia"/>
        </w:rPr>
        <w:t xml:space="preserve">  </w:t>
      </w:r>
      <w:proofErr w:type="gramStart"/>
      <w:r w:rsidR="00072317">
        <w:rPr>
          <w:rFonts w:eastAsiaTheme="majorEastAsia"/>
        </w:rPr>
        <w:t>=[</w:t>
      </w:r>
      <w:proofErr w:type="gramEnd"/>
      <w:r w:rsidR="00072317">
        <w:rPr>
          <w:rFonts w:eastAsiaTheme="majorEastAsia"/>
        </w:rPr>
        <w:t>(Meal/Day*HW/Meal*Days/Year)*8.3</w:t>
      </w:r>
      <w:r w:rsidR="00DF6BB7">
        <w:rPr>
          <w:rFonts w:eastAsiaTheme="majorEastAsia"/>
        </w:rPr>
        <w:t>BTU/gal.</w:t>
      </w:r>
      <w:r w:rsidR="00072317">
        <w:rPr>
          <w:rFonts w:eastAsiaTheme="majorEastAsia"/>
        </w:rPr>
        <w:t>°F*(</w:t>
      </w:r>
      <w:r w:rsidR="00D77CB0" w:rsidRPr="00072317">
        <w:rPr>
          <w:rFonts w:eastAsiaTheme="majorEastAsia"/>
        </w:rPr>
        <w:t>Δ</w:t>
      </w:r>
      <w:r w:rsidR="00D77CB0">
        <w:rPr>
          <w:rFonts w:eastAsiaTheme="majorEastAsia"/>
        </w:rPr>
        <w:t>T</w:t>
      </w:r>
      <w:r w:rsidR="00072317">
        <w:rPr>
          <w:rFonts w:eastAsiaTheme="majorEastAsia"/>
        </w:rPr>
        <w:t>/filter*Qty_Filter)</w:t>
      </w:r>
      <w:r w:rsidR="00DF6BB7">
        <w:rPr>
          <w:rFonts w:eastAsiaTheme="majorEastAsia"/>
        </w:rPr>
        <w:t>*0.00293</w:t>
      </w:r>
      <w:r w:rsidR="00072317">
        <w:rPr>
          <w:rFonts w:eastAsiaTheme="majorEastAsia"/>
        </w:rPr>
        <w:t>]/(</w:t>
      </w:r>
      <w:commentRangeStart w:id="3"/>
      <w:r w:rsidR="00072317">
        <w:rPr>
          <w:rFonts w:eastAsiaTheme="majorEastAsia"/>
        </w:rPr>
        <w:t>η</w:t>
      </w:r>
      <w:r w:rsidR="00072317">
        <w:rPr>
          <w:rFonts w:eastAsiaTheme="majorEastAsia"/>
          <w:vertAlign w:val="subscript"/>
        </w:rPr>
        <w:t>Heater</w:t>
      </w:r>
      <w:r w:rsidR="00904990">
        <w:rPr>
          <w:rFonts w:eastAsiaTheme="majorEastAsia"/>
          <w:vertAlign w:val="subscript"/>
        </w:rPr>
        <w:t>Elec</w:t>
      </w:r>
      <w:commentRangeEnd w:id="3"/>
      <w:r w:rsidR="009B3558">
        <w:rPr>
          <w:rStyle w:val="CommentReference"/>
        </w:rPr>
        <w:commentReference w:id="3"/>
      </w:r>
      <w:r w:rsidR="00072317">
        <w:rPr>
          <w:rFonts w:eastAsiaTheme="majorEastAsia"/>
        </w:rPr>
        <w:t>)</w:t>
      </w:r>
    </w:p>
    <w:p w14:paraId="09F299FF" w14:textId="77777777" w:rsidR="00707BC0" w:rsidRDefault="00707BC0" w:rsidP="00707BC0">
      <w:pPr>
        <w:rPr>
          <w:rFonts w:eastAsiaTheme="majorEastAsia"/>
        </w:rPr>
      </w:pPr>
      <w:r>
        <w:rPr>
          <w:rFonts w:eastAsiaTheme="majorEastAsia"/>
        </w:rPr>
        <w:t>Where:</w:t>
      </w:r>
    </w:p>
    <w:p w14:paraId="3B0A796B" w14:textId="77777777" w:rsidR="00707BC0" w:rsidRDefault="00707BC0" w:rsidP="00707BC0">
      <w:pPr>
        <w:ind w:left="720"/>
        <w:rPr>
          <w:rFonts w:eastAsiaTheme="majorEastAsia"/>
        </w:rPr>
      </w:pPr>
      <w:r>
        <w:rPr>
          <w:rFonts w:eastAsiaTheme="majorEastAsia"/>
        </w:rPr>
        <w:t xml:space="preserve">Meal/Day </w:t>
      </w:r>
      <w:r>
        <w:rPr>
          <w:rFonts w:eastAsiaTheme="majorEastAsia"/>
        </w:rPr>
        <w:tab/>
        <w:t>= Average number of meals served per day. If not directly available, see Table 1.</w:t>
      </w:r>
    </w:p>
    <w:p w14:paraId="1BE0D70A" w14:textId="77777777" w:rsidR="00707BC0" w:rsidRDefault="00707BC0" w:rsidP="00707BC0">
      <w:pPr>
        <w:ind w:left="720"/>
        <w:rPr>
          <w:rFonts w:eastAsiaTheme="majorEastAsia"/>
        </w:rPr>
      </w:pPr>
      <w:r>
        <w:rPr>
          <w:rFonts w:eastAsiaTheme="majorEastAsia"/>
        </w:rPr>
        <w:t xml:space="preserve">HW/Meal </w:t>
      </w:r>
      <w:r>
        <w:rPr>
          <w:rFonts w:eastAsiaTheme="majorEastAsia"/>
        </w:rPr>
        <w:tab/>
        <w:t>= Hot water required per meal</w:t>
      </w:r>
    </w:p>
    <w:p w14:paraId="1BA653F5" w14:textId="77777777" w:rsidR="00707BC0" w:rsidRPr="00072317" w:rsidRDefault="00707BC0" w:rsidP="00707BC0">
      <w:pPr>
        <w:ind w:left="1440" w:firstLine="720"/>
        <w:rPr>
          <w:rFonts w:eastAsiaTheme="majorEastAsia"/>
        </w:rPr>
      </w:pPr>
      <w:proofErr w:type="gramStart"/>
      <w:r>
        <w:rPr>
          <w:rFonts w:eastAsiaTheme="majorEastAsia"/>
        </w:rPr>
        <w:t>= 3 gal/meal</w:t>
      </w:r>
      <w:proofErr w:type="gramEnd"/>
      <w:r>
        <w:rPr>
          <w:rStyle w:val="FootnoteReference"/>
          <w:rFonts w:eastAsiaTheme="majorEastAsia"/>
        </w:rPr>
        <w:footnoteReference w:id="4"/>
      </w:r>
    </w:p>
    <w:p w14:paraId="56EF8FC1" w14:textId="77777777" w:rsidR="00707BC0" w:rsidRDefault="00707BC0" w:rsidP="00707BC0">
      <w:pPr>
        <w:ind w:left="720"/>
        <w:rPr>
          <w:rFonts w:eastAsiaTheme="majorEastAsia"/>
        </w:rPr>
      </w:pPr>
      <w:r>
        <w:rPr>
          <w:rFonts w:eastAsiaTheme="majorEastAsia"/>
        </w:rPr>
        <w:t xml:space="preserve">Days/Year </w:t>
      </w:r>
      <w:r>
        <w:rPr>
          <w:rFonts w:eastAsiaTheme="majorEastAsia"/>
        </w:rPr>
        <w:tab/>
        <w:t>= Number of days kitchen operates per year. If not directly available, see Table 1.</w:t>
      </w:r>
    </w:p>
    <w:p w14:paraId="3F6AD055" w14:textId="77777777" w:rsidR="00707BC0" w:rsidRDefault="00707BC0" w:rsidP="00707BC0">
      <w:pPr>
        <w:ind w:left="720"/>
        <w:rPr>
          <w:rFonts w:eastAsiaTheme="majorEastAsia"/>
        </w:rPr>
      </w:pPr>
      <w:r w:rsidRPr="00072317">
        <w:rPr>
          <w:rFonts w:eastAsiaTheme="majorEastAsia"/>
        </w:rPr>
        <w:t>Δ</w:t>
      </w:r>
      <w:r>
        <w:rPr>
          <w:rFonts w:eastAsiaTheme="majorEastAsia"/>
        </w:rPr>
        <w:t>T/filter</w:t>
      </w:r>
      <w:r>
        <w:rPr>
          <w:rFonts w:eastAsiaTheme="majorEastAsia"/>
        </w:rPr>
        <w:tab/>
      </w:r>
      <w:r>
        <w:rPr>
          <w:rFonts w:eastAsiaTheme="majorEastAsia"/>
        </w:rPr>
        <w:tab/>
        <w:t>= Temperature difference of domestic water across each filter</w:t>
      </w:r>
    </w:p>
    <w:p w14:paraId="7FC711F6" w14:textId="77777777" w:rsidR="00707BC0" w:rsidRDefault="00707BC0" w:rsidP="00707BC0">
      <w:pPr>
        <w:ind w:left="720"/>
        <w:rPr>
          <w:rFonts w:eastAsiaTheme="majorEastAsia"/>
        </w:rPr>
      </w:pPr>
      <w:r>
        <w:rPr>
          <w:rFonts w:eastAsiaTheme="majorEastAsia"/>
        </w:rPr>
        <w:tab/>
      </w:r>
      <w:r>
        <w:rPr>
          <w:rFonts w:eastAsiaTheme="majorEastAsia"/>
        </w:rPr>
        <w:tab/>
        <w:t>= 5.8°F/filter</w:t>
      </w:r>
      <w:r>
        <w:rPr>
          <w:rStyle w:val="FootnoteReference"/>
          <w:rFonts w:eastAsiaTheme="majorEastAsia"/>
        </w:rPr>
        <w:footnoteReference w:id="5"/>
      </w:r>
    </w:p>
    <w:p w14:paraId="1308F658" w14:textId="77777777" w:rsidR="00707BC0" w:rsidRDefault="00707BC0" w:rsidP="00904990">
      <w:pPr>
        <w:ind w:left="2160" w:hanging="1440"/>
        <w:rPr>
          <w:rFonts w:eastAsiaTheme="majorEastAsia"/>
        </w:rPr>
      </w:pPr>
      <w:proofErr w:type="spellStart"/>
      <w:r>
        <w:rPr>
          <w:rFonts w:eastAsiaTheme="majorEastAsia"/>
        </w:rPr>
        <w:t>Qty_Filter</w:t>
      </w:r>
      <w:proofErr w:type="spellEnd"/>
      <w:r>
        <w:rPr>
          <w:rFonts w:eastAsiaTheme="majorEastAsia"/>
        </w:rPr>
        <w:t xml:space="preserve"> </w:t>
      </w:r>
      <w:r>
        <w:rPr>
          <w:rFonts w:eastAsiaTheme="majorEastAsia"/>
        </w:rPr>
        <w:tab/>
        <w:t>= Number of heat recovery grease trap filters installed. If not directly available, see Table 1.</w:t>
      </w:r>
    </w:p>
    <w:p w14:paraId="3F93D353" w14:textId="77777777" w:rsidR="009B3558" w:rsidRDefault="009B3558" w:rsidP="009B3558">
      <w:pPr>
        <w:pStyle w:val="Caption"/>
      </w:pPr>
      <w:r>
        <w:t>Table 1: Commercial Kitchen Load based on Building Type</w:t>
      </w:r>
    </w:p>
    <w:tbl>
      <w:tblPr>
        <w:tblW w:w="5707" w:type="dxa"/>
        <w:jc w:val="center"/>
        <w:tblInd w:w="93" w:type="dxa"/>
        <w:tblLook w:val="04A0" w:firstRow="1" w:lastRow="0" w:firstColumn="1" w:lastColumn="0" w:noHBand="0" w:noVBand="1"/>
      </w:tblPr>
      <w:tblGrid>
        <w:gridCol w:w="1836"/>
        <w:gridCol w:w="1191"/>
        <w:gridCol w:w="1370"/>
        <w:gridCol w:w="1310"/>
      </w:tblGrid>
      <w:tr w:rsidR="009B3558" w:rsidRPr="00904990" w14:paraId="204ED2C0" w14:textId="77777777" w:rsidTr="009B3558">
        <w:trPr>
          <w:trHeight w:val="480"/>
          <w:jc w:val="center"/>
        </w:trPr>
        <w:tc>
          <w:tcPr>
            <w:tcW w:w="183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251EE54E" w14:textId="77777777" w:rsidR="009B3558" w:rsidRPr="00904990" w:rsidRDefault="009B3558" w:rsidP="00673202">
            <w:pPr>
              <w:widowControl/>
              <w:spacing w:after="0"/>
              <w:jc w:val="center"/>
              <w:rPr>
                <w:rFonts w:cs="Arial"/>
                <w:b/>
                <w:bCs/>
                <w:color w:val="FFFFFF" w:themeColor="background1"/>
                <w:szCs w:val="20"/>
              </w:rPr>
            </w:pPr>
            <w:r w:rsidRPr="00904990">
              <w:rPr>
                <w:rFonts w:cs="Arial"/>
                <w:b/>
                <w:bCs/>
                <w:color w:val="FFFFFF" w:themeColor="background1"/>
                <w:szCs w:val="20"/>
              </w:rPr>
              <w:t>Building Type</w:t>
            </w:r>
          </w:p>
        </w:tc>
        <w:tc>
          <w:tcPr>
            <w:tcW w:w="1191"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
          <w:p w14:paraId="2D4FA61F" w14:textId="77777777" w:rsidR="009B3558" w:rsidRPr="00904990" w:rsidRDefault="009B3558" w:rsidP="00673202">
            <w:pPr>
              <w:widowControl/>
              <w:spacing w:after="0"/>
              <w:jc w:val="center"/>
              <w:rPr>
                <w:rFonts w:cs="Arial"/>
                <w:b/>
                <w:bCs/>
                <w:color w:val="FFFFFF" w:themeColor="background1"/>
                <w:szCs w:val="20"/>
              </w:rPr>
            </w:pPr>
            <w:r w:rsidRPr="00904990">
              <w:rPr>
                <w:rFonts w:cs="Arial"/>
                <w:b/>
                <w:bCs/>
                <w:color w:val="FFFFFF" w:themeColor="background1"/>
                <w:szCs w:val="20"/>
              </w:rPr>
              <w:t>Meals/Day</w:t>
            </w:r>
            <w:r w:rsidRPr="00904990">
              <w:rPr>
                <w:rStyle w:val="FootnoteReference"/>
                <w:rFonts w:asciiTheme="minorHAnsi" w:hAnsiTheme="minorHAnsi"/>
                <w:b/>
                <w:bCs/>
                <w:color w:val="FFFFFF" w:themeColor="background1"/>
                <w:szCs w:val="20"/>
              </w:rPr>
              <w:footnoteReference w:id="6"/>
            </w:r>
          </w:p>
        </w:tc>
        <w:tc>
          <w:tcPr>
            <w:tcW w:w="1370"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
          <w:p w14:paraId="63A4C35C" w14:textId="77777777" w:rsidR="009B3558" w:rsidRPr="00904990" w:rsidRDefault="009B3558" w:rsidP="00673202">
            <w:pPr>
              <w:widowControl/>
              <w:spacing w:after="0"/>
              <w:jc w:val="center"/>
              <w:rPr>
                <w:rFonts w:cs="Arial"/>
                <w:b/>
                <w:bCs/>
                <w:color w:val="FFFFFF" w:themeColor="background1"/>
                <w:szCs w:val="20"/>
              </w:rPr>
            </w:pPr>
            <w:r w:rsidRPr="00904990">
              <w:rPr>
                <w:rFonts w:cs="Arial"/>
                <w:b/>
                <w:bCs/>
                <w:color w:val="FFFFFF" w:themeColor="background1"/>
                <w:szCs w:val="20"/>
              </w:rPr>
              <w:t>Assumed days/Year</w:t>
            </w:r>
          </w:p>
        </w:tc>
        <w:tc>
          <w:tcPr>
            <w:tcW w:w="1310"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
          <w:p w14:paraId="464A0280" w14:textId="77777777" w:rsidR="009B3558" w:rsidRPr="00904990" w:rsidRDefault="009B3558" w:rsidP="00673202">
            <w:pPr>
              <w:widowControl/>
              <w:spacing w:after="0"/>
              <w:jc w:val="center"/>
              <w:rPr>
                <w:rFonts w:cs="Arial"/>
                <w:b/>
                <w:bCs/>
                <w:color w:val="FFFFFF" w:themeColor="background1"/>
                <w:szCs w:val="20"/>
              </w:rPr>
            </w:pPr>
            <w:r w:rsidRPr="00904990">
              <w:rPr>
                <w:rFonts w:cs="Arial"/>
                <w:b/>
                <w:bCs/>
                <w:color w:val="FFFFFF" w:themeColor="background1"/>
                <w:szCs w:val="20"/>
              </w:rPr>
              <w:t>Number of Filters</w:t>
            </w:r>
            <w:r w:rsidRPr="00904990">
              <w:rPr>
                <w:rStyle w:val="FootnoteReference"/>
                <w:rFonts w:asciiTheme="minorHAnsi" w:hAnsiTheme="minorHAnsi"/>
                <w:b/>
                <w:bCs/>
                <w:color w:val="FFFFFF" w:themeColor="background1"/>
                <w:szCs w:val="20"/>
              </w:rPr>
              <w:footnoteReference w:id="7"/>
            </w:r>
          </w:p>
        </w:tc>
      </w:tr>
      <w:tr w:rsidR="009B3558" w:rsidRPr="00904990" w14:paraId="675E14A4" w14:textId="77777777" w:rsidTr="009B3558">
        <w:trPr>
          <w:trHeight w:val="288"/>
          <w:jc w:val="center"/>
        </w:trPr>
        <w:tc>
          <w:tcPr>
            <w:tcW w:w="1836" w:type="dxa"/>
            <w:tcBorders>
              <w:top w:val="nil"/>
              <w:left w:val="single" w:sz="4" w:space="0" w:color="auto"/>
              <w:bottom w:val="single" w:sz="4" w:space="0" w:color="auto"/>
              <w:right w:val="single" w:sz="4" w:space="0" w:color="auto"/>
            </w:tcBorders>
            <w:shd w:val="clear" w:color="auto" w:fill="auto"/>
            <w:hideMark/>
          </w:tcPr>
          <w:p w14:paraId="0AF7D8F5" w14:textId="77777777" w:rsidR="009B3558" w:rsidRPr="00904990" w:rsidRDefault="009B3558" w:rsidP="00673202">
            <w:pPr>
              <w:widowControl/>
              <w:spacing w:after="0"/>
              <w:jc w:val="center"/>
              <w:rPr>
                <w:rFonts w:cs="Arial"/>
                <w:bCs/>
                <w:color w:val="000000"/>
                <w:szCs w:val="20"/>
              </w:rPr>
            </w:pPr>
            <w:r w:rsidRPr="00904990">
              <w:rPr>
                <w:rFonts w:cs="Arial"/>
                <w:bCs/>
                <w:color w:val="000000"/>
                <w:szCs w:val="20"/>
              </w:rPr>
              <w:t>Primary School</w:t>
            </w:r>
          </w:p>
        </w:tc>
        <w:tc>
          <w:tcPr>
            <w:tcW w:w="1191" w:type="dxa"/>
            <w:tcBorders>
              <w:top w:val="nil"/>
              <w:left w:val="nil"/>
              <w:bottom w:val="single" w:sz="4" w:space="0" w:color="auto"/>
              <w:right w:val="single" w:sz="4" w:space="0" w:color="auto"/>
            </w:tcBorders>
            <w:shd w:val="clear" w:color="auto" w:fill="auto"/>
            <w:hideMark/>
          </w:tcPr>
          <w:p w14:paraId="614AF43C" w14:textId="77777777" w:rsidR="009B3558" w:rsidRPr="00904990" w:rsidRDefault="009B3558" w:rsidP="00673202">
            <w:pPr>
              <w:widowControl/>
              <w:spacing w:after="0"/>
              <w:jc w:val="center"/>
              <w:rPr>
                <w:rFonts w:cs="Arial"/>
                <w:color w:val="000000"/>
                <w:szCs w:val="20"/>
              </w:rPr>
            </w:pPr>
            <w:r w:rsidRPr="00904990">
              <w:rPr>
                <w:rFonts w:cs="Arial"/>
                <w:color w:val="000000"/>
                <w:szCs w:val="20"/>
              </w:rPr>
              <w:t>400</w:t>
            </w:r>
          </w:p>
        </w:tc>
        <w:tc>
          <w:tcPr>
            <w:tcW w:w="1370" w:type="dxa"/>
            <w:tcBorders>
              <w:top w:val="nil"/>
              <w:left w:val="nil"/>
              <w:bottom w:val="single" w:sz="4" w:space="0" w:color="auto"/>
              <w:right w:val="single" w:sz="4" w:space="0" w:color="auto"/>
            </w:tcBorders>
            <w:shd w:val="clear" w:color="auto" w:fill="auto"/>
            <w:hideMark/>
          </w:tcPr>
          <w:p w14:paraId="13889BB5" w14:textId="77777777" w:rsidR="009B3558" w:rsidRPr="00904990" w:rsidRDefault="009B3558" w:rsidP="00673202">
            <w:pPr>
              <w:widowControl/>
              <w:spacing w:after="0"/>
              <w:jc w:val="center"/>
              <w:rPr>
                <w:rFonts w:cs="Arial"/>
                <w:color w:val="000000"/>
                <w:szCs w:val="20"/>
              </w:rPr>
            </w:pPr>
            <w:r w:rsidRPr="00904990">
              <w:rPr>
                <w:rFonts w:cs="Arial"/>
                <w:color w:val="000000"/>
                <w:szCs w:val="20"/>
              </w:rPr>
              <w:t>312</w:t>
            </w:r>
          </w:p>
        </w:tc>
        <w:tc>
          <w:tcPr>
            <w:tcW w:w="1310" w:type="dxa"/>
            <w:tcBorders>
              <w:top w:val="nil"/>
              <w:left w:val="nil"/>
              <w:bottom w:val="single" w:sz="4" w:space="0" w:color="auto"/>
              <w:right w:val="single" w:sz="4" w:space="0" w:color="auto"/>
            </w:tcBorders>
            <w:shd w:val="clear" w:color="auto" w:fill="auto"/>
            <w:noWrap/>
            <w:vAlign w:val="bottom"/>
            <w:hideMark/>
          </w:tcPr>
          <w:p w14:paraId="3A9B000F" w14:textId="77777777" w:rsidR="009B3558" w:rsidRPr="00904990" w:rsidRDefault="009B3558" w:rsidP="00673202">
            <w:pPr>
              <w:widowControl/>
              <w:spacing w:after="0"/>
              <w:jc w:val="center"/>
              <w:rPr>
                <w:color w:val="000000"/>
                <w:szCs w:val="20"/>
              </w:rPr>
            </w:pPr>
            <w:r w:rsidRPr="00904990">
              <w:rPr>
                <w:color w:val="000000"/>
                <w:szCs w:val="20"/>
              </w:rPr>
              <w:t>2</w:t>
            </w:r>
          </w:p>
        </w:tc>
      </w:tr>
      <w:tr w:rsidR="009B3558" w:rsidRPr="00904990" w14:paraId="04FB16E6" w14:textId="77777777" w:rsidTr="009B3558">
        <w:trPr>
          <w:trHeight w:val="288"/>
          <w:jc w:val="center"/>
        </w:trPr>
        <w:tc>
          <w:tcPr>
            <w:tcW w:w="1836" w:type="dxa"/>
            <w:tcBorders>
              <w:top w:val="nil"/>
              <w:left w:val="single" w:sz="4" w:space="0" w:color="auto"/>
              <w:bottom w:val="single" w:sz="4" w:space="0" w:color="auto"/>
              <w:right w:val="single" w:sz="4" w:space="0" w:color="auto"/>
            </w:tcBorders>
            <w:shd w:val="clear" w:color="auto" w:fill="auto"/>
            <w:hideMark/>
          </w:tcPr>
          <w:p w14:paraId="1F4AC593" w14:textId="77777777" w:rsidR="009B3558" w:rsidRPr="00904990" w:rsidRDefault="009B3558" w:rsidP="00673202">
            <w:pPr>
              <w:widowControl/>
              <w:spacing w:after="0"/>
              <w:jc w:val="center"/>
              <w:rPr>
                <w:rFonts w:cs="Arial"/>
                <w:bCs/>
                <w:color w:val="000000"/>
                <w:szCs w:val="20"/>
              </w:rPr>
            </w:pPr>
            <w:r w:rsidRPr="00904990">
              <w:rPr>
                <w:rFonts w:cs="Arial"/>
                <w:bCs/>
                <w:color w:val="000000"/>
                <w:szCs w:val="20"/>
              </w:rPr>
              <w:t>Secondary School</w:t>
            </w:r>
          </w:p>
        </w:tc>
        <w:tc>
          <w:tcPr>
            <w:tcW w:w="1191" w:type="dxa"/>
            <w:tcBorders>
              <w:top w:val="nil"/>
              <w:left w:val="nil"/>
              <w:bottom w:val="single" w:sz="4" w:space="0" w:color="auto"/>
              <w:right w:val="single" w:sz="4" w:space="0" w:color="auto"/>
            </w:tcBorders>
            <w:shd w:val="clear" w:color="auto" w:fill="auto"/>
            <w:hideMark/>
          </w:tcPr>
          <w:p w14:paraId="128A64C2" w14:textId="77777777" w:rsidR="009B3558" w:rsidRPr="00904990" w:rsidRDefault="009B3558" w:rsidP="00673202">
            <w:pPr>
              <w:widowControl/>
              <w:spacing w:after="0"/>
              <w:jc w:val="center"/>
              <w:rPr>
                <w:rFonts w:cs="Arial"/>
                <w:color w:val="000000"/>
                <w:szCs w:val="20"/>
              </w:rPr>
            </w:pPr>
            <w:r w:rsidRPr="00904990">
              <w:rPr>
                <w:rFonts w:cs="Arial"/>
                <w:color w:val="000000"/>
                <w:szCs w:val="20"/>
              </w:rPr>
              <w:t>600</w:t>
            </w:r>
          </w:p>
        </w:tc>
        <w:tc>
          <w:tcPr>
            <w:tcW w:w="1370" w:type="dxa"/>
            <w:tcBorders>
              <w:top w:val="nil"/>
              <w:left w:val="nil"/>
              <w:bottom w:val="single" w:sz="4" w:space="0" w:color="auto"/>
              <w:right w:val="single" w:sz="4" w:space="0" w:color="auto"/>
            </w:tcBorders>
            <w:shd w:val="clear" w:color="auto" w:fill="auto"/>
            <w:hideMark/>
          </w:tcPr>
          <w:p w14:paraId="62481D79" w14:textId="77777777" w:rsidR="009B3558" w:rsidRPr="00904990" w:rsidRDefault="009B3558" w:rsidP="00673202">
            <w:pPr>
              <w:widowControl/>
              <w:spacing w:after="0"/>
              <w:jc w:val="center"/>
              <w:rPr>
                <w:rFonts w:cs="Arial"/>
                <w:color w:val="000000"/>
                <w:szCs w:val="20"/>
              </w:rPr>
            </w:pPr>
            <w:r w:rsidRPr="00904990">
              <w:rPr>
                <w:rFonts w:cs="Arial"/>
                <w:color w:val="000000"/>
                <w:szCs w:val="20"/>
              </w:rPr>
              <w:t>312</w:t>
            </w:r>
          </w:p>
        </w:tc>
        <w:tc>
          <w:tcPr>
            <w:tcW w:w="1310" w:type="dxa"/>
            <w:tcBorders>
              <w:top w:val="nil"/>
              <w:left w:val="nil"/>
              <w:bottom w:val="single" w:sz="4" w:space="0" w:color="auto"/>
              <w:right w:val="single" w:sz="4" w:space="0" w:color="auto"/>
            </w:tcBorders>
            <w:shd w:val="clear" w:color="auto" w:fill="auto"/>
            <w:noWrap/>
            <w:vAlign w:val="bottom"/>
            <w:hideMark/>
          </w:tcPr>
          <w:p w14:paraId="1B938251" w14:textId="77777777" w:rsidR="009B3558" w:rsidRPr="00904990" w:rsidRDefault="009B3558" w:rsidP="00673202">
            <w:pPr>
              <w:widowControl/>
              <w:spacing w:after="0"/>
              <w:jc w:val="center"/>
              <w:rPr>
                <w:color w:val="000000"/>
                <w:szCs w:val="20"/>
              </w:rPr>
            </w:pPr>
            <w:r w:rsidRPr="00904990">
              <w:rPr>
                <w:color w:val="000000"/>
                <w:szCs w:val="20"/>
              </w:rPr>
              <w:t>3</w:t>
            </w:r>
          </w:p>
        </w:tc>
      </w:tr>
      <w:tr w:rsidR="009B3558" w:rsidRPr="00904990" w14:paraId="78926B28" w14:textId="77777777" w:rsidTr="009B3558">
        <w:trPr>
          <w:trHeight w:val="480"/>
          <w:jc w:val="center"/>
        </w:trPr>
        <w:tc>
          <w:tcPr>
            <w:tcW w:w="1836" w:type="dxa"/>
            <w:tcBorders>
              <w:top w:val="nil"/>
              <w:left w:val="single" w:sz="4" w:space="0" w:color="auto"/>
              <w:bottom w:val="single" w:sz="4" w:space="0" w:color="auto"/>
              <w:right w:val="single" w:sz="4" w:space="0" w:color="auto"/>
            </w:tcBorders>
            <w:shd w:val="clear" w:color="auto" w:fill="auto"/>
            <w:hideMark/>
          </w:tcPr>
          <w:p w14:paraId="2FAA353F" w14:textId="77777777" w:rsidR="009B3558" w:rsidRPr="00904990" w:rsidRDefault="009B3558" w:rsidP="00673202">
            <w:pPr>
              <w:widowControl/>
              <w:spacing w:after="0"/>
              <w:jc w:val="center"/>
              <w:rPr>
                <w:rFonts w:cs="Arial"/>
                <w:bCs/>
                <w:color w:val="000000"/>
                <w:szCs w:val="20"/>
              </w:rPr>
            </w:pPr>
            <w:r w:rsidRPr="00904990">
              <w:rPr>
                <w:rFonts w:cs="Arial"/>
                <w:bCs/>
                <w:color w:val="000000"/>
                <w:szCs w:val="20"/>
              </w:rPr>
              <w:t>Quick Service Restaurant</w:t>
            </w:r>
          </w:p>
        </w:tc>
        <w:tc>
          <w:tcPr>
            <w:tcW w:w="1191" w:type="dxa"/>
            <w:tcBorders>
              <w:top w:val="nil"/>
              <w:left w:val="nil"/>
              <w:bottom w:val="single" w:sz="4" w:space="0" w:color="auto"/>
              <w:right w:val="single" w:sz="4" w:space="0" w:color="auto"/>
            </w:tcBorders>
            <w:shd w:val="clear" w:color="auto" w:fill="auto"/>
            <w:hideMark/>
          </w:tcPr>
          <w:p w14:paraId="2FC97480" w14:textId="77777777" w:rsidR="009B3558" w:rsidRPr="00904990" w:rsidRDefault="009B3558" w:rsidP="00673202">
            <w:pPr>
              <w:widowControl/>
              <w:spacing w:after="0"/>
              <w:jc w:val="center"/>
              <w:rPr>
                <w:rFonts w:cs="Arial"/>
                <w:color w:val="000000"/>
                <w:szCs w:val="20"/>
              </w:rPr>
            </w:pPr>
            <w:r w:rsidRPr="00904990">
              <w:rPr>
                <w:rFonts w:cs="Arial"/>
                <w:color w:val="000000"/>
                <w:szCs w:val="20"/>
              </w:rPr>
              <w:t>800</w:t>
            </w:r>
          </w:p>
        </w:tc>
        <w:tc>
          <w:tcPr>
            <w:tcW w:w="1370" w:type="dxa"/>
            <w:tcBorders>
              <w:top w:val="nil"/>
              <w:left w:val="nil"/>
              <w:bottom w:val="single" w:sz="4" w:space="0" w:color="auto"/>
              <w:right w:val="single" w:sz="4" w:space="0" w:color="auto"/>
            </w:tcBorders>
            <w:shd w:val="clear" w:color="auto" w:fill="auto"/>
            <w:hideMark/>
          </w:tcPr>
          <w:p w14:paraId="5E871855" w14:textId="77777777" w:rsidR="009B3558" w:rsidRPr="00904990" w:rsidRDefault="009B3558" w:rsidP="00673202">
            <w:pPr>
              <w:widowControl/>
              <w:spacing w:after="0"/>
              <w:jc w:val="center"/>
              <w:rPr>
                <w:rFonts w:cs="Arial"/>
                <w:color w:val="000000"/>
                <w:szCs w:val="20"/>
              </w:rPr>
            </w:pPr>
            <w:r w:rsidRPr="00904990">
              <w:rPr>
                <w:rFonts w:cs="Arial"/>
                <w:color w:val="000000"/>
                <w:szCs w:val="20"/>
              </w:rPr>
              <w:t>312</w:t>
            </w:r>
          </w:p>
        </w:tc>
        <w:tc>
          <w:tcPr>
            <w:tcW w:w="1310" w:type="dxa"/>
            <w:tcBorders>
              <w:top w:val="nil"/>
              <w:left w:val="nil"/>
              <w:bottom w:val="single" w:sz="4" w:space="0" w:color="auto"/>
              <w:right w:val="single" w:sz="4" w:space="0" w:color="auto"/>
            </w:tcBorders>
            <w:shd w:val="clear" w:color="auto" w:fill="auto"/>
            <w:noWrap/>
            <w:vAlign w:val="bottom"/>
            <w:hideMark/>
          </w:tcPr>
          <w:p w14:paraId="1E2B2761" w14:textId="77777777" w:rsidR="009B3558" w:rsidRPr="00904990" w:rsidRDefault="009B3558" w:rsidP="00673202">
            <w:pPr>
              <w:widowControl/>
              <w:spacing w:after="0"/>
              <w:jc w:val="center"/>
              <w:rPr>
                <w:color w:val="000000"/>
                <w:szCs w:val="20"/>
              </w:rPr>
            </w:pPr>
            <w:r w:rsidRPr="00904990">
              <w:rPr>
                <w:color w:val="000000"/>
                <w:szCs w:val="20"/>
              </w:rPr>
              <w:t>5</w:t>
            </w:r>
          </w:p>
        </w:tc>
      </w:tr>
      <w:tr w:rsidR="009B3558" w:rsidRPr="00904990" w14:paraId="3A316039" w14:textId="77777777" w:rsidTr="009B3558">
        <w:trPr>
          <w:trHeight w:val="288"/>
          <w:jc w:val="center"/>
        </w:trPr>
        <w:tc>
          <w:tcPr>
            <w:tcW w:w="1836" w:type="dxa"/>
            <w:tcBorders>
              <w:top w:val="nil"/>
              <w:left w:val="single" w:sz="4" w:space="0" w:color="auto"/>
              <w:bottom w:val="single" w:sz="4" w:space="0" w:color="auto"/>
              <w:right w:val="single" w:sz="4" w:space="0" w:color="auto"/>
            </w:tcBorders>
            <w:shd w:val="clear" w:color="auto" w:fill="auto"/>
            <w:hideMark/>
          </w:tcPr>
          <w:p w14:paraId="2425E335" w14:textId="77777777" w:rsidR="009B3558" w:rsidRPr="00904990" w:rsidRDefault="009B3558" w:rsidP="00673202">
            <w:pPr>
              <w:widowControl/>
              <w:spacing w:after="0"/>
              <w:jc w:val="center"/>
              <w:rPr>
                <w:rFonts w:cs="Arial"/>
                <w:bCs/>
                <w:color w:val="000000"/>
                <w:szCs w:val="20"/>
              </w:rPr>
            </w:pPr>
            <w:r w:rsidRPr="00904990">
              <w:rPr>
                <w:rFonts w:cs="Arial"/>
                <w:bCs/>
                <w:color w:val="000000"/>
                <w:szCs w:val="20"/>
              </w:rPr>
              <w:t>Full Service Restaurant</w:t>
            </w:r>
          </w:p>
        </w:tc>
        <w:tc>
          <w:tcPr>
            <w:tcW w:w="1191" w:type="dxa"/>
            <w:tcBorders>
              <w:top w:val="nil"/>
              <w:left w:val="nil"/>
              <w:bottom w:val="single" w:sz="4" w:space="0" w:color="auto"/>
              <w:right w:val="single" w:sz="4" w:space="0" w:color="auto"/>
            </w:tcBorders>
            <w:shd w:val="clear" w:color="auto" w:fill="auto"/>
            <w:hideMark/>
          </w:tcPr>
          <w:p w14:paraId="5C8A1D87" w14:textId="77777777" w:rsidR="009B3558" w:rsidRPr="00904990" w:rsidRDefault="009B3558" w:rsidP="00673202">
            <w:pPr>
              <w:widowControl/>
              <w:spacing w:after="0"/>
              <w:jc w:val="center"/>
              <w:rPr>
                <w:rFonts w:cs="Arial"/>
                <w:color w:val="000000"/>
                <w:szCs w:val="20"/>
              </w:rPr>
            </w:pPr>
            <w:r w:rsidRPr="00904990">
              <w:rPr>
                <w:rFonts w:cs="Arial"/>
                <w:color w:val="000000"/>
                <w:szCs w:val="20"/>
              </w:rPr>
              <w:t>780</w:t>
            </w:r>
          </w:p>
        </w:tc>
        <w:tc>
          <w:tcPr>
            <w:tcW w:w="1370" w:type="dxa"/>
            <w:tcBorders>
              <w:top w:val="nil"/>
              <w:left w:val="nil"/>
              <w:bottom w:val="single" w:sz="4" w:space="0" w:color="auto"/>
              <w:right w:val="single" w:sz="4" w:space="0" w:color="auto"/>
            </w:tcBorders>
            <w:shd w:val="clear" w:color="auto" w:fill="auto"/>
            <w:hideMark/>
          </w:tcPr>
          <w:p w14:paraId="399BA381" w14:textId="77777777" w:rsidR="009B3558" w:rsidRPr="00904990" w:rsidRDefault="009B3558" w:rsidP="00673202">
            <w:pPr>
              <w:widowControl/>
              <w:spacing w:after="0"/>
              <w:jc w:val="center"/>
              <w:rPr>
                <w:rFonts w:cs="Arial"/>
                <w:color w:val="000000"/>
                <w:szCs w:val="20"/>
              </w:rPr>
            </w:pPr>
            <w:r w:rsidRPr="00904990">
              <w:rPr>
                <w:rFonts w:cs="Arial"/>
                <w:color w:val="000000"/>
                <w:szCs w:val="20"/>
              </w:rPr>
              <w:t>312</w:t>
            </w:r>
          </w:p>
        </w:tc>
        <w:tc>
          <w:tcPr>
            <w:tcW w:w="1310" w:type="dxa"/>
            <w:tcBorders>
              <w:top w:val="nil"/>
              <w:left w:val="nil"/>
              <w:bottom w:val="single" w:sz="4" w:space="0" w:color="auto"/>
              <w:right w:val="single" w:sz="4" w:space="0" w:color="auto"/>
            </w:tcBorders>
            <w:shd w:val="clear" w:color="auto" w:fill="auto"/>
            <w:noWrap/>
            <w:vAlign w:val="bottom"/>
            <w:hideMark/>
          </w:tcPr>
          <w:p w14:paraId="78D2631E" w14:textId="77777777" w:rsidR="009B3558" w:rsidRPr="00904990" w:rsidRDefault="009B3558" w:rsidP="00673202">
            <w:pPr>
              <w:widowControl/>
              <w:spacing w:after="0"/>
              <w:jc w:val="center"/>
              <w:rPr>
                <w:color w:val="000000"/>
                <w:szCs w:val="20"/>
              </w:rPr>
            </w:pPr>
            <w:r w:rsidRPr="00904990">
              <w:rPr>
                <w:color w:val="000000"/>
                <w:szCs w:val="20"/>
              </w:rPr>
              <w:t>4</w:t>
            </w:r>
          </w:p>
        </w:tc>
      </w:tr>
      <w:tr w:rsidR="009B3558" w:rsidRPr="00904990" w14:paraId="02D9C698" w14:textId="77777777" w:rsidTr="009B3558">
        <w:trPr>
          <w:trHeight w:val="288"/>
          <w:jc w:val="center"/>
        </w:trPr>
        <w:tc>
          <w:tcPr>
            <w:tcW w:w="1836" w:type="dxa"/>
            <w:tcBorders>
              <w:top w:val="nil"/>
              <w:left w:val="single" w:sz="4" w:space="0" w:color="auto"/>
              <w:bottom w:val="single" w:sz="4" w:space="0" w:color="auto"/>
              <w:right w:val="single" w:sz="4" w:space="0" w:color="auto"/>
            </w:tcBorders>
            <w:shd w:val="clear" w:color="auto" w:fill="auto"/>
            <w:hideMark/>
          </w:tcPr>
          <w:p w14:paraId="13453AF5" w14:textId="77777777" w:rsidR="009B3558" w:rsidRPr="00904990" w:rsidRDefault="009B3558" w:rsidP="00673202">
            <w:pPr>
              <w:widowControl/>
              <w:spacing w:after="0"/>
              <w:jc w:val="center"/>
              <w:rPr>
                <w:rFonts w:cs="Arial"/>
                <w:bCs/>
                <w:color w:val="000000"/>
                <w:szCs w:val="20"/>
              </w:rPr>
            </w:pPr>
            <w:r w:rsidRPr="00904990">
              <w:rPr>
                <w:rFonts w:cs="Arial"/>
                <w:bCs/>
                <w:color w:val="000000"/>
                <w:szCs w:val="20"/>
              </w:rPr>
              <w:t>Large Hotel</w:t>
            </w:r>
          </w:p>
        </w:tc>
        <w:tc>
          <w:tcPr>
            <w:tcW w:w="1191" w:type="dxa"/>
            <w:tcBorders>
              <w:top w:val="nil"/>
              <w:left w:val="nil"/>
              <w:bottom w:val="single" w:sz="4" w:space="0" w:color="auto"/>
              <w:right w:val="single" w:sz="4" w:space="0" w:color="auto"/>
            </w:tcBorders>
            <w:shd w:val="clear" w:color="auto" w:fill="auto"/>
            <w:hideMark/>
          </w:tcPr>
          <w:p w14:paraId="61F39115" w14:textId="77777777" w:rsidR="009B3558" w:rsidRPr="00904990" w:rsidRDefault="009B3558" w:rsidP="00673202">
            <w:pPr>
              <w:widowControl/>
              <w:spacing w:after="0"/>
              <w:jc w:val="center"/>
              <w:rPr>
                <w:rFonts w:cs="Arial"/>
                <w:color w:val="000000"/>
                <w:szCs w:val="20"/>
              </w:rPr>
            </w:pPr>
            <w:r w:rsidRPr="00904990">
              <w:rPr>
                <w:rFonts w:cs="Arial"/>
                <w:color w:val="000000"/>
                <w:szCs w:val="20"/>
              </w:rPr>
              <w:t>780</w:t>
            </w:r>
          </w:p>
        </w:tc>
        <w:tc>
          <w:tcPr>
            <w:tcW w:w="1370" w:type="dxa"/>
            <w:tcBorders>
              <w:top w:val="nil"/>
              <w:left w:val="nil"/>
              <w:bottom w:val="single" w:sz="4" w:space="0" w:color="auto"/>
              <w:right w:val="single" w:sz="4" w:space="0" w:color="auto"/>
            </w:tcBorders>
            <w:shd w:val="clear" w:color="auto" w:fill="auto"/>
            <w:hideMark/>
          </w:tcPr>
          <w:p w14:paraId="5811C8CA" w14:textId="77777777" w:rsidR="009B3558" w:rsidRPr="00904990" w:rsidRDefault="009B3558" w:rsidP="00673202">
            <w:pPr>
              <w:widowControl/>
              <w:spacing w:after="0"/>
              <w:jc w:val="center"/>
              <w:rPr>
                <w:rFonts w:cs="Arial"/>
                <w:color w:val="000000"/>
                <w:szCs w:val="20"/>
              </w:rPr>
            </w:pPr>
            <w:r w:rsidRPr="00904990">
              <w:rPr>
                <w:rFonts w:cs="Arial"/>
                <w:color w:val="000000"/>
                <w:szCs w:val="20"/>
              </w:rPr>
              <w:t>356</w:t>
            </w:r>
          </w:p>
        </w:tc>
        <w:tc>
          <w:tcPr>
            <w:tcW w:w="1310" w:type="dxa"/>
            <w:tcBorders>
              <w:top w:val="nil"/>
              <w:left w:val="nil"/>
              <w:bottom w:val="single" w:sz="4" w:space="0" w:color="auto"/>
              <w:right w:val="single" w:sz="4" w:space="0" w:color="auto"/>
            </w:tcBorders>
            <w:shd w:val="clear" w:color="auto" w:fill="auto"/>
            <w:noWrap/>
            <w:vAlign w:val="bottom"/>
            <w:hideMark/>
          </w:tcPr>
          <w:p w14:paraId="6189E9C3" w14:textId="77777777" w:rsidR="009B3558" w:rsidRPr="00904990" w:rsidRDefault="009B3558" w:rsidP="00673202">
            <w:pPr>
              <w:widowControl/>
              <w:spacing w:after="0"/>
              <w:jc w:val="center"/>
              <w:rPr>
                <w:color w:val="000000"/>
                <w:szCs w:val="20"/>
              </w:rPr>
            </w:pPr>
            <w:r w:rsidRPr="00904990">
              <w:rPr>
                <w:color w:val="000000"/>
                <w:szCs w:val="20"/>
              </w:rPr>
              <w:t>4</w:t>
            </w:r>
          </w:p>
        </w:tc>
      </w:tr>
      <w:tr w:rsidR="009B3558" w:rsidRPr="00904990" w14:paraId="7A58FEE9" w14:textId="77777777" w:rsidTr="009B3558">
        <w:trPr>
          <w:trHeight w:val="288"/>
          <w:jc w:val="center"/>
        </w:trPr>
        <w:tc>
          <w:tcPr>
            <w:tcW w:w="1836" w:type="dxa"/>
            <w:tcBorders>
              <w:top w:val="nil"/>
              <w:left w:val="single" w:sz="4" w:space="0" w:color="auto"/>
              <w:bottom w:val="single" w:sz="4" w:space="0" w:color="auto"/>
              <w:right w:val="single" w:sz="4" w:space="0" w:color="auto"/>
            </w:tcBorders>
            <w:shd w:val="clear" w:color="auto" w:fill="auto"/>
            <w:hideMark/>
          </w:tcPr>
          <w:p w14:paraId="77A46625" w14:textId="77777777" w:rsidR="009B3558" w:rsidRPr="00904990" w:rsidRDefault="009B3558" w:rsidP="00673202">
            <w:pPr>
              <w:widowControl/>
              <w:spacing w:after="0"/>
              <w:jc w:val="center"/>
              <w:rPr>
                <w:rFonts w:cs="Arial"/>
                <w:bCs/>
                <w:color w:val="000000"/>
                <w:szCs w:val="20"/>
              </w:rPr>
            </w:pPr>
            <w:r w:rsidRPr="00904990">
              <w:rPr>
                <w:rFonts w:cs="Arial"/>
                <w:bCs/>
                <w:color w:val="000000"/>
                <w:szCs w:val="20"/>
              </w:rPr>
              <w:t>Hospital</w:t>
            </w:r>
          </w:p>
        </w:tc>
        <w:tc>
          <w:tcPr>
            <w:tcW w:w="1191" w:type="dxa"/>
            <w:tcBorders>
              <w:top w:val="nil"/>
              <w:left w:val="nil"/>
              <w:bottom w:val="single" w:sz="4" w:space="0" w:color="auto"/>
              <w:right w:val="single" w:sz="4" w:space="0" w:color="auto"/>
            </w:tcBorders>
            <w:shd w:val="clear" w:color="auto" w:fill="auto"/>
            <w:hideMark/>
          </w:tcPr>
          <w:p w14:paraId="78EF8ABB" w14:textId="77777777" w:rsidR="009B3558" w:rsidRPr="00904990" w:rsidRDefault="009B3558" w:rsidP="00673202">
            <w:pPr>
              <w:widowControl/>
              <w:spacing w:after="0"/>
              <w:jc w:val="center"/>
              <w:rPr>
                <w:rFonts w:cs="Arial"/>
                <w:color w:val="000000"/>
                <w:szCs w:val="20"/>
              </w:rPr>
            </w:pPr>
            <w:r w:rsidRPr="00904990">
              <w:rPr>
                <w:rFonts w:cs="Arial"/>
                <w:color w:val="000000"/>
                <w:szCs w:val="20"/>
              </w:rPr>
              <w:t>800</w:t>
            </w:r>
          </w:p>
        </w:tc>
        <w:tc>
          <w:tcPr>
            <w:tcW w:w="1370" w:type="dxa"/>
            <w:tcBorders>
              <w:top w:val="nil"/>
              <w:left w:val="nil"/>
              <w:bottom w:val="single" w:sz="4" w:space="0" w:color="auto"/>
              <w:right w:val="single" w:sz="4" w:space="0" w:color="auto"/>
            </w:tcBorders>
            <w:shd w:val="clear" w:color="auto" w:fill="auto"/>
            <w:hideMark/>
          </w:tcPr>
          <w:p w14:paraId="18AA3148" w14:textId="77777777" w:rsidR="009B3558" w:rsidRPr="00904990" w:rsidRDefault="009B3558" w:rsidP="00673202">
            <w:pPr>
              <w:widowControl/>
              <w:spacing w:after="0"/>
              <w:jc w:val="center"/>
              <w:rPr>
                <w:rFonts w:cs="Arial"/>
                <w:color w:val="000000"/>
                <w:szCs w:val="20"/>
              </w:rPr>
            </w:pPr>
            <w:r w:rsidRPr="00904990">
              <w:rPr>
                <w:rFonts w:cs="Arial"/>
                <w:color w:val="000000"/>
                <w:szCs w:val="20"/>
              </w:rPr>
              <w:t>356</w:t>
            </w:r>
          </w:p>
        </w:tc>
        <w:tc>
          <w:tcPr>
            <w:tcW w:w="1310" w:type="dxa"/>
            <w:tcBorders>
              <w:top w:val="nil"/>
              <w:left w:val="nil"/>
              <w:bottom w:val="single" w:sz="4" w:space="0" w:color="auto"/>
              <w:right w:val="single" w:sz="4" w:space="0" w:color="auto"/>
            </w:tcBorders>
            <w:shd w:val="clear" w:color="auto" w:fill="auto"/>
            <w:noWrap/>
            <w:vAlign w:val="bottom"/>
            <w:hideMark/>
          </w:tcPr>
          <w:p w14:paraId="01BE3DE4" w14:textId="77777777" w:rsidR="009B3558" w:rsidRPr="00904990" w:rsidRDefault="009B3558" w:rsidP="00673202">
            <w:pPr>
              <w:widowControl/>
              <w:spacing w:after="0"/>
              <w:jc w:val="center"/>
              <w:rPr>
                <w:color w:val="000000"/>
                <w:szCs w:val="20"/>
              </w:rPr>
            </w:pPr>
            <w:r w:rsidRPr="00904990">
              <w:rPr>
                <w:color w:val="000000"/>
                <w:szCs w:val="20"/>
              </w:rPr>
              <w:t>4</w:t>
            </w:r>
          </w:p>
        </w:tc>
      </w:tr>
    </w:tbl>
    <w:p w14:paraId="7FD593CB" w14:textId="77777777" w:rsidR="009B3558" w:rsidRDefault="009B3558" w:rsidP="00904990">
      <w:pPr>
        <w:ind w:left="2160" w:hanging="1440"/>
        <w:rPr>
          <w:rFonts w:eastAsiaTheme="majorEastAsia"/>
        </w:rPr>
      </w:pPr>
    </w:p>
    <w:p w14:paraId="10F101FC" w14:textId="77777777" w:rsidR="00934184" w:rsidRDefault="00904990" w:rsidP="00904990">
      <w:pPr>
        <w:ind w:left="2160" w:hanging="1440"/>
        <w:rPr>
          <w:rFonts w:eastAsiaTheme="majorEastAsia"/>
        </w:rPr>
      </w:pPr>
      <w:proofErr w:type="spellStart"/>
      <w:proofErr w:type="gramStart"/>
      <w:r>
        <w:rPr>
          <w:rFonts w:eastAsiaTheme="majorEastAsia"/>
        </w:rPr>
        <w:t>η</w:t>
      </w:r>
      <w:r w:rsidRPr="00904990">
        <w:rPr>
          <w:rFonts w:eastAsiaTheme="majorEastAsia"/>
          <w:vertAlign w:val="subscript"/>
        </w:rPr>
        <w:t>HeaterElec</w:t>
      </w:r>
      <w:proofErr w:type="spellEnd"/>
      <w:proofErr w:type="gramEnd"/>
      <w:r>
        <w:rPr>
          <w:rFonts w:eastAsiaTheme="majorEastAsia"/>
        </w:rPr>
        <w:tab/>
        <w:t xml:space="preserve">= Efficiency of the Electric water heater. </w:t>
      </w:r>
    </w:p>
    <w:p w14:paraId="771D1828" w14:textId="2FAA108D" w:rsidR="00934184" w:rsidRDefault="00934184" w:rsidP="00934184">
      <w:pPr>
        <w:ind w:left="2160"/>
        <w:rPr>
          <w:szCs w:val="20"/>
        </w:rPr>
      </w:pPr>
      <w:r>
        <w:rPr>
          <w:szCs w:val="20"/>
        </w:rPr>
        <w:t>= Actual. If unknown, use the table</w:t>
      </w:r>
      <w:r>
        <w:rPr>
          <w:szCs w:val="20"/>
        </w:rPr>
        <w:t xml:space="preserve"> C404</w:t>
      </w:r>
      <w:r w:rsidRPr="00DA3823">
        <w:rPr>
          <w:szCs w:val="20"/>
        </w:rPr>
        <w:t>.2 in IECC 201</w:t>
      </w:r>
      <w:r>
        <w:rPr>
          <w:szCs w:val="20"/>
        </w:rPr>
        <w:t>2 (or IECC 2015 if through new construction) to assume values based on code estimates</w:t>
      </w:r>
    </w:p>
    <w:p w14:paraId="737E8918" w14:textId="77777777" w:rsidR="00D466B6" w:rsidRDefault="00D466B6" w:rsidP="007333C0">
      <w:pPr>
        <w:pStyle w:val="Heading6"/>
      </w:pPr>
      <w:r>
        <w:lastRenderedPageBreak/>
        <w:t>Summer Coincident Peak Demand Savings</w:t>
      </w:r>
    </w:p>
    <w:p w14:paraId="6FB0A77C" w14:textId="5C694C15" w:rsidR="00072317" w:rsidRDefault="00072317" w:rsidP="00904990">
      <w:pPr>
        <w:ind w:left="720" w:firstLine="720"/>
        <w:jc w:val="left"/>
        <w:rPr>
          <w:rFonts w:eastAsiaTheme="majorEastAsia"/>
        </w:rPr>
      </w:pPr>
      <w:proofErr w:type="spellStart"/>
      <w:r w:rsidRPr="00072317">
        <w:rPr>
          <w:rFonts w:eastAsiaTheme="majorEastAsia"/>
        </w:rPr>
        <w:t>ΔkW</w:t>
      </w:r>
      <w:proofErr w:type="spellEnd"/>
      <w:r w:rsidRPr="00072317">
        <w:rPr>
          <w:rFonts w:eastAsiaTheme="majorEastAsia"/>
        </w:rPr>
        <w:t xml:space="preserve"> = </w:t>
      </w:r>
      <w:proofErr w:type="spellStart"/>
      <w:r w:rsidRPr="00072317">
        <w:rPr>
          <w:rFonts w:eastAsiaTheme="majorEastAsia"/>
        </w:rPr>
        <w:t>ΔkW</w:t>
      </w:r>
      <w:r w:rsidR="00847246">
        <w:rPr>
          <w:rFonts w:eastAsiaTheme="majorEastAsia"/>
        </w:rPr>
        <w:t>h</w:t>
      </w:r>
      <w:proofErr w:type="spellEnd"/>
      <w:r w:rsidR="00847246">
        <w:rPr>
          <w:rFonts w:eastAsiaTheme="majorEastAsia"/>
        </w:rPr>
        <w:t>/Hours * CF</w:t>
      </w:r>
    </w:p>
    <w:p w14:paraId="655AF0EA" w14:textId="6351A130" w:rsidR="00904990" w:rsidRDefault="00904990" w:rsidP="00072317">
      <w:pPr>
        <w:jc w:val="left"/>
        <w:rPr>
          <w:rFonts w:eastAsiaTheme="majorEastAsia"/>
        </w:rPr>
      </w:pPr>
      <w:r>
        <w:rPr>
          <w:rFonts w:eastAsiaTheme="majorEastAsia"/>
        </w:rPr>
        <w:t>Where:</w:t>
      </w:r>
    </w:p>
    <w:p w14:paraId="6B2FC657" w14:textId="69891937" w:rsidR="00951340" w:rsidRDefault="00951340" w:rsidP="00951340">
      <w:pPr>
        <w:ind w:left="720"/>
        <w:rPr>
          <w:rFonts w:eastAsiaTheme="majorEastAsia"/>
        </w:rPr>
      </w:pPr>
      <w:r>
        <w:t>Hours</w:t>
      </w:r>
      <w:r>
        <w:tab/>
      </w:r>
      <w:r>
        <w:tab/>
        <w:t xml:space="preserve">= Hours of operation of kitchen exhaust air fan. </w:t>
      </w:r>
      <w:r>
        <w:rPr>
          <w:rFonts w:eastAsiaTheme="majorEastAsia"/>
        </w:rPr>
        <w:t>If not directly available</w:t>
      </w:r>
      <w:r w:rsidR="009B3558">
        <w:rPr>
          <w:rFonts w:eastAsiaTheme="majorEastAsia"/>
        </w:rPr>
        <w:t xml:space="preserve"> use:</w:t>
      </w:r>
    </w:p>
    <w:tbl>
      <w:tblPr>
        <w:tblW w:w="3791" w:type="dxa"/>
        <w:jc w:val="center"/>
        <w:tblInd w:w="93" w:type="dxa"/>
        <w:tblLook w:val="04A0" w:firstRow="1" w:lastRow="0" w:firstColumn="1" w:lastColumn="0" w:noHBand="0" w:noVBand="1"/>
      </w:tblPr>
      <w:tblGrid>
        <w:gridCol w:w="1836"/>
        <w:gridCol w:w="1955"/>
      </w:tblGrid>
      <w:tr w:rsidR="009B3558" w:rsidRPr="00904990" w14:paraId="6CB60EFD" w14:textId="77777777" w:rsidTr="009B3558">
        <w:trPr>
          <w:trHeight w:val="480"/>
          <w:jc w:val="center"/>
        </w:trPr>
        <w:tc>
          <w:tcPr>
            <w:tcW w:w="183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7FB19B4" w14:textId="77777777" w:rsidR="009B3558" w:rsidRPr="00904990" w:rsidRDefault="009B3558" w:rsidP="00673202">
            <w:pPr>
              <w:widowControl/>
              <w:spacing w:after="0"/>
              <w:jc w:val="center"/>
              <w:rPr>
                <w:rFonts w:cs="Arial"/>
                <w:b/>
                <w:bCs/>
                <w:color w:val="FFFFFF" w:themeColor="background1"/>
                <w:szCs w:val="20"/>
              </w:rPr>
            </w:pPr>
            <w:r w:rsidRPr="00904990">
              <w:rPr>
                <w:rFonts w:cs="Arial"/>
                <w:b/>
                <w:bCs/>
                <w:color w:val="FFFFFF" w:themeColor="background1"/>
                <w:szCs w:val="20"/>
              </w:rPr>
              <w:t>Building Type</w:t>
            </w:r>
          </w:p>
        </w:tc>
        <w:tc>
          <w:tcPr>
            <w:tcW w:w="1955"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
          <w:p w14:paraId="1E24BDD6" w14:textId="77777777" w:rsidR="009B3558" w:rsidRPr="00904990" w:rsidRDefault="009B3558" w:rsidP="00673202">
            <w:pPr>
              <w:widowControl/>
              <w:spacing w:after="0"/>
              <w:jc w:val="center"/>
              <w:rPr>
                <w:rFonts w:cs="Arial"/>
                <w:b/>
                <w:bCs/>
                <w:color w:val="FFFFFF" w:themeColor="background1"/>
                <w:szCs w:val="20"/>
              </w:rPr>
            </w:pPr>
            <w:r w:rsidRPr="00904990">
              <w:rPr>
                <w:rFonts w:cs="Arial"/>
                <w:b/>
                <w:bCs/>
                <w:color w:val="FFFFFF" w:themeColor="background1"/>
                <w:szCs w:val="20"/>
              </w:rPr>
              <w:t>Kitchen Exhaust Fan Annual Operating Hours</w:t>
            </w:r>
            <w:r w:rsidRPr="00904990">
              <w:rPr>
                <w:rStyle w:val="FootnoteReference"/>
                <w:rFonts w:asciiTheme="minorHAnsi" w:hAnsiTheme="minorHAnsi"/>
                <w:b/>
                <w:bCs/>
                <w:color w:val="FFFFFF" w:themeColor="background1"/>
                <w:szCs w:val="20"/>
              </w:rPr>
              <w:footnoteReference w:id="8"/>
            </w:r>
          </w:p>
        </w:tc>
      </w:tr>
      <w:tr w:rsidR="009B3558" w:rsidRPr="00904990" w14:paraId="50E465AE" w14:textId="77777777" w:rsidTr="009B3558">
        <w:trPr>
          <w:trHeight w:val="288"/>
          <w:jc w:val="center"/>
        </w:trPr>
        <w:tc>
          <w:tcPr>
            <w:tcW w:w="1836" w:type="dxa"/>
            <w:tcBorders>
              <w:top w:val="nil"/>
              <w:left w:val="single" w:sz="4" w:space="0" w:color="auto"/>
              <w:bottom w:val="single" w:sz="4" w:space="0" w:color="auto"/>
              <w:right w:val="single" w:sz="4" w:space="0" w:color="auto"/>
            </w:tcBorders>
            <w:shd w:val="clear" w:color="auto" w:fill="auto"/>
            <w:hideMark/>
          </w:tcPr>
          <w:p w14:paraId="1F69EB5D" w14:textId="77777777" w:rsidR="009B3558" w:rsidRPr="00904990" w:rsidRDefault="009B3558" w:rsidP="00673202">
            <w:pPr>
              <w:widowControl/>
              <w:spacing w:after="0"/>
              <w:jc w:val="center"/>
              <w:rPr>
                <w:rFonts w:cs="Arial"/>
                <w:bCs/>
                <w:color w:val="000000"/>
                <w:szCs w:val="20"/>
              </w:rPr>
            </w:pPr>
            <w:r w:rsidRPr="00904990">
              <w:rPr>
                <w:rFonts w:cs="Arial"/>
                <w:bCs/>
                <w:color w:val="000000"/>
                <w:szCs w:val="20"/>
              </w:rPr>
              <w:t>Primary School</w:t>
            </w:r>
          </w:p>
        </w:tc>
        <w:tc>
          <w:tcPr>
            <w:tcW w:w="1955" w:type="dxa"/>
            <w:tcBorders>
              <w:top w:val="nil"/>
              <w:left w:val="nil"/>
              <w:bottom w:val="single" w:sz="4" w:space="0" w:color="auto"/>
              <w:right w:val="single" w:sz="4" w:space="0" w:color="auto"/>
            </w:tcBorders>
            <w:shd w:val="clear" w:color="auto" w:fill="auto"/>
            <w:hideMark/>
          </w:tcPr>
          <w:p w14:paraId="75D4AE8A" w14:textId="77777777" w:rsidR="009B3558" w:rsidRPr="00904990" w:rsidRDefault="009B3558" w:rsidP="00673202">
            <w:pPr>
              <w:widowControl/>
              <w:spacing w:after="0"/>
              <w:jc w:val="center"/>
              <w:rPr>
                <w:rFonts w:cs="Arial"/>
                <w:color w:val="000000"/>
                <w:szCs w:val="20"/>
              </w:rPr>
            </w:pPr>
            <w:r w:rsidRPr="00904990">
              <w:rPr>
                <w:rFonts w:cs="Arial"/>
                <w:color w:val="000000"/>
                <w:szCs w:val="20"/>
              </w:rPr>
              <w:t>4,056</w:t>
            </w:r>
          </w:p>
        </w:tc>
      </w:tr>
      <w:tr w:rsidR="009B3558" w:rsidRPr="00904990" w14:paraId="11FF9873" w14:textId="77777777" w:rsidTr="009B3558">
        <w:trPr>
          <w:trHeight w:val="288"/>
          <w:jc w:val="center"/>
        </w:trPr>
        <w:tc>
          <w:tcPr>
            <w:tcW w:w="1836" w:type="dxa"/>
            <w:tcBorders>
              <w:top w:val="nil"/>
              <w:left w:val="single" w:sz="4" w:space="0" w:color="auto"/>
              <w:bottom w:val="single" w:sz="4" w:space="0" w:color="auto"/>
              <w:right w:val="single" w:sz="4" w:space="0" w:color="auto"/>
            </w:tcBorders>
            <w:shd w:val="clear" w:color="auto" w:fill="auto"/>
            <w:hideMark/>
          </w:tcPr>
          <w:p w14:paraId="651DA9BD" w14:textId="77777777" w:rsidR="009B3558" w:rsidRPr="00904990" w:rsidRDefault="009B3558" w:rsidP="00673202">
            <w:pPr>
              <w:widowControl/>
              <w:spacing w:after="0"/>
              <w:jc w:val="center"/>
              <w:rPr>
                <w:rFonts w:cs="Arial"/>
                <w:bCs/>
                <w:color w:val="000000"/>
                <w:szCs w:val="20"/>
              </w:rPr>
            </w:pPr>
            <w:r w:rsidRPr="00904990">
              <w:rPr>
                <w:rFonts w:cs="Arial"/>
                <w:bCs/>
                <w:color w:val="000000"/>
                <w:szCs w:val="20"/>
              </w:rPr>
              <w:t>Secondary School</w:t>
            </w:r>
          </w:p>
        </w:tc>
        <w:tc>
          <w:tcPr>
            <w:tcW w:w="1955" w:type="dxa"/>
            <w:tcBorders>
              <w:top w:val="nil"/>
              <w:left w:val="nil"/>
              <w:bottom w:val="single" w:sz="4" w:space="0" w:color="auto"/>
              <w:right w:val="single" w:sz="4" w:space="0" w:color="auto"/>
            </w:tcBorders>
            <w:shd w:val="clear" w:color="auto" w:fill="auto"/>
            <w:hideMark/>
          </w:tcPr>
          <w:p w14:paraId="5673597C" w14:textId="77777777" w:rsidR="009B3558" w:rsidRPr="00904990" w:rsidRDefault="009B3558" w:rsidP="00673202">
            <w:pPr>
              <w:widowControl/>
              <w:spacing w:after="0"/>
              <w:jc w:val="center"/>
              <w:rPr>
                <w:rFonts w:cs="Arial"/>
                <w:color w:val="000000"/>
                <w:szCs w:val="20"/>
              </w:rPr>
            </w:pPr>
            <w:r w:rsidRPr="00904990">
              <w:rPr>
                <w:rFonts w:cs="Arial"/>
                <w:color w:val="000000"/>
                <w:szCs w:val="20"/>
              </w:rPr>
              <w:t>4,056</w:t>
            </w:r>
          </w:p>
        </w:tc>
      </w:tr>
      <w:tr w:rsidR="009B3558" w:rsidRPr="00904990" w14:paraId="1FAB5FBA" w14:textId="77777777" w:rsidTr="009B3558">
        <w:trPr>
          <w:trHeight w:val="480"/>
          <w:jc w:val="center"/>
        </w:trPr>
        <w:tc>
          <w:tcPr>
            <w:tcW w:w="1836" w:type="dxa"/>
            <w:tcBorders>
              <w:top w:val="nil"/>
              <w:left w:val="single" w:sz="4" w:space="0" w:color="auto"/>
              <w:bottom w:val="single" w:sz="4" w:space="0" w:color="auto"/>
              <w:right w:val="single" w:sz="4" w:space="0" w:color="auto"/>
            </w:tcBorders>
            <w:shd w:val="clear" w:color="auto" w:fill="auto"/>
            <w:hideMark/>
          </w:tcPr>
          <w:p w14:paraId="15881F9D" w14:textId="77777777" w:rsidR="009B3558" w:rsidRPr="00904990" w:rsidRDefault="009B3558" w:rsidP="00673202">
            <w:pPr>
              <w:widowControl/>
              <w:spacing w:after="0"/>
              <w:jc w:val="center"/>
              <w:rPr>
                <w:rFonts w:cs="Arial"/>
                <w:bCs/>
                <w:color w:val="000000"/>
                <w:szCs w:val="20"/>
              </w:rPr>
            </w:pPr>
            <w:r w:rsidRPr="00904990">
              <w:rPr>
                <w:rFonts w:cs="Arial"/>
                <w:bCs/>
                <w:color w:val="000000"/>
                <w:szCs w:val="20"/>
              </w:rPr>
              <w:t>Quick Service Restaurant</w:t>
            </w:r>
          </w:p>
        </w:tc>
        <w:tc>
          <w:tcPr>
            <w:tcW w:w="1955" w:type="dxa"/>
            <w:tcBorders>
              <w:top w:val="nil"/>
              <w:left w:val="nil"/>
              <w:bottom w:val="single" w:sz="4" w:space="0" w:color="auto"/>
              <w:right w:val="single" w:sz="4" w:space="0" w:color="auto"/>
            </w:tcBorders>
            <w:shd w:val="clear" w:color="auto" w:fill="auto"/>
            <w:hideMark/>
          </w:tcPr>
          <w:p w14:paraId="36ABD330" w14:textId="77777777" w:rsidR="009B3558" w:rsidRPr="00904990" w:rsidRDefault="009B3558" w:rsidP="00673202">
            <w:pPr>
              <w:widowControl/>
              <w:spacing w:after="0"/>
              <w:jc w:val="center"/>
              <w:rPr>
                <w:rFonts w:cs="Arial"/>
                <w:color w:val="000000"/>
                <w:szCs w:val="20"/>
              </w:rPr>
            </w:pPr>
            <w:r w:rsidRPr="00904990">
              <w:rPr>
                <w:rFonts w:cs="Arial"/>
                <w:color w:val="000000"/>
                <w:szCs w:val="20"/>
              </w:rPr>
              <w:t>5,616</w:t>
            </w:r>
          </w:p>
        </w:tc>
      </w:tr>
      <w:tr w:rsidR="009B3558" w:rsidRPr="00904990" w14:paraId="65885C62" w14:textId="77777777" w:rsidTr="009B3558">
        <w:trPr>
          <w:trHeight w:val="288"/>
          <w:jc w:val="center"/>
        </w:trPr>
        <w:tc>
          <w:tcPr>
            <w:tcW w:w="1836" w:type="dxa"/>
            <w:tcBorders>
              <w:top w:val="nil"/>
              <w:left w:val="single" w:sz="4" w:space="0" w:color="auto"/>
              <w:bottom w:val="single" w:sz="4" w:space="0" w:color="auto"/>
              <w:right w:val="single" w:sz="4" w:space="0" w:color="auto"/>
            </w:tcBorders>
            <w:shd w:val="clear" w:color="auto" w:fill="auto"/>
            <w:hideMark/>
          </w:tcPr>
          <w:p w14:paraId="0C841DD8" w14:textId="77777777" w:rsidR="009B3558" w:rsidRPr="00904990" w:rsidRDefault="009B3558" w:rsidP="00673202">
            <w:pPr>
              <w:widowControl/>
              <w:spacing w:after="0"/>
              <w:jc w:val="center"/>
              <w:rPr>
                <w:rFonts w:cs="Arial"/>
                <w:bCs/>
                <w:color w:val="000000"/>
                <w:szCs w:val="20"/>
              </w:rPr>
            </w:pPr>
            <w:r w:rsidRPr="00904990">
              <w:rPr>
                <w:rFonts w:cs="Arial"/>
                <w:bCs/>
                <w:color w:val="000000"/>
                <w:szCs w:val="20"/>
              </w:rPr>
              <w:t>Full Service Restaurant</w:t>
            </w:r>
          </w:p>
        </w:tc>
        <w:tc>
          <w:tcPr>
            <w:tcW w:w="1955" w:type="dxa"/>
            <w:tcBorders>
              <w:top w:val="nil"/>
              <w:left w:val="nil"/>
              <w:bottom w:val="single" w:sz="4" w:space="0" w:color="auto"/>
              <w:right w:val="single" w:sz="4" w:space="0" w:color="auto"/>
            </w:tcBorders>
            <w:shd w:val="clear" w:color="auto" w:fill="auto"/>
            <w:hideMark/>
          </w:tcPr>
          <w:p w14:paraId="58DF9EEC" w14:textId="77777777" w:rsidR="009B3558" w:rsidRPr="00904990" w:rsidRDefault="009B3558" w:rsidP="00673202">
            <w:pPr>
              <w:widowControl/>
              <w:spacing w:after="0"/>
              <w:jc w:val="center"/>
              <w:rPr>
                <w:rFonts w:cs="Arial"/>
                <w:color w:val="000000"/>
                <w:szCs w:val="20"/>
              </w:rPr>
            </w:pPr>
            <w:r w:rsidRPr="00904990">
              <w:rPr>
                <w:rFonts w:cs="Arial"/>
                <w:color w:val="000000"/>
                <w:szCs w:val="20"/>
              </w:rPr>
              <w:t>5,616</w:t>
            </w:r>
          </w:p>
        </w:tc>
      </w:tr>
      <w:tr w:rsidR="009B3558" w:rsidRPr="00904990" w14:paraId="312F3028" w14:textId="77777777" w:rsidTr="009B3558">
        <w:trPr>
          <w:trHeight w:val="288"/>
          <w:jc w:val="center"/>
        </w:trPr>
        <w:tc>
          <w:tcPr>
            <w:tcW w:w="1836" w:type="dxa"/>
            <w:tcBorders>
              <w:top w:val="nil"/>
              <w:left w:val="single" w:sz="4" w:space="0" w:color="auto"/>
              <w:bottom w:val="single" w:sz="4" w:space="0" w:color="auto"/>
              <w:right w:val="single" w:sz="4" w:space="0" w:color="auto"/>
            </w:tcBorders>
            <w:shd w:val="clear" w:color="auto" w:fill="auto"/>
            <w:hideMark/>
          </w:tcPr>
          <w:p w14:paraId="3B4CFF7B" w14:textId="77777777" w:rsidR="009B3558" w:rsidRPr="00904990" w:rsidRDefault="009B3558" w:rsidP="00673202">
            <w:pPr>
              <w:widowControl/>
              <w:spacing w:after="0"/>
              <w:jc w:val="center"/>
              <w:rPr>
                <w:rFonts w:cs="Arial"/>
                <w:bCs/>
                <w:color w:val="000000"/>
                <w:szCs w:val="20"/>
              </w:rPr>
            </w:pPr>
            <w:r w:rsidRPr="00904990">
              <w:rPr>
                <w:rFonts w:cs="Arial"/>
                <w:bCs/>
                <w:color w:val="000000"/>
                <w:szCs w:val="20"/>
              </w:rPr>
              <w:t>Large Hotel</w:t>
            </w:r>
          </w:p>
        </w:tc>
        <w:tc>
          <w:tcPr>
            <w:tcW w:w="1955" w:type="dxa"/>
            <w:tcBorders>
              <w:top w:val="nil"/>
              <w:left w:val="nil"/>
              <w:bottom w:val="single" w:sz="4" w:space="0" w:color="auto"/>
              <w:right w:val="single" w:sz="4" w:space="0" w:color="auto"/>
            </w:tcBorders>
            <w:shd w:val="clear" w:color="auto" w:fill="auto"/>
            <w:hideMark/>
          </w:tcPr>
          <w:p w14:paraId="708349FA" w14:textId="77777777" w:rsidR="009B3558" w:rsidRPr="00904990" w:rsidRDefault="009B3558" w:rsidP="00673202">
            <w:pPr>
              <w:widowControl/>
              <w:spacing w:after="0"/>
              <w:jc w:val="center"/>
              <w:rPr>
                <w:rFonts w:cs="Arial"/>
                <w:color w:val="000000"/>
                <w:szCs w:val="20"/>
              </w:rPr>
            </w:pPr>
            <w:r w:rsidRPr="00904990">
              <w:rPr>
                <w:rFonts w:cs="Arial"/>
                <w:color w:val="000000"/>
                <w:szCs w:val="20"/>
              </w:rPr>
              <w:t>5,340</w:t>
            </w:r>
          </w:p>
        </w:tc>
      </w:tr>
      <w:tr w:rsidR="009B3558" w:rsidRPr="00904990" w14:paraId="08397F79" w14:textId="77777777" w:rsidTr="009B3558">
        <w:trPr>
          <w:trHeight w:val="288"/>
          <w:jc w:val="center"/>
        </w:trPr>
        <w:tc>
          <w:tcPr>
            <w:tcW w:w="1836" w:type="dxa"/>
            <w:tcBorders>
              <w:top w:val="nil"/>
              <w:left w:val="single" w:sz="4" w:space="0" w:color="auto"/>
              <w:bottom w:val="single" w:sz="4" w:space="0" w:color="auto"/>
              <w:right w:val="single" w:sz="4" w:space="0" w:color="auto"/>
            </w:tcBorders>
            <w:shd w:val="clear" w:color="auto" w:fill="auto"/>
            <w:hideMark/>
          </w:tcPr>
          <w:p w14:paraId="7A5744EC" w14:textId="77777777" w:rsidR="009B3558" w:rsidRPr="00904990" w:rsidRDefault="009B3558" w:rsidP="00673202">
            <w:pPr>
              <w:widowControl/>
              <w:spacing w:after="0"/>
              <w:jc w:val="center"/>
              <w:rPr>
                <w:rFonts w:cs="Arial"/>
                <w:bCs/>
                <w:color w:val="000000"/>
                <w:szCs w:val="20"/>
              </w:rPr>
            </w:pPr>
            <w:r w:rsidRPr="00904990">
              <w:rPr>
                <w:rFonts w:cs="Arial"/>
                <w:bCs/>
                <w:color w:val="000000"/>
                <w:szCs w:val="20"/>
              </w:rPr>
              <w:t>Hospital</w:t>
            </w:r>
          </w:p>
        </w:tc>
        <w:tc>
          <w:tcPr>
            <w:tcW w:w="1955" w:type="dxa"/>
            <w:tcBorders>
              <w:top w:val="nil"/>
              <w:left w:val="nil"/>
              <w:bottom w:val="single" w:sz="4" w:space="0" w:color="auto"/>
              <w:right w:val="single" w:sz="4" w:space="0" w:color="auto"/>
            </w:tcBorders>
            <w:shd w:val="clear" w:color="auto" w:fill="auto"/>
            <w:hideMark/>
          </w:tcPr>
          <w:p w14:paraId="6D027421" w14:textId="77777777" w:rsidR="009B3558" w:rsidRPr="00904990" w:rsidRDefault="009B3558" w:rsidP="00673202">
            <w:pPr>
              <w:widowControl/>
              <w:spacing w:after="0"/>
              <w:jc w:val="center"/>
              <w:rPr>
                <w:rFonts w:cs="Arial"/>
                <w:color w:val="000000"/>
                <w:szCs w:val="20"/>
              </w:rPr>
            </w:pPr>
            <w:r w:rsidRPr="00904990">
              <w:rPr>
                <w:rFonts w:cs="Arial"/>
                <w:color w:val="000000"/>
                <w:szCs w:val="20"/>
              </w:rPr>
              <w:t>3,916</w:t>
            </w:r>
          </w:p>
        </w:tc>
      </w:tr>
    </w:tbl>
    <w:p w14:paraId="519DC054" w14:textId="77777777" w:rsidR="009B3558" w:rsidRDefault="00904990" w:rsidP="009B3558">
      <w:pPr>
        <w:rPr>
          <w:rFonts w:eastAsiaTheme="majorEastAsia"/>
        </w:rPr>
      </w:pPr>
      <w:r>
        <w:rPr>
          <w:rFonts w:eastAsiaTheme="majorEastAsia"/>
        </w:rPr>
        <w:tab/>
      </w:r>
    </w:p>
    <w:p w14:paraId="56004908" w14:textId="2BE825F1" w:rsidR="00904990" w:rsidRDefault="00904990" w:rsidP="009B3558">
      <w:pPr>
        <w:ind w:firstLine="720"/>
      </w:pPr>
      <w:r>
        <w:rPr>
          <w:rFonts w:eastAsiaTheme="majorEastAsia"/>
        </w:rPr>
        <w:t>CF</w:t>
      </w:r>
      <w:r>
        <w:rPr>
          <w:rFonts w:eastAsiaTheme="majorEastAsia"/>
        </w:rPr>
        <w:tab/>
        <w:t xml:space="preserve">= </w:t>
      </w:r>
      <w:r>
        <w:t>Summer Peak Coincidence Factor for measure</w:t>
      </w:r>
      <w:r>
        <w:rPr>
          <w:rStyle w:val="FootnoteReference"/>
        </w:rPr>
        <w:footnoteReference w:id="9"/>
      </w:r>
      <w:r>
        <w:t>:</w:t>
      </w:r>
    </w:p>
    <w:tbl>
      <w:tblPr>
        <w:tblW w:w="3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126"/>
      </w:tblGrid>
      <w:tr w:rsidR="00904990" w:rsidRPr="00E64232" w14:paraId="1BFDA170" w14:textId="77777777" w:rsidTr="00673202">
        <w:trPr>
          <w:trHeight w:hRule="exact" w:val="288"/>
          <w:jc w:val="center"/>
        </w:trPr>
        <w:tc>
          <w:tcPr>
            <w:tcW w:w="2640" w:type="dxa"/>
            <w:shd w:val="clear" w:color="auto" w:fill="7F7F7F" w:themeFill="text1" w:themeFillTint="80"/>
            <w:hideMark/>
          </w:tcPr>
          <w:p w14:paraId="63FE9F75" w14:textId="77777777" w:rsidR="00904990" w:rsidRPr="00E64232" w:rsidRDefault="00904990" w:rsidP="00673202">
            <w:pPr>
              <w:pStyle w:val="TableHeading"/>
            </w:pPr>
            <w:r w:rsidRPr="00E64232">
              <w:t>Location</w:t>
            </w:r>
          </w:p>
        </w:tc>
        <w:tc>
          <w:tcPr>
            <w:tcW w:w="1126" w:type="dxa"/>
            <w:shd w:val="clear" w:color="auto" w:fill="7F7F7F" w:themeFill="text1" w:themeFillTint="80"/>
          </w:tcPr>
          <w:p w14:paraId="3A382665" w14:textId="77777777" w:rsidR="00904990" w:rsidRPr="00E64232" w:rsidRDefault="00904990" w:rsidP="00673202">
            <w:pPr>
              <w:pStyle w:val="TableHeading"/>
            </w:pPr>
            <w:r w:rsidRPr="00E64232">
              <w:t>CF</w:t>
            </w:r>
          </w:p>
          <w:p w14:paraId="1725B0D5" w14:textId="77777777" w:rsidR="00904990" w:rsidRPr="00E64232" w:rsidRDefault="00904990" w:rsidP="00673202">
            <w:pPr>
              <w:pStyle w:val="TableHeading"/>
            </w:pPr>
            <w:r w:rsidRPr="00E64232">
              <w:t>CF</w:t>
            </w:r>
          </w:p>
        </w:tc>
      </w:tr>
      <w:tr w:rsidR="00904990" w:rsidRPr="00E64232" w14:paraId="2E2AD03D" w14:textId="77777777" w:rsidTr="00673202">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14:paraId="6C271928" w14:textId="77777777" w:rsidR="00904990" w:rsidRPr="00E64232" w:rsidRDefault="00904990" w:rsidP="00673202">
            <w:r w:rsidRPr="00E64232">
              <w:t>Fast Food Limited Menu</w:t>
            </w:r>
          </w:p>
        </w:tc>
        <w:tc>
          <w:tcPr>
            <w:tcW w:w="1126" w:type="dxa"/>
            <w:tcBorders>
              <w:top w:val="single" w:sz="4" w:space="0" w:color="auto"/>
              <w:left w:val="single" w:sz="4" w:space="0" w:color="auto"/>
              <w:bottom w:val="single" w:sz="4" w:space="0" w:color="auto"/>
              <w:right w:val="single" w:sz="4" w:space="0" w:color="auto"/>
            </w:tcBorders>
          </w:tcPr>
          <w:p w14:paraId="32FCFAB5" w14:textId="77777777" w:rsidR="00904990" w:rsidRPr="00E64232" w:rsidRDefault="00904990" w:rsidP="00951340">
            <w:pPr>
              <w:ind w:right="43"/>
              <w:jc w:val="center"/>
            </w:pPr>
            <w:r w:rsidRPr="00E64232">
              <w:t>0.32</w:t>
            </w:r>
          </w:p>
        </w:tc>
      </w:tr>
      <w:tr w:rsidR="00904990" w:rsidRPr="00E64232" w14:paraId="66D56223" w14:textId="77777777" w:rsidTr="00673202">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14:paraId="3B838FDF" w14:textId="77777777" w:rsidR="00904990" w:rsidRPr="00E64232" w:rsidRDefault="00904990" w:rsidP="00673202">
            <w:r w:rsidRPr="00E64232">
              <w:t>Fast Food Expanded Menu</w:t>
            </w:r>
          </w:p>
        </w:tc>
        <w:tc>
          <w:tcPr>
            <w:tcW w:w="1126" w:type="dxa"/>
            <w:tcBorders>
              <w:top w:val="single" w:sz="4" w:space="0" w:color="auto"/>
              <w:left w:val="single" w:sz="4" w:space="0" w:color="auto"/>
              <w:bottom w:val="single" w:sz="4" w:space="0" w:color="auto"/>
              <w:right w:val="single" w:sz="4" w:space="0" w:color="auto"/>
            </w:tcBorders>
          </w:tcPr>
          <w:p w14:paraId="41334470" w14:textId="77777777" w:rsidR="00904990" w:rsidRPr="00E64232" w:rsidRDefault="00904990" w:rsidP="00951340">
            <w:pPr>
              <w:jc w:val="center"/>
            </w:pPr>
            <w:r w:rsidRPr="00E64232">
              <w:t>0.41</w:t>
            </w:r>
          </w:p>
        </w:tc>
      </w:tr>
      <w:tr w:rsidR="00904990" w:rsidRPr="00E64232" w14:paraId="286AF3AB" w14:textId="77777777" w:rsidTr="00673202">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14:paraId="2322D6AC" w14:textId="77777777" w:rsidR="00904990" w:rsidRPr="00E64232" w:rsidRDefault="00904990" w:rsidP="00673202">
            <w:r w:rsidRPr="00E64232">
              <w:t>Pizza</w:t>
            </w:r>
          </w:p>
        </w:tc>
        <w:tc>
          <w:tcPr>
            <w:tcW w:w="1126" w:type="dxa"/>
            <w:tcBorders>
              <w:top w:val="single" w:sz="4" w:space="0" w:color="auto"/>
              <w:left w:val="single" w:sz="4" w:space="0" w:color="auto"/>
              <w:bottom w:val="single" w:sz="4" w:space="0" w:color="auto"/>
              <w:right w:val="single" w:sz="4" w:space="0" w:color="auto"/>
            </w:tcBorders>
          </w:tcPr>
          <w:p w14:paraId="0A9244ED" w14:textId="77777777" w:rsidR="00904990" w:rsidRPr="00E64232" w:rsidRDefault="00904990" w:rsidP="00951340">
            <w:pPr>
              <w:jc w:val="center"/>
            </w:pPr>
            <w:r w:rsidRPr="00E64232">
              <w:t>0.46</w:t>
            </w:r>
          </w:p>
        </w:tc>
      </w:tr>
      <w:tr w:rsidR="00904990" w:rsidRPr="00E64232" w14:paraId="1AA9835F" w14:textId="77777777" w:rsidTr="00673202">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14:paraId="2A12AA1C" w14:textId="77777777" w:rsidR="00904990" w:rsidRPr="00E64232" w:rsidRDefault="00904990" w:rsidP="00673202">
            <w:r w:rsidRPr="00E64232">
              <w:t>Full Service Limited Menu</w:t>
            </w:r>
          </w:p>
        </w:tc>
        <w:tc>
          <w:tcPr>
            <w:tcW w:w="1126" w:type="dxa"/>
            <w:tcBorders>
              <w:top w:val="single" w:sz="4" w:space="0" w:color="auto"/>
              <w:left w:val="single" w:sz="4" w:space="0" w:color="auto"/>
              <w:bottom w:val="single" w:sz="4" w:space="0" w:color="auto"/>
              <w:right w:val="single" w:sz="4" w:space="0" w:color="auto"/>
            </w:tcBorders>
          </w:tcPr>
          <w:p w14:paraId="2914B67C" w14:textId="77777777" w:rsidR="00904990" w:rsidRPr="00E64232" w:rsidRDefault="00904990" w:rsidP="00951340">
            <w:pPr>
              <w:jc w:val="center"/>
            </w:pPr>
            <w:r w:rsidRPr="00E64232">
              <w:t>0.51</w:t>
            </w:r>
          </w:p>
        </w:tc>
      </w:tr>
      <w:tr w:rsidR="00904990" w:rsidRPr="00E64232" w14:paraId="71CB8A48" w14:textId="77777777" w:rsidTr="00673202">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14:paraId="7421A28F" w14:textId="77777777" w:rsidR="00904990" w:rsidRPr="00E64232" w:rsidRDefault="00904990" w:rsidP="00673202">
            <w:r w:rsidRPr="00E64232">
              <w:t>Full Service Expanded Menu</w:t>
            </w:r>
          </w:p>
        </w:tc>
        <w:tc>
          <w:tcPr>
            <w:tcW w:w="1126" w:type="dxa"/>
            <w:tcBorders>
              <w:top w:val="single" w:sz="4" w:space="0" w:color="auto"/>
              <w:left w:val="single" w:sz="4" w:space="0" w:color="auto"/>
              <w:bottom w:val="single" w:sz="4" w:space="0" w:color="auto"/>
              <w:right w:val="single" w:sz="4" w:space="0" w:color="auto"/>
            </w:tcBorders>
          </w:tcPr>
          <w:p w14:paraId="496639FD" w14:textId="77777777" w:rsidR="00904990" w:rsidRPr="00E64232" w:rsidRDefault="00904990" w:rsidP="00951340">
            <w:pPr>
              <w:jc w:val="center"/>
            </w:pPr>
            <w:r w:rsidRPr="00E64232">
              <w:t>0.36</w:t>
            </w:r>
          </w:p>
        </w:tc>
      </w:tr>
      <w:tr w:rsidR="00904990" w:rsidRPr="00E64232" w14:paraId="0F7DE6CD" w14:textId="77777777" w:rsidTr="00673202">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14:paraId="2884D129" w14:textId="77777777" w:rsidR="00904990" w:rsidRPr="00E64232" w:rsidRDefault="00904990" w:rsidP="00673202">
            <w:r w:rsidRPr="00E64232">
              <w:t>Cafeteria</w:t>
            </w:r>
          </w:p>
        </w:tc>
        <w:tc>
          <w:tcPr>
            <w:tcW w:w="1126" w:type="dxa"/>
            <w:tcBorders>
              <w:top w:val="single" w:sz="4" w:space="0" w:color="auto"/>
              <w:left w:val="single" w:sz="4" w:space="0" w:color="auto"/>
              <w:bottom w:val="single" w:sz="4" w:space="0" w:color="auto"/>
              <w:right w:val="single" w:sz="4" w:space="0" w:color="auto"/>
            </w:tcBorders>
          </w:tcPr>
          <w:p w14:paraId="0A58E60B" w14:textId="77777777" w:rsidR="00904990" w:rsidRPr="00E64232" w:rsidRDefault="00904990" w:rsidP="00951340">
            <w:pPr>
              <w:jc w:val="center"/>
            </w:pPr>
            <w:r w:rsidRPr="00E64232">
              <w:t>0.36</w:t>
            </w:r>
          </w:p>
        </w:tc>
      </w:tr>
      <w:tr w:rsidR="00904990" w:rsidRPr="00AE76FC" w14:paraId="57857723" w14:textId="77777777" w:rsidTr="00673202">
        <w:trPr>
          <w:trHeight w:hRule="exact" w:val="288"/>
          <w:jc w:val="center"/>
        </w:trPr>
        <w:tc>
          <w:tcPr>
            <w:tcW w:w="2640" w:type="dxa"/>
            <w:noWrap/>
            <w:vAlign w:val="bottom"/>
          </w:tcPr>
          <w:p w14:paraId="6C0BFFCA" w14:textId="77777777" w:rsidR="00904990" w:rsidRPr="00847246" w:rsidRDefault="00904990" w:rsidP="00673202">
            <w:r w:rsidRPr="00847246">
              <w:t>Unknown</w:t>
            </w:r>
          </w:p>
        </w:tc>
        <w:tc>
          <w:tcPr>
            <w:tcW w:w="1126" w:type="dxa"/>
          </w:tcPr>
          <w:p w14:paraId="2360E6DD" w14:textId="77777777" w:rsidR="00904990" w:rsidRPr="00847246" w:rsidRDefault="00904990" w:rsidP="00951340">
            <w:pPr>
              <w:jc w:val="center"/>
            </w:pPr>
            <w:r w:rsidRPr="00847246">
              <w:t>0.40</w:t>
            </w:r>
          </w:p>
        </w:tc>
      </w:tr>
    </w:tbl>
    <w:p w14:paraId="6CD9319F" w14:textId="4ADE877B" w:rsidR="00904990" w:rsidRPr="00072317" w:rsidRDefault="00904990" w:rsidP="00072317">
      <w:pPr>
        <w:jc w:val="left"/>
        <w:rPr>
          <w:rFonts w:eastAsiaTheme="majorEastAsia"/>
        </w:rPr>
      </w:pPr>
    </w:p>
    <w:p w14:paraId="737E8919" w14:textId="77777777" w:rsidR="00D466B6" w:rsidRDefault="00D466B6" w:rsidP="007333C0">
      <w:pPr>
        <w:pStyle w:val="Heading6"/>
      </w:pPr>
      <w:r>
        <w:t>Natural Gas Savings</w:t>
      </w:r>
    </w:p>
    <w:p w14:paraId="7C9D9968" w14:textId="69D62F33" w:rsidR="00072317" w:rsidRDefault="00072317" w:rsidP="004D7251">
      <w:pPr>
        <w:ind w:left="720"/>
        <w:rPr>
          <w:rFonts w:eastAsiaTheme="majorEastAsia"/>
        </w:rPr>
      </w:pPr>
      <w:proofErr w:type="spellStart"/>
      <w:r w:rsidRPr="00072317">
        <w:rPr>
          <w:rFonts w:eastAsiaTheme="majorEastAsia"/>
        </w:rPr>
        <w:t>Δ</w:t>
      </w:r>
      <w:r>
        <w:rPr>
          <w:rFonts w:eastAsiaTheme="majorEastAsia"/>
        </w:rPr>
        <w:t>Therm</w:t>
      </w:r>
      <w:proofErr w:type="spellEnd"/>
      <w:r w:rsidR="004D7251">
        <w:rPr>
          <w:rFonts w:eastAsiaTheme="majorEastAsia"/>
        </w:rPr>
        <w:tab/>
      </w:r>
      <w:r>
        <w:rPr>
          <w:rFonts w:eastAsiaTheme="majorEastAsia"/>
        </w:rPr>
        <w:t>=</w:t>
      </w:r>
      <w:r w:rsidR="00904990">
        <w:rPr>
          <w:rFonts w:eastAsiaTheme="majorEastAsia"/>
        </w:rPr>
        <w:t xml:space="preserve"> </w:t>
      </w:r>
      <w:r>
        <w:rPr>
          <w:rFonts w:eastAsiaTheme="majorEastAsia"/>
        </w:rPr>
        <w:t>[(Meal/Day*HW/Meal*Days/Year</w:t>
      </w:r>
      <w:proofErr w:type="gramStart"/>
      <w:r>
        <w:rPr>
          <w:rFonts w:eastAsiaTheme="majorEastAsia"/>
        </w:rPr>
        <w:t>)*</w:t>
      </w:r>
      <w:proofErr w:type="gramEnd"/>
      <w:r>
        <w:rPr>
          <w:rFonts w:eastAsiaTheme="majorEastAsia"/>
        </w:rPr>
        <w:t>8.3BTU/gal.°F*(</w:t>
      </w:r>
      <w:r w:rsidR="00062504" w:rsidRPr="00072317">
        <w:rPr>
          <w:rFonts w:eastAsiaTheme="majorEastAsia"/>
        </w:rPr>
        <w:t>Δ</w:t>
      </w:r>
      <w:r w:rsidR="00904990">
        <w:rPr>
          <w:rFonts w:eastAsiaTheme="majorEastAsia"/>
        </w:rPr>
        <w:t>T/filter</w:t>
      </w:r>
      <w:r>
        <w:rPr>
          <w:rFonts w:eastAsiaTheme="majorEastAsia"/>
        </w:rPr>
        <w:t>*Qty_Filter]/(η</w:t>
      </w:r>
      <w:r>
        <w:rPr>
          <w:rFonts w:eastAsiaTheme="majorEastAsia"/>
          <w:vertAlign w:val="subscript"/>
        </w:rPr>
        <w:t>Heater</w:t>
      </w:r>
      <w:r w:rsidR="00904990">
        <w:rPr>
          <w:rFonts w:eastAsiaTheme="majorEastAsia"/>
          <w:vertAlign w:val="subscript"/>
        </w:rPr>
        <w:t>Gas</w:t>
      </w:r>
      <w:r>
        <w:rPr>
          <w:rFonts w:eastAsiaTheme="majorEastAsia"/>
        </w:rPr>
        <w:t>*100,000</w:t>
      </w:r>
      <w:r w:rsidR="00904990">
        <w:rPr>
          <w:rFonts w:eastAsiaTheme="majorEastAsia"/>
        </w:rPr>
        <w:t>)</w:t>
      </w:r>
    </w:p>
    <w:p w14:paraId="76C23D60" w14:textId="2ACFE901" w:rsidR="00904990" w:rsidRDefault="00904990" w:rsidP="00B66755">
      <w:pPr>
        <w:rPr>
          <w:rFonts w:eastAsiaTheme="majorEastAsia"/>
        </w:rPr>
      </w:pPr>
      <w:r>
        <w:rPr>
          <w:rFonts w:eastAsiaTheme="majorEastAsia"/>
        </w:rPr>
        <w:t>Where:</w:t>
      </w:r>
    </w:p>
    <w:p w14:paraId="568B0054" w14:textId="37762F41" w:rsidR="00904990" w:rsidRPr="00904990" w:rsidRDefault="00904990" w:rsidP="00904990">
      <w:pPr>
        <w:ind w:left="2160" w:hanging="1440"/>
        <w:rPr>
          <w:rFonts w:eastAsiaTheme="majorEastAsia"/>
        </w:rPr>
      </w:pPr>
      <w:proofErr w:type="spellStart"/>
      <w:proofErr w:type="gramStart"/>
      <w:r>
        <w:rPr>
          <w:rFonts w:eastAsiaTheme="majorEastAsia"/>
        </w:rPr>
        <w:t>η</w:t>
      </w:r>
      <w:r w:rsidRPr="00904990">
        <w:rPr>
          <w:rFonts w:eastAsiaTheme="majorEastAsia"/>
          <w:vertAlign w:val="subscript"/>
        </w:rPr>
        <w:t>HeaterGas</w:t>
      </w:r>
      <w:proofErr w:type="spellEnd"/>
      <w:proofErr w:type="gramEnd"/>
      <w:r>
        <w:rPr>
          <w:rFonts w:eastAsiaTheme="majorEastAsia"/>
        </w:rPr>
        <w:tab/>
      </w:r>
      <w:r>
        <w:rPr>
          <w:rFonts w:eastAsiaTheme="majorEastAsia"/>
        </w:rPr>
        <w:tab/>
        <w:t>= Efficiency of the Gas water heater. If not directly available, use:</w:t>
      </w:r>
    </w:p>
    <w:p w14:paraId="5E144859" w14:textId="77777777" w:rsidR="00934184" w:rsidRDefault="00934184" w:rsidP="00934184">
      <w:pPr>
        <w:ind w:left="2880"/>
        <w:rPr>
          <w:szCs w:val="20"/>
        </w:rPr>
      </w:pPr>
      <w:r>
        <w:rPr>
          <w:szCs w:val="20"/>
        </w:rPr>
        <w:t>= Actual. If unknown, use the table C404</w:t>
      </w:r>
      <w:r w:rsidRPr="00DA3823">
        <w:rPr>
          <w:szCs w:val="20"/>
        </w:rPr>
        <w:t>.2 in IECC 201</w:t>
      </w:r>
      <w:r>
        <w:rPr>
          <w:szCs w:val="20"/>
        </w:rPr>
        <w:t>2 (or IECC 2015 if through new construction) to assume values based on code estimates</w:t>
      </w:r>
    </w:p>
    <w:p w14:paraId="015527F5" w14:textId="77777777" w:rsidR="00904990" w:rsidRDefault="00904990" w:rsidP="00B66755">
      <w:pPr>
        <w:rPr>
          <w:rFonts w:eastAsiaTheme="majorEastAsia"/>
        </w:rPr>
      </w:pPr>
    </w:p>
    <w:p w14:paraId="4BFFA5F5" w14:textId="370F63B3" w:rsidR="00904990" w:rsidRDefault="00904990" w:rsidP="00B66755">
      <w:pPr>
        <w:rPr>
          <w:rFonts w:eastAsiaTheme="majorEastAsia"/>
        </w:rPr>
      </w:pPr>
      <w:r>
        <w:rPr>
          <w:rFonts w:eastAsiaTheme="majorEastAsia"/>
        </w:rPr>
        <w:lastRenderedPageBreak/>
        <w:tab/>
      </w:r>
      <w:r>
        <w:rPr>
          <w:rFonts w:eastAsiaTheme="majorEastAsia"/>
        </w:rPr>
        <w:tab/>
        <w:t>Other variables as above</w:t>
      </w:r>
    </w:p>
    <w:p w14:paraId="14B97BD2" w14:textId="77777777" w:rsidR="00904990" w:rsidRPr="00072317" w:rsidRDefault="00904990" w:rsidP="00B66755">
      <w:pPr>
        <w:rPr>
          <w:rFonts w:eastAsiaTheme="majorEastAsia"/>
        </w:rPr>
      </w:pPr>
    </w:p>
    <w:p w14:paraId="737E891A" w14:textId="113E5C56" w:rsidR="00D466B6" w:rsidRDefault="00D466B6" w:rsidP="007333C0">
      <w:pPr>
        <w:pStyle w:val="Heading6"/>
      </w:pPr>
      <w:r>
        <w:t xml:space="preserve">Water </w:t>
      </w:r>
      <w:r w:rsidR="002868AF">
        <w:t xml:space="preserve">and Other Non-Energy </w:t>
      </w:r>
      <w:r>
        <w:t xml:space="preserve">Impact Descriptions and Calculation  </w:t>
      </w:r>
    </w:p>
    <w:p w14:paraId="442523E2" w14:textId="6ECE9F64" w:rsidR="00E60750" w:rsidRPr="00E60750" w:rsidRDefault="00E60750" w:rsidP="00E60750">
      <w:pPr>
        <w:rPr>
          <w:rFonts w:eastAsiaTheme="majorEastAsia"/>
        </w:rPr>
      </w:pPr>
      <w:r>
        <w:rPr>
          <w:rFonts w:eastAsiaTheme="majorEastAsia"/>
        </w:rPr>
        <w:t>N</w:t>
      </w:r>
      <w:r w:rsidR="00D30214">
        <w:rPr>
          <w:rFonts w:eastAsiaTheme="majorEastAsia"/>
        </w:rPr>
        <w:t>/</w:t>
      </w:r>
      <w:r>
        <w:rPr>
          <w:rFonts w:eastAsiaTheme="majorEastAsia"/>
        </w:rPr>
        <w:t>A</w:t>
      </w:r>
    </w:p>
    <w:p w14:paraId="737E891B" w14:textId="77777777" w:rsidR="00D466B6" w:rsidRDefault="00D466B6" w:rsidP="007333C0">
      <w:pPr>
        <w:pStyle w:val="Heading6"/>
      </w:pPr>
      <w:r>
        <w:t>Deemed O&amp;M Cost Adjustment Calculation</w:t>
      </w:r>
    </w:p>
    <w:p w14:paraId="4252E6A9" w14:textId="6ABDA472" w:rsidR="00957172" w:rsidRDefault="00957172" w:rsidP="00957172">
      <w:r w:rsidRPr="0043020D">
        <w:rPr>
          <w:highlight w:val="yellow"/>
        </w:rPr>
        <w:t xml:space="preserve">O&amp;M savings may result from reduced filter and hood cleaning frequencies. More research should be done to understand any </w:t>
      </w:r>
      <w:proofErr w:type="spellStart"/>
      <w:r w:rsidRPr="0043020D">
        <w:rPr>
          <w:highlight w:val="yellow"/>
        </w:rPr>
        <w:t>potnential</w:t>
      </w:r>
      <w:proofErr w:type="spellEnd"/>
      <w:r w:rsidRPr="0043020D">
        <w:rPr>
          <w:highlight w:val="yellow"/>
        </w:rPr>
        <w:t xml:space="preserve"> savings and the associated value.</w:t>
      </w:r>
      <w:bookmarkEnd w:id="0"/>
      <w:bookmarkEnd w:id="1"/>
      <w:bookmarkEnd w:id="2"/>
    </w:p>
    <w:p w14:paraId="027A79F2" w14:textId="5947DBB1" w:rsidR="00934184" w:rsidRPr="002F371F" w:rsidRDefault="00934184" w:rsidP="00934184">
      <w:pPr>
        <w:pStyle w:val="Heading6"/>
      </w:pPr>
      <w:r>
        <w:t>Measure Code: CI-MSC</w:t>
      </w:r>
      <w:r w:rsidRPr="00213B00">
        <w:t>-</w:t>
      </w:r>
      <w:r>
        <w:t>GRTF</w:t>
      </w:r>
      <w:r w:rsidRPr="00213B00">
        <w:t>-V0</w:t>
      </w:r>
      <w:r>
        <w:t>1</w:t>
      </w:r>
      <w:r w:rsidRPr="00213B00">
        <w:t>-</w:t>
      </w:r>
      <w:r>
        <w:t>160601</w:t>
      </w:r>
    </w:p>
    <w:p w14:paraId="38B2227C" w14:textId="77777777" w:rsidR="00934184" w:rsidRPr="00957172" w:rsidRDefault="00934184" w:rsidP="00957172">
      <w:bookmarkStart w:id="4" w:name="_GoBack"/>
      <w:bookmarkEnd w:id="4"/>
    </w:p>
    <w:sectPr w:rsidR="00934184" w:rsidRPr="00957172" w:rsidSect="00950A89">
      <w:headerReference w:type="default" r:id="rId13"/>
      <w:footerReference w:type="default" r:id="rId14"/>
      <w:headerReference w:type="first" r:id="rId15"/>
      <w:pgSz w:w="12240" w:h="15840" w:code="1"/>
      <w:pgMar w:top="1440" w:right="1440" w:bottom="1440" w:left="1440" w:header="720" w:footer="720" w:gutter="0"/>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Samuel Dent" w:date="2015-10-22T10:34:00Z" w:initials="SD">
    <w:p w14:paraId="1214CC57" w14:textId="3893354A" w:rsidR="009B3558" w:rsidRDefault="009B3558">
      <w:pPr>
        <w:pStyle w:val="CommentText"/>
      </w:pPr>
      <w:r>
        <w:rPr>
          <w:rStyle w:val="CommentReference"/>
        </w:rPr>
        <w:annotationRef/>
      </w:r>
      <w:r>
        <w:t xml:space="preserve">Note we have removed hours from the numerator and </w:t>
      </w:r>
      <w:proofErr w:type="spellStart"/>
      <w:r>
        <w:t>demoninator</w:t>
      </w:r>
      <w:proofErr w:type="spellEnd"/>
      <w:r>
        <w:t>. Savings will only be achieved while the fan is operating and so the top and bottom should cancel out.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E017E7" w14:textId="77777777" w:rsidR="00D46E0B" w:rsidRDefault="00D46E0B" w:rsidP="00D466B6">
      <w:pPr>
        <w:spacing w:after="0"/>
      </w:pPr>
      <w:r>
        <w:separator/>
      </w:r>
    </w:p>
  </w:endnote>
  <w:endnote w:type="continuationSeparator" w:id="0">
    <w:p w14:paraId="69D4BE20" w14:textId="77777777" w:rsidR="00D46E0B" w:rsidRDefault="00D46E0B" w:rsidP="00D466B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9180691"/>
      <w:docPartObj>
        <w:docPartGallery w:val="Page Numbers (Top of Page)"/>
        <w:docPartUnique/>
      </w:docPartObj>
    </w:sdtPr>
    <w:sdtEndPr/>
    <w:sdtContent>
      <w:p w14:paraId="737EDBD5" w14:textId="77777777" w:rsidR="00E2643B" w:rsidRDefault="00E2643B" w:rsidP="00950A89">
        <w:pPr>
          <w:pStyle w:val="Footer"/>
          <w:spacing w:after="0"/>
          <w:jc w:val="center"/>
        </w:pPr>
      </w:p>
      <w:p w14:paraId="737EDBD6" w14:textId="77777777" w:rsidR="00E2643B" w:rsidRDefault="00E2643B" w:rsidP="00950A89">
        <w:pPr>
          <w:pStyle w:val="Footer"/>
          <w:pBdr>
            <w:top w:val="single" w:sz="4" w:space="1" w:color="auto"/>
          </w:pBdr>
          <w:spacing w:after="0"/>
          <w:jc w:val="center"/>
        </w:pPr>
        <w:r>
          <w:t xml:space="preserve">Page </w:t>
        </w:r>
        <w:r>
          <w:rPr>
            <w:sz w:val="24"/>
          </w:rPr>
          <w:fldChar w:fldCharType="begin"/>
        </w:r>
        <w:r>
          <w:instrText xml:space="preserve"> PAGE </w:instrText>
        </w:r>
        <w:r>
          <w:rPr>
            <w:sz w:val="24"/>
          </w:rPr>
          <w:fldChar w:fldCharType="separate"/>
        </w:r>
        <w:r w:rsidR="004D7251">
          <w:rPr>
            <w:noProof/>
          </w:rPr>
          <w:t>4</w:t>
        </w:r>
        <w:r>
          <w:rPr>
            <w:sz w:val="24"/>
          </w:rPr>
          <w:fldChar w:fldCharType="end"/>
        </w:r>
        <w:r>
          <w:t xml:space="preserve"> of </w:t>
        </w:r>
        <w:r w:rsidR="004D7251">
          <w:fldChar w:fldCharType="begin"/>
        </w:r>
        <w:r w:rsidR="004D7251">
          <w:instrText xml:space="preserve"> NUMPAGES  </w:instrText>
        </w:r>
        <w:r w:rsidR="004D7251">
          <w:fldChar w:fldCharType="separate"/>
        </w:r>
        <w:r w:rsidR="004D7251">
          <w:rPr>
            <w:noProof/>
          </w:rPr>
          <w:t>4</w:t>
        </w:r>
        <w:r w:rsidR="004D7251">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7ED185" w14:textId="77777777" w:rsidR="00D46E0B" w:rsidRDefault="00D46E0B" w:rsidP="00D466B6">
      <w:pPr>
        <w:spacing w:after="0"/>
      </w:pPr>
      <w:r>
        <w:separator/>
      </w:r>
    </w:p>
  </w:footnote>
  <w:footnote w:type="continuationSeparator" w:id="0">
    <w:p w14:paraId="0555CE8D" w14:textId="77777777" w:rsidR="00D46E0B" w:rsidRDefault="00D46E0B" w:rsidP="00D466B6">
      <w:pPr>
        <w:spacing w:after="0"/>
      </w:pPr>
      <w:r>
        <w:continuationSeparator/>
      </w:r>
    </w:p>
  </w:footnote>
  <w:footnote w:id="1">
    <w:p w14:paraId="4EA4854E" w14:textId="64D3DD60" w:rsidR="00D30214" w:rsidRDefault="00D30214">
      <w:pPr>
        <w:pStyle w:val="FootnoteText"/>
      </w:pPr>
      <w:r>
        <w:rPr>
          <w:rStyle w:val="FootnoteReference"/>
        </w:rPr>
        <w:footnoteRef/>
      </w:r>
      <w:r>
        <w:t xml:space="preserve"> Savings methodology factors are for a constant speed fan.</w:t>
      </w:r>
    </w:p>
  </w:footnote>
  <w:footnote w:id="2">
    <w:p w14:paraId="46E8B0F1" w14:textId="3E550756" w:rsidR="00081C72" w:rsidRDefault="00081C72">
      <w:pPr>
        <w:pStyle w:val="FootnoteText"/>
      </w:pPr>
      <w:r>
        <w:rPr>
          <w:rStyle w:val="FootnoteReference"/>
        </w:rPr>
        <w:footnoteRef/>
      </w:r>
      <w:r>
        <w:t xml:space="preserve"> Professional judgement, consistent with </w:t>
      </w:r>
      <w:r w:rsidR="006B4B46">
        <w:t xml:space="preserve">expected </w:t>
      </w:r>
      <w:r>
        <w:t>lifetime of kitchen demand ventilation controls</w:t>
      </w:r>
      <w:r w:rsidR="006B4B46">
        <w:t xml:space="preserve"> and other kitchen equipment</w:t>
      </w:r>
      <w:r>
        <w:t>.</w:t>
      </w:r>
    </w:p>
  </w:footnote>
  <w:footnote w:id="3">
    <w:p w14:paraId="1B4907AA" w14:textId="77777777" w:rsidR="00B9187C" w:rsidRPr="009C362B" w:rsidRDefault="00B9187C" w:rsidP="00B9187C">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Minnesota 2012 Technical Reference Manual, </w:t>
      </w:r>
      <w:hyperlink r:id="rId1" w:tgtFrame="_blank" w:tooltip="ElectricFoodService_v03.2.xls" w:history="1">
        <w:r w:rsidRPr="00934184">
          <w:t>Electric Food Service_v03.2.xls</w:t>
        </w:r>
      </w:hyperlink>
      <w:r w:rsidRPr="009C362B">
        <w:rPr>
          <w:szCs w:val="18"/>
        </w:rPr>
        <w:t>, http://mn.gov/commerce/energy/topics/conservation/Design-Resources/Deemed-Savings.jspech</w:t>
      </w:r>
    </w:p>
  </w:footnote>
  <w:footnote w:id="4">
    <w:p w14:paraId="035A10DA" w14:textId="77777777" w:rsidR="00707BC0" w:rsidRDefault="00707BC0" w:rsidP="00707BC0">
      <w:pPr>
        <w:pStyle w:val="FootnoteText"/>
      </w:pPr>
      <w:r>
        <w:rPr>
          <w:rStyle w:val="FootnoteReference"/>
        </w:rPr>
        <w:footnoteRef/>
      </w:r>
      <w:r>
        <w:t xml:space="preserve"> </w:t>
      </w:r>
      <w:proofErr w:type="gramStart"/>
      <w:r w:rsidRPr="0019538D">
        <w:t>Average dishwashing and faucet water usage taken from Chapter 8, Table 8.3.3 Normalized Annual End Uses of Water in Select Restaurants in Western United States.</w:t>
      </w:r>
      <w:proofErr w:type="gramEnd"/>
    </w:p>
  </w:footnote>
  <w:footnote w:id="5">
    <w:p w14:paraId="31453EA2" w14:textId="77777777" w:rsidR="00707BC0" w:rsidRDefault="00707BC0" w:rsidP="00707BC0">
      <w:pPr>
        <w:pStyle w:val="FootnoteText"/>
      </w:pPr>
      <w:r>
        <w:rPr>
          <w:rStyle w:val="FootnoteReference"/>
        </w:rPr>
        <w:footnoteRef/>
      </w:r>
      <w:r>
        <w:t xml:space="preserve"> Average value based on case studies. </w:t>
      </w:r>
      <w:r>
        <w:rPr>
          <w:noProof/>
        </w:rPr>
        <w:t xml:space="preserve">Northwinds Sailing, Inc. and North Shore Sustainable Energy, LLC. </w:t>
      </w:r>
      <w:r>
        <w:rPr>
          <w:i/>
          <w:iCs/>
          <w:noProof/>
        </w:rPr>
        <w:t>Angry Trout Café Kitchen Exhaust Heat Recovery.</w:t>
      </w:r>
      <w:r>
        <w:rPr>
          <w:noProof/>
        </w:rPr>
        <w:t xml:space="preserve"> </w:t>
      </w:r>
      <w:proofErr w:type="gramStart"/>
      <w:r>
        <w:rPr>
          <w:noProof/>
        </w:rPr>
        <w:t>Minnesota Department of Commerce, Division of Energy Resources, 2012</w:t>
      </w:r>
      <w:r>
        <w:t>.</w:t>
      </w:r>
      <w:proofErr w:type="gramEnd"/>
      <w:r>
        <w:t xml:space="preserve"> </w:t>
      </w:r>
      <w:r w:rsidRPr="00452E26">
        <w:rPr>
          <w:highlight w:val="yellow"/>
        </w:rPr>
        <w:t xml:space="preserve">NEED </w:t>
      </w:r>
      <w:proofErr w:type="spellStart"/>
      <w:r w:rsidRPr="00452E26">
        <w:rPr>
          <w:highlight w:val="yellow"/>
        </w:rPr>
        <w:t>CLEAResult</w:t>
      </w:r>
      <w:proofErr w:type="spellEnd"/>
      <w:r w:rsidRPr="00452E26">
        <w:rPr>
          <w:highlight w:val="yellow"/>
        </w:rPr>
        <w:t xml:space="preserve"> reference</w:t>
      </w:r>
    </w:p>
  </w:footnote>
  <w:footnote w:id="6">
    <w:p w14:paraId="43381B7F" w14:textId="77777777" w:rsidR="009B3558" w:rsidRDefault="009B3558" w:rsidP="009B3558">
      <w:pPr>
        <w:pStyle w:val="FootnoteText"/>
      </w:pPr>
      <w:r>
        <w:rPr>
          <w:rStyle w:val="FootnoteReference"/>
        </w:rPr>
        <w:footnoteRef/>
      </w:r>
      <w:r>
        <w:t xml:space="preserve"> </w:t>
      </w:r>
      <w:r w:rsidRPr="0019538D">
        <w:t>Commercial Kitchen Loads for listed buildings in U.S. Department of Energy Commercial Reference Building Models of the National Building Stock, NREL</w:t>
      </w:r>
    </w:p>
  </w:footnote>
  <w:footnote w:id="7">
    <w:p w14:paraId="06F5D1D8" w14:textId="77777777" w:rsidR="009B3558" w:rsidRDefault="009B3558" w:rsidP="009B3558">
      <w:pPr>
        <w:pStyle w:val="FootnoteText"/>
      </w:pPr>
      <w:r>
        <w:rPr>
          <w:rStyle w:val="FootnoteReference"/>
        </w:rPr>
        <w:footnoteRef/>
      </w:r>
      <w:r>
        <w:t xml:space="preserve"> </w:t>
      </w:r>
      <w:r w:rsidRPr="008C730C">
        <w:t>Each filter is 20 X 20 inches.</w:t>
      </w:r>
    </w:p>
  </w:footnote>
  <w:footnote w:id="8">
    <w:p w14:paraId="34B94AC3" w14:textId="77777777" w:rsidR="009B3558" w:rsidRDefault="009B3558" w:rsidP="00951340">
      <w:pPr>
        <w:pStyle w:val="FootnoteText"/>
      </w:pPr>
      <w:r>
        <w:rPr>
          <w:rStyle w:val="FootnoteReference"/>
        </w:rPr>
        <w:footnoteRef/>
      </w:r>
      <w:r>
        <w:t xml:space="preserve"> Exhaust Fan Schedules </w:t>
      </w:r>
      <w:r w:rsidRPr="0019538D">
        <w:t>for listed buildings in U.S. Department of Energy Commercial Reference Building Models of the National Building Stock, NREL</w:t>
      </w:r>
    </w:p>
  </w:footnote>
  <w:footnote w:id="9">
    <w:p w14:paraId="3638652A" w14:textId="77777777" w:rsidR="00904990" w:rsidRPr="009C362B" w:rsidRDefault="00904990" w:rsidP="0090499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Minnesota 2012 Technical Reference Manual, </w:t>
      </w:r>
      <w:hyperlink r:id="rId2" w:tgtFrame="_blank" w:tooltip="ElectricFoodService_v03.2.xls" w:history="1">
        <w:r w:rsidRPr="009C362B">
          <w:rPr>
            <w:rStyle w:val="Hyperlink"/>
            <w:rFonts w:cstheme="minorHAnsi"/>
            <w:szCs w:val="18"/>
          </w:rPr>
          <w:t>Electric Food Service_v03.2.xls</w:t>
        </w:r>
      </w:hyperlink>
      <w:r w:rsidRPr="009C362B">
        <w:rPr>
          <w:szCs w:val="18"/>
        </w:rPr>
        <w:t>, http://mn.gov/commerce/energy/topics/conservation/Design-Resources/Deemed-Savings.jspech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11BAC" w14:textId="6F3A8E9E" w:rsidR="00707BC0" w:rsidRDefault="00707BC0" w:rsidP="00707BC0">
    <w:pPr>
      <w:pStyle w:val="Header"/>
      <w:pBdr>
        <w:bottom w:val="single" w:sz="4" w:space="0" w:color="auto"/>
      </w:pBdr>
      <w:jc w:val="left"/>
    </w:pPr>
    <w:r w:rsidRPr="00BD0270">
      <w:rPr>
        <w:sz w:val="22"/>
      </w:rPr>
      <w:t xml:space="preserve">Illinois Statewide Technical Reference Manual </w:t>
    </w:r>
    <w:r>
      <w:rPr>
        <w:sz w:val="22"/>
      </w:rPr>
      <w:t>– NEW Heat Recovery Grease Trap Filter</w:t>
    </w:r>
    <w:r w:rsidRPr="00BD0270">
      <w:rPr>
        <w:sz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EDBD7" w14:textId="77777777" w:rsidR="00E2643B" w:rsidRDefault="00E2643B" w:rsidP="00950A89">
    <w:pPr>
      <w:pStyle w:val="HeaderIL"/>
    </w:pPr>
    <w:r w:rsidRPr="005D746C">
      <w:t>Illinois Statewide Technical Reference Manual -</w:t>
    </w:r>
    <w:r>
      <w:fldChar w:fldCharType="begin"/>
    </w:r>
    <w:r>
      <w:instrText xml:space="preserve"> REF _Ref326052754 \r \h  \* MERGEFORMAT </w:instrText>
    </w:r>
    <w:r>
      <w:fldChar w:fldCharType="separate"/>
    </w:r>
    <w:r>
      <w:rPr>
        <w:b/>
        <w:bCs/>
      </w:rPr>
      <w:t>Error! Reference source not found.</w:t>
    </w:r>
    <w:r>
      <w:fldChar w:fldCharType="end"/>
    </w:r>
    <w:r>
      <w:t xml:space="preserve"> </w:t>
    </w:r>
    <w:r>
      <w:fldChar w:fldCharType="begin"/>
    </w:r>
    <w:r>
      <w:instrText xml:space="preserve"> REF _Ref326054816 \h </w:instrText>
    </w:r>
    <w:r>
      <w:fldChar w:fldCharType="separate"/>
    </w:r>
    <w:r>
      <w:rPr>
        <w:b/>
        <w:bCs/>
      </w:rPr>
      <w:t>Error! Reference source not found.</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4FA03FA4"/>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15BE59F2"/>
    <w:multiLevelType w:val="hybridMultilevel"/>
    <w:tmpl w:val="FC749522"/>
    <w:lvl w:ilvl="0" w:tplc="F9F602E8">
      <w:start w:val="1"/>
      <w:numFmt w:val="decimal"/>
      <w:lvlText w:val="%1."/>
      <w:lvlJc w:val="left"/>
      <w:pPr>
        <w:ind w:left="630" w:hanging="360"/>
      </w:pPr>
      <w:rPr>
        <w:rFonts w:hint="default"/>
        <w:b w:val="0"/>
        <w:color w:val="808080" w:themeColor="background1" w:themeShade="8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15C438FD"/>
    <w:multiLevelType w:val="hybridMultilevel"/>
    <w:tmpl w:val="C2F6F484"/>
    <w:lvl w:ilvl="0" w:tplc="E5D015E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873CC1"/>
    <w:multiLevelType w:val="multilevel"/>
    <w:tmpl w:val="922C3DF6"/>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decimal"/>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37DA60A6"/>
    <w:multiLevelType w:val="hybridMultilevel"/>
    <w:tmpl w:val="A95CC232"/>
    <w:lvl w:ilvl="0" w:tplc="F9F602E8">
      <w:start w:val="1"/>
      <w:numFmt w:val="decimal"/>
      <w:lvlText w:val="%1."/>
      <w:lvlJc w:val="left"/>
      <w:pPr>
        <w:ind w:left="630" w:hanging="360"/>
      </w:pPr>
      <w:rPr>
        <w:rFonts w:hint="default"/>
        <w:b w:val="0"/>
        <w:color w:val="808080" w:themeColor="background1" w:themeShade="8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749019AE"/>
    <w:multiLevelType w:val="multilevel"/>
    <w:tmpl w:val="C4300F0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 w:numId="2">
    <w:abstractNumId w:val="5"/>
  </w:num>
  <w:num w:numId="3">
    <w:abstractNumId w:val="2"/>
  </w:num>
  <w:num w:numId="4">
    <w:abstractNumId w:val="4"/>
  </w:num>
  <w:num w:numId="5">
    <w:abstractNumId w:val="1"/>
  </w:num>
  <w:num w:numId="6">
    <w:abstractNumId w:val="0"/>
  </w:num>
  <w:num w:numId="7">
    <w:abstractNumId w:val="0"/>
  </w:num>
  <w:num w:numId="8">
    <w:abstractNumId w:val="0"/>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6B6"/>
    <w:rsid w:val="0000286F"/>
    <w:rsid w:val="0000534F"/>
    <w:rsid w:val="0001166D"/>
    <w:rsid w:val="00025F84"/>
    <w:rsid w:val="000262D9"/>
    <w:rsid w:val="00037366"/>
    <w:rsid w:val="000373AD"/>
    <w:rsid w:val="000464BE"/>
    <w:rsid w:val="00051BC4"/>
    <w:rsid w:val="00054096"/>
    <w:rsid w:val="00061899"/>
    <w:rsid w:val="00062504"/>
    <w:rsid w:val="000679C8"/>
    <w:rsid w:val="00072317"/>
    <w:rsid w:val="00081BA2"/>
    <w:rsid w:val="00081C22"/>
    <w:rsid w:val="00081C72"/>
    <w:rsid w:val="000864A4"/>
    <w:rsid w:val="000A59DA"/>
    <w:rsid w:val="000B20FD"/>
    <w:rsid w:val="000B2E10"/>
    <w:rsid w:val="000C51B5"/>
    <w:rsid w:val="000E4614"/>
    <w:rsid w:val="00103F04"/>
    <w:rsid w:val="0010553E"/>
    <w:rsid w:val="00106013"/>
    <w:rsid w:val="001067C7"/>
    <w:rsid w:val="00110B16"/>
    <w:rsid w:val="001167E0"/>
    <w:rsid w:val="00121132"/>
    <w:rsid w:val="00123785"/>
    <w:rsid w:val="00124CB5"/>
    <w:rsid w:val="00133D38"/>
    <w:rsid w:val="0013487A"/>
    <w:rsid w:val="00155577"/>
    <w:rsid w:val="00155AF5"/>
    <w:rsid w:val="00160D7F"/>
    <w:rsid w:val="00164BDB"/>
    <w:rsid w:val="00167313"/>
    <w:rsid w:val="00170CD6"/>
    <w:rsid w:val="0019192B"/>
    <w:rsid w:val="0019538D"/>
    <w:rsid w:val="001C2C52"/>
    <w:rsid w:val="001C3C7D"/>
    <w:rsid w:val="001D1C11"/>
    <w:rsid w:val="001D59C9"/>
    <w:rsid w:val="001E043D"/>
    <w:rsid w:val="001E6327"/>
    <w:rsid w:val="001F26C9"/>
    <w:rsid w:val="00204CB4"/>
    <w:rsid w:val="00213247"/>
    <w:rsid w:val="002171CE"/>
    <w:rsid w:val="00217943"/>
    <w:rsid w:val="00227820"/>
    <w:rsid w:val="00243671"/>
    <w:rsid w:val="00253901"/>
    <w:rsid w:val="00253BB6"/>
    <w:rsid w:val="00257AF1"/>
    <w:rsid w:val="002621DF"/>
    <w:rsid w:val="002868AF"/>
    <w:rsid w:val="002A2541"/>
    <w:rsid w:val="002B40F7"/>
    <w:rsid w:val="002C4E42"/>
    <w:rsid w:val="002D0751"/>
    <w:rsid w:val="002D48A9"/>
    <w:rsid w:val="00323921"/>
    <w:rsid w:val="003334BA"/>
    <w:rsid w:val="0033770C"/>
    <w:rsid w:val="00343AB6"/>
    <w:rsid w:val="003449FC"/>
    <w:rsid w:val="003577C7"/>
    <w:rsid w:val="0035792D"/>
    <w:rsid w:val="0036380B"/>
    <w:rsid w:val="00374FEB"/>
    <w:rsid w:val="00387ED6"/>
    <w:rsid w:val="003A1184"/>
    <w:rsid w:val="003A5E9A"/>
    <w:rsid w:val="003A70B4"/>
    <w:rsid w:val="003C0475"/>
    <w:rsid w:val="003D7163"/>
    <w:rsid w:val="003E1B7D"/>
    <w:rsid w:val="003F48BD"/>
    <w:rsid w:val="003F5722"/>
    <w:rsid w:val="00400BCD"/>
    <w:rsid w:val="00407665"/>
    <w:rsid w:val="00407698"/>
    <w:rsid w:val="0043020D"/>
    <w:rsid w:val="00433B40"/>
    <w:rsid w:val="00444040"/>
    <w:rsid w:val="00452E26"/>
    <w:rsid w:val="00461C98"/>
    <w:rsid w:val="00464D9A"/>
    <w:rsid w:val="0047499E"/>
    <w:rsid w:val="004756D6"/>
    <w:rsid w:val="0047695F"/>
    <w:rsid w:val="004B32A2"/>
    <w:rsid w:val="004C07BB"/>
    <w:rsid w:val="004C3487"/>
    <w:rsid w:val="004D7251"/>
    <w:rsid w:val="004E20D6"/>
    <w:rsid w:val="004E499D"/>
    <w:rsid w:val="004F1FDC"/>
    <w:rsid w:val="004F254B"/>
    <w:rsid w:val="004F2EC5"/>
    <w:rsid w:val="005016E6"/>
    <w:rsid w:val="00524AB7"/>
    <w:rsid w:val="00540599"/>
    <w:rsid w:val="005534BF"/>
    <w:rsid w:val="00556604"/>
    <w:rsid w:val="00556BF5"/>
    <w:rsid w:val="005623A4"/>
    <w:rsid w:val="00580502"/>
    <w:rsid w:val="005816C2"/>
    <w:rsid w:val="005873A8"/>
    <w:rsid w:val="005A14E9"/>
    <w:rsid w:val="005A64BA"/>
    <w:rsid w:val="005B377A"/>
    <w:rsid w:val="005C15EF"/>
    <w:rsid w:val="005E0322"/>
    <w:rsid w:val="005F3B9A"/>
    <w:rsid w:val="00600955"/>
    <w:rsid w:val="006050CF"/>
    <w:rsid w:val="006429BE"/>
    <w:rsid w:val="006601E2"/>
    <w:rsid w:val="006623CD"/>
    <w:rsid w:val="00665D88"/>
    <w:rsid w:val="006662E7"/>
    <w:rsid w:val="0068065B"/>
    <w:rsid w:val="006806DF"/>
    <w:rsid w:val="00681CC1"/>
    <w:rsid w:val="00683A3F"/>
    <w:rsid w:val="0068511E"/>
    <w:rsid w:val="006B3E5E"/>
    <w:rsid w:val="006B4B46"/>
    <w:rsid w:val="006C5D52"/>
    <w:rsid w:val="006C7393"/>
    <w:rsid w:val="006C7678"/>
    <w:rsid w:val="006D0B41"/>
    <w:rsid w:val="006E6A59"/>
    <w:rsid w:val="006F084B"/>
    <w:rsid w:val="006F3442"/>
    <w:rsid w:val="006F4A51"/>
    <w:rsid w:val="006F702E"/>
    <w:rsid w:val="00707BC0"/>
    <w:rsid w:val="0071617A"/>
    <w:rsid w:val="007333C0"/>
    <w:rsid w:val="00735378"/>
    <w:rsid w:val="00750250"/>
    <w:rsid w:val="0076747F"/>
    <w:rsid w:val="007845D7"/>
    <w:rsid w:val="007A38FA"/>
    <w:rsid w:val="007A6A0F"/>
    <w:rsid w:val="007F4407"/>
    <w:rsid w:val="007F564D"/>
    <w:rsid w:val="007F5FDF"/>
    <w:rsid w:val="007F7988"/>
    <w:rsid w:val="00804228"/>
    <w:rsid w:val="008172B3"/>
    <w:rsid w:val="00832B6F"/>
    <w:rsid w:val="008407B9"/>
    <w:rsid w:val="00841B62"/>
    <w:rsid w:val="00842C1A"/>
    <w:rsid w:val="00843486"/>
    <w:rsid w:val="00845600"/>
    <w:rsid w:val="00847246"/>
    <w:rsid w:val="0085283F"/>
    <w:rsid w:val="00856185"/>
    <w:rsid w:val="00856D91"/>
    <w:rsid w:val="00861583"/>
    <w:rsid w:val="00863AA4"/>
    <w:rsid w:val="008744A2"/>
    <w:rsid w:val="00876DCA"/>
    <w:rsid w:val="00881D79"/>
    <w:rsid w:val="00890D1E"/>
    <w:rsid w:val="008B113E"/>
    <w:rsid w:val="008B2C10"/>
    <w:rsid w:val="008C730C"/>
    <w:rsid w:val="008D2142"/>
    <w:rsid w:val="008D5407"/>
    <w:rsid w:val="008E2945"/>
    <w:rsid w:val="008E3420"/>
    <w:rsid w:val="008E44C7"/>
    <w:rsid w:val="008F7CC4"/>
    <w:rsid w:val="00904990"/>
    <w:rsid w:val="00912D82"/>
    <w:rsid w:val="00917D37"/>
    <w:rsid w:val="00934184"/>
    <w:rsid w:val="00936DF2"/>
    <w:rsid w:val="009372CB"/>
    <w:rsid w:val="00950A89"/>
    <w:rsid w:val="00951340"/>
    <w:rsid w:val="00956E04"/>
    <w:rsid w:val="00957172"/>
    <w:rsid w:val="00961CDF"/>
    <w:rsid w:val="00967724"/>
    <w:rsid w:val="00973AC4"/>
    <w:rsid w:val="00977F48"/>
    <w:rsid w:val="009806EC"/>
    <w:rsid w:val="00984D24"/>
    <w:rsid w:val="00995D21"/>
    <w:rsid w:val="009A32F2"/>
    <w:rsid w:val="009B3558"/>
    <w:rsid w:val="009B4455"/>
    <w:rsid w:val="009B7C19"/>
    <w:rsid w:val="009D156B"/>
    <w:rsid w:val="009E2019"/>
    <w:rsid w:val="009F2A2A"/>
    <w:rsid w:val="00A10140"/>
    <w:rsid w:val="00A11F19"/>
    <w:rsid w:val="00A229A2"/>
    <w:rsid w:val="00A24CAD"/>
    <w:rsid w:val="00A25D94"/>
    <w:rsid w:val="00A35054"/>
    <w:rsid w:val="00A52155"/>
    <w:rsid w:val="00A62D48"/>
    <w:rsid w:val="00A72068"/>
    <w:rsid w:val="00A7275F"/>
    <w:rsid w:val="00A73A6B"/>
    <w:rsid w:val="00A81B28"/>
    <w:rsid w:val="00A950E2"/>
    <w:rsid w:val="00AA038F"/>
    <w:rsid w:val="00AB34E3"/>
    <w:rsid w:val="00AD1C37"/>
    <w:rsid w:val="00AD5A9D"/>
    <w:rsid w:val="00AF082B"/>
    <w:rsid w:val="00B042B6"/>
    <w:rsid w:val="00B13280"/>
    <w:rsid w:val="00B175AF"/>
    <w:rsid w:val="00B2151C"/>
    <w:rsid w:val="00B36A43"/>
    <w:rsid w:val="00B52D6D"/>
    <w:rsid w:val="00B66755"/>
    <w:rsid w:val="00B66A60"/>
    <w:rsid w:val="00B83C73"/>
    <w:rsid w:val="00B867CD"/>
    <w:rsid w:val="00B9187C"/>
    <w:rsid w:val="00BA14F9"/>
    <w:rsid w:val="00BA156D"/>
    <w:rsid w:val="00BA1F5B"/>
    <w:rsid w:val="00BB23C8"/>
    <w:rsid w:val="00BB3C1F"/>
    <w:rsid w:val="00BD0E8A"/>
    <w:rsid w:val="00BE1241"/>
    <w:rsid w:val="00BF028D"/>
    <w:rsid w:val="00C15F4F"/>
    <w:rsid w:val="00C17004"/>
    <w:rsid w:val="00C3757D"/>
    <w:rsid w:val="00C376BF"/>
    <w:rsid w:val="00C43DDE"/>
    <w:rsid w:val="00C554D2"/>
    <w:rsid w:val="00C666AC"/>
    <w:rsid w:val="00C768E2"/>
    <w:rsid w:val="00C80A1F"/>
    <w:rsid w:val="00C81267"/>
    <w:rsid w:val="00C86BAA"/>
    <w:rsid w:val="00C87D87"/>
    <w:rsid w:val="00C92616"/>
    <w:rsid w:val="00CB1D84"/>
    <w:rsid w:val="00CC739B"/>
    <w:rsid w:val="00CF4527"/>
    <w:rsid w:val="00D1642C"/>
    <w:rsid w:val="00D21F61"/>
    <w:rsid w:val="00D241A0"/>
    <w:rsid w:val="00D30214"/>
    <w:rsid w:val="00D4569B"/>
    <w:rsid w:val="00D466B6"/>
    <w:rsid w:val="00D46E0B"/>
    <w:rsid w:val="00D4731C"/>
    <w:rsid w:val="00D54414"/>
    <w:rsid w:val="00D55239"/>
    <w:rsid w:val="00D5654A"/>
    <w:rsid w:val="00D77CB0"/>
    <w:rsid w:val="00D816C8"/>
    <w:rsid w:val="00D86489"/>
    <w:rsid w:val="00D900E1"/>
    <w:rsid w:val="00D93DAE"/>
    <w:rsid w:val="00DA1693"/>
    <w:rsid w:val="00DB1307"/>
    <w:rsid w:val="00DB5EB8"/>
    <w:rsid w:val="00DB6480"/>
    <w:rsid w:val="00DB7903"/>
    <w:rsid w:val="00DE4273"/>
    <w:rsid w:val="00DE4A69"/>
    <w:rsid w:val="00DE5954"/>
    <w:rsid w:val="00DE6FC8"/>
    <w:rsid w:val="00DF66D3"/>
    <w:rsid w:val="00DF6BB7"/>
    <w:rsid w:val="00E10E97"/>
    <w:rsid w:val="00E11739"/>
    <w:rsid w:val="00E17D29"/>
    <w:rsid w:val="00E2643B"/>
    <w:rsid w:val="00E35074"/>
    <w:rsid w:val="00E4272F"/>
    <w:rsid w:val="00E475B0"/>
    <w:rsid w:val="00E505F0"/>
    <w:rsid w:val="00E540CE"/>
    <w:rsid w:val="00E568D7"/>
    <w:rsid w:val="00E60750"/>
    <w:rsid w:val="00E80315"/>
    <w:rsid w:val="00E9174C"/>
    <w:rsid w:val="00EB1B2B"/>
    <w:rsid w:val="00EB3A8F"/>
    <w:rsid w:val="00EC08BA"/>
    <w:rsid w:val="00EC0DA6"/>
    <w:rsid w:val="00EE3C80"/>
    <w:rsid w:val="00EE6626"/>
    <w:rsid w:val="00EE7159"/>
    <w:rsid w:val="00F02A1E"/>
    <w:rsid w:val="00F078FE"/>
    <w:rsid w:val="00F2046B"/>
    <w:rsid w:val="00F321BC"/>
    <w:rsid w:val="00F43CBF"/>
    <w:rsid w:val="00F57720"/>
    <w:rsid w:val="00F7289C"/>
    <w:rsid w:val="00F8179F"/>
    <w:rsid w:val="00F91A0D"/>
    <w:rsid w:val="00FC13A0"/>
    <w:rsid w:val="00FD4634"/>
    <w:rsid w:val="00FE7015"/>
    <w:rsid w:val="00FF4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7E8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D466B6"/>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466B6"/>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BA156D"/>
    <w:pPr>
      <w:keepNext/>
      <w:widowControl/>
      <w:outlineLvl w:val="1"/>
    </w:pPr>
    <w:rPr>
      <w:rFonts w:ascii="Calibri" w:hAnsi="Calibri" w:cs="Arial"/>
      <w:bCs/>
      <w:iCs/>
      <w:sz w:val="24"/>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466B6"/>
    <w:pPr>
      <w:numPr>
        <w:ilvl w:val="2"/>
        <w:numId w:val="1"/>
      </w:numPr>
      <w:spacing w:line="276" w:lineRule="auto"/>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D1642C"/>
    <w:pPr>
      <w:keepNext/>
      <w:numPr>
        <w:ilvl w:val="0"/>
        <w:numId w:val="0"/>
      </w:numPr>
      <w:spacing w:before="90" w:after="0" w:line="324" w:lineRule="atLeast"/>
      <w:ind w:left="864" w:hanging="864"/>
      <w:outlineLvl w:val="3"/>
    </w:pPr>
    <w:rPr>
      <w:rFonts w:asciiTheme="minorHAnsi" w:hAnsiTheme="minorHAnsi" w:cstheme="minorHAnsi"/>
      <w:b/>
      <w:bCs w:val="0"/>
      <w:iCs/>
      <w:noProof/>
      <w:sz w:val="22"/>
      <w:szCs w:val="22"/>
    </w:rPr>
  </w:style>
  <w:style w:type="paragraph" w:styleId="Heading5">
    <w:name w:val="heading 5"/>
    <w:basedOn w:val="Normal"/>
    <w:next w:val="Normal"/>
    <w:link w:val="Heading5Char"/>
    <w:autoRedefine/>
    <w:uiPriority w:val="99"/>
    <w:qFormat/>
    <w:rsid w:val="00D900E1"/>
    <w:pPr>
      <w:keepNext/>
      <w:keepLines/>
      <w:spacing w:before="90" w:after="0" w:line="324" w:lineRule="atLeast"/>
      <w:ind w:left="1008" w:hanging="1008"/>
      <w:outlineLvl w:val="4"/>
    </w:pPr>
    <w:rPr>
      <w:rFonts w:ascii="Calibri" w:hAnsi="Calibri"/>
      <w:b/>
    </w:rPr>
  </w:style>
  <w:style w:type="paragraph" w:styleId="Heading6">
    <w:name w:val="heading 6"/>
    <w:basedOn w:val="Normal"/>
    <w:next w:val="Normal"/>
    <w:link w:val="Heading6Char"/>
    <w:autoRedefine/>
    <w:uiPriority w:val="99"/>
    <w:qFormat/>
    <w:rsid w:val="007333C0"/>
    <w:pPr>
      <w:keepNext/>
      <w:keepLines/>
      <w:spacing w:before="200" w:after="120" w:line="276" w:lineRule="auto"/>
      <w:jc w:val="left"/>
      <w:outlineLvl w:val="5"/>
    </w:pPr>
    <w:rPr>
      <w:rFonts w:eastAsiaTheme="majorEastAsia"/>
      <w:b/>
      <w:smallCaps/>
    </w:rPr>
  </w:style>
  <w:style w:type="paragraph" w:styleId="Heading7">
    <w:name w:val="heading 7"/>
    <w:basedOn w:val="Normal"/>
    <w:next w:val="Normal"/>
    <w:link w:val="Heading7Char"/>
    <w:uiPriority w:val="99"/>
    <w:qFormat/>
    <w:rsid w:val="00D466B6"/>
    <w:pPr>
      <w:keepNext/>
      <w:keepLines/>
      <w:numPr>
        <w:ilvl w:val="6"/>
        <w:numId w:val="2"/>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466B6"/>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466B6"/>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466B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2171CE"/>
    <w:rPr>
      <w:rFonts w:ascii="Calibri" w:eastAsia="Times New Roman" w:hAnsi="Calibri" w:cs="Arial"/>
      <w:bCs/>
      <w:iCs/>
      <w:sz w:val="24"/>
      <w:szCs w:val="28"/>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466B6"/>
    <w:rPr>
      <w:rFonts w:ascii="Calibri" w:eastAsiaTheme="minorEastAsia" w:hAnsi="Calibri" w:cs="Times New Roman"/>
      <w:bCs/>
      <w:sz w:val="24"/>
      <w:szCs w:val="24"/>
    </w:rPr>
  </w:style>
  <w:style w:type="character" w:customStyle="1" w:styleId="Heading4Char">
    <w:name w:val="Heading 4 Char"/>
    <w:basedOn w:val="DefaultParagraphFont"/>
    <w:link w:val="Heading4"/>
    <w:uiPriority w:val="99"/>
    <w:rsid w:val="00D1642C"/>
    <w:rPr>
      <w:rFonts w:eastAsiaTheme="minorEastAsia" w:cstheme="minorHAnsi"/>
      <w:b/>
      <w:iCs/>
      <w:noProof/>
    </w:rPr>
  </w:style>
  <w:style w:type="character" w:customStyle="1" w:styleId="Heading5Char">
    <w:name w:val="Heading 5 Char"/>
    <w:basedOn w:val="DefaultParagraphFont"/>
    <w:link w:val="Heading5"/>
    <w:uiPriority w:val="99"/>
    <w:rsid w:val="00D900E1"/>
    <w:rPr>
      <w:rFonts w:ascii="Calibri" w:eastAsia="Times New Roman" w:hAnsi="Calibri" w:cs="Times New Roman"/>
      <w:b/>
      <w:sz w:val="20"/>
    </w:rPr>
  </w:style>
  <w:style w:type="character" w:customStyle="1" w:styleId="Heading6Char">
    <w:name w:val="Heading 6 Char"/>
    <w:basedOn w:val="DefaultParagraphFont"/>
    <w:link w:val="Heading6"/>
    <w:uiPriority w:val="99"/>
    <w:rsid w:val="007333C0"/>
    <w:rPr>
      <w:rFonts w:eastAsiaTheme="majorEastAsia" w:cs="Times New Roman"/>
      <w:b/>
      <w:smallCaps/>
      <w:sz w:val="20"/>
    </w:rPr>
  </w:style>
  <w:style w:type="character" w:customStyle="1" w:styleId="Heading7Char">
    <w:name w:val="Heading 7 Char"/>
    <w:basedOn w:val="DefaultParagraphFont"/>
    <w:link w:val="Heading7"/>
    <w:uiPriority w:val="99"/>
    <w:rsid w:val="00D466B6"/>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466B6"/>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466B6"/>
    <w:rPr>
      <w:rFonts w:ascii="Cambria" w:eastAsia="Times New Roman" w:hAnsi="Cambria" w:cs="Times New Roman"/>
      <w:i/>
      <w:iCs/>
      <w:color w:val="404040"/>
      <w:sz w:val="20"/>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
    <w:rsid w:val="00D466B6"/>
    <w:rPr>
      <w:rFonts w:asciiTheme="majorHAnsi" w:eastAsiaTheme="majorEastAsia" w:hAnsiTheme="majorHAnsi" w:cstheme="majorBidi"/>
      <w:b/>
      <w:bCs/>
      <w:color w:val="4F81BD" w:themeColor="accent1"/>
      <w:sz w:val="20"/>
    </w:rPr>
  </w:style>
  <w:style w:type="paragraph" w:styleId="Header">
    <w:name w:val="header"/>
    <w:basedOn w:val="Normal"/>
    <w:link w:val="HeaderChar"/>
    <w:uiPriority w:val="99"/>
    <w:rsid w:val="00D466B6"/>
    <w:pPr>
      <w:tabs>
        <w:tab w:val="center" w:pos="4320"/>
        <w:tab w:val="right" w:pos="8640"/>
      </w:tabs>
    </w:pPr>
  </w:style>
  <w:style w:type="character" w:customStyle="1" w:styleId="HeaderChar">
    <w:name w:val="Header Char"/>
    <w:basedOn w:val="DefaultParagraphFont"/>
    <w:link w:val="Header"/>
    <w:uiPriority w:val="99"/>
    <w:rsid w:val="00D466B6"/>
    <w:rPr>
      <w:rFonts w:eastAsia="Times New Roman" w:cs="Times New Roman"/>
      <w:sz w:val="20"/>
    </w:rPr>
  </w:style>
  <w:style w:type="paragraph" w:styleId="Footer">
    <w:name w:val="footer"/>
    <w:basedOn w:val="Normal"/>
    <w:link w:val="FooterChar1"/>
    <w:uiPriority w:val="99"/>
    <w:rsid w:val="00D466B6"/>
    <w:pPr>
      <w:tabs>
        <w:tab w:val="center" w:pos="4320"/>
        <w:tab w:val="right" w:pos="8640"/>
      </w:tabs>
    </w:pPr>
  </w:style>
  <w:style w:type="character" w:customStyle="1" w:styleId="FooterChar1">
    <w:name w:val="Footer Char1"/>
    <w:link w:val="Footer"/>
    <w:uiPriority w:val="99"/>
    <w:locked/>
    <w:rsid w:val="00D466B6"/>
    <w:rPr>
      <w:rFonts w:eastAsia="Times New Roman" w:cs="Times New Roman"/>
      <w:sz w:val="20"/>
    </w:rPr>
  </w:style>
  <w:style w:type="character" w:customStyle="1" w:styleId="FooterChar">
    <w:name w:val="Footer Char"/>
    <w:basedOn w:val="DefaultParagraphFont"/>
    <w:uiPriority w:val="99"/>
    <w:rsid w:val="00D466B6"/>
    <w:rPr>
      <w:rFonts w:eastAsia="Times New Roman" w:cs="Times New Roman"/>
      <w:sz w:val="20"/>
    </w:rPr>
  </w:style>
  <w:style w:type="paragraph" w:styleId="BodyText">
    <w:name w:val="Body Text"/>
    <w:basedOn w:val="Normal"/>
    <w:link w:val="BodyTextChar"/>
    <w:uiPriority w:val="99"/>
    <w:rsid w:val="00D466B6"/>
    <w:rPr>
      <w:sz w:val="28"/>
    </w:rPr>
  </w:style>
  <w:style w:type="character" w:customStyle="1" w:styleId="BodyTextChar">
    <w:name w:val="Body Text Char"/>
    <w:basedOn w:val="DefaultParagraphFont"/>
    <w:link w:val="BodyText"/>
    <w:uiPriority w:val="99"/>
    <w:rsid w:val="00D466B6"/>
    <w:rPr>
      <w:rFonts w:eastAsia="Times New Roman" w:cs="Times New Roman"/>
      <w:sz w:val="28"/>
    </w:rPr>
  </w:style>
  <w:style w:type="paragraph" w:customStyle="1" w:styleId="Style0">
    <w:name w:val="Style0"/>
    <w:uiPriority w:val="99"/>
    <w:rsid w:val="00D466B6"/>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D466B6"/>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D466B6"/>
    <w:rPr>
      <w:rFonts w:eastAsia="Times New Roman" w:cs="Times New Roman"/>
      <w:sz w:val="20"/>
    </w:rPr>
  </w:style>
  <w:style w:type="character" w:styleId="FootnoteReference">
    <w:name w:val="footnote reference"/>
    <w:aliases w:val="Footnote_Reference,o,fr"/>
    <w:uiPriority w:val="99"/>
    <w:qFormat/>
    <w:rsid w:val="00D466B6"/>
    <w:rPr>
      <w:rFonts w:ascii="Arial" w:hAnsi="Arial" w:cs="Times New Roman"/>
      <w:sz w:val="20"/>
      <w:vertAlign w:val="superscript"/>
    </w:rPr>
  </w:style>
  <w:style w:type="character" w:styleId="PageNumber">
    <w:name w:val="page number"/>
    <w:uiPriority w:val="99"/>
    <w:rsid w:val="00D466B6"/>
    <w:rPr>
      <w:rFonts w:cs="Times New Roman"/>
    </w:rPr>
  </w:style>
  <w:style w:type="paragraph" w:customStyle="1" w:styleId="PresentedBy">
    <w:name w:val="Presented By"/>
    <w:basedOn w:val="Normal"/>
    <w:link w:val="PresentedByChar"/>
    <w:uiPriority w:val="99"/>
    <w:rsid w:val="00D466B6"/>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D466B6"/>
    <w:rPr>
      <w:rFonts w:ascii="Palatino Linotype" w:eastAsia="Times New Roman" w:hAnsi="Palatino Linotype" w:cs="Times New Roman"/>
      <w:color w:val="6F6754"/>
      <w:sz w:val="20"/>
    </w:rPr>
  </w:style>
  <w:style w:type="character" w:styleId="Hyperlink">
    <w:name w:val="Hyperlink"/>
    <w:uiPriority w:val="99"/>
    <w:rsid w:val="00D466B6"/>
    <w:rPr>
      <w:rFonts w:cs="Times New Roman"/>
      <w:color w:val="0000FF"/>
      <w:u w:val="single"/>
    </w:rPr>
  </w:style>
  <w:style w:type="paragraph" w:styleId="TOC1">
    <w:name w:val="toc 1"/>
    <w:basedOn w:val="Normal"/>
    <w:next w:val="Normal"/>
    <w:autoRedefine/>
    <w:uiPriority w:val="39"/>
    <w:rsid w:val="00D466B6"/>
    <w:pPr>
      <w:tabs>
        <w:tab w:val="left" w:pos="480"/>
        <w:tab w:val="right" w:leader="dot" w:pos="9350"/>
      </w:tabs>
      <w:spacing w:before="360" w:after="0"/>
    </w:pPr>
    <w:rPr>
      <w:rFonts w:asciiTheme="majorHAnsi" w:hAnsiTheme="majorHAnsi"/>
      <w:b/>
      <w:bCs/>
      <w:caps/>
      <w:noProof/>
    </w:rPr>
  </w:style>
  <w:style w:type="paragraph" w:styleId="TOC2">
    <w:name w:val="toc 2"/>
    <w:basedOn w:val="Normal"/>
    <w:next w:val="Normal"/>
    <w:autoRedefine/>
    <w:uiPriority w:val="39"/>
    <w:rsid w:val="00D466B6"/>
    <w:pPr>
      <w:spacing w:before="240" w:after="0"/>
    </w:pPr>
    <w:rPr>
      <w:rFonts w:cstheme="minorHAnsi"/>
      <w:b/>
      <w:bCs/>
      <w:szCs w:val="20"/>
    </w:rPr>
  </w:style>
  <w:style w:type="paragraph" w:styleId="CommentText">
    <w:name w:val="annotation text"/>
    <w:basedOn w:val="Normal"/>
    <w:link w:val="CommentTextChar"/>
    <w:uiPriority w:val="99"/>
    <w:rsid w:val="00D466B6"/>
  </w:style>
  <w:style w:type="character" w:customStyle="1" w:styleId="CommentTextChar">
    <w:name w:val="Comment Text Char"/>
    <w:basedOn w:val="DefaultParagraphFont"/>
    <w:link w:val="CommentText"/>
    <w:uiPriority w:val="99"/>
    <w:rsid w:val="00D466B6"/>
    <w:rPr>
      <w:rFonts w:eastAsia="Times New Roman" w:cs="Times New Roman"/>
      <w:sz w:val="20"/>
    </w:rPr>
  </w:style>
  <w:style w:type="character" w:customStyle="1" w:styleId="CommentSubjectChar">
    <w:name w:val="Comment Subject Char"/>
    <w:basedOn w:val="CommentTextChar"/>
    <w:link w:val="CommentSubject"/>
    <w:uiPriority w:val="99"/>
    <w:semiHidden/>
    <w:rsid w:val="00D466B6"/>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D466B6"/>
    <w:rPr>
      <w:b/>
      <w:bCs/>
    </w:rPr>
  </w:style>
  <w:style w:type="paragraph" w:styleId="BalloonText">
    <w:name w:val="Balloon Text"/>
    <w:basedOn w:val="Normal"/>
    <w:link w:val="BalloonTextChar"/>
    <w:uiPriority w:val="99"/>
    <w:semiHidden/>
    <w:rsid w:val="00D466B6"/>
    <w:rPr>
      <w:rFonts w:ascii="Tahoma" w:hAnsi="Tahoma" w:cs="Tahoma"/>
      <w:sz w:val="16"/>
      <w:szCs w:val="16"/>
    </w:rPr>
  </w:style>
  <w:style w:type="character" w:customStyle="1" w:styleId="BalloonTextChar">
    <w:name w:val="Balloon Text Char"/>
    <w:basedOn w:val="DefaultParagraphFont"/>
    <w:link w:val="BalloonText"/>
    <w:uiPriority w:val="99"/>
    <w:semiHidden/>
    <w:rsid w:val="00D466B6"/>
    <w:rPr>
      <w:rFonts w:ascii="Tahoma" w:eastAsia="Times New Roman" w:hAnsi="Tahoma" w:cs="Tahoma"/>
      <w:sz w:val="16"/>
      <w:szCs w:val="16"/>
    </w:rPr>
  </w:style>
  <w:style w:type="paragraph" w:styleId="NoSpacing">
    <w:name w:val="No Spacing"/>
    <w:uiPriority w:val="99"/>
    <w:qFormat/>
    <w:rsid w:val="00D466B6"/>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D466B6"/>
    <w:pPr>
      <w:ind w:left="720"/>
      <w:contextualSpacing/>
    </w:pPr>
  </w:style>
  <w:style w:type="character" w:styleId="BookTitle">
    <w:name w:val="Book Title"/>
    <w:uiPriority w:val="99"/>
    <w:qFormat/>
    <w:rsid w:val="00D466B6"/>
    <w:rPr>
      <w:b/>
      <w:bCs/>
      <w:smallCaps/>
      <w:spacing w:val="5"/>
    </w:rPr>
  </w:style>
  <w:style w:type="paragraph" w:styleId="Title">
    <w:name w:val="Title"/>
    <w:basedOn w:val="Normal"/>
    <w:next w:val="Normal"/>
    <w:link w:val="TitleChar"/>
    <w:uiPriority w:val="99"/>
    <w:qFormat/>
    <w:rsid w:val="00D466B6"/>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uiPriority w:val="99"/>
    <w:rsid w:val="00D466B6"/>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D466B6"/>
    <w:pPr>
      <w:keepLines/>
      <w:spacing w:before="80" w:after="40"/>
    </w:pPr>
    <w:rPr>
      <w:b/>
      <w:noProof/>
      <w:sz w:val="18"/>
    </w:rPr>
  </w:style>
  <w:style w:type="paragraph" w:customStyle="1" w:styleId="Tablecentered">
    <w:name w:val="Table centered"/>
    <w:basedOn w:val="Normal"/>
    <w:link w:val="TablecenteredChar"/>
    <w:autoRedefine/>
    <w:uiPriority w:val="99"/>
    <w:qFormat/>
    <w:rsid w:val="00D466B6"/>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D466B6"/>
    <w:rPr>
      <w:rFonts w:eastAsia="Times New Roman" w:cs="Times New Roman"/>
      <w:noProof/>
      <w:sz w:val="18"/>
      <w:szCs w:val="18"/>
    </w:rPr>
  </w:style>
  <w:style w:type="paragraph" w:customStyle="1" w:styleId="Tablecenteredbold">
    <w:name w:val="Table centered bold"/>
    <w:basedOn w:val="Tablecentered"/>
    <w:autoRedefine/>
    <w:uiPriority w:val="99"/>
    <w:rsid w:val="00D466B6"/>
    <w:rPr>
      <w:b/>
    </w:rPr>
  </w:style>
  <w:style w:type="paragraph" w:customStyle="1" w:styleId="Heading31">
    <w:name w:val="Heading 3.1"/>
    <w:basedOn w:val="Heading3"/>
    <w:link w:val="Heading31Char"/>
    <w:uiPriority w:val="99"/>
    <w:rsid w:val="00D466B6"/>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D466B6"/>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D466B6"/>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D466B6"/>
    <w:pPr>
      <w:spacing w:after="200" w:line="276" w:lineRule="auto"/>
    </w:pPr>
  </w:style>
  <w:style w:type="character" w:customStyle="1" w:styleId="AnalystTextChar">
    <w:name w:val="Analyst Text Char"/>
    <w:link w:val="AnalystText"/>
    <w:uiPriority w:val="99"/>
    <w:locked/>
    <w:rsid w:val="00D466B6"/>
    <w:rPr>
      <w:rFonts w:eastAsia="Times New Roman" w:cs="Times New Roman"/>
      <w:sz w:val="20"/>
    </w:rPr>
  </w:style>
  <w:style w:type="character" w:customStyle="1" w:styleId="UsernotesChar">
    <w:name w:val="User notes Char"/>
    <w:link w:val="Usernotes"/>
    <w:uiPriority w:val="99"/>
    <w:locked/>
    <w:rsid w:val="00D466B6"/>
    <w:rPr>
      <w:rFonts w:ascii="Comic Sans MS" w:eastAsia="Times New Roman" w:hAnsi="Comic Sans MS" w:cs="Times New Roman"/>
      <w:sz w:val="18"/>
      <w:szCs w:val="18"/>
    </w:rPr>
  </w:style>
  <w:style w:type="paragraph" w:styleId="Caption">
    <w:name w:val="caption"/>
    <w:aliases w:val="Footnotes,Table Caption"/>
    <w:basedOn w:val="Normal"/>
    <w:next w:val="Normal"/>
    <w:link w:val="CaptionChar"/>
    <w:autoRedefine/>
    <w:uiPriority w:val="99"/>
    <w:qFormat/>
    <w:rsid w:val="00556BF5"/>
    <w:pPr>
      <w:keepNext/>
      <w:tabs>
        <w:tab w:val="left" w:pos="1152"/>
      </w:tabs>
      <w:spacing w:after="0"/>
      <w:jc w:val="center"/>
    </w:pPr>
    <w:rPr>
      <w:rFonts w:asciiTheme="majorHAnsi" w:hAnsiTheme="majorHAnsi"/>
      <w:b/>
      <w:sz w:val="24"/>
      <w:szCs w:val="24"/>
      <w:vertAlign w:val="superscript"/>
    </w:rPr>
  </w:style>
  <w:style w:type="character" w:customStyle="1" w:styleId="CaptionChar">
    <w:name w:val="Caption Char"/>
    <w:aliases w:val="Footnotes Char,Table Caption Char"/>
    <w:link w:val="Caption"/>
    <w:uiPriority w:val="99"/>
    <w:locked/>
    <w:rsid w:val="00556BF5"/>
    <w:rPr>
      <w:rFonts w:asciiTheme="majorHAnsi" w:eastAsia="Times New Roman" w:hAnsiTheme="majorHAnsi" w:cs="Times New Roman"/>
      <w:b/>
      <w:sz w:val="24"/>
      <w:szCs w:val="24"/>
      <w:vertAlign w:val="superscript"/>
    </w:rPr>
  </w:style>
  <w:style w:type="paragraph" w:styleId="List">
    <w:name w:val="List"/>
    <w:basedOn w:val="Normal"/>
    <w:uiPriority w:val="99"/>
    <w:rsid w:val="00D466B6"/>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D466B6"/>
    <w:rPr>
      <w:rFonts w:cs="Times New Roman"/>
      <w:b/>
      <w:sz w:val="32"/>
      <w:lang w:val="en-US" w:eastAsia="en-US" w:bidi="ar-SA"/>
    </w:rPr>
  </w:style>
  <w:style w:type="character" w:customStyle="1" w:styleId="MacroTextChar">
    <w:name w:val="Macro Text Char"/>
    <w:basedOn w:val="DefaultParagraphFont"/>
    <w:link w:val="MacroText"/>
    <w:uiPriority w:val="99"/>
    <w:semiHidden/>
    <w:rsid w:val="00D466B6"/>
    <w:rPr>
      <w:rFonts w:ascii="Arial" w:eastAsia="Times New Roman" w:hAnsi="Arial" w:cs="Times New Roman"/>
      <w:sz w:val="20"/>
      <w:szCs w:val="20"/>
    </w:rPr>
  </w:style>
  <w:style w:type="paragraph" w:styleId="MacroText">
    <w:name w:val="macro"/>
    <w:link w:val="MacroTextChar"/>
    <w:uiPriority w:val="99"/>
    <w:semiHidden/>
    <w:rsid w:val="00D466B6"/>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paragraph" w:styleId="BodyTextIndent2">
    <w:name w:val="Body Text Indent 2"/>
    <w:basedOn w:val="Normal"/>
    <w:link w:val="BodyTextIndent2Char"/>
    <w:uiPriority w:val="99"/>
    <w:rsid w:val="00D466B6"/>
    <w:pPr>
      <w:ind w:left="720"/>
    </w:pPr>
  </w:style>
  <w:style w:type="character" w:customStyle="1" w:styleId="BodyTextIndent2Char">
    <w:name w:val="Body Text Indent 2 Char"/>
    <w:basedOn w:val="DefaultParagraphFont"/>
    <w:link w:val="BodyTextIndent2"/>
    <w:uiPriority w:val="99"/>
    <w:rsid w:val="00D466B6"/>
    <w:rPr>
      <w:rFonts w:eastAsia="Times New Roman" w:cs="Times New Roman"/>
      <w:sz w:val="20"/>
    </w:rPr>
  </w:style>
  <w:style w:type="character" w:styleId="FollowedHyperlink">
    <w:name w:val="FollowedHyperlink"/>
    <w:uiPriority w:val="99"/>
    <w:rsid w:val="00D466B6"/>
    <w:rPr>
      <w:rFonts w:cs="Times New Roman"/>
      <w:color w:val="800080"/>
      <w:u w:val="single"/>
    </w:rPr>
  </w:style>
  <w:style w:type="paragraph" w:customStyle="1" w:styleId="Default">
    <w:name w:val="Default"/>
    <w:uiPriority w:val="99"/>
    <w:rsid w:val="00D466B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D466B6"/>
    <w:rPr>
      <w:rFonts w:cs="Times New Roman"/>
      <w:sz w:val="24"/>
      <w:lang w:val="en-US" w:eastAsia="en-US" w:bidi="ar-SA"/>
    </w:rPr>
  </w:style>
  <w:style w:type="paragraph" w:styleId="TOC3">
    <w:name w:val="toc 3"/>
    <w:basedOn w:val="Normal"/>
    <w:next w:val="Normal"/>
    <w:autoRedefine/>
    <w:uiPriority w:val="39"/>
    <w:rsid w:val="00D466B6"/>
    <w:pPr>
      <w:spacing w:after="0"/>
      <w:ind w:left="240"/>
    </w:pPr>
    <w:rPr>
      <w:rFonts w:cstheme="minorHAnsi"/>
      <w:szCs w:val="20"/>
    </w:rPr>
  </w:style>
  <w:style w:type="character" w:customStyle="1" w:styleId="CharChar11">
    <w:name w:val="Char Char11"/>
    <w:uiPriority w:val="99"/>
    <w:locked/>
    <w:rsid w:val="00D466B6"/>
    <w:rPr>
      <w:rFonts w:ascii="Cambria" w:hAnsi="Cambria" w:cs="Times New Roman"/>
      <w:b/>
      <w:bCs/>
      <w:sz w:val="28"/>
      <w:szCs w:val="28"/>
      <w:lang w:val="en-US" w:eastAsia="en-US" w:bidi="ar-SA"/>
    </w:rPr>
  </w:style>
  <w:style w:type="character" w:customStyle="1" w:styleId="CharChar10">
    <w:name w:val="Char Char10"/>
    <w:uiPriority w:val="99"/>
    <w:locked/>
    <w:rsid w:val="00D466B6"/>
    <w:rPr>
      <w:rFonts w:ascii="Cambria" w:hAnsi="Cambria" w:cs="Times New Roman"/>
      <w:b/>
      <w:bCs/>
      <w:sz w:val="26"/>
      <w:szCs w:val="26"/>
      <w:lang w:val="en-US" w:eastAsia="en-US" w:bidi="ar-SA"/>
    </w:rPr>
  </w:style>
  <w:style w:type="character" w:customStyle="1" w:styleId="CharChar9">
    <w:name w:val="Char Char9"/>
    <w:uiPriority w:val="99"/>
    <w:locked/>
    <w:rsid w:val="00D466B6"/>
    <w:rPr>
      <w:rFonts w:ascii="Cambria" w:hAnsi="Cambria" w:cs="Times New Roman"/>
      <w:b/>
      <w:bCs/>
      <w:sz w:val="22"/>
      <w:szCs w:val="22"/>
      <w:lang w:val="en-US" w:eastAsia="en-US" w:bidi="ar-SA"/>
    </w:rPr>
  </w:style>
  <w:style w:type="character" w:customStyle="1" w:styleId="CharChar7">
    <w:name w:val="Char Char7"/>
    <w:uiPriority w:val="99"/>
    <w:locked/>
    <w:rsid w:val="00D466B6"/>
    <w:rPr>
      <w:rFonts w:ascii="Cambria" w:hAnsi="Cambria" w:cs="Times New Roman"/>
      <w:sz w:val="22"/>
      <w:szCs w:val="22"/>
      <w:lang w:val="en-US" w:eastAsia="en-US" w:bidi="ar-SA"/>
    </w:rPr>
  </w:style>
  <w:style w:type="character" w:customStyle="1" w:styleId="CharChar1">
    <w:name w:val="Char Char1"/>
    <w:uiPriority w:val="99"/>
    <w:locked/>
    <w:rsid w:val="00D466B6"/>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D466B6"/>
    <w:pPr>
      <w:tabs>
        <w:tab w:val="num" w:pos="720"/>
      </w:tabs>
      <w:ind w:left="720" w:hanging="360"/>
    </w:pPr>
  </w:style>
  <w:style w:type="character" w:customStyle="1" w:styleId="bodytext0">
    <w:name w:val="bodytext"/>
    <w:uiPriority w:val="99"/>
    <w:rsid w:val="00D466B6"/>
    <w:rPr>
      <w:rFonts w:cs="Times New Roman"/>
    </w:rPr>
  </w:style>
  <w:style w:type="character" w:customStyle="1" w:styleId="StyleBold">
    <w:name w:val="Style Bold"/>
    <w:uiPriority w:val="99"/>
    <w:rsid w:val="00D466B6"/>
    <w:rPr>
      <w:rFonts w:cs="Times New Roman"/>
      <w:b/>
      <w:bCs/>
      <w:sz w:val="20"/>
    </w:rPr>
  </w:style>
  <w:style w:type="character" w:customStyle="1" w:styleId="DocumentMapChar">
    <w:name w:val="Document Map Char"/>
    <w:basedOn w:val="DefaultParagraphFont"/>
    <w:link w:val="DocumentMap"/>
    <w:uiPriority w:val="99"/>
    <w:semiHidden/>
    <w:rsid w:val="00D466B6"/>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D466B6"/>
    <w:pPr>
      <w:shd w:val="clear" w:color="auto" w:fill="000080"/>
    </w:pPr>
    <w:rPr>
      <w:rFonts w:ascii="Tahoma" w:hAnsi="Tahoma" w:cs="Tahoma"/>
    </w:rPr>
  </w:style>
  <w:style w:type="character" w:styleId="CommentReference">
    <w:name w:val="annotation reference"/>
    <w:uiPriority w:val="99"/>
    <w:rsid w:val="00D466B6"/>
    <w:rPr>
      <w:rFonts w:cs="Times New Roman"/>
      <w:sz w:val="16"/>
      <w:szCs w:val="16"/>
    </w:rPr>
  </w:style>
  <w:style w:type="character" w:customStyle="1" w:styleId="apple-style-span">
    <w:name w:val="apple-style-span"/>
    <w:uiPriority w:val="99"/>
    <w:rsid w:val="00D466B6"/>
    <w:rPr>
      <w:rFonts w:cs="Times New Roman"/>
    </w:rPr>
  </w:style>
  <w:style w:type="paragraph" w:styleId="BodyTextIndent3">
    <w:name w:val="Body Text Indent 3"/>
    <w:basedOn w:val="Normal"/>
    <w:link w:val="BodyTextIndent3Char"/>
    <w:uiPriority w:val="99"/>
    <w:rsid w:val="00D466B6"/>
    <w:pPr>
      <w:spacing w:after="120"/>
      <w:ind w:left="360"/>
    </w:pPr>
    <w:rPr>
      <w:sz w:val="16"/>
      <w:szCs w:val="16"/>
    </w:rPr>
  </w:style>
  <w:style w:type="character" w:customStyle="1" w:styleId="BodyTextIndent3Char">
    <w:name w:val="Body Text Indent 3 Char"/>
    <w:basedOn w:val="DefaultParagraphFont"/>
    <w:link w:val="BodyTextIndent3"/>
    <w:uiPriority w:val="99"/>
    <w:rsid w:val="00D466B6"/>
    <w:rPr>
      <w:rFonts w:eastAsia="Times New Roman" w:cs="Times New Roman"/>
      <w:sz w:val="16"/>
      <w:szCs w:val="16"/>
    </w:rPr>
  </w:style>
  <w:style w:type="paragraph" w:styleId="ListBullet">
    <w:name w:val="List Bullet"/>
    <w:basedOn w:val="Normal"/>
    <w:uiPriority w:val="99"/>
    <w:rsid w:val="00D466B6"/>
    <w:pPr>
      <w:tabs>
        <w:tab w:val="num" w:pos="1080"/>
      </w:tabs>
      <w:ind w:left="360" w:hanging="360"/>
    </w:pPr>
  </w:style>
  <w:style w:type="paragraph" w:customStyle="1" w:styleId="xl25">
    <w:name w:val="xl25"/>
    <w:basedOn w:val="Normal"/>
    <w:uiPriority w:val="99"/>
    <w:rsid w:val="00D466B6"/>
    <w:pPr>
      <w:spacing w:before="100" w:beforeAutospacing="1" w:after="100" w:afterAutospacing="1"/>
    </w:pPr>
    <w:rPr>
      <w:rFonts w:ascii="Arial" w:eastAsia="Arial Unicode MS" w:hAnsi="Arial" w:cs="Arial"/>
    </w:rPr>
  </w:style>
  <w:style w:type="character" w:styleId="HTMLCite">
    <w:name w:val="HTML Cite"/>
    <w:uiPriority w:val="99"/>
    <w:rsid w:val="00D466B6"/>
    <w:rPr>
      <w:rFonts w:cs="Times New Roman"/>
      <w:i/>
      <w:iCs/>
    </w:rPr>
  </w:style>
  <w:style w:type="character" w:customStyle="1" w:styleId="apple-converted-space">
    <w:name w:val="apple-converted-space"/>
    <w:rsid w:val="00D466B6"/>
    <w:rPr>
      <w:rFonts w:cs="Times New Roman"/>
    </w:rPr>
  </w:style>
  <w:style w:type="paragraph" w:styleId="TOC4">
    <w:name w:val="toc 4"/>
    <w:basedOn w:val="Normal"/>
    <w:next w:val="Normal"/>
    <w:autoRedefine/>
    <w:uiPriority w:val="39"/>
    <w:rsid w:val="00D466B6"/>
    <w:pPr>
      <w:spacing w:after="0"/>
      <w:ind w:left="480"/>
    </w:pPr>
    <w:rPr>
      <w:rFonts w:cstheme="minorHAnsi"/>
      <w:szCs w:val="20"/>
    </w:rPr>
  </w:style>
  <w:style w:type="paragraph" w:styleId="TOC5">
    <w:name w:val="toc 5"/>
    <w:basedOn w:val="Normal"/>
    <w:next w:val="Normal"/>
    <w:autoRedefine/>
    <w:uiPriority w:val="39"/>
    <w:rsid w:val="00D466B6"/>
    <w:pPr>
      <w:spacing w:after="0"/>
      <w:ind w:left="720"/>
    </w:pPr>
    <w:rPr>
      <w:rFonts w:cstheme="minorHAnsi"/>
      <w:szCs w:val="20"/>
    </w:rPr>
  </w:style>
  <w:style w:type="paragraph" w:styleId="TOC6">
    <w:name w:val="toc 6"/>
    <w:basedOn w:val="Normal"/>
    <w:next w:val="Normal"/>
    <w:autoRedefine/>
    <w:uiPriority w:val="39"/>
    <w:rsid w:val="00D466B6"/>
    <w:pPr>
      <w:spacing w:after="0"/>
      <w:ind w:left="960"/>
    </w:pPr>
    <w:rPr>
      <w:rFonts w:cstheme="minorHAnsi"/>
      <w:szCs w:val="20"/>
    </w:rPr>
  </w:style>
  <w:style w:type="paragraph" w:styleId="TOC7">
    <w:name w:val="toc 7"/>
    <w:basedOn w:val="Normal"/>
    <w:next w:val="Normal"/>
    <w:autoRedefine/>
    <w:uiPriority w:val="39"/>
    <w:rsid w:val="00D466B6"/>
    <w:pPr>
      <w:spacing w:after="0"/>
      <w:ind w:left="1200"/>
    </w:pPr>
    <w:rPr>
      <w:rFonts w:cstheme="minorHAnsi"/>
      <w:szCs w:val="20"/>
    </w:rPr>
  </w:style>
  <w:style w:type="paragraph" w:styleId="TOC8">
    <w:name w:val="toc 8"/>
    <w:basedOn w:val="Normal"/>
    <w:next w:val="Normal"/>
    <w:autoRedefine/>
    <w:uiPriority w:val="39"/>
    <w:rsid w:val="00D466B6"/>
    <w:pPr>
      <w:spacing w:after="0"/>
      <w:ind w:left="1440"/>
    </w:pPr>
    <w:rPr>
      <w:rFonts w:cstheme="minorHAnsi"/>
      <w:szCs w:val="20"/>
    </w:rPr>
  </w:style>
  <w:style w:type="paragraph" w:styleId="TOC9">
    <w:name w:val="toc 9"/>
    <w:basedOn w:val="Normal"/>
    <w:next w:val="Normal"/>
    <w:autoRedefine/>
    <w:uiPriority w:val="39"/>
    <w:rsid w:val="00D466B6"/>
    <w:pPr>
      <w:spacing w:after="0"/>
      <w:ind w:left="1680"/>
    </w:pPr>
    <w:rPr>
      <w:rFonts w:cstheme="minorHAnsi"/>
      <w:szCs w:val="20"/>
    </w:rPr>
  </w:style>
  <w:style w:type="character" w:customStyle="1" w:styleId="CharChar">
    <w:name w:val="Char Char"/>
    <w:uiPriority w:val="99"/>
    <w:rsid w:val="00D466B6"/>
    <w:rPr>
      <w:rFonts w:cs="Times New Roman"/>
      <w:lang w:val="en-US" w:eastAsia="en-US" w:bidi="ar-SA"/>
    </w:rPr>
  </w:style>
  <w:style w:type="character" w:customStyle="1" w:styleId="CharChar4">
    <w:name w:val="Char Char4"/>
    <w:uiPriority w:val="99"/>
    <w:rsid w:val="00D466B6"/>
    <w:rPr>
      <w:rFonts w:cs="Times New Roman"/>
      <w:lang w:val="en-US" w:eastAsia="en-US" w:bidi="ar-SA"/>
    </w:rPr>
  </w:style>
  <w:style w:type="character" w:customStyle="1" w:styleId="CharChar81">
    <w:name w:val="Char Char81"/>
    <w:uiPriority w:val="99"/>
    <w:rsid w:val="00D466B6"/>
    <w:rPr>
      <w:rFonts w:cs="Times New Roman"/>
      <w:sz w:val="24"/>
      <w:lang w:val="en-US" w:eastAsia="en-US" w:bidi="ar-SA"/>
    </w:rPr>
  </w:style>
  <w:style w:type="character" w:customStyle="1" w:styleId="CharChar111">
    <w:name w:val="Char Char111"/>
    <w:uiPriority w:val="99"/>
    <w:locked/>
    <w:rsid w:val="00D466B6"/>
    <w:rPr>
      <w:rFonts w:ascii="Cambria" w:hAnsi="Cambria" w:cs="Times New Roman"/>
      <w:b/>
      <w:bCs/>
      <w:sz w:val="28"/>
      <w:szCs w:val="28"/>
      <w:lang w:val="en-US" w:eastAsia="en-US" w:bidi="ar-SA"/>
    </w:rPr>
  </w:style>
  <w:style w:type="character" w:customStyle="1" w:styleId="CharChar101">
    <w:name w:val="Char Char101"/>
    <w:uiPriority w:val="99"/>
    <w:locked/>
    <w:rsid w:val="00D466B6"/>
    <w:rPr>
      <w:rFonts w:ascii="Cambria" w:hAnsi="Cambria" w:cs="Times New Roman"/>
      <w:b/>
      <w:bCs/>
      <w:sz w:val="26"/>
      <w:szCs w:val="26"/>
      <w:lang w:val="en-US" w:eastAsia="en-US" w:bidi="ar-SA"/>
    </w:rPr>
  </w:style>
  <w:style w:type="character" w:customStyle="1" w:styleId="CharChar91">
    <w:name w:val="Char Char91"/>
    <w:uiPriority w:val="99"/>
    <w:locked/>
    <w:rsid w:val="00D466B6"/>
    <w:rPr>
      <w:rFonts w:ascii="Cambria" w:hAnsi="Cambria" w:cs="Times New Roman"/>
      <w:b/>
      <w:bCs/>
      <w:sz w:val="22"/>
      <w:szCs w:val="22"/>
      <w:lang w:val="en-US" w:eastAsia="en-US" w:bidi="ar-SA"/>
    </w:rPr>
  </w:style>
  <w:style w:type="character" w:customStyle="1" w:styleId="CharChar71">
    <w:name w:val="Char Char71"/>
    <w:uiPriority w:val="99"/>
    <w:locked/>
    <w:rsid w:val="00D466B6"/>
    <w:rPr>
      <w:rFonts w:ascii="Cambria" w:hAnsi="Cambria" w:cs="Times New Roman"/>
      <w:sz w:val="22"/>
      <w:szCs w:val="22"/>
      <w:lang w:val="en-US" w:eastAsia="en-US" w:bidi="ar-SA"/>
    </w:rPr>
  </w:style>
  <w:style w:type="character" w:customStyle="1" w:styleId="CharChar12">
    <w:name w:val="Char Char12"/>
    <w:uiPriority w:val="99"/>
    <w:locked/>
    <w:rsid w:val="00D466B6"/>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D466B6"/>
    <w:pPr>
      <w:keepLines/>
      <w:spacing w:before="480" w:after="0" w:line="276" w:lineRule="auto"/>
      <w:outlineLvl w:val="9"/>
    </w:pPr>
    <w:rPr>
      <w:rFonts w:cs="Times New Roman"/>
      <w:b/>
      <w:color w:val="365F91"/>
      <w:kern w:val="0"/>
      <w:sz w:val="28"/>
      <w:szCs w:val="28"/>
      <w:lang w:eastAsia="ja-JP"/>
    </w:rPr>
  </w:style>
  <w:style w:type="character" w:styleId="Strong">
    <w:name w:val="Strong"/>
    <w:basedOn w:val="DefaultParagraphFont"/>
    <w:uiPriority w:val="22"/>
    <w:rsid w:val="00D466B6"/>
    <w:rPr>
      <w:b/>
      <w:bCs/>
    </w:rPr>
  </w:style>
  <w:style w:type="paragraph" w:customStyle="1" w:styleId="TableText">
    <w:name w:val="Table Text"/>
    <w:basedOn w:val="Normal"/>
    <w:autoRedefine/>
    <w:qFormat/>
    <w:rsid w:val="00D466B6"/>
    <w:pPr>
      <w:spacing w:after="0"/>
      <w:jc w:val="center"/>
    </w:pPr>
    <w:rPr>
      <w:rFonts w:cs="Arial"/>
      <w:noProof/>
      <w:szCs w:val="18"/>
      <w:lang w:val="en"/>
    </w:rPr>
  </w:style>
  <w:style w:type="paragraph" w:customStyle="1" w:styleId="NormalTRM">
    <w:name w:val="Normal TRM"/>
    <w:basedOn w:val="Normal"/>
    <w:link w:val="NormalTRMChar"/>
    <w:rsid w:val="00D466B6"/>
  </w:style>
  <w:style w:type="character" w:customStyle="1" w:styleId="NormalTRMChar">
    <w:name w:val="Normal TRM Char"/>
    <w:basedOn w:val="DefaultParagraphFont"/>
    <w:link w:val="NormalTRM"/>
    <w:rsid w:val="00D466B6"/>
    <w:rPr>
      <w:rFonts w:eastAsia="Times New Roman" w:cs="Times New Roman"/>
      <w:sz w:val="20"/>
    </w:rPr>
  </w:style>
  <w:style w:type="paragraph" w:styleId="EndnoteText">
    <w:name w:val="endnote text"/>
    <w:basedOn w:val="Normal"/>
    <w:link w:val="EndnoteTextChar"/>
    <w:uiPriority w:val="99"/>
    <w:unhideWhenUsed/>
    <w:rsid w:val="00D466B6"/>
    <w:pPr>
      <w:spacing w:after="0"/>
    </w:pPr>
    <w:rPr>
      <w:rFonts w:ascii="Calibri" w:hAnsi="Calibri"/>
      <w:szCs w:val="20"/>
    </w:rPr>
  </w:style>
  <w:style w:type="character" w:customStyle="1" w:styleId="EndnoteTextChar">
    <w:name w:val="Endnote Text Char"/>
    <w:basedOn w:val="DefaultParagraphFont"/>
    <w:link w:val="EndnoteText"/>
    <w:uiPriority w:val="99"/>
    <w:rsid w:val="00D466B6"/>
    <w:rPr>
      <w:rFonts w:ascii="Calibri" w:eastAsia="Times New Roman" w:hAnsi="Calibri" w:cs="Times New Roman"/>
      <w:sz w:val="20"/>
      <w:szCs w:val="20"/>
    </w:rPr>
  </w:style>
  <w:style w:type="paragraph" w:customStyle="1" w:styleId="Footnote">
    <w:name w:val="Footnote"/>
    <w:basedOn w:val="FootnoteText"/>
    <w:link w:val="FootnoteChar"/>
    <w:autoRedefine/>
    <w:qFormat/>
    <w:rsid w:val="00D466B6"/>
    <w:pPr>
      <w:jc w:val="left"/>
    </w:pPr>
    <w:rPr>
      <w:rFonts w:cstheme="minorHAnsi"/>
      <w:szCs w:val="20"/>
    </w:rPr>
  </w:style>
  <w:style w:type="character" w:customStyle="1" w:styleId="FootnoteChar">
    <w:name w:val="Footnote Char"/>
    <w:basedOn w:val="footnoteChar0"/>
    <w:link w:val="Footnote"/>
    <w:rsid w:val="00D466B6"/>
    <w:rPr>
      <w:rFonts w:eastAsia="Times New Roman" w:cstheme="minorHAnsi"/>
      <w:sz w:val="20"/>
      <w:szCs w:val="20"/>
    </w:rPr>
  </w:style>
  <w:style w:type="character" w:customStyle="1" w:styleId="footnoteChar0">
    <w:name w:val="footnote Char"/>
    <w:basedOn w:val="FootnoteTextChar"/>
    <w:link w:val="footnote0"/>
    <w:rsid w:val="00D466B6"/>
    <w:rPr>
      <w:rFonts w:eastAsia="Times New Roman" w:cs="Times New Roman"/>
      <w:sz w:val="18"/>
      <w:szCs w:val="24"/>
    </w:rPr>
  </w:style>
  <w:style w:type="paragraph" w:customStyle="1" w:styleId="footnote0">
    <w:name w:val="footnote"/>
    <w:basedOn w:val="FootnoteText"/>
    <w:link w:val="footnoteChar0"/>
    <w:rsid w:val="00D466B6"/>
    <w:rPr>
      <w:sz w:val="18"/>
      <w:szCs w:val="24"/>
    </w:rPr>
  </w:style>
  <w:style w:type="paragraph" w:styleId="TableofFigures">
    <w:name w:val="table of figures"/>
    <w:basedOn w:val="Normal"/>
    <w:next w:val="Normal"/>
    <w:uiPriority w:val="99"/>
    <w:unhideWhenUsed/>
    <w:rsid w:val="00D466B6"/>
    <w:pPr>
      <w:spacing w:after="0"/>
    </w:pPr>
  </w:style>
  <w:style w:type="table" w:customStyle="1" w:styleId="TableGrid1">
    <w:name w:val="Table Grid1"/>
    <w:basedOn w:val="TableNormal"/>
    <w:next w:val="TableGrid"/>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chnicalTable">
    <w:name w:val="Technical Table"/>
    <w:basedOn w:val="Normal"/>
    <w:link w:val="TechnicalTableChar"/>
    <w:autoRedefine/>
    <w:qFormat/>
    <w:rsid w:val="00D466B6"/>
    <w:pPr>
      <w:spacing w:after="0"/>
      <w:jc w:val="left"/>
    </w:pPr>
    <w:rPr>
      <w:rFonts w:cstheme="minorHAnsi"/>
    </w:rPr>
  </w:style>
  <w:style w:type="character" w:customStyle="1" w:styleId="TechnicalTableChar">
    <w:name w:val="Technical Table Char"/>
    <w:basedOn w:val="DefaultParagraphFont"/>
    <w:link w:val="TechnicalTable"/>
    <w:rsid w:val="00D466B6"/>
    <w:rPr>
      <w:rFonts w:eastAsia="Times New Roman" w:cstheme="minorHAnsi"/>
      <w:sz w:val="20"/>
    </w:rPr>
  </w:style>
  <w:style w:type="paragraph" w:customStyle="1" w:styleId="AlgorithmHeading">
    <w:name w:val="Algorithm Heading"/>
    <w:basedOn w:val="Normal"/>
    <w:link w:val="AlgorithmHeadingChar"/>
    <w:qFormat/>
    <w:rsid w:val="00D466B6"/>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466B6"/>
    <w:rPr>
      <w:rFonts w:eastAsia="Times New Roman" w:cstheme="minorHAnsi"/>
      <w:b/>
      <w:sz w:val="20"/>
      <w:szCs w:val="20"/>
    </w:rPr>
  </w:style>
  <w:style w:type="paragraph" w:customStyle="1" w:styleId="Captions">
    <w:name w:val="Captions"/>
    <w:basedOn w:val="Title"/>
    <w:link w:val="CaptionsChar"/>
    <w:autoRedefine/>
    <w:qFormat/>
    <w:rsid w:val="00E11739"/>
    <w:pPr>
      <w:pBdr>
        <w:bottom w:val="none" w:sz="0" w:space="0" w:color="auto"/>
      </w:pBdr>
      <w:spacing w:after="120"/>
      <w:jc w:val="center"/>
    </w:pPr>
    <w:rPr>
      <w:rFonts w:asciiTheme="minorHAnsi" w:hAnsiTheme="minorHAnsi" w:cstheme="minorHAnsi"/>
      <w:b/>
      <w:sz w:val="24"/>
      <w:szCs w:val="24"/>
    </w:rPr>
  </w:style>
  <w:style w:type="character" w:customStyle="1" w:styleId="CaptionsChar">
    <w:name w:val="Captions Char"/>
    <w:basedOn w:val="TitleChar"/>
    <w:link w:val="Captions"/>
    <w:rsid w:val="00E11739"/>
    <w:rPr>
      <w:rFonts w:ascii="Cambria" w:eastAsia="Times New Roman" w:hAnsi="Cambria" w:cstheme="minorHAnsi"/>
      <w:b/>
      <w:color w:val="000000"/>
      <w:spacing w:val="5"/>
      <w:kern w:val="28"/>
      <w:sz w:val="24"/>
      <w:szCs w:val="24"/>
    </w:rPr>
  </w:style>
  <w:style w:type="paragraph" w:customStyle="1" w:styleId="FormH2">
    <w:name w:val="Form H2"/>
    <w:basedOn w:val="NormalWeb"/>
    <w:link w:val="FormH2Char"/>
    <w:qFormat/>
    <w:rsid w:val="00D466B6"/>
    <w:pPr>
      <w:ind w:left="1440"/>
    </w:pPr>
    <w:rPr>
      <w:rFonts w:ascii="Calibri" w:hAnsi="Calibri" w:cs="Arial"/>
    </w:rPr>
  </w:style>
  <w:style w:type="paragraph" w:styleId="NormalWeb">
    <w:name w:val="Normal (Web)"/>
    <w:basedOn w:val="Normal"/>
    <w:uiPriority w:val="99"/>
    <w:unhideWhenUsed/>
    <w:rsid w:val="00D466B6"/>
    <w:rPr>
      <w:rFonts w:ascii="Times New Roman" w:hAnsi="Times New Roman"/>
      <w:sz w:val="24"/>
      <w:szCs w:val="24"/>
    </w:rPr>
  </w:style>
  <w:style w:type="character" w:customStyle="1" w:styleId="FormH2Char">
    <w:name w:val="Form H2 Char"/>
    <w:basedOn w:val="Heading2Char"/>
    <w:link w:val="FormH2"/>
    <w:rsid w:val="00D466B6"/>
    <w:rPr>
      <w:rFonts w:ascii="Calibri" w:eastAsia="Times New Roman" w:hAnsi="Calibri" w:cs="Arial"/>
      <w:bCs w:val="0"/>
      <w:iCs w:val="0"/>
      <w:sz w:val="24"/>
      <w:szCs w:val="24"/>
    </w:rPr>
  </w:style>
  <w:style w:type="paragraph" w:customStyle="1" w:styleId="Form">
    <w:name w:val="Form"/>
    <w:basedOn w:val="NormalWeb"/>
    <w:next w:val="Normal"/>
    <w:link w:val="FormChar"/>
    <w:qFormat/>
    <w:rsid w:val="00D466B6"/>
    <w:rPr>
      <w:rFonts w:ascii="Calibri" w:hAnsi="Calibri" w:cs="Arial"/>
    </w:rPr>
  </w:style>
  <w:style w:type="character" w:customStyle="1" w:styleId="FormChar">
    <w:name w:val="Form Char"/>
    <w:basedOn w:val="Heading2Char"/>
    <w:link w:val="Form"/>
    <w:rsid w:val="00D466B6"/>
    <w:rPr>
      <w:rFonts w:ascii="Calibri" w:eastAsia="Times New Roman" w:hAnsi="Calibri" w:cs="Arial"/>
      <w:bCs w:val="0"/>
      <w:iCs w:val="0"/>
      <w:sz w:val="24"/>
      <w:szCs w:val="24"/>
    </w:rPr>
  </w:style>
  <w:style w:type="paragraph" w:customStyle="1" w:styleId="FormH4">
    <w:name w:val="Form H4"/>
    <w:basedOn w:val="FormH2"/>
    <w:link w:val="FormH4Char"/>
    <w:qFormat/>
    <w:rsid w:val="00D466B6"/>
    <w:pPr>
      <w:keepNext/>
      <w:keepLines/>
      <w:spacing w:before="200" w:after="0" w:line="276" w:lineRule="auto"/>
      <w:ind w:left="1800"/>
      <w:jc w:val="left"/>
      <w:outlineLvl w:val="1"/>
    </w:pPr>
    <w:rPr>
      <w:bCs/>
      <w:iCs/>
      <w:sz w:val="28"/>
      <w:szCs w:val="28"/>
    </w:rPr>
  </w:style>
  <w:style w:type="character" w:customStyle="1" w:styleId="FormH4Char">
    <w:name w:val="Form H4 Char"/>
    <w:basedOn w:val="FormH2Char"/>
    <w:link w:val="FormH4"/>
    <w:rsid w:val="00D466B6"/>
    <w:rPr>
      <w:rFonts w:ascii="Calibri" w:eastAsia="Times New Roman" w:hAnsi="Calibri" w:cs="Arial"/>
      <w:bCs/>
      <w:iCs/>
      <w:sz w:val="28"/>
      <w:szCs w:val="28"/>
    </w:rPr>
  </w:style>
  <w:style w:type="paragraph" w:customStyle="1" w:styleId="Normal1">
    <w:name w:val="Normal1"/>
    <w:basedOn w:val="Normal"/>
    <w:uiPriority w:val="99"/>
    <w:rsid w:val="00D466B6"/>
    <w:pPr>
      <w:autoSpaceDE w:val="0"/>
      <w:autoSpaceDN w:val="0"/>
      <w:spacing w:after="0"/>
      <w:jc w:val="left"/>
    </w:pPr>
    <w:rPr>
      <w:rFonts w:ascii="Arial" w:hAnsi="Arial" w:cs="Arial"/>
      <w:sz w:val="24"/>
      <w:szCs w:val="24"/>
    </w:rPr>
  </w:style>
  <w:style w:type="paragraph" w:customStyle="1" w:styleId="whs2">
    <w:name w:val="whs2"/>
    <w:basedOn w:val="Normal"/>
    <w:uiPriority w:val="99"/>
    <w:rsid w:val="00D466B6"/>
    <w:pPr>
      <w:spacing w:after="0"/>
      <w:jc w:val="left"/>
    </w:pPr>
    <w:rPr>
      <w:rFonts w:ascii="Arial" w:hAnsi="Arial" w:cs="Arial"/>
      <w:szCs w:val="20"/>
    </w:rPr>
  </w:style>
  <w:style w:type="paragraph" w:customStyle="1" w:styleId="font5">
    <w:name w:val="font5"/>
    <w:basedOn w:val="Normal"/>
    <w:uiPriority w:val="99"/>
    <w:rsid w:val="00D466B6"/>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D466B6"/>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D466B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D466B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D466B6"/>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D466B6"/>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D466B6"/>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D466B6"/>
  </w:style>
  <w:style w:type="paragraph" w:customStyle="1" w:styleId="TableandFigureCaption">
    <w:name w:val="Table and Figure Caption"/>
    <w:basedOn w:val="Tablecentered"/>
    <w:link w:val="TableandFigureCaptionChar"/>
    <w:autoRedefine/>
    <w:qFormat/>
    <w:rsid w:val="00D466B6"/>
    <w:pPr>
      <w:tabs>
        <w:tab w:val="clear" w:pos="6750"/>
      </w:tabs>
    </w:pPr>
  </w:style>
  <w:style w:type="character" w:customStyle="1" w:styleId="TableandFigureCaptionChar">
    <w:name w:val="Table and Figure Caption Char"/>
    <w:basedOn w:val="TablecenteredChar"/>
    <w:link w:val="TableandFigureCaption"/>
    <w:rsid w:val="00D466B6"/>
    <w:rPr>
      <w:rFonts w:eastAsia="Times New Roman" w:cs="Times New Roman"/>
      <w:noProof/>
      <w:sz w:val="18"/>
      <w:szCs w:val="18"/>
    </w:rPr>
  </w:style>
  <w:style w:type="paragraph" w:customStyle="1" w:styleId="TableHeading">
    <w:name w:val="Table Heading"/>
    <w:basedOn w:val="TableText"/>
    <w:autoRedefine/>
    <w:uiPriority w:val="99"/>
    <w:qFormat/>
    <w:rsid w:val="00D466B6"/>
    <w:rPr>
      <w:rFonts w:ascii="Calibri" w:hAnsi="Calibri"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D466B6"/>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D466B6"/>
    <w:pPr>
      <w:spacing w:after="0"/>
    </w:pPr>
    <w:rPr>
      <w:rFonts w:cstheme="minorHAnsi"/>
    </w:rPr>
  </w:style>
  <w:style w:type="character" w:customStyle="1" w:styleId="VersionTextChar">
    <w:name w:val="Version Text Char"/>
    <w:basedOn w:val="DefaultParagraphFont"/>
    <w:link w:val="VersionText"/>
    <w:rsid w:val="00D466B6"/>
    <w:rPr>
      <w:rFonts w:eastAsia="Times New Roman" w:cstheme="minorHAnsi"/>
      <w:sz w:val="20"/>
    </w:rPr>
  </w:style>
  <w:style w:type="paragraph" w:customStyle="1" w:styleId="VersionandDate">
    <w:name w:val="Version and Date"/>
    <w:basedOn w:val="Normal"/>
    <w:link w:val="VersionandDateChar"/>
    <w:qFormat/>
    <w:rsid w:val="00D466B6"/>
    <w:pPr>
      <w:spacing w:after="0"/>
      <w:jc w:val="left"/>
    </w:pPr>
    <w:rPr>
      <w:rFonts w:ascii="Times New Roman" w:hAnsi="Times New Roman"/>
      <w:szCs w:val="20"/>
    </w:rPr>
  </w:style>
  <w:style w:type="character" w:customStyle="1" w:styleId="VersionandDateChar">
    <w:name w:val="Version and Date Char"/>
    <w:basedOn w:val="DefaultParagraphFont"/>
    <w:link w:val="VersionandDate"/>
    <w:rsid w:val="00D466B6"/>
    <w:rPr>
      <w:rFonts w:ascii="Times New Roman" w:eastAsia="Times New Roman" w:hAnsi="Times New Roman" w:cs="Times New Roman"/>
      <w:sz w:val="20"/>
      <w:szCs w:val="20"/>
    </w:rPr>
  </w:style>
  <w:style w:type="character" w:customStyle="1" w:styleId="FootnoteTextChar2">
    <w:name w:val="Footnote Text Char2"/>
    <w:uiPriority w:val="99"/>
    <w:locked/>
    <w:rsid w:val="00D466B6"/>
    <w:rPr>
      <w:sz w:val="18"/>
      <w:lang w:val="en-US" w:eastAsia="en-US" w:bidi="ar-SA"/>
    </w:rPr>
  </w:style>
  <w:style w:type="paragraph" w:customStyle="1" w:styleId="HeaderIL">
    <w:name w:val="Header IL"/>
    <w:basedOn w:val="Header"/>
    <w:link w:val="HeaderILChar"/>
    <w:qFormat/>
    <w:rsid w:val="00D466B6"/>
    <w:pPr>
      <w:pBdr>
        <w:bottom w:val="single" w:sz="4" w:space="0" w:color="auto"/>
      </w:pBdr>
      <w:spacing w:after="0"/>
      <w:jc w:val="left"/>
    </w:pPr>
  </w:style>
  <w:style w:type="character" w:customStyle="1" w:styleId="HeaderILChar">
    <w:name w:val="Header IL Char"/>
    <w:basedOn w:val="HeaderChar"/>
    <w:link w:val="HeaderIL"/>
    <w:rsid w:val="00D466B6"/>
    <w:rPr>
      <w:rFonts w:eastAsia="Times New Roman" w:cs="Times New Roman"/>
      <w:sz w:val="20"/>
    </w:rPr>
  </w:style>
  <w:style w:type="paragraph" w:customStyle="1" w:styleId="h5">
    <w:name w:val="h5"/>
    <w:basedOn w:val="Normal"/>
    <w:rsid w:val="001E6327"/>
    <w:pPr>
      <w:widowControl/>
      <w:spacing w:before="100" w:beforeAutospacing="1" w:after="100" w:afterAutospacing="1"/>
      <w:jc w:val="left"/>
    </w:pPr>
    <w:rPr>
      <w:rFonts w:ascii="Times New Roman" w:hAnsi="Times New Roman"/>
      <w:sz w:val="24"/>
      <w:szCs w:val="24"/>
    </w:rPr>
  </w:style>
  <w:style w:type="character" w:styleId="PlaceholderText">
    <w:name w:val="Placeholder Text"/>
    <w:basedOn w:val="DefaultParagraphFont"/>
    <w:uiPriority w:val="99"/>
    <w:semiHidden/>
    <w:rsid w:val="00EC0DA6"/>
    <w:rPr>
      <w:color w:val="808080"/>
    </w:rPr>
  </w:style>
  <w:style w:type="paragraph" w:styleId="Bibliography">
    <w:name w:val="Bibliography"/>
    <w:basedOn w:val="Normal"/>
    <w:next w:val="Normal"/>
    <w:uiPriority w:val="37"/>
    <w:unhideWhenUsed/>
    <w:rsid w:val="00E505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D466B6"/>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466B6"/>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BA156D"/>
    <w:pPr>
      <w:keepNext/>
      <w:widowControl/>
      <w:outlineLvl w:val="1"/>
    </w:pPr>
    <w:rPr>
      <w:rFonts w:ascii="Calibri" w:hAnsi="Calibri" w:cs="Arial"/>
      <w:bCs/>
      <w:iCs/>
      <w:sz w:val="24"/>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466B6"/>
    <w:pPr>
      <w:numPr>
        <w:ilvl w:val="2"/>
        <w:numId w:val="1"/>
      </w:numPr>
      <w:spacing w:line="276" w:lineRule="auto"/>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D1642C"/>
    <w:pPr>
      <w:keepNext/>
      <w:numPr>
        <w:ilvl w:val="0"/>
        <w:numId w:val="0"/>
      </w:numPr>
      <w:spacing w:before="90" w:after="0" w:line="324" w:lineRule="atLeast"/>
      <w:ind w:left="864" w:hanging="864"/>
      <w:outlineLvl w:val="3"/>
    </w:pPr>
    <w:rPr>
      <w:rFonts w:asciiTheme="minorHAnsi" w:hAnsiTheme="minorHAnsi" w:cstheme="minorHAnsi"/>
      <w:b/>
      <w:bCs w:val="0"/>
      <w:iCs/>
      <w:noProof/>
      <w:sz w:val="22"/>
      <w:szCs w:val="22"/>
    </w:rPr>
  </w:style>
  <w:style w:type="paragraph" w:styleId="Heading5">
    <w:name w:val="heading 5"/>
    <w:basedOn w:val="Normal"/>
    <w:next w:val="Normal"/>
    <w:link w:val="Heading5Char"/>
    <w:autoRedefine/>
    <w:uiPriority w:val="99"/>
    <w:qFormat/>
    <w:rsid w:val="00D900E1"/>
    <w:pPr>
      <w:keepNext/>
      <w:keepLines/>
      <w:spacing w:before="90" w:after="0" w:line="324" w:lineRule="atLeast"/>
      <w:ind w:left="1008" w:hanging="1008"/>
      <w:outlineLvl w:val="4"/>
    </w:pPr>
    <w:rPr>
      <w:rFonts w:ascii="Calibri" w:hAnsi="Calibri"/>
      <w:b/>
    </w:rPr>
  </w:style>
  <w:style w:type="paragraph" w:styleId="Heading6">
    <w:name w:val="heading 6"/>
    <w:basedOn w:val="Normal"/>
    <w:next w:val="Normal"/>
    <w:link w:val="Heading6Char"/>
    <w:autoRedefine/>
    <w:uiPriority w:val="99"/>
    <w:qFormat/>
    <w:rsid w:val="007333C0"/>
    <w:pPr>
      <w:keepNext/>
      <w:keepLines/>
      <w:spacing w:before="200" w:after="120" w:line="276" w:lineRule="auto"/>
      <w:jc w:val="left"/>
      <w:outlineLvl w:val="5"/>
    </w:pPr>
    <w:rPr>
      <w:rFonts w:eastAsiaTheme="majorEastAsia"/>
      <w:b/>
      <w:smallCaps/>
    </w:rPr>
  </w:style>
  <w:style w:type="paragraph" w:styleId="Heading7">
    <w:name w:val="heading 7"/>
    <w:basedOn w:val="Normal"/>
    <w:next w:val="Normal"/>
    <w:link w:val="Heading7Char"/>
    <w:uiPriority w:val="99"/>
    <w:qFormat/>
    <w:rsid w:val="00D466B6"/>
    <w:pPr>
      <w:keepNext/>
      <w:keepLines/>
      <w:numPr>
        <w:ilvl w:val="6"/>
        <w:numId w:val="2"/>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466B6"/>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466B6"/>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466B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2171CE"/>
    <w:rPr>
      <w:rFonts w:ascii="Calibri" w:eastAsia="Times New Roman" w:hAnsi="Calibri" w:cs="Arial"/>
      <w:bCs/>
      <w:iCs/>
      <w:sz w:val="24"/>
      <w:szCs w:val="28"/>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466B6"/>
    <w:rPr>
      <w:rFonts w:ascii="Calibri" w:eastAsiaTheme="minorEastAsia" w:hAnsi="Calibri" w:cs="Times New Roman"/>
      <w:bCs/>
      <w:sz w:val="24"/>
      <w:szCs w:val="24"/>
    </w:rPr>
  </w:style>
  <w:style w:type="character" w:customStyle="1" w:styleId="Heading4Char">
    <w:name w:val="Heading 4 Char"/>
    <w:basedOn w:val="DefaultParagraphFont"/>
    <w:link w:val="Heading4"/>
    <w:uiPriority w:val="99"/>
    <w:rsid w:val="00D1642C"/>
    <w:rPr>
      <w:rFonts w:eastAsiaTheme="minorEastAsia" w:cstheme="minorHAnsi"/>
      <w:b/>
      <w:iCs/>
      <w:noProof/>
    </w:rPr>
  </w:style>
  <w:style w:type="character" w:customStyle="1" w:styleId="Heading5Char">
    <w:name w:val="Heading 5 Char"/>
    <w:basedOn w:val="DefaultParagraphFont"/>
    <w:link w:val="Heading5"/>
    <w:uiPriority w:val="99"/>
    <w:rsid w:val="00D900E1"/>
    <w:rPr>
      <w:rFonts w:ascii="Calibri" w:eastAsia="Times New Roman" w:hAnsi="Calibri" w:cs="Times New Roman"/>
      <w:b/>
      <w:sz w:val="20"/>
    </w:rPr>
  </w:style>
  <w:style w:type="character" w:customStyle="1" w:styleId="Heading6Char">
    <w:name w:val="Heading 6 Char"/>
    <w:basedOn w:val="DefaultParagraphFont"/>
    <w:link w:val="Heading6"/>
    <w:uiPriority w:val="99"/>
    <w:rsid w:val="007333C0"/>
    <w:rPr>
      <w:rFonts w:eastAsiaTheme="majorEastAsia" w:cs="Times New Roman"/>
      <w:b/>
      <w:smallCaps/>
      <w:sz w:val="20"/>
    </w:rPr>
  </w:style>
  <w:style w:type="character" w:customStyle="1" w:styleId="Heading7Char">
    <w:name w:val="Heading 7 Char"/>
    <w:basedOn w:val="DefaultParagraphFont"/>
    <w:link w:val="Heading7"/>
    <w:uiPriority w:val="99"/>
    <w:rsid w:val="00D466B6"/>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466B6"/>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466B6"/>
    <w:rPr>
      <w:rFonts w:ascii="Cambria" w:eastAsia="Times New Roman" w:hAnsi="Cambria" w:cs="Times New Roman"/>
      <w:i/>
      <w:iCs/>
      <w:color w:val="404040"/>
      <w:sz w:val="20"/>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
    <w:rsid w:val="00D466B6"/>
    <w:rPr>
      <w:rFonts w:asciiTheme="majorHAnsi" w:eastAsiaTheme="majorEastAsia" w:hAnsiTheme="majorHAnsi" w:cstheme="majorBidi"/>
      <w:b/>
      <w:bCs/>
      <w:color w:val="4F81BD" w:themeColor="accent1"/>
      <w:sz w:val="20"/>
    </w:rPr>
  </w:style>
  <w:style w:type="paragraph" w:styleId="Header">
    <w:name w:val="header"/>
    <w:basedOn w:val="Normal"/>
    <w:link w:val="HeaderChar"/>
    <w:uiPriority w:val="99"/>
    <w:rsid w:val="00D466B6"/>
    <w:pPr>
      <w:tabs>
        <w:tab w:val="center" w:pos="4320"/>
        <w:tab w:val="right" w:pos="8640"/>
      </w:tabs>
    </w:pPr>
  </w:style>
  <w:style w:type="character" w:customStyle="1" w:styleId="HeaderChar">
    <w:name w:val="Header Char"/>
    <w:basedOn w:val="DefaultParagraphFont"/>
    <w:link w:val="Header"/>
    <w:uiPriority w:val="99"/>
    <w:rsid w:val="00D466B6"/>
    <w:rPr>
      <w:rFonts w:eastAsia="Times New Roman" w:cs="Times New Roman"/>
      <w:sz w:val="20"/>
    </w:rPr>
  </w:style>
  <w:style w:type="paragraph" w:styleId="Footer">
    <w:name w:val="footer"/>
    <w:basedOn w:val="Normal"/>
    <w:link w:val="FooterChar1"/>
    <w:uiPriority w:val="99"/>
    <w:rsid w:val="00D466B6"/>
    <w:pPr>
      <w:tabs>
        <w:tab w:val="center" w:pos="4320"/>
        <w:tab w:val="right" w:pos="8640"/>
      </w:tabs>
    </w:pPr>
  </w:style>
  <w:style w:type="character" w:customStyle="1" w:styleId="FooterChar1">
    <w:name w:val="Footer Char1"/>
    <w:link w:val="Footer"/>
    <w:uiPriority w:val="99"/>
    <w:locked/>
    <w:rsid w:val="00D466B6"/>
    <w:rPr>
      <w:rFonts w:eastAsia="Times New Roman" w:cs="Times New Roman"/>
      <w:sz w:val="20"/>
    </w:rPr>
  </w:style>
  <w:style w:type="character" w:customStyle="1" w:styleId="FooterChar">
    <w:name w:val="Footer Char"/>
    <w:basedOn w:val="DefaultParagraphFont"/>
    <w:uiPriority w:val="99"/>
    <w:rsid w:val="00D466B6"/>
    <w:rPr>
      <w:rFonts w:eastAsia="Times New Roman" w:cs="Times New Roman"/>
      <w:sz w:val="20"/>
    </w:rPr>
  </w:style>
  <w:style w:type="paragraph" w:styleId="BodyText">
    <w:name w:val="Body Text"/>
    <w:basedOn w:val="Normal"/>
    <w:link w:val="BodyTextChar"/>
    <w:uiPriority w:val="99"/>
    <w:rsid w:val="00D466B6"/>
    <w:rPr>
      <w:sz w:val="28"/>
    </w:rPr>
  </w:style>
  <w:style w:type="character" w:customStyle="1" w:styleId="BodyTextChar">
    <w:name w:val="Body Text Char"/>
    <w:basedOn w:val="DefaultParagraphFont"/>
    <w:link w:val="BodyText"/>
    <w:uiPriority w:val="99"/>
    <w:rsid w:val="00D466B6"/>
    <w:rPr>
      <w:rFonts w:eastAsia="Times New Roman" w:cs="Times New Roman"/>
      <w:sz w:val="28"/>
    </w:rPr>
  </w:style>
  <w:style w:type="paragraph" w:customStyle="1" w:styleId="Style0">
    <w:name w:val="Style0"/>
    <w:uiPriority w:val="99"/>
    <w:rsid w:val="00D466B6"/>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D466B6"/>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D466B6"/>
    <w:rPr>
      <w:rFonts w:eastAsia="Times New Roman" w:cs="Times New Roman"/>
      <w:sz w:val="20"/>
    </w:rPr>
  </w:style>
  <w:style w:type="character" w:styleId="FootnoteReference">
    <w:name w:val="footnote reference"/>
    <w:aliases w:val="Footnote_Reference,o,fr"/>
    <w:uiPriority w:val="99"/>
    <w:qFormat/>
    <w:rsid w:val="00D466B6"/>
    <w:rPr>
      <w:rFonts w:ascii="Arial" w:hAnsi="Arial" w:cs="Times New Roman"/>
      <w:sz w:val="20"/>
      <w:vertAlign w:val="superscript"/>
    </w:rPr>
  </w:style>
  <w:style w:type="character" w:styleId="PageNumber">
    <w:name w:val="page number"/>
    <w:uiPriority w:val="99"/>
    <w:rsid w:val="00D466B6"/>
    <w:rPr>
      <w:rFonts w:cs="Times New Roman"/>
    </w:rPr>
  </w:style>
  <w:style w:type="paragraph" w:customStyle="1" w:styleId="PresentedBy">
    <w:name w:val="Presented By"/>
    <w:basedOn w:val="Normal"/>
    <w:link w:val="PresentedByChar"/>
    <w:uiPriority w:val="99"/>
    <w:rsid w:val="00D466B6"/>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D466B6"/>
    <w:rPr>
      <w:rFonts w:ascii="Palatino Linotype" w:eastAsia="Times New Roman" w:hAnsi="Palatino Linotype" w:cs="Times New Roman"/>
      <w:color w:val="6F6754"/>
      <w:sz w:val="20"/>
    </w:rPr>
  </w:style>
  <w:style w:type="character" w:styleId="Hyperlink">
    <w:name w:val="Hyperlink"/>
    <w:uiPriority w:val="99"/>
    <w:rsid w:val="00D466B6"/>
    <w:rPr>
      <w:rFonts w:cs="Times New Roman"/>
      <w:color w:val="0000FF"/>
      <w:u w:val="single"/>
    </w:rPr>
  </w:style>
  <w:style w:type="paragraph" w:styleId="TOC1">
    <w:name w:val="toc 1"/>
    <w:basedOn w:val="Normal"/>
    <w:next w:val="Normal"/>
    <w:autoRedefine/>
    <w:uiPriority w:val="39"/>
    <w:rsid w:val="00D466B6"/>
    <w:pPr>
      <w:tabs>
        <w:tab w:val="left" w:pos="480"/>
        <w:tab w:val="right" w:leader="dot" w:pos="9350"/>
      </w:tabs>
      <w:spacing w:before="360" w:after="0"/>
    </w:pPr>
    <w:rPr>
      <w:rFonts w:asciiTheme="majorHAnsi" w:hAnsiTheme="majorHAnsi"/>
      <w:b/>
      <w:bCs/>
      <w:caps/>
      <w:noProof/>
    </w:rPr>
  </w:style>
  <w:style w:type="paragraph" w:styleId="TOC2">
    <w:name w:val="toc 2"/>
    <w:basedOn w:val="Normal"/>
    <w:next w:val="Normal"/>
    <w:autoRedefine/>
    <w:uiPriority w:val="39"/>
    <w:rsid w:val="00D466B6"/>
    <w:pPr>
      <w:spacing w:before="240" w:after="0"/>
    </w:pPr>
    <w:rPr>
      <w:rFonts w:cstheme="minorHAnsi"/>
      <w:b/>
      <w:bCs/>
      <w:szCs w:val="20"/>
    </w:rPr>
  </w:style>
  <w:style w:type="paragraph" w:styleId="CommentText">
    <w:name w:val="annotation text"/>
    <w:basedOn w:val="Normal"/>
    <w:link w:val="CommentTextChar"/>
    <w:uiPriority w:val="99"/>
    <w:rsid w:val="00D466B6"/>
  </w:style>
  <w:style w:type="character" w:customStyle="1" w:styleId="CommentTextChar">
    <w:name w:val="Comment Text Char"/>
    <w:basedOn w:val="DefaultParagraphFont"/>
    <w:link w:val="CommentText"/>
    <w:uiPriority w:val="99"/>
    <w:rsid w:val="00D466B6"/>
    <w:rPr>
      <w:rFonts w:eastAsia="Times New Roman" w:cs="Times New Roman"/>
      <w:sz w:val="20"/>
    </w:rPr>
  </w:style>
  <w:style w:type="character" w:customStyle="1" w:styleId="CommentSubjectChar">
    <w:name w:val="Comment Subject Char"/>
    <w:basedOn w:val="CommentTextChar"/>
    <w:link w:val="CommentSubject"/>
    <w:uiPriority w:val="99"/>
    <w:semiHidden/>
    <w:rsid w:val="00D466B6"/>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D466B6"/>
    <w:rPr>
      <w:b/>
      <w:bCs/>
    </w:rPr>
  </w:style>
  <w:style w:type="paragraph" w:styleId="BalloonText">
    <w:name w:val="Balloon Text"/>
    <w:basedOn w:val="Normal"/>
    <w:link w:val="BalloonTextChar"/>
    <w:uiPriority w:val="99"/>
    <w:semiHidden/>
    <w:rsid w:val="00D466B6"/>
    <w:rPr>
      <w:rFonts w:ascii="Tahoma" w:hAnsi="Tahoma" w:cs="Tahoma"/>
      <w:sz w:val="16"/>
      <w:szCs w:val="16"/>
    </w:rPr>
  </w:style>
  <w:style w:type="character" w:customStyle="1" w:styleId="BalloonTextChar">
    <w:name w:val="Balloon Text Char"/>
    <w:basedOn w:val="DefaultParagraphFont"/>
    <w:link w:val="BalloonText"/>
    <w:uiPriority w:val="99"/>
    <w:semiHidden/>
    <w:rsid w:val="00D466B6"/>
    <w:rPr>
      <w:rFonts w:ascii="Tahoma" w:eastAsia="Times New Roman" w:hAnsi="Tahoma" w:cs="Tahoma"/>
      <w:sz w:val="16"/>
      <w:szCs w:val="16"/>
    </w:rPr>
  </w:style>
  <w:style w:type="paragraph" w:styleId="NoSpacing">
    <w:name w:val="No Spacing"/>
    <w:uiPriority w:val="99"/>
    <w:qFormat/>
    <w:rsid w:val="00D466B6"/>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D466B6"/>
    <w:pPr>
      <w:ind w:left="720"/>
      <w:contextualSpacing/>
    </w:pPr>
  </w:style>
  <w:style w:type="character" w:styleId="BookTitle">
    <w:name w:val="Book Title"/>
    <w:uiPriority w:val="99"/>
    <w:qFormat/>
    <w:rsid w:val="00D466B6"/>
    <w:rPr>
      <w:b/>
      <w:bCs/>
      <w:smallCaps/>
      <w:spacing w:val="5"/>
    </w:rPr>
  </w:style>
  <w:style w:type="paragraph" w:styleId="Title">
    <w:name w:val="Title"/>
    <w:basedOn w:val="Normal"/>
    <w:next w:val="Normal"/>
    <w:link w:val="TitleChar"/>
    <w:uiPriority w:val="99"/>
    <w:qFormat/>
    <w:rsid w:val="00D466B6"/>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uiPriority w:val="99"/>
    <w:rsid w:val="00D466B6"/>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D466B6"/>
    <w:pPr>
      <w:keepLines/>
      <w:spacing w:before="80" w:after="40"/>
    </w:pPr>
    <w:rPr>
      <w:b/>
      <w:noProof/>
      <w:sz w:val="18"/>
    </w:rPr>
  </w:style>
  <w:style w:type="paragraph" w:customStyle="1" w:styleId="Tablecentered">
    <w:name w:val="Table centered"/>
    <w:basedOn w:val="Normal"/>
    <w:link w:val="TablecenteredChar"/>
    <w:autoRedefine/>
    <w:uiPriority w:val="99"/>
    <w:qFormat/>
    <w:rsid w:val="00D466B6"/>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D466B6"/>
    <w:rPr>
      <w:rFonts w:eastAsia="Times New Roman" w:cs="Times New Roman"/>
      <w:noProof/>
      <w:sz w:val="18"/>
      <w:szCs w:val="18"/>
    </w:rPr>
  </w:style>
  <w:style w:type="paragraph" w:customStyle="1" w:styleId="Tablecenteredbold">
    <w:name w:val="Table centered bold"/>
    <w:basedOn w:val="Tablecentered"/>
    <w:autoRedefine/>
    <w:uiPriority w:val="99"/>
    <w:rsid w:val="00D466B6"/>
    <w:rPr>
      <w:b/>
    </w:rPr>
  </w:style>
  <w:style w:type="paragraph" w:customStyle="1" w:styleId="Heading31">
    <w:name w:val="Heading 3.1"/>
    <w:basedOn w:val="Heading3"/>
    <w:link w:val="Heading31Char"/>
    <w:uiPriority w:val="99"/>
    <w:rsid w:val="00D466B6"/>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D466B6"/>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D466B6"/>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D466B6"/>
    <w:pPr>
      <w:spacing w:after="200" w:line="276" w:lineRule="auto"/>
    </w:pPr>
  </w:style>
  <w:style w:type="character" w:customStyle="1" w:styleId="AnalystTextChar">
    <w:name w:val="Analyst Text Char"/>
    <w:link w:val="AnalystText"/>
    <w:uiPriority w:val="99"/>
    <w:locked/>
    <w:rsid w:val="00D466B6"/>
    <w:rPr>
      <w:rFonts w:eastAsia="Times New Roman" w:cs="Times New Roman"/>
      <w:sz w:val="20"/>
    </w:rPr>
  </w:style>
  <w:style w:type="character" w:customStyle="1" w:styleId="UsernotesChar">
    <w:name w:val="User notes Char"/>
    <w:link w:val="Usernotes"/>
    <w:uiPriority w:val="99"/>
    <w:locked/>
    <w:rsid w:val="00D466B6"/>
    <w:rPr>
      <w:rFonts w:ascii="Comic Sans MS" w:eastAsia="Times New Roman" w:hAnsi="Comic Sans MS" w:cs="Times New Roman"/>
      <w:sz w:val="18"/>
      <w:szCs w:val="18"/>
    </w:rPr>
  </w:style>
  <w:style w:type="paragraph" w:styleId="Caption">
    <w:name w:val="caption"/>
    <w:aliases w:val="Footnotes,Table Caption"/>
    <w:basedOn w:val="Normal"/>
    <w:next w:val="Normal"/>
    <w:link w:val="CaptionChar"/>
    <w:autoRedefine/>
    <w:uiPriority w:val="99"/>
    <w:qFormat/>
    <w:rsid w:val="00556BF5"/>
    <w:pPr>
      <w:keepNext/>
      <w:tabs>
        <w:tab w:val="left" w:pos="1152"/>
      </w:tabs>
      <w:spacing w:after="0"/>
      <w:jc w:val="center"/>
    </w:pPr>
    <w:rPr>
      <w:rFonts w:asciiTheme="majorHAnsi" w:hAnsiTheme="majorHAnsi"/>
      <w:b/>
      <w:sz w:val="24"/>
      <w:szCs w:val="24"/>
      <w:vertAlign w:val="superscript"/>
    </w:rPr>
  </w:style>
  <w:style w:type="character" w:customStyle="1" w:styleId="CaptionChar">
    <w:name w:val="Caption Char"/>
    <w:aliases w:val="Footnotes Char,Table Caption Char"/>
    <w:link w:val="Caption"/>
    <w:uiPriority w:val="99"/>
    <w:locked/>
    <w:rsid w:val="00556BF5"/>
    <w:rPr>
      <w:rFonts w:asciiTheme="majorHAnsi" w:eastAsia="Times New Roman" w:hAnsiTheme="majorHAnsi" w:cs="Times New Roman"/>
      <w:b/>
      <w:sz w:val="24"/>
      <w:szCs w:val="24"/>
      <w:vertAlign w:val="superscript"/>
    </w:rPr>
  </w:style>
  <w:style w:type="paragraph" w:styleId="List">
    <w:name w:val="List"/>
    <w:basedOn w:val="Normal"/>
    <w:uiPriority w:val="99"/>
    <w:rsid w:val="00D466B6"/>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D466B6"/>
    <w:rPr>
      <w:rFonts w:cs="Times New Roman"/>
      <w:b/>
      <w:sz w:val="32"/>
      <w:lang w:val="en-US" w:eastAsia="en-US" w:bidi="ar-SA"/>
    </w:rPr>
  </w:style>
  <w:style w:type="character" w:customStyle="1" w:styleId="MacroTextChar">
    <w:name w:val="Macro Text Char"/>
    <w:basedOn w:val="DefaultParagraphFont"/>
    <w:link w:val="MacroText"/>
    <w:uiPriority w:val="99"/>
    <w:semiHidden/>
    <w:rsid w:val="00D466B6"/>
    <w:rPr>
      <w:rFonts w:ascii="Arial" w:eastAsia="Times New Roman" w:hAnsi="Arial" w:cs="Times New Roman"/>
      <w:sz w:val="20"/>
      <w:szCs w:val="20"/>
    </w:rPr>
  </w:style>
  <w:style w:type="paragraph" w:styleId="MacroText">
    <w:name w:val="macro"/>
    <w:link w:val="MacroTextChar"/>
    <w:uiPriority w:val="99"/>
    <w:semiHidden/>
    <w:rsid w:val="00D466B6"/>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paragraph" w:styleId="BodyTextIndent2">
    <w:name w:val="Body Text Indent 2"/>
    <w:basedOn w:val="Normal"/>
    <w:link w:val="BodyTextIndent2Char"/>
    <w:uiPriority w:val="99"/>
    <w:rsid w:val="00D466B6"/>
    <w:pPr>
      <w:ind w:left="720"/>
    </w:pPr>
  </w:style>
  <w:style w:type="character" w:customStyle="1" w:styleId="BodyTextIndent2Char">
    <w:name w:val="Body Text Indent 2 Char"/>
    <w:basedOn w:val="DefaultParagraphFont"/>
    <w:link w:val="BodyTextIndent2"/>
    <w:uiPriority w:val="99"/>
    <w:rsid w:val="00D466B6"/>
    <w:rPr>
      <w:rFonts w:eastAsia="Times New Roman" w:cs="Times New Roman"/>
      <w:sz w:val="20"/>
    </w:rPr>
  </w:style>
  <w:style w:type="character" w:styleId="FollowedHyperlink">
    <w:name w:val="FollowedHyperlink"/>
    <w:uiPriority w:val="99"/>
    <w:rsid w:val="00D466B6"/>
    <w:rPr>
      <w:rFonts w:cs="Times New Roman"/>
      <w:color w:val="800080"/>
      <w:u w:val="single"/>
    </w:rPr>
  </w:style>
  <w:style w:type="paragraph" w:customStyle="1" w:styleId="Default">
    <w:name w:val="Default"/>
    <w:uiPriority w:val="99"/>
    <w:rsid w:val="00D466B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D466B6"/>
    <w:rPr>
      <w:rFonts w:cs="Times New Roman"/>
      <w:sz w:val="24"/>
      <w:lang w:val="en-US" w:eastAsia="en-US" w:bidi="ar-SA"/>
    </w:rPr>
  </w:style>
  <w:style w:type="paragraph" w:styleId="TOC3">
    <w:name w:val="toc 3"/>
    <w:basedOn w:val="Normal"/>
    <w:next w:val="Normal"/>
    <w:autoRedefine/>
    <w:uiPriority w:val="39"/>
    <w:rsid w:val="00D466B6"/>
    <w:pPr>
      <w:spacing w:after="0"/>
      <w:ind w:left="240"/>
    </w:pPr>
    <w:rPr>
      <w:rFonts w:cstheme="minorHAnsi"/>
      <w:szCs w:val="20"/>
    </w:rPr>
  </w:style>
  <w:style w:type="character" w:customStyle="1" w:styleId="CharChar11">
    <w:name w:val="Char Char11"/>
    <w:uiPriority w:val="99"/>
    <w:locked/>
    <w:rsid w:val="00D466B6"/>
    <w:rPr>
      <w:rFonts w:ascii="Cambria" w:hAnsi="Cambria" w:cs="Times New Roman"/>
      <w:b/>
      <w:bCs/>
      <w:sz w:val="28"/>
      <w:szCs w:val="28"/>
      <w:lang w:val="en-US" w:eastAsia="en-US" w:bidi="ar-SA"/>
    </w:rPr>
  </w:style>
  <w:style w:type="character" w:customStyle="1" w:styleId="CharChar10">
    <w:name w:val="Char Char10"/>
    <w:uiPriority w:val="99"/>
    <w:locked/>
    <w:rsid w:val="00D466B6"/>
    <w:rPr>
      <w:rFonts w:ascii="Cambria" w:hAnsi="Cambria" w:cs="Times New Roman"/>
      <w:b/>
      <w:bCs/>
      <w:sz w:val="26"/>
      <w:szCs w:val="26"/>
      <w:lang w:val="en-US" w:eastAsia="en-US" w:bidi="ar-SA"/>
    </w:rPr>
  </w:style>
  <w:style w:type="character" w:customStyle="1" w:styleId="CharChar9">
    <w:name w:val="Char Char9"/>
    <w:uiPriority w:val="99"/>
    <w:locked/>
    <w:rsid w:val="00D466B6"/>
    <w:rPr>
      <w:rFonts w:ascii="Cambria" w:hAnsi="Cambria" w:cs="Times New Roman"/>
      <w:b/>
      <w:bCs/>
      <w:sz w:val="22"/>
      <w:szCs w:val="22"/>
      <w:lang w:val="en-US" w:eastAsia="en-US" w:bidi="ar-SA"/>
    </w:rPr>
  </w:style>
  <w:style w:type="character" w:customStyle="1" w:styleId="CharChar7">
    <w:name w:val="Char Char7"/>
    <w:uiPriority w:val="99"/>
    <w:locked/>
    <w:rsid w:val="00D466B6"/>
    <w:rPr>
      <w:rFonts w:ascii="Cambria" w:hAnsi="Cambria" w:cs="Times New Roman"/>
      <w:sz w:val="22"/>
      <w:szCs w:val="22"/>
      <w:lang w:val="en-US" w:eastAsia="en-US" w:bidi="ar-SA"/>
    </w:rPr>
  </w:style>
  <w:style w:type="character" w:customStyle="1" w:styleId="CharChar1">
    <w:name w:val="Char Char1"/>
    <w:uiPriority w:val="99"/>
    <w:locked/>
    <w:rsid w:val="00D466B6"/>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D466B6"/>
    <w:pPr>
      <w:tabs>
        <w:tab w:val="num" w:pos="720"/>
      </w:tabs>
      <w:ind w:left="720" w:hanging="360"/>
    </w:pPr>
  </w:style>
  <w:style w:type="character" w:customStyle="1" w:styleId="bodytext0">
    <w:name w:val="bodytext"/>
    <w:uiPriority w:val="99"/>
    <w:rsid w:val="00D466B6"/>
    <w:rPr>
      <w:rFonts w:cs="Times New Roman"/>
    </w:rPr>
  </w:style>
  <w:style w:type="character" w:customStyle="1" w:styleId="StyleBold">
    <w:name w:val="Style Bold"/>
    <w:uiPriority w:val="99"/>
    <w:rsid w:val="00D466B6"/>
    <w:rPr>
      <w:rFonts w:cs="Times New Roman"/>
      <w:b/>
      <w:bCs/>
      <w:sz w:val="20"/>
    </w:rPr>
  </w:style>
  <w:style w:type="character" w:customStyle="1" w:styleId="DocumentMapChar">
    <w:name w:val="Document Map Char"/>
    <w:basedOn w:val="DefaultParagraphFont"/>
    <w:link w:val="DocumentMap"/>
    <w:uiPriority w:val="99"/>
    <w:semiHidden/>
    <w:rsid w:val="00D466B6"/>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D466B6"/>
    <w:pPr>
      <w:shd w:val="clear" w:color="auto" w:fill="000080"/>
    </w:pPr>
    <w:rPr>
      <w:rFonts w:ascii="Tahoma" w:hAnsi="Tahoma" w:cs="Tahoma"/>
    </w:rPr>
  </w:style>
  <w:style w:type="character" w:styleId="CommentReference">
    <w:name w:val="annotation reference"/>
    <w:uiPriority w:val="99"/>
    <w:rsid w:val="00D466B6"/>
    <w:rPr>
      <w:rFonts w:cs="Times New Roman"/>
      <w:sz w:val="16"/>
      <w:szCs w:val="16"/>
    </w:rPr>
  </w:style>
  <w:style w:type="character" w:customStyle="1" w:styleId="apple-style-span">
    <w:name w:val="apple-style-span"/>
    <w:uiPriority w:val="99"/>
    <w:rsid w:val="00D466B6"/>
    <w:rPr>
      <w:rFonts w:cs="Times New Roman"/>
    </w:rPr>
  </w:style>
  <w:style w:type="paragraph" w:styleId="BodyTextIndent3">
    <w:name w:val="Body Text Indent 3"/>
    <w:basedOn w:val="Normal"/>
    <w:link w:val="BodyTextIndent3Char"/>
    <w:uiPriority w:val="99"/>
    <w:rsid w:val="00D466B6"/>
    <w:pPr>
      <w:spacing w:after="120"/>
      <w:ind w:left="360"/>
    </w:pPr>
    <w:rPr>
      <w:sz w:val="16"/>
      <w:szCs w:val="16"/>
    </w:rPr>
  </w:style>
  <w:style w:type="character" w:customStyle="1" w:styleId="BodyTextIndent3Char">
    <w:name w:val="Body Text Indent 3 Char"/>
    <w:basedOn w:val="DefaultParagraphFont"/>
    <w:link w:val="BodyTextIndent3"/>
    <w:uiPriority w:val="99"/>
    <w:rsid w:val="00D466B6"/>
    <w:rPr>
      <w:rFonts w:eastAsia="Times New Roman" w:cs="Times New Roman"/>
      <w:sz w:val="16"/>
      <w:szCs w:val="16"/>
    </w:rPr>
  </w:style>
  <w:style w:type="paragraph" w:styleId="ListBullet">
    <w:name w:val="List Bullet"/>
    <w:basedOn w:val="Normal"/>
    <w:uiPriority w:val="99"/>
    <w:rsid w:val="00D466B6"/>
    <w:pPr>
      <w:tabs>
        <w:tab w:val="num" w:pos="1080"/>
      </w:tabs>
      <w:ind w:left="360" w:hanging="360"/>
    </w:pPr>
  </w:style>
  <w:style w:type="paragraph" w:customStyle="1" w:styleId="xl25">
    <w:name w:val="xl25"/>
    <w:basedOn w:val="Normal"/>
    <w:uiPriority w:val="99"/>
    <w:rsid w:val="00D466B6"/>
    <w:pPr>
      <w:spacing w:before="100" w:beforeAutospacing="1" w:after="100" w:afterAutospacing="1"/>
    </w:pPr>
    <w:rPr>
      <w:rFonts w:ascii="Arial" w:eastAsia="Arial Unicode MS" w:hAnsi="Arial" w:cs="Arial"/>
    </w:rPr>
  </w:style>
  <w:style w:type="character" w:styleId="HTMLCite">
    <w:name w:val="HTML Cite"/>
    <w:uiPriority w:val="99"/>
    <w:rsid w:val="00D466B6"/>
    <w:rPr>
      <w:rFonts w:cs="Times New Roman"/>
      <w:i/>
      <w:iCs/>
    </w:rPr>
  </w:style>
  <w:style w:type="character" w:customStyle="1" w:styleId="apple-converted-space">
    <w:name w:val="apple-converted-space"/>
    <w:rsid w:val="00D466B6"/>
    <w:rPr>
      <w:rFonts w:cs="Times New Roman"/>
    </w:rPr>
  </w:style>
  <w:style w:type="paragraph" w:styleId="TOC4">
    <w:name w:val="toc 4"/>
    <w:basedOn w:val="Normal"/>
    <w:next w:val="Normal"/>
    <w:autoRedefine/>
    <w:uiPriority w:val="39"/>
    <w:rsid w:val="00D466B6"/>
    <w:pPr>
      <w:spacing w:after="0"/>
      <w:ind w:left="480"/>
    </w:pPr>
    <w:rPr>
      <w:rFonts w:cstheme="minorHAnsi"/>
      <w:szCs w:val="20"/>
    </w:rPr>
  </w:style>
  <w:style w:type="paragraph" w:styleId="TOC5">
    <w:name w:val="toc 5"/>
    <w:basedOn w:val="Normal"/>
    <w:next w:val="Normal"/>
    <w:autoRedefine/>
    <w:uiPriority w:val="39"/>
    <w:rsid w:val="00D466B6"/>
    <w:pPr>
      <w:spacing w:after="0"/>
      <w:ind w:left="720"/>
    </w:pPr>
    <w:rPr>
      <w:rFonts w:cstheme="minorHAnsi"/>
      <w:szCs w:val="20"/>
    </w:rPr>
  </w:style>
  <w:style w:type="paragraph" w:styleId="TOC6">
    <w:name w:val="toc 6"/>
    <w:basedOn w:val="Normal"/>
    <w:next w:val="Normal"/>
    <w:autoRedefine/>
    <w:uiPriority w:val="39"/>
    <w:rsid w:val="00D466B6"/>
    <w:pPr>
      <w:spacing w:after="0"/>
      <w:ind w:left="960"/>
    </w:pPr>
    <w:rPr>
      <w:rFonts w:cstheme="minorHAnsi"/>
      <w:szCs w:val="20"/>
    </w:rPr>
  </w:style>
  <w:style w:type="paragraph" w:styleId="TOC7">
    <w:name w:val="toc 7"/>
    <w:basedOn w:val="Normal"/>
    <w:next w:val="Normal"/>
    <w:autoRedefine/>
    <w:uiPriority w:val="39"/>
    <w:rsid w:val="00D466B6"/>
    <w:pPr>
      <w:spacing w:after="0"/>
      <w:ind w:left="1200"/>
    </w:pPr>
    <w:rPr>
      <w:rFonts w:cstheme="minorHAnsi"/>
      <w:szCs w:val="20"/>
    </w:rPr>
  </w:style>
  <w:style w:type="paragraph" w:styleId="TOC8">
    <w:name w:val="toc 8"/>
    <w:basedOn w:val="Normal"/>
    <w:next w:val="Normal"/>
    <w:autoRedefine/>
    <w:uiPriority w:val="39"/>
    <w:rsid w:val="00D466B6"/>
    <w:pPr>
      <w:spacing w:after="0"/>
      <w:ind w:left="1440"/>
    </w:pPr>
    <w:rPr>
      <w:rFonts w:cstheme="minorHAnsi"/>
      <w:szCs w:val="20"/>
    </w:rPr>
  </w:style>
  <w:style w:type="paragraph" w:styleId="TOC9">
    <w:name w:val="toc 9"/>
    <w:basedOn w:val="Normal"/>
    <w:next w:val="Normal"/>
    <w:autoRedefine/>
    <w:uiPriority w:val="39"/>
    <w:rsid w:val="00D466B6"/>
    <w:pPr>
      <w:spacing w:after="0"/>
      <w:ind w:left="1680"/>
    </w:pPr>
    <w:rPr>
      <w:rFonts w:cstheme="minorHAnsi"/>
      <w:szCs w:val="20"/>
    </w:rPr>
  </w:style>
  <w:style w:type="character" w:customStyle="1" w:styleId="CharChar">
    <w:name w:val="Char Char"/>
    <w:uiPriority w:val="99"/>
    <w:rsid w:val="00D466B6"/>
    <w:rPr>
      <w:rFonts w:cs="Times New Roman"/>
      <w:lang w:val="en-US" w:eastAsia="en-US" w:bidi="ar-SA"/>
    </w:rPr>
  </w:style>
  <w:style w:type="character" w:customStyle="1" w:styleId="CharChar4">
    <w:name w:val="Char Char4"/>
    <w:uiPriority w:val="99"/>
    <w:rsid w:val="00D466B6"/>
    <w:rPr>
      <w:rFonts w:cs="Times New Roman"/>
      <w:lang w:val="en-US" w:eastAsia="en-US" w:bidi="ar-SA"/>
    </w:rPr>
  </w:style>
  <w:style w:type="character" w:customStyle="1" w:styleId="CharChar81">
    <w:name w:val="Char Char81"/>
    <w:uiPriority w:val="99"/>
    <w:rsid w:val="00D466B6"/>
    <w:rPr>
      <w:rFonts w:cs="Times New Roman"/>
      <w:sz w:val="24"/>
      <w:lang w:val="en-US" w:eastAsia="en-US" w:bidi="ar-SA"/>
    </w:rPr>
  </w:style>
  <w:style w:type="character" w:customStyle="1" w:styleId="CharChar111">
    <w:name w:val="Char Char111"/>
    <w:uiPriority w:val="99"/>
    <w:locked/>
    <w:rsid w:val="00D466B6"/>
    <w:rPr>
      <w:rFonts w:ascii="Cambria" w:hAnsi="Cambria" w:cs="Times New Roman"/>
      <w:b/>
      <w:bCs/>
      <w:sz w:val="28"/>
      <w:szCs w:val="28"/>
      <w:lang w:val="en-US" w:eastAsia="en-US" w:bidi="ar-SA"/>
    </w:rPr>
  </w:style>
  <w:style w:type="character" w:customStyle="1" w:styleId="CharChar101">
    <w:name w:val="Char Char101"/>
    <w:uiPriority w:val="99"/>
    <w:locked/>
    <w:rsid w:val="00D466B6"/>
    <w:rPr>
      <w:rFonts w:ascii="Cambria" w:hAnsi="Cambria" w:cs="Times New Roman"/>
      <w:b/>
      <w:bCs/>
      <w:sz w:val="26"/>
      <w:szCs w:val="26"/>
      <w:lang w:val="en-US" w:eastAsia="en-US" w:bidi="ar-SA"/>
    </w:rPr>
  </w:style>
  <w:style w:type="character" w:customStyle="1" w:styleId="CharChar91">
    <w:name w:val="Char Char91"/>
    <w:uiPriority w:val="99"/>
    <w:locked/>
    <w:rsid w:val="00D466B6"/>
    <w:rPr>
      <w:rFonts w:ascii="Cambria" w:hAnsi="Cambria" w:cs="Times New Roman"/>
      <w:b/>
      <w:bCs/>
      <w:sz w:val="22"/>
      <w:szCs w:val="22"/>
      <w:lang w:val="en-US" w:eastAsia="en-US" w:bidi="ar-SA"/>
    </w:rPr>
  </w:style>
  <w:style w:type="character" w:customStyle="1" w:styleId="CharChar71">
    <w:name w:val="Char Char71"/>
    <w:uiPriority w:val="99"/>
    <w:locked/>
    <w:rsid w:val="00D466B6"/>
    <w:rPr>
      <w:rFonts w:ascii="Cambria" w:hAnsi="Cambria" w:cs="Times New Roman"/>
      <w:sz w:val="22"/>
      <w:szCs w:val="22"/>
      <w:lang w:val="en-US" w:eastAsia="en-US" w:bidi="ar-SA"/>
    </w:rPr>
  </w:style>
  <w:style w:type="character" w:customStyle="1" w:styleId="CharChar12">
    <w:name w:val="Char Char12"/>
    <w:uiPriority w:val="99"/>
    <w:locked/>
    <w:rsid w:val="00D466B6"/>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D466B6"/>
    <w:pPr>
      <w:keepLines/>
      <w:spacing w:before="480" w:after="0" w:line="276" w:lineRule="auto"/>
      <w:outlineLvl w:val="9"/>
    </w:pPr>
    <w:rPr>
      <w:rFonts w:cs="Times New Roman"/>
      <w:b/>
      <w:color w:val="365F91"/>
      <w:kern w:val="0"/>
      <w:sz w:val="28"/>
      <w:szCs w:val="28"/>
      <w:lang w:eastAsia="ja-JP"/>
    </w:rPr>
  </w:style>
  <w:style w:type="character" w:styleId="Strong">
    <w:name w:val="Strong"/>
    <w:basedOn w:val="DefaultParagraphFont"/>
    <w:uiPriority w:val="22"/>
    <w:rsid w:val="00D466B6"/>
    <w:rPr>
      <w:b/>
      <w:bCs/>
    </w:rPr>
  </w:style>
  <w:style w:type="paragraph" w:customStyle="1" w:styleId="TableText">
    <w:name w:val="Table Text"/>
    <w:basedOn w:val="Normal"/>
    <w:autoRedefine/>
    <w:qFormat/>
    <w:rsid w:val="00D466B6"/>
    <w:pPr>
      <w:spacing w:after="0"/>
      <w:jc w:val="center"/>
    </w:pPr>
    <w:rPr>
      <w:rFonts w:cs="Arial"/>
      <w:noProof/>
      <w:szCs w:val="18"/>
      <w:lang w:val="en"/>
    </w:rPr>
  </w:style>
  <w:style w:type="paragraph" w:customStyle="1" w:styleId="NormalTRM">
    <w:name w:val="Normal TRM"/>
    <w:basedOn w:val="Normal"/>
    <w:link w:val="NormalTRMChar"/>
    <w:rsid w:val="00D466B6"/>
  </w:style>
  <w:style w:type="character" w:customStyle="1" w:styleId="NormalTRMChar">
    <w:name w:val="Normal TRM Char"/>
    <w:basedOn w:val="DefaultParagraphFont"/>
    <w:link w:val="NormalTRM"/>
    <w:rsid w:val="00D466B6"/>
    <w:rPr>
      <w:rFonts w:eastAsia="Times New Roman" w:cs="Times New Roman"/>
      <w:sz w:val="20"/>
    </w:rPr>
  </w:style>
  <w:style w:type="paragraph" w:styleId="EndnoteText">
    <w:name w:val="endnote text"/>
    <w:basedOn w:val="Normal"/>
    <w:link w:val="EndnoteTextChar"/>
    <w:uiPriority w:val="99"/>
    <w:unhideWhenUsed/>
    <w:rsid w:val="00D466B6"/>
    <w:pPr>
      <w:spacing w:after="0"/>
    </w:pPr>
    <w:rPr>
      <w:rFonts w:ascii="Calibri" w:hAnsi="Calibri"/>
      <w:szCs w:val="20"/>
    </w:rPr>
  </w:style>
  <w:style w:type="character" w:customStyle="1" w:styleId="EndnoteTextChar">
    <w:name w:val="Endnote Text Char"/>
    <w:basedOn w:val="DefaultParagraphFont"/>
    <w:link w:val="EndnoteText"/>
    <w:uiPriority w:val="99"/>
    <w:rsid w:val="00D466B6"/>
    <w:rPr>
      <w:rFonts w:ascii="Calibri" w:eastAsia="Times New Roman" w:hAnsi="Calibri" w:cs="Times New Roman"/>
      <w:sz w:val="20"/>
      <w:szCs w:val="20"/>
    </w:rPr>
  </w:style>
  <w:style w:type="paragraph" w:customStyle="1" w:styleId="Footnote">
    <w:name w:val="Footnote"/>
    <w:basedOn w:val="FootnoteText"/>
    <w:link w:val="FootnoteChar"/>
    <w:autoRedefine/>
    <w:qFormat/>
    <w:rsid w:val="00D466B6"/>
    <w:pPr>
      <w:jc w:val="left"/>
    </w:pPr>
    <w:rPr>
      <w:rFonts w:cstheme="minorHAnsi"/>
      <w:szCs w:val="20"/>
    </w:rPr>
  </w:style>
  <w:style w:type="character" w:customStyle="1" w:styleId="FootnoteChar">
    <w:name w:val="Footnote Char"/>
    <w:basedOn w:val="footnoteChar0"/>
    <w:link w:val="Footnote"/>
    <w:rsid w:val="00D466B6"/>
    <w:rPr>
      <w:rFonts w:eastAsia="Times New Roman" w:cstheme="minorHAnsi"/>
      <w:sz w:val="20"/>
      <w:szCs w:val="20"/>
    </w:rPr>
  </w:style>
  <w:style w:type="character" w:customStyle="1" w:styleId="footnoteChar0">
    <w:name w:val="footnote Char"/>
    <w:basedOn w:val="FootnoteTextChar"/>
    <w:link w:val="footnote0"/>
    <w:rsid w:val="00D466B6"/>
    <w:rPr>
      <w:rFonts w:eastAsia="Times New Roman" w:cs="Times New Roman"/>
      <w:sz w:val="18"/>
      <w:szCs w:val="24"/>
    </w:rPr>
  </w:style>
  <w:style w:type="paragraph" w:customStyle="1" w:styleId="footnote0">
    <w:name w:val="footnote"/>
    <w:basedOn w:val="FootnoteText"/>
    <w:link w:val="footnoteChar0"/>
    <w:rsid w:val="00D466B6"/>
    <w:rPr>
      <w:sz w:val="18"/>
      <w:szCs w:val="24"/>
    </w:rPr>
  </w:style>
  <w:style w:type="paragraph" w:styleId="TableofFigures">
    <w:name w:val="table of figures"/>
    <w:basedOn w:val="Normal"/>
    <w:next w:val="Normal"/>
    <w:uiPriority w:val="99"/>
    <w:unhideWhenUsed/>
    <w:rsid w:val="00D466B6"/>
    <w:pPr>
      <w:spacing w:after="0"/>
    </w:pPr>
  </w:style>
  <w:style w:type="table" w:customStyle="1" w:styleId="TableGrid1">
    <w:name w:val="Table Grid1"/>
    <w:basedOn w:val="TableNormal"/>
    <w:next w:val="TableGrid"/>
    <w:rsid w:val="00D466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chnicalTable">
    <w:name w:val="Technical Table"/>
    <w:basedOn w:val="Normal"/>
    <w:link w:val="TechnicalTableChar"/>
    <w:autoRedefine/>
    <w:qFormat/>
    <w:rsid w:val="00D466B6"/>
    <w:pPr>
      <w:spacing w:after="0"/>
      <w:jc w:val="left"/>
    </w:pPr>
    <w:rPr>
      <w:rFonts w:cstheme="minorHAnsi"/>
    </w:rPr>
  </w:style>
  <w:style w:type="character" w:customStyle="1" w:styleId="TechnicalTableChar">
    <w:name w:val="Technical Table Char"/>
    <w:basedOn w:val="DefaultParagraphFont"/>
    <w:link w:val="TechnicalTable"/>
    <w:rsid w:val="00D466B6"/>
    <w:rPr>
      <w:rFonts w:eastAsia="Times New Roman" w:cstheme="minorHAnsi"/>
      <w:sz w:val="20"/>
    </w:rPr>
  </w:style>
  <w:style w:type="paragraph" w:customStyle="1" w:styleId="AlgorithmHeading">
    <w:name w:val="Algorithm Heading"/>
    <w:basedOn w:val="Normal"/>
    <w:link w:val="AlgorithmHeadingChar"/>
    <w:qFormat/>
    <w:rsid w:val="00D466B6"/>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466B6"/>
    <w:rPr>
      <w:rFonts w:eastAsia="Times New Roman" w:cstheme="minorHAnsi"/>
      <w:b/>
      <w:sz w:val="20"/>
      <w:szCs w:val="20"/>
    </w:rPr>
  </w:style>
  <w:style w:type="paragraph" w:customStyle="1" w:styleId="Captions">
    <w:name w:val="Captions"/>
    <w:basedOn w:val="Title"/>
    <w:link w:val="CaptionsChar"/>
    <w:autoRedefine/>
    <w:qFormat/>
    <w:rsid w:val="00E11739"/>
    <w:pPr>
      <w:pBdr>
        <w:bottom w:val="none" w:sz="0" w:space="0" w:color="auto"/>
      </w:pBdr>
      <w:spacing w:after="120"/>
      <w:jc w:val="center"/>
    </w:pPr>
    <w:rPr>
      <w:rFonts w:asciiTheme="minorHAnsi" w:hAnsiTheme="minorHAnsi" w:cstheme="minorHAnsi"/>
      <w:b/>
      <w:sz w:val="24"/>
      <w:szCs w:val="24"/>
    </w:rPr>
  </w:style>
  <w:style w:type="character" w:customStyle="1" w:styleId="CaptionsChar">
    <w:name w:val="Captions Char"/>
    <w:basedOn w:val="TitleChar"/>
    <w:link w:val="Captions"/>
    <w:rsid w:val="00E11739"/>
    <w:rPr>
      <w:rFonts w:ascii="Cambria" w:eastAsia="Times New Roman" w:hAnsi="Cambria" w:cstheme="minorHAnsi"/>
      <w:b/>
      <w:color w:val="000000"/>
      <w:spacing w:val="5"/>
      <w:kern w:val="28"/>
      <w:sz w:val="24"/>
      <w:szCs w:val="24"/>
    </w:rPr>
  </w:style>
  <w:style w:type="paragraph" w:customStyle="1" w:styleId="FormH2">
    <w:name w:val="Form H2"/>
    <w:basedOn w:val="NormalWeb"/>
    <w:link w:val="FormH2Char"/>
    <w:qFormat/>
    <w:rsid w:val="00D466B6"/>
    <w:pPr>
      <w:ind w:left="1440"/>
    </w:pPr>
    <w:rPr>
      <w:rFonts w:ascii="Calibri" w:hAnsi="Calibri" w:cs="Arial"/>
    </w:rPr>
  </w:style>
  <w:style w:type="paragraph" w:styleId="NormalWeb">
    <w:name w:val="Normal (Web)"/>
    <w:basedOn w:val="Normal"/>
    <w:uiPriority w:val="99"/>
    <w:unhideWhenUsed/>
    <w:rsid w:val="00D466B6"/>
    <w:rPr>
      <w:rFonts w:ascii="Times New Roman" w:hAnsi="Times New Roman"/>
      <w:sz w:val="24"/>
      <w:szCs w:val="24"/>
    </w:rPr>
  </w:style>
  <w:style w:type="character" w:customStyle="1" w:styleId="FormH2Char">
    <w:name w:val="Form H2 Char"/>
    <w:basedOn w:val="Heading2Char"/>
    <w:link w:val="FormH2"/>
    <w:rsid w:val="00D466B6"/>
    <w:rPr>
      <w:rFonts w:ascii="Calibri" w:eastAsia="Times New Roman" w:hAnsi="Calibri" w:cs="Arial"/>
      <w:bCs w:val="0"/>
      <w:iCs w:val="0"/>
      <w:sz w:val="24"/>
      <w:szCs w:val="24"/>
    </w:rPr>
  </w:style>
  <w:style w:type="paragraph" w:customStyle="1" w:styleId="Form">
    <w:name w:val="Form"/>
    <w:basedOn w:val="NormalWeb"/>
    <w:next w:val="Normal"/>
    <w:link w:val="FormChar"/>
    <w:qFormat/>
    <w:rsid w:val="00D466B6"/>
    <w:rPr>
      <w:rFonts w:ascii="Calibri" w:hAnsi="Calibri" w:cs="Arial"/>
    </w:rPr>
  </w:style>
  <w:style w:type="character" w:customStyle="1" w:styleId="FormChar">
    <w:name w:val="Form Char"/>
    <w:basedOn w:val="Heading2Char"/>
    <w:link w:val="Form"/>
    <w:rsid w:val="00D466B6"/>
    <w:rPr>
      <w:rFonts w:ascii="Calibri" w:eastAsia="Times New Roman" w:hAnsi="Calibri" w:cs="Arial"/>
      <w:bCs w:val="0"/>
      <w:iCs w:val="0"/>
      <w:sz w:val="24"/>
      <w:szCs w:val="24"/>
    </w:rPr>
  </w:style>
  <w:style w:type="paragraph" w:customStyle="1" w:styleId="FormH4">
    <w:name w:val="Form H4"/>
    <w:basedOn w:val="FormH2"/>
    <w:link w:val="FormH4Char"/>
    <w:qFormat/>
    <w:rsid w:val="00D466B6"/>
    <w:pPr>
      <w:keepNext/>
      <w:keepLines/>
      <w:spacing w:before="200" w:after="0" w:line="276" w:lineRule="auto"/>
      <w:ind w:left="1800"/>
      <w:jc w:val="left"/>
      <w:outlineLvl w:val="1"/>
    </w:pPr>
    <w:rPr>
      <w:bCs/>
      <w:iCs/>
      <w:sz w:val="28"/>
      <w:szCs w:val="28"/>
    </w:rPr>
  </w:style>
  <w:style w:type="character" w:customStyle="1" w:styleId="FormH4Char">
    <w:name w:val="Form H4 Char"/>
    <w:basedOn w:val="FormH2Char"/>
    <w:link w:val="FormH4"/>
    <w:rsid w:val="00D466B6"/>
    <w:rPr>
      <w:rFonts w:ascii="Calibri" w:eastAsia="Times New Roman" w:hAnsi="Calibri" w:cs="Arial"/>
      <w:bCs/>
      <w:iCs/>
      <w:sz w:val="28"/>
      <w:szCs w:val="28"/>
    </w:rPr>
  </w:style>
  <w:style w:type="paragraph" w:customStyle="1" w:styleId="Normal1">
    <w:name w:val="Normal1"/>
    <w:basedOn w:val="Normal"/>
    <w:uiPriority w:val="99"/>
    <w:rsid w:val="00D466B6"/>
    <w:pPr>
      <w:autoSpaceDE w:val="0"/>
      <w:autoSpaceDN w:val="0"/>
      <w:spacing w:after="0"/>
      <w:jc w:val="left"/>
    </w:pPr>
    <w:rPr>
      <w:rFonts w:ascii="Arial" w:hAnsi="Arial" w:cs="Arial"/>
      <w:sz w:val="24"/>
      <w:szCs w:val="24"/>
    </w:rPr>
  </w:style>
  <w:style w:type="paragraph" w:customStyle="1" w:styleId="whs2">
    <w:name w:val="whs2"/>
    <w:basedOn w:val="Normal"/>
    <w:uiPriority w:val="99"/>
    <w:rsid w:val="00D466B6"/>
    <w:pPr>
      <w:spacing w:after="0"/>
      <w:jc w:val="left"/>
    </w:pPr>
    <w:rPr>
      <w:rFonts w:ascii="Arial" w:hAnsi="Arial" w:cs="Arial"/>
      <w:szCs w:val="20"/>
    </w:rPr>
  </w:style>
  <w:style w:type="paragraph" w:customStyle="1" w:styleId="font5">
    <w:name w:val="font5"/>
    <w:basedOn w:val="Normal"/>
    <w:uiPriority w:val="99"/>
    <w:rsid w:val="00D466B6"/>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D466B6"/>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D466B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D466B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D466B6"/>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D466B6"/>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D466B6"/>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D466B6"/>
  </w:style>
  <w:style w:type="paragraph" w:customStyle="1" w:styleId="TableandFigureCaption">
    <w:name w:val="Table and Figure Caption"/>
    <w:basedOn w:val="Tablecentered"/>
    <w:link w:val="TableandFigureCaptionChar"/>
    <w:autoRedefine/>
    <w:qFormat/>
    <w:rsid w:val="00D466B6"/>
    <w:pPr>
      <w:tabs>
        <w:tab w:val="clear" w:pos="6750"/>
      </w:tabs>
    </w:pPr>
  </w:style>
  <w:style w:type="character" w:customStyle="1" w:styleId="TableandFigureCaptionChar">
    <w:name w:val="Table and Figure Caption Char"/>
    <w:basedOn w:val="TablecenteredChar"/>
    <w:link w:val="TableandFigureCaption"/>
    <w:rsid w:val="00D466B6"/>
    <w:rPr>
      <w:rFonts w:eastAsia="Times New Roman" w:cs="Times New Roman"/>
      <w:noProof/>
      <w:sz w:val="18"/>
      <w:szCs w:val="18"/>
    </w:rPr>
  </w:style>
  <w:style w:type="paragraph" w:customStyle="1" w:styleId="TableHeading">
    <w:name w:val="Table Heading"/>
    <w:basedOn w:val="TableText"/>
    <w:autoRedefine/>
    <w:uiPriority w:val="99"/>
    <w:qFormat/>
    <w:rsid w:val="00D466B6"/>
    <w:rPr>
      <w:rFonts w:ascii="Calibri" w:hAnsi="Calibri"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D466B6"/>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D466B6"/>
    <w:pPr>
      <w:spacing w:after="0"/>
    </w:pPr>
    <w:rPr>
      <w:rFonts w:cstheme="minorHAnsi"/>
    </w:rPr>
  </w:style>
  <w:style w:type="character" w:customStyle="1" w:styleId="VersionTextChar">
    <w:name w:val="Version Text Char"/>
    <w:basedOn w:val="DefaultParagraphFont"/>
    <w:link w:val="VersionText"/>
    <w:rsid w:val="00D466B6"/>
    <w:rPr>
      <w:rFonts w:eastAsia="Times New Roman" w:cstheme="minorHAnsi"/>
      <w:sz w:val="20"/>
    </w:rPr>
  </w:style>
  <w:style w:type="paragraph" w:customStyle="1" w:styleId="VersionandDate">
    <w:name w:val="Version and Date"/>
    <w:basedOn w:val="Normal"/>
    <w:link w:val="VersionandDateChar"/>
    <w:qFormat/>
    <w:rsid w:val="00D466B6"/>
    <w:pPr>
      <w:spacing w:after="0"/>
      <w:jc w:val="left"/>
    </w:pPr>
    <w:rPr>
      <w:rFonts w:ascii="Times New Roman" w:hAnsi="Times New Roman"/>
      <w:szCs w:val="20"/>
    </w:rPr>
  </w:style>
  <w:style w:type="character" w:customStyle="1" w:styleId="VersionandDateChar">
    <w:name w:val="Version and Date Char"/>
    <w:basedOn w:val="DefaultParagraphFont"/>
    <w:link w:val="VersionandDate"/>
    <w:rsid w:val="00D466B6"/>
    <w:rPr>
      <w:rFonts w:ascii="Times New Roman" w:eastAsia="Times New Roman" w:hAnsi="Times New Roman" w:cs="Times New Roman"/>
      <w:sz w:val="20"/>
      <w:szCs w:val="20"/>
    </w:rPr>
  </w:style>
  <w:style w:type="character" w:customStyle="1" w:styleId="FootnoteTextChar2">
    <w:name w:val="Footnote Text Char2"/>
    <w:uiPriority w:val="99"/>
    <w:locked/>
    <w:rsid w:val="00D466B6"/>
    <w:rPr>
      <w:sz w:val="18"/>
      <w:lang w:val="en-US" w:eastAsia="en-US" w:bidi="ar-SA"/>
    </w:rPr>
  </w:style>
  <w:style w:type="paragraph" w:customStyle="1" w:styleId="HeaderIL">
    <w:name w:val="Header IL"/>
    <w:basedOn w:val="Header"/>
    <w:link w:val="HeaderILChar"/>
    <w:qFormat/>
    <w:rsid w:val="00D466B6"/>
    <w:pPr>
      <w:pBdr>
        <w:bottom w:val="single" w:sz="4" w:space="0" w:color="auto"/>
      </w:pBdr>
      <w:spacing w:after="0"/>
      <w:jc w:val="left"/>
    </w:pPr>
  </w:style>
  <w:style w:type="character" w:customStyle="1" w:styleId="HeaderILChar">
    <w:name w:val="Header IL Char"/>
    <w:basedOn w:val="HeaderChar"/>
    <w:link w:val="HeaderIL"/>
    <w:rsid w:val="00D466B6"/>
    <w:rPr>
      <w:rFonts w:eastAsia="Times New Roman" w:cs="Times New Roman"/>
      <w:sz w:val="20"/>
    </w:rPr>
  </w:style>
  <w:style w:type="paragraph" w:customStyle="1" w:styleId="h5">
    <w:name w:val="h5"/>
    <w:basedOn w:val="Normal"/>
    <w:rsid w:val="001E6327"/>
    <w:pPr>
      <w:widowControl/>
      <w:spacing w:before="100" w:beforeAutospacing="1" w:after="100" w:afterAutospacing="1"/>
      <w:jc w:val="left"/>
    </w:pPr>
    <w:rPr>
      <w:rFonts w:ascii="Times New Roman" w:hAnsi="Times New Roman"/>
      <w:sz w:val="24"/>
      <w:szCs w:val="24"/>
    </w:rPr>
  </w:style>
  <w:style w:type="character" w:styleId="PlaceholderText">
    <w:name w:val="Placeholder Text"/>
    <w:basedOn w:val="DefaultParagraphFont"/>
    <w:uiPriority w:val="99"/>
    <w:semiHidden/>
    <w:rsid w:val="00EC0DA6"/>
    <w:rPr>
      <w:color w:val="808080"/>
    </w:rPr>
  </w:style>
  <w:style w:type="paragraph" w:styleId="Bibliography">
    <w:name w:val="Bibliography"/>
    <w:basedOn w:val="Normal"/>
    <w:next w:val="Normal"/>
    <w:uiPriority w:val="37"/>
    <w:unhideWhenUsed/>
    <w:rsid w:val="00E50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27094">
      <w:bodyDiv w:val="1"/>
      <w:marLeft w:val="0"/>
      <w:marRight w:val="0"/>
      <w:marTop w:val="0"/>
      <w:marBottom w:val="0"/>
      <w:divBdr>
        <w:top w:val="none" w:sz="0" w:space="0" w:color="auto"/>
        <w:left w:val="none" w:sz="0" w:space="0" w:color="auto"/>
        <w:bottom w:val="none" w:sz="0" w:space="0" w:color="auto"/>
        <w:right w:val="none" w:sz="0" w:space="0" w:color="auto"/>
      </w:divBdr>
    </w:div>
    <w:div w:id="316763068">
      <w:bodyDiv w:val="1"/>
      <w:marLeft w:val="0"/>
      <w:marRight w:val="0"/>
      <w:marTop w:val="0"/>
      <w:marBottom w:val="0"/>
      <w:divBdr>
        <w:top w:val="none" w:sz="0" w:space="0" w:color="auto"/>
        <w:left w:val="none" w:sz="0" w:space="0" w:color="auto"/>
        <w:bottom w:val="none" w:sz="0" w:space="0" w:color="auto"/>
        <w:right w:val="none" w:sz="0" w:space="0" w:color="auto"/>
      </w:divBdr>
    </w:div>
    <w:div w:id="436632402">
      <w:bodyDiv w:val="1"/>
      <w:marLeft w:val="0"/>
      <w:marRight w:val="0"/>
      <w:marTop w:val="0"/>
      <w:marBottom w:val="0"/>
      <w:divBdr>
        <w:top w:val="none" w:sz="0" w:space="0" w:color="auto"/>
        <w:left w:val="none" w:sz="0" w:space="0" w:color="auto"/>
        <w:bottom w:val="none" w:sz="0" w:space="0" w:color="auto"/>
        <w:right w:val="none" w:sz="0" w:space="0" w:color="auto"/>
      </w:divBdr>
    </w:div>
    <w:div w:id="443305023">
      <w:bodyDiv w:val="1"/>
      <w:marLeft w:val="0"/>
      <w:marRight w:val="0"/>
      <w:marTop w:val="0"/>
      <w:marBottom w:val="0"/>
      <w:divBdr>
        <w:top w:val="none" w:sz="0" w:space="0" w:color="auto"/>
        <w:left w:val="none" w:sz="0" w:space="0" w:color="auto"/>
        <w:bottom w:val="none" w:sz="0" w:space="0" w:color="auto"/>
        <w:right w:val="none" w:sz="0" w:space="0" w:color="auto"/>
      </w:divBdr>
    </w:div>
    <w:div w:id="978724554">
      <w:bodyDiv w:val="1"/>
      <w:marLeft w:val="0"/>
      <w:marRight w:val="0"/>
      <w:marTop w:val="0"/>
      <w:marBottom w:val="0"/>
      <w:divBdr>
        <w:top w:val="none" w:sz="0" w:space="0" w:color="auto"/>
        <w:left w:val="none" w:sz="0" w:space="0" w:color="auto"/>
        <w:bottom w:val="none" w:sz="0" w:space="0" w:color="auto"/>
        <w:right w:val="none" w:sz="0" w:space="0" w:color="auto"/>
      </w:divBdr>
    </w:div>
    <w:div w:id="1026709753">
      <w:bodyDiv w:val="1"/>
      <w:marLeft w:val="0"/>
      <w:marRight w:val="0"/>
      <w:marTop w:val="0"/>
      <w:marBottom w:val="0"/>
      <w:divBdr>
        <w:top w:val="none" w:sz="0" w:space="0" w:color="auto"/>
        <w:left w:val="none" w:sz="0" w:space="0" w:color="auto"/>
        <w:bottom w:val="none" w:sz="0" w:space="0" w:color="auto"/>
        <w:right w:val="none" w:sz="0" w:space="0" w:color="auto"/>
      </w:divBdr>
    </w:div>
    <w:div w:id="1359433159">
      <w:bodyDiv w:val="1"/>
      <w:marLeft w:val="0"/>
      <w:marRight w:val="0"/>
      <w:marTop w:val="0"/>
      <w:marBottom w:val="0"/>
      <w:divBdr>
        <w:top w:val="none" w:sz="0" w:space="0" w:color="auto"/>
        <w:left w:val="none" w:sz="0" w:space="0" w:color="auto"/>
        <w:bottom w:val="none" w:sz="0" w:space="0" w:color="auto"/>
        <w:right w:val="none" w:sz="0" w:space="0" w:color="auto"/>
      </w:divBdr>
    </w:div>
    <w:div w:id="1558663225">
      <w:bodyDiv w:val="1"/>
      <w:marLeft w:val="0"/>
      <w:marRight w:val="0"/>
      <w:marTop w:val="0"/>
      <w:marBottom w:val="0"/>
      <w:divBdr>
        <w:top w:val="none" w:sz="0" w:space="0" w:color="auto"/>
        <w:left w:val="none" w:sz="0" w:space="0" w:color="auto"/>
        <w:bottom w:val="none" w:sz="0" w:space="0" w:color="auto"/>
        <w:right w:val="none" w:sz="0" w:space="0" w:color="auto"/>
      </w:divBdr>
    </w:div>
    <w:div w:id="1681666003">
      <w:bodyDiv w:val="1"/>
      <w:marLeft w:val="0"/>
      <w:marRight w:val="0"/>
      <w:marTop w:val="0"/>
      <w:marBottom w:val="0"/>
      <w:divBdr>
        <w:top w:val="none" w:sz="0" w:space="0" w:color="auto"/>
        <w:left w:val="none" w:sz="0" w:space="0" w:color="auto"/>
        <w:bottom w:val="none" w:sz="0" w:space="0" w:color="auto"/>
        <w:right w:val="none" w:sz="0" w:space="0" w:color="auto"/>
      </w:divBdr>
    </w:div>
    <w:div w:id="1790272959">
      <w:bodyDiv w:val="1"/>
      <w:marLeft w:val="0"/>
      <w:marRight w:val="0"/>
      <w:marTop w:val="0"/>
      <w:marBottom w:val="0"/>
      <w:divBdr>
        <w:top w:val="none" w:sz="0" w:space="0" w:color="auto"/>
        <w:left w:val="none" w:sz="0" w:space="0" w:color="auto"/>
        <w:bottom w:val="none" w:sz="0" w:space="0" w:color="auto"/>
        <w:right w:val="none" w:sz="0" w:space="0" w:color="auto"/>
      </w:divBdr>
    </w:div>
    <w:div w:id="1840195187">
      <w:bodyDiv w:val="1"/>
      <w:marLeft w:val="0"/>
      <w:marRight w:val="0"/>
      <w:marTop w:val="0"/>
      <w:marBottom w:val="0"/>
      <w:divBdr>
        <w:top w:val="none" w:sz="0" w:space="0" w:color="auto"/>
        <w:left w:val="none" w:sz="0" w:space="0" w:color="auto"/>
        <w:bottom w:val="none" w:sz="0" w:space="0" w:color="auto"/>
        <w:right w:val="none" w:sz="0" w:space="0" w:color="auto"/>
      </w:divBdr>
    </w:div>
    <w:div w:id="1947729973">
      <w:bodyDiv w:val="1"/>
      <w:marLeft w:val="0"/>
      <w:marRight w:val="0"/>
      <w:marTop w:val="0"/>
      <w:marBottom w:val="0"/>
      <w:divBdr>
        <w:top w:val="none" w:sz="0" w:space="0" w:color="auto"/>
        <w:left w:val="none" w:sz="0" w:space="0" w:color="auto"/>
        <w:bottom w:val="none" w:sz="0" w:space="0" w:color="auto"/>
        <w:right w:val="none" w:sz="0" w:space="0" w:color="auto"/>
      </w:divBdr>
      <w:divsChild>
        <w:div w:id="1831749136">
          <w:marLeft w:val="0"/>
          <w:marRight w:val="0"/>
          <w:marTop w:val="120"/>
          <w:marBottom w:val="120"/>
          <w:divBdr>
            <w:top w:val="none" w:sz="0" w:space="0" w:color="auto"/>
            <w:left w:val="none" w:sz="0" w:space="0" w:color="auto"/>
            <w:bottom w:val="none" w:sz="0" w:space="0" w:color="auto"/>
            <w:right w:val="none" w:sz="0" w:space="0" w:color="auto"/>
          </w:divBdr>
          <w:divsChild>
            <w:div w:id="1598441340">
              <w:marLeft w:val="0"/>
              <w:marRight w:val="0"/>
              <w:marTop w:val="0"/>
              <w:marBottom w:val="0"/>
              <w:divBdr>
                <w:top w:val="none" w:sz="0" w:space="0" w:color="auto"/>
                <w:left w:val="none" w:sz="0" w:space="0" w:color="auto"/>
                <w:bottom w:val="none" w:sz="0" w:space="0" w:color="auto"/>
                <w:right w:val="none" w:sz="0" w:space="0" w:color="auto"/>
              </w:divBdr>
            </w:div>
            <w:div w:id="240408054">
              <w:marLeft w:val="0"/>
              <w:marRight w:val="0"/>
              <w:marTop w:val="0"/>
              <w:marBottom w:val="0"/>
              <w:divBdr>
                <w:top w:val="none" w:sz="0" w:space="0" w:color="auto"/>
                <w:left w:val="none" w:sz="0" w:space="0" w:color="auto"/>
                <w:bottom w:val="none" w:sz="0" w:space="0" w:color="auto"/>
                <w:right w:val="none" w:sz="0" w:space="0" w:color="auto"/>
              </w:divBdr>
            </w:div>
          </w:divsChild>
        </w:div>
        <w:div w:id="1891065367">
          <w:marLeft w:val="0"/>
          <w:marRight w:val="0"/>
          <w:marTop w:val="120"/>
          <w:marBottom w:val="120"/>
          <w:divBdr>
            <w:top w:val="none" w:sz="0" w:space="0" w:color="auto"/>
            <w:left w:val="none" w:sz="0" w:space="0" w:color="auto"/>
            <w:bottom w:val="none" w:sz="0" w:space="0" w:color="auto"/>
            <w:right w:val="none" w:sz="0" w:space="0" w:color="auto"/>
          </w:divBdr>
          <w:divsChild>
            <w:div w:id="1949657609">
              <w:marLeft w:val="288"/>
              <w:marRight w:val="0"/>
              <w:marTop w:val="0"/>
              <w:marBottom w:val="0"/>
              <w:divBdr>
                <w:top w:val="none" w:sz="0" w:space="0" w:color="auto"/>
                <w:left w:val="none" w:sz="0" w:space="0" w:color="auto"/>
                <w:bottom w:val="none" w:sz="0" w:space="0" w:color="auto"/>
                <w:right w:val="none" w:sz="0" w:space="0" w:color="auto"/>
              </w:divBdr>
            </w:div>
          </w:divsChild>
        </w:div>
        <w:div w:id="1357922639">
          <w:marLeft w:val="0"/>
          <w:marRight w:val="0"/>
          <w:marTop w:val="120"/>
          <w:marBottom w:val="120"/>
          <w:divBdr>
            <w:top w:val="none" w:sz="0" w:space="0" w:color="auto"/>
            <w:left w:val="none" w:sz="0" w:space="0" w:color="auto"/>
            <w:bottom w:val="none" w:sz="0" w:space="0" w:color="auto"/>
            <w:right w:val="none" w:sz="0" w:space="0" w:color="auto"/>
          </w:divBdr>
          <w:divsChild>
            <w:div w:id="1139998856">
              <w:marLeft w:val="0"/>
              <w:marRight w:val="0"/>
              <w:marTop w:val="0"/>
              <w:marBottom w:val="0"/>
              <w:divBdr>
                <w:top w:val="none" w:sz="0" w:space="0" w:color="auto"/>
                <w:left w:val="none" w:sz="0" w:space="0" w:color="auto"/>
                <w:bottom w:val="none" w:sz="0" w:space="0" w:color="auto"/>
                <w:right w:val="none" w:sz="0" w:space="0" w:color="auto"/>
              </w:divBdr>
            </w:div>
            <w:div w:id="2019694649">
              <w:marLeft w:val="0"/>
              <w:marRight w:val="0"/>
              <w:marTop w:val="0"/>
              <w:marBottom w:val="0"/>
              <w:divBdr>
                <w:top w:val="none" w:sz="0" w:space="0" w:color="auto"/>
                <w:left w:val="none" w:sz="0" w:space="0" w:color="auto"/>
                <w:bottom w:val="none" w:sz="0" w:space="0" w:color="auto"/>
                <w:right w:val="none" w:sz="0" w:space="0" w:color="auto"/>
              </w:divBdr>
            </w:div>
          </w:divsChild>
        </w:div>
        <w:div w:id="1606422975">
          <w:marLeft w:val="0"/>
          <w:marRight w:val="0"/>
          <w:marTop w:val="120"/>
          <w:marBottom w:val="120"/>
          <w:divBdr>
            <w:top w:val="none" w:sz="0" w:space="0" w:color="auto"/>
            <w:left w:val="none" w:sz="0" w:space="0" w:color="auto"/>
            <w:bottom w:val="none" w:sz="0" w:space="0" w:color="auto"/>
            <w:right w:val="none" w:sz="0" w:space="0" w:color="auto"/>
          </w:divBdr>
          <w:divsChild>
            <w:div w:id="42533390">
              <w:marLeft w:val="288"/>
              <w:marRight w:val="0"/>
              <w:marTop w:val="0"/>
              <w:marBottom w:val="0"/>
              <w:divBdr>
                <w:top w:val="none" w:sz="0" w:space="0" w:color="auto"/>
                <w:left w:val="none" w:sz="0" w:space="0" w:color="auto"/>
                <w:bottom w:val="none" w:sz="0" w:space="0" w:color="auto"/>
                <w:right w:val="none" w:sz="0" w:space="0" w:color="auto"/>
              </w:divBdr>
            </w:div>
          </w:divsChild>
        </w:div>
        <w:div w:id="1517689725">
          <w:marLeft w:val="0"/>
          <w:marRight w:val="0"/>
          <w:marTop w:val="120"/>
          <w:marBottom w:val="120"/>
          <w:divBdr>
            <w:top w:val="none" w:sz="0" w:space="0" w:color="auto"/>
            <w:left w:val="none" w:sz="0" w:space="0" w:color="auto"/>
            <w:bottom w:val="none" w:sz="0" w:space="0" w:color="auto"/>
            <w:right w:val="none" w:sz="0" w:space="0" w:color="auto"/>
          </w:divBdr>
          <w:divsChild>
            <w:div w:id="1559244322">
              <w:marLeft w:val="0"/>
              <w:marRight w:val="0"/>
              <w:marTop w:val="0"/>
              <w:marBottom w:val="0"/>
              <w:divBdr>
                <w:top w:val="none" w:sz="0" w:space="0" w:color="auto"/>
                <w:left w:val="none" w:sz="0" w:space="0" w:color="auto"/>
                <w:bottom w:val="none" w:sz="0" w:space="0" w:color="auto"/>
                <w:right w:val="none" w:sz="0" w:space="0" w:color="auto"/>
              </w:divBdr>
            </w:div>
            <w:div w:id="1645044195">
              <w:marLeft w:val="0"/>
              <w:marRight w:val="0"/>
              <w:marTop w:val="0"/>
              <w:marBottom w:val="0"/>
              <w:divBdr>
                <w:top w:val="none" w:sz="0" w:space="0" w:color="auto"/>
                <w:left w:val="none" w:sz="0" w:space="0" w:color="auto"/>
                <w:bottom w:val="none" w:sz="0" w:space="0" w:color="auto"/>
                <w:right w:val="none" w:sz="0" w:space="0" w:color="auto"/>
              </w:divBdr>
            </w:div>
          </w:divsChild>
        </w:div>
        <w:div w:id="1012882232">
          <w:marLeft w:val="0"/>
          <w:marRight w:val="0"/>
          <w:marTop w:val="120"/>
          <w:marBottom w:val="120"/>
          <w:divBdr>
            <w:top w:val="none" w:sz="0" w:space="0" w:color="auto"/>
            <w:left w:val="none" w:sz="0" w:space="0" w:color="auto"/>
            <w:bottom w:val="none" w:sz="0" w:space="0" w:color="auto"/>
            <w:right w:val="none" w:sz="0" w:space="0" w:color="auto"/>
          </w:divBdr>
          <w:divsChild>
            <w:div w:id="268779839">
              <w:marLeft w:val="0"/>
              <w:marRight w:val="0"/>
              <w:marTop w:val="0"/>
              <w:marBottom w:val="0"/>
              <w:divBdr>
                <w:top w:val="none" w:sz="0" w:space="0" w:color="auto"/>
                <w:left w:val="none" w:sz="0" w:space="0" w:color="auto"/>
                <w:bottom w:val="none" w:sz="0" w:space="0" w:color="auto"/>
                <w:right w:val="none" w:sz="0" w:space="0" w:color="auto"/>
              </w:divBdr>
            </w:div>
            <w:div w:id="506142116">
              <w:marLeft w:val="0"/>
              <w:marRight w:val="0"/>
              <w:marTop w:val="0"/>
              <w:marBottom w:val="0"/>
              <w:divBdr>
                <w:top w:val="none" w:sz="0" w:space="0" w:color="auto"/>
                <w:left w:val="none" w:sz="0" w:space="0" w:color="auto"/>
                <w:bottom w:val="none" w:sz="0" w:space="0" w:color="auto"/>
                <w:right w:val="none" w:sz="0" w:space="0" w:color="auto"/>
              </w:divBdr>
            </w:div>
          </w:divsChild>
        </w:div>
        <w:div w:id="623123109">
          <w:marLeft w:val="0"/>
          <w:marRight w:val="0"/>
          <w:marTop w:val="120"/>
          <w:marBottom w:val="120"/>
          <w:divBdr>
            <w:top w:val="none" w:sz="0" w:space="0" w:color="auto"/>
            <w:left w:val="none" w:sz="0" w:space="0" w:color="auto"/>
            <w:bottom w:val="none" w:sz="0" w:space="0" w:color="auto"/>
            <w:right w:val="none" w:sz="0" w:space="0" w:color="auto"/>
          </w:divBdr>
          <w:divsChild>
            <w:div w:id="483161421">
              <w:marLeft w:val="288"/>
              <w:marRight w:val="0"/>
              <w:marTop w:val="0"/>
              <w:marBottom w:val="0"/>
              <w:divBdr>
                <w:top w:val="none" w:sz="0" w:space="0" w:color="auto"/>
                <w:left w:val="none" w:sz="0" w:space="0" w:color="auto"/>
                <w:bottom w:val="none" w:sz="0" w:space="0" w:color="auto"/>
                <w:right w:val="none" w:sz="0" w:space="0" w:color="auto"/>
              </w:divBdr>
            </w:div>
          </w:divsChild>
        </w:div>
        <w:div w:id="1773932306">
          <w:marLeft w:val="0"/>
          <w:marRight w:val="0"/>
          <w:marTop w:val="120"/>
          <w:marBottom w:val="120"/>
          <w:divBdr>
            <w:top w:val="none" w:sz="0" w:space="0" w:color="auto"/>
            <w:left w:val="none" w:sz="0" w:space="0" w:color="auto"/>
            <w:bottom w:val="none" w:sz="0" w:space="0" w:color="auto"/>
            <w:right w:val="none" w:sz="0" w:space="0" w:color="auto"/>
          </w:divBdr>
          <w:divsChild>
            <w:div w:id="1155608629">
              <w:marLeft w:val="0"/>
              <w:marRight w:val="0"/>
              <w:marTop w:val="0"/>
              <w:marBottom w:val="0"/>
              <w:divBdr>
                <w:top w:val="none" w:sz="0" w:space="0" w:color="auto"/>
                <w:left w:val="none" w:sz="0" w:space="0" w:color="auto"/>
                <w:bottom w:val="none" w:sz="0" w:space="0" w:color="auto"/>
                <w:right w:val="none" w:sz="0" w:space="0" w:color="auto"/>
              </w:divBdr>
            </w:div>
            <w:div w:id="1691562444">
              <w:marLeft w:val="0"/>
              <w:marRight w:val="0"/>
              <w:marTop w:val="0"/>
              <w:marBottom w:val="0"/>
              <w:divBdr>
                <w:top w:val="none" w:sz="0" w:space="0" w:color="auto"/>
                <w:left w:val="none" w:sz="0" w:space="0" w:color="auto"/>
                <w:bottom w:val="none" w:sz="0" w:space="0" w:color="auto"/>
                <w:right w:val="none" w:sz="0" w:space="0" w:color="auto"/>
              </w:divBdr>
            </w:div>
          </w:divsChild>
        </w:div>
        <w:div w:id="1014310409">
          <w:marLeft w:val="0"/>
          <w:marRight w:val="0"/>
          <w:marTop w:val="120"/>
          <w:marBottom w:val="120"/>
          <w:divBdr>
            <w:top w:val="none" w:sz="0" w:space="0" w:color="auto"/>
            <w:left w:val="none" w:sz="0" w:space="0" w:color="auto"/>
            <w:bottom w:val="none" w:sz="0" w:space="0" w:color="auto"/>
            <w:right w:val="none" w:sz="0" w:space="0" w:color="auto"/>
          </w:divBdr>
          <w:divsChild>
            <w:div w:id="591938773">
              <w:marLeft w:val="288"/>
              <w:marRight w:val="0"/>
              <w:marTop w:val="0"/>
              <w:marBottom w:val="0"/>
              <w:divBdr>
                <w:top w:val="none" w:sz="0" w:space="0" w:color="auto"/>
                <w:left w:val="none" w:sz="0" w:space="0" w:color="auto"/>
                <w:bottom w:val="none" w:sz="0" w:space="0" w:color="auto"/>
                <w:right w:val="none" w:sz="0" w:space="0" w:color="auto"/>
              </w:divBdr>
            </w:div>
          </w:divsChild>
        </w:div>
        <w:div w:id="1936673566">
          <w:marLeft w:val="0"/>
          <w:marRight w:val="0"/>
          <w:marTop w:val="120"/>
          <w:marBottom w:val="120"/>
          <w:divBdr>
            <w:top w:val="none" w:sz="0" w:space="0" w:color="auto"/>
            <w:left w:val="none" w:sz="0" w:space="0" w:color="auto"/>
            <w:bottom w:val="none" w:sz="0" w:space="0" w:color="auto"/>
            <w:right w:val="none" w:sz="0" w:space="0" w:color="auto"/>
          </w:divBdr>
          <w:divsChild>
            <w:div w:id="1270427490">
              <w:marLeft w:val="0"/>
              <w:marRight w:val="0"/>
              <w:marTop w:val="0"/>
              <w:marBottom w:val="0"/>
              <w:divBdr>
                <w:top w:val="none" w:sz="0" w:space="0" w:color="auto"/>
                <w:left w:val="none" w:sz="0" w:space="0" w:color="auto"/>
                <w:bottom w:val="none" w:sz="0" w:space="0" w:color="auto"/>
                <w:right w:val="none" w:sz="0" w:space="0" w:color="auto"/>
              </w:divBdr>
            </w:div>
            <w:div w:id="1250579381">
              <w:marLeft w:val="0"/>
              <w:marRight w:val="0"/>
              <w:marTop w:val="0"/>
              <w:marBottom w:val="0"/>
              <w:divBdr>
                <w:top w:val="none" w:sz="0" w:space="0" w:color="auto"/>
                <w:left w:val="none" w:sz="0" w:space="0" w:color="auto"/>
                <w:bottom w:val="none" w:sz="0" w:space="0" w:color="auto"/>
                <w:right w:val="none" w:sz="0" w:space="0" w:color="auto"/>
              </w:divBdr>
            </w:div>
          </w:divsChild>
        </w:div>
        <w:div w:id="751900578">
          <w:marLeft w:val="0"/>
          <w:marRight w:val="0"/>
          <w:marTop w:val="120"/>
          <w:marBottom w:val="120"/>
          <w:divBdr>
            <w:top w:val="none" w:sz="0" w:space="0" w:color="auto"/>
            <w:left w:val="none" w:sz="0" w:space="0" w:color="auto"/>
            <w:bottom w:val="none" w:sz="0" w:space="0" w:color="auto"/>
            <w:right w:val="none" w:sz="0" w:space="0" w:color="auto"/>
          </w:divBdr>
          <w:divsChild>
            <w:div w:id="1581283554">
              <w:marLeft w:val="288"/>
              <w:marRight w:val="0"/>
              <w:marTop w:val="0"/>
              <w:marBottom w:val="0"/>
              <w:divBdr>
                <w:top w:val="none" w:sz="0" w:space="0" w:color="auto"/>
                <w:left w:val="none" w:sz="0" w:space="0" w:color="auto"/>
                <w:bottom w:val="none" w:sz="0" w:space="0" w:color="auto"/>
                <w:right w:val="none" w:sz="0" w:space="0" w:color="auto"/>
              </w:divBdr>
            </w:div>
          </w:divsChild>
        </w:div>
        <w:div w:id="511844014">
          <w:marLeft w:val="0"/>
          <w:marRight w:val="0"/>
          <w:marTop w:val="120"/>
          <w:marBottom w:val="120"/>
          <w:divBdr>
            <w:top w:val="none" w:sz="0" w:space="0" w:color="auto"/>
            <w:left w:val="none" w:sz="0" w:space="0" w:color="auto"/>
            <w:bottom w:val="none" w:sz="0" w:space="0" w:color="auto"/>
            <w:right w:val="none" w:sz="0" w:space="0" w:color="auto"/>
          </w:divBdr>
          <w:divsChild>
            <w:div w:id="709769713">
              <w:marLeft w:val="0"/>
              <w:marRight w:val="0"/>
              <w:marTop w:val="0"/>
              <w:marBottom w:val="0"/>
              <w:divBdr>
                <w:top w:val="none" w:sz="0" w:space="0" w:color="auto"/>
                <w:left w:val="none" w:sz="0" w:space="0" w:color="auto"/>
                <w:bottom w:val="none" w:sz="0" w:space="0" w:color="auto"/>
                <w:right w:val="none" w:sz="0" w:space="0" w:color="auto"/>
              </w:divBdr>
            </w:div>
            <w:div w:id="1643805762">
              <w:marLeft w:val="0"/>
              <w:marRight w:val="0"/>
              <w:marTop w:val="0"/>
              <w:marBottom w:val="0"/>
              <w:divBdr>
                <w:top w:val="none" w:sz="0" w:space="0" w:color="auto"/>
                <w:left w:val="none" w:sz="0" w:space="0" w:color="auto"/>
                <w:bottom w:val="none" w:sz="0" w:space="0" w:color="auto"/>
                <w:right w:val="none" w:sz="0" w:space="0" w:color="auto"/>
              </w:divBdr>
            </w:div>
          </w:divsChild>
        </w:div>
        <w:div w:id="1702054802">
          <w:marLeft w:val="0"/>
          <w:marRight w:val="0"/>
          <w:marTop w:val="120"/>
          <w:marBottom w:val="120"/>
          <w:divBdr>
            <w:top w:val="none" w:sz="0" w:space="0" w:color="auto"/>
            <w:left w:val="none" w:sz="0" w:space="0" w:color="auto"/>
            <w:bottom w:val="none" w:sz="0" w:space="0" w:color="auto"/>
            <w:right w:val="none" w:sz="0" w:space="0" w:color="auto"/>
          </w:divBdr>
          <w:divsChild>
            <w:div w:id="115608526">
              <w:marLeft w:val="288"/>
              <w:marRight w:val="0"/>
              <w:marTop w:val="0"/>
              <w:marBottom w:val="0"/>
              <w:divBdr>
                <w:top w:val="none" w:sz="0" w:space="0" w:color="auto"/>
                <w:left w:val="none" w:sz="0" w:space="0" w:color="auto"/>
                <w:bottom w:val="none" w:sz="0" w:space="0" w:color="auto"/>
                <w:right w:val="none" w:sz="0" w:space="0" w:color="auto"/>
              </w:divBdr>
            </w:div>
          </w:divsChild>
        </w:div>
        <w:div w:id="1810054793">
          <w:marLeft w:val="0"/>
          <w:marRight w:val="0"/>
          <w:marTop w:val="120"/>
          <w:marBottom w:val="120"/>
          <w:divBdr>
            <w:top w:val="none" w:sz="0" w:space="0" w:color="auto"/>
            <w:left w:val="none" w:sz="0" w:space="0" w:color="auto"/>
            <w:bottom w:val="none" w:sz="0" w:space="0" w:color="auto"/>
            <w:right w:val="none" w:sz="0" w:space="0" w:color="auto"/>
          </w:divBdr>
          <w:divsChild>
            <w:div w:id="825821599">
              <w:marLeft w:val="0"/>
              <w:marRight w:val="0"/>
              <w:marTop w:val="0"/>
              <w:marBottom w:val="0"/>
              <w:divBdr>
                <w:top w:val="none" w:sz="0" w:space="0" w:color="auto"/>
                <w:left w:val="none" w:sz="0" w:space="0" w:color="auto"/>
                <w:bottom w:val="none" w:sz="0" w:space="0" w:color="auto"/>
                <w:right w:val="none" w:sz="0" w:space="0" w:color="auto"/>
              </w:divBdr>
            </w:div>
            <w:div w:id="755595799">
              <w:marLeft w:val="0"/>
              <w:marRight w:val="0"/>
              <w:marTop w:val="0"/>
              <w:marBottom w:val="0"/>
              <w:divBdr>
                <w:top w:val="none" w:sz="0" w:space="0" w:color="auto"/>
                <w:left w:val="none" w:sz="0" w:space="0" w:color="auto"/>
                <w:bottom w:val="none" w:sz="0" w:space="0" w:color="auto"/>
                <w:right w:val="none" w:sz="0" w:space="0" w:color="auto"/>
              </w:divBdr>
            </w:div>
          </w:divsChild>
        </w:div>
        <w:div w:id="444469029">
          <w:marLeft w:val="0"/>
          <w:marRight w:val="0"/>
          <w:marTop w:val="120"/>
          <w:marBottom w:val="120"/>
          <w:divBdr>
            <w:top w:val="none" w:sz="0" w:space="0" w:color="auto"/>
            <w:left w:val="none" w:sz="0" w:space="0" w:color="auto"/>
            <w:bottom w:val="none" w:sz="0" w:space="0" w:color="auto"/>
            <w:right w:val="none" w:sz="0" w:space="0" w:color="auto"/>
          </w:divBdr>
          <w:divsChild>
            <w:div w:id="718632422">
              <w:marLeft w:val="288"/>
              <w:marRight w:val="0"/>
              <w:marTop w:val="0"/>
              <w:marBottom w:val="0"/>
              <w:divBdr>
                <w:top w:val="none" w:sz="0" w:space="0" w:color="auto"/>
                <w:left w:val="none" w:sz="0" w:space="0" w:color="auto"/>
                <w:bottom w:val="none" w:sz="0" w:space="0" w:color="auto"/>
                <w:right w:val="none" w:sz="0" w:space="0" w:color="auto"/>
              </w:divBdr>
            </w:div>
          </w:divsChild>
        </w:div>
        <w:div w:id="511800008">
          <w:marLeft w:val="0"/>
          <w:marRight w:val="0"/>
          <w:marTop w:val="120"/>
          <w:marBottom w:val="120"/>
          <w:divBdr>
            <w:top w:val="none" w:sz="0" w:space="0" w:color="auto"/>
            <w:left w:val="none" w:sz="0" w:space="0" w:color="auto"/>
            <w:bottom w:val="none" w:sz="0" w:space="0" w:color="auto"/>
            <w:right w:val="none" w:sz="0" w:space="0" w:color="auto"/>
          </w:divBdr>
          <w:divsChild>
            <w:div w:id="92629196">
              <w:marLeft w:val="0"/>
              <w:marRight w:val="0"/>
              <w:marTop w:val="0"/>
              <w:marBottom w:val="0"/>
              <w:divBdr>
                <w:top w:val="none" w:sz="0" w:space="0" w:color="auto"/>
                <w:left w:val="none" w:sz="0" w:space="0" w:color="auto"/>
                <w:bottom w:val="none" w:sz="0" w:space="0" w:color="auto"/>
                <w:right w:val="none" w:sz="0" w:space="0" w:color="auto"/>
              </w:divBdr>
            </w:div>
            <w:div w:id="45108986">
              <w:marLeft w:val="0"/>
              <w:marRight w:val="0"/>
              <w:marTop w:val="0"/>
              <w:marBottom w:val="0"/>
              <w:divBdr>
                <w:top w:val="none" w:sz="0" w:space="0" w:color="auto"/>
                <w:left w:val="none" w:sz="0" w:space="0" w:color="auto"/>
                <w:bottom w:val="none" w:sz="0" w:space="0" w:color="auto"/>
                <w:right w:val="none" w:sz="0" w:space="0" w:color="auto"/>
              </w:divBdr>
            </w:div>
            <w:div w:id="2030175453">
              <w:marLeft w:val="0"/>
              <w:marRight w:val="0"/>
              <w:marTop w:val="0"/>
              <w:marBottom w:val="0"/>
              <w:divBdr>
                <w:top w:val="none" w:sz="0" w:space="0" w:color="auto"/>
                <w:left w:val="none" w:sz="0" w:space="0" w:color="auto"/>
                <w:bottom w:val="none" w:sz="0" w:space="0" w:color="auto"/>
                <w:right w:val="none" w:sz="0" w:space="0" w:color="auto"/>
              </w:divBdr>
            </w:div>
            <w:div w:id="653022385">
              <w:marLeft w:val="0"/>
              <w:marRight w:val="0"/>
              <w:marTop w:val="0"/>
              <w:marBottom w:val="0"/>
              <w:divBdr>
                <w:top w:val="none" w:sz="0" w:space="0" w:color="auto"/>
                <w:left w:val="none" w:sz="0" w:space="0" w:color="auto"/>
                <w:bottom w:val="none" w:sz="0" w:space="0" w:color="auto"/>
                <w:right w:val="none" w:sz="0" w:space="0" w:color="auto"/>
              </w:divBdr>
            </w:div>
          </w:divsChild>
        </w:div>
        <w:div w:id="1229540188">
          <w:marLeft w:val="0"/>
          <w:marRight w:val="0"/>
          <w:marTop w:val="120"/>
          <w:marBottom w:val="120"/>
          <w:divBdr>
            <w:top w:val="none" w:sz="0" w:space="0" w:color="auto"/>
            <w:left w:val="none" w:sz="0" w:space="0" w:color="auto"/>
            <w:bottom w:val="none" w:sz="0" w:space="0" w:color="auto"/>
            <w:right w:val="none" w:sz="0" w:space="0" w:color="auto"/>
          </w:divBdr>
          <w:divsChild>
            <w:div w:id="272906840">
              <w:marLeft w:val="288"/>
              <w:marRight w:val="0"/>
              <w:marTop w:val="0"/>
              <w:marBottom w:val="0"/>
              <w:divBdr>
                <w:top w:val="none" w:sz="0" w:space="0" w:color="auto"/>
                <w:left w:val="none" w:sz="0" w:space="0" w:color="auto"/>
                <w:bottom w:val="none" w:sz="0" w:space="0" w:color="auto"/>
                <w:right w:val="none" w:sz="0" w:space="0" w:color="auto"/>
              </w:divBdr>
            </w:div>
            <w:div w:id="1742755071">
              <w:marLeft w:val="288"/>
              <w:marRight w:val="0"/>
              <w:marTop w:val="0"/>
              <w:marBottom w:val="0"/>
              <w:divBdr>
                <w:top w:val="none" w:sz="0" w:space="0" w:color="auto"/>
                <w:left w:val="none" w:sz="0" w:space="0" w:color="auto"/>
                <w:bottom w:val="none" w:sz="0" w:space="0" w:color="auto"/>
                <w:right w:val="none" w:sz="0" w:space="0" w:color="auto"/>
              </w:divBdr>
            </w:div>
          </w:divsChild>
        </w:div>
        <w:div w:id="392197726">
          <w:marLeft w:val="0"/>
          <w:marRight w:val="0"/>
          <w:marTop w:val="120"/>
          <w:marBottom w:val="120"/>
          <w:divBdr>
            <w:top w:val="none" w:sz="0" w:space="0" w:color="auto"/>
            <w:left w:val="none" w:sz="0" w:space="0" w:color="auto"/>
            <w:bottom w:val="none" w:sz="0" w:space="0" w:color="auto"/>
            <w:right w:val="none" w:sz="0" w:space="0" w:color="auto"/>
          </w:divBdr>
          <w:divsChild>
            <w:div w:id="677536377">
              <w:marLeft w:val="0"/>
              <w:marRight w:val="0"/>
              <w:marTop w:val="0"/>
              <w:marBottom w:val="0"/>
              <w:divBdr>
                <w:top w:val="none" w:sz="0" w:space="0" w:color="auto"/>
                <w:left w:val="none" w:sz="0" w:space="0" w:color="auto"/>
                <w:bottom w:val="none" w:sz="0" w:space="0" w:color="auto"/>
                <w:right w:val="none" w:sz="0" w:space="0" w:color="auto"/>
              </w:divBdr>
            </w:div>
            <w:div w:id="1588417472">
              <w:marLeft w:val="0"/>
              <w:marRight w:val="0"/>
              <w:marTop w:val="0"/>
              <w:marBottom w:val="0"/>
              <w:divBdr>
                <w:top w:val="none" w:sz="0" w:space="0" w:color="auto"/>
                <w:left w:val="none" w:sz="0" w:space="0" w:color="auto"/>
                <w:bottom w:val="none" w:sz="0" w:space="0" w:color="auto"/>
                <w:right w:val="none" w:sz="0" w:space="0" w:color="auto"/>
              </w:divBdr>
            </w:div>
          </w:divsChild>
        </w:div>
        <w:div w:id="1082605749">
          <w:marLeft w:val="0"/>
          <w:marRight w:val="0"/>
          <w:marTop w:val="120"/>
          <w:marBottom w:val="120"/>
          <w:divBdr>
            <w:top w:val="none" w:sz="0" w:space="0" w:color="auto"/>
            <w:left w:val="none" w:sz="0" w:space="0" w:color="auto"/>
            <w:bottom w:val="none" w:sz="0" w:space="0" w:color="auto"/>
            <w:right w:val="none" w:sz="0" w:space="0" w:color="auto"/>
          </w:divBdr>
          <w:divsChild>
            <w:div w:id="332152207">
              <w:marLeft w:val="288"/>
              <w:marRight w:val="0"/>
              <w:marTop w:val="0"/>
              <w:marBottom w:val="0"/>
              <w:divBdr>
                <w:top w:val="none" w:sz="0" w:space="0" w:color="auto"/>
                <w:left w:val="none" w:sz="0" w:space="0" w:color="auto"/>
                <w:bottom w:val="none" w:sz="0" w:space="0" w:color="auto"/>
                <w:right w:val="none" w:sz="0" w:space="0" w:color="auto"/>
              </w:divBdr>
            </w:div>
          </w:divsChild>
        </w:div>
        <w:div w:id="935599957">
          <w:marLeft w:val="0"/>
          <w:marRight w:val="0"/>
          <w:marTop w:val="120"/>
          <w:marBottom w:val="120"/>
          <w:divBdr>
            <w:top w:val="none" w:sz="0" w:space="0" w:color="auto"/>
            <w:left w:val="none" w:sz="0" w:space="0" w:color="auto"/>
            <w:bottom w:val="none" w:sz="0" w:space="0" w:color="auto"/>
            <w:right w:val="none" w:sz="0" w:space="0" w:color="auto"/>
          </w:divBdr>
          <w:divsChild>
            <w:div w:id="1799030877">
              <w:marLeft w:val="0"/>
              <w:marRight w:val="0"/>
              <w:marTop w:val="0"/>
              <w:marBottom w:val="0"/>
              <w:divBdr>
                <w:top w:val="none" w:sz="0" w:space="0" w:color="auto"/>
                <w:left w:val="none" w:sz="0" w:space="0" w:color="auto"/>
                <w:bottom w:val="none" w:sz="0" w:space="0" w:color="auto"/>
                <w:right w:val="none" w:sz="0" w:space="0" w:color="auto"/>
              </w:divBdr>
            </w:div>
            <w:div w:id="1483962061">
              <w:marLeft w:val="0"/>
              <w:marRight w:val="0"/>
              <w:marTop w:val="0"/>
              <w:marBottom w:val="0"/>
              <w:divBdr>
                <w:top w:val="none" w:sz="0" w:space="0" w:color="auto"/>
                <w:left w:val="none" w:sz="0" w:space="0" w:color="auto"/>
                <w:bottom w:val="none" w:sz="0" w:space="0" w:color="auto"/>
                <w:right w:val="none" w:sz="0" w:space="0" w:color="auto"/>
              </w:divBdr>
            </w:div>
          </w:divsChild>
        </w:div>
        <w:div w:id="1292638818">
          <w:marLeft w:val="0"/>
          <w:marRight w:val="0"/>
          <w:marTop w:val="120"/>
          <w:marBottom w:val="120"/>
          <w:divBdr>
            <w:top w:val="none" w:sz="0" w:space="0" w:color="auto"/>
            <w:left w:val="none" w:sz="0" w:space="0" w:color="auto"/>
            <w:bottom w:val="none" w:sz="0" w:space="0" w:color="auto"/>
            <w:right w:val="none" w:sz="0" w:space="0" w:color="auto"/>
          </w:divBdr>
          <w:divsChild>
            <w:div w:id="181208453">
              <w:marLeft w:val="288"/>
              <w:marRight w:val="0"/>
              <w:marTop w:val="0"/>
              <w:marBottom w:val="0"/>
              <w:divBdr>
                <w:top w:val="none" w:sz="0" w:space="0" w:color="auto"/>
                <w:left w:val="none" w:sz="0" w:space="0" w:color="auto"/>
                <w:bottom w:val="none" w:sz="0" w:space="0" w:color="auto"/>
                <w:right w:val="none" w:sz="0" w:space="0" w:color="auto"/>
              </w:divBdr>
            </w:div>
          </w:divsChild>
        </w:div>
        <w:div w:id="568423160">
          <w:marLeft w:val="0"/>
          <w:marRight w:val="0"/>
          <w:marTop w:val="120"/>
          <w:marBottom w:val="120"/>
          <w:divBdr>
            <w:top w:val="none" w:sz="0" w:space="0" w:color="auto"/>
            <w:left w:val="none" w:sz="0" w:space="0" w:color="auto"/>
            <w:bottom w:val="none" w:sz="0" w:space="0" w:color="auto"/>
            <w:right w:val="none" w:sz="0" w:space="0" w:color="auto"/>
          </w:divBdr>
          <w:divsChild>
            <w:div w:id="711002698">
              <w:marLeft w:val="0"/>
              <w:marRight w:val="0"/>
              <w:marTop w:val="0"/>
              <w:marBottom w:val="0"/>
              <w:divBdr>
                <w:top w:val="none" w:sz="0" w:space="0" w:color="auto"/>
                <w:left w:val="none" w:sz="0" w:space="0" w:color="auto"/>
                <w:bottom w:val="none" w:sz="0" w:space="0" w:color="auto"/>
                <w:right w:val="none" w:sz="0" w:space="0" w:color="auto"/>
              </w:divBdr>
            </w:div>
            <w:div w:id="1295060511">
              <w:marLeft w:val="0"/>
              <w:marRight w:val="0"/>
              <w:marTop w:val="0"/>
              <w:marBottom w:val="0"/>
              <w:divBdr>
                <w:top w:val="none" w:sz="0" w:space="0" w:color="auto"/>
                <w:left w:val="none" w:sz="0" w:space="0" w:color="auto"/>
                <w:bottom w:val="none" w:sz="0" w:space="0" w:color="auto"/>
                <w:right w:val="none" w:sz="0" w:space="0" w:color="auto"/>
              </w:divBdr>
            </w:div>
            <w:div w:id="1135292585">
              <w:marLeft w:val="0"/>
              <w:marRight w:val="0"/>
              <w:marTop w:val="0"/>
              <w:marBottom w:val="0"/>
              <w:divBdr>
                <w:top w:val="none" w:sz="0" w:space="0" w:color="auto"/>
                <w:left w:val="none" w:sz="0" w:space="0" w:color="auto"/>
                <w:bottom w:val="none" w:sz="0" w:space="0" w:color="auto"/>
                <w:right w:val="none" w:sz="0" w:space="0" w:color="auto"/>
              </w:divBdr>
            </w:div>
            <w:div w:id="1289628682">
              <w:marLeft w:val="0"/>
              <w:marRight w:val="0"/>
              <w:marTop w:val="0"/>
              <w:marBottom w:val="0"/>
              <w:divBdr>
                <w:top w:val="none" w:sz="0" w:space="0" w:color="auto"/>
                <w:left w:val="none" w:sz="0" w:space="0" w:color="auto"/>
                <w:bottom w:val="none" w:sz="0" w:space="0" w:color="auto"/>
                <w:right w:val="none" w:sz="0" w:space="0" w:color="auto"/>
              </w:divBdr>
            </w:div>
          </w:divsChild>
        </w:div>
        <w:div w:id="1501775810">
          <w:marLeft w:val="0"/>
          <w:marRight w:val="0"/>
          <w:marTop w:val="120"/>
          <w:marBottom w:val="120"/>
          <w:divBdr>
            <w:top w:val="none" w:sz="0" w:space="0" w:color="auto"/>
            <w:left w:val="none" w:sz="0" w:space="0" w:color="auto"/>
            <w:bottom w:val="none" w:sz="0" w:space="0" w:color="auto"/>
            <w:right w:val="none" w:sz="0" w:space="0" w:color="auto"/>
          </w:divBdr>
          <w:divsChild>
            <w:div w:id="760375610">
              <w:marLeft w:val="288"/>
              <w:marRight w:val="0"/>
              <w:marTop w:val="0"/>
              <w:marBottom w:val="0"/>
              <w:divBdr>
                <w:top w:val="none" w:sz="0" w:space="0" w:color="auto"/>
                <w:left w:val="none" w:sz="0" w:space="0" w:color="auto"/>
                <w:bottom w:val="none" w:sz="0" w:space="0" w:color="auto"/>
                <w:right w:val="none" w:sz="0" w:space="0" w:color="auto"/>
              </w:divBdr>
            </w:div>
            <w:div w:id="1946497727">
              <w:marLeft w:val="288"/>
              <w:marRight w:val="0"/>
              <w:marTop w:val="0"/>
              <w:marBottom w:val="0"/>
              <w:divBdr>
                <w:top w:val="none" w:sz="0" w:space="0" w:color="auto"/>
                <w:left w:val="none" w:sz="0" w:space="0" w:color="auto"/>
                <w:bottom w:val="none" w:sz="0" w:space="0" w:color="auto"/>
                <w:right w:val="none" w:sz="0" w:space="0" w:color="auto"/>
              </w:divBdr>
            </w:div>
          </w:divsChild>
        </w:div>
        <w:div w:id="1384983473">
          <w:marLeft w:val="0"/>
          <w:marRight w:val="0"/>
          <w:marTop w:val="120"/>
          <w:marBottom w:val="120"/>
          <w:divBdr>
            <w:top w:val="none" w:sz="0" w:space="0" w:color="auto"/>
            <w:left w:val="none" w:sz="0" w:space="0" w:color="auto"/>
            <w:bottom w:val="none" w:sz="0" w:space="0" w:color="auto"/>
            <w:right w:val="none" w:sz="0" w:space="0" w:color="auto"/>
          </w:divBdr>
          <w:divsChild>
            <w:div w:id="220210268">
              <w:marLeft w:val="0"/>
              <w:marRight w:val="0"/>
              <w:marTop w:val="0"/>
              <w:marBottom w:val="0"/>
              <w:divBdr>
                <w:top w:val="none" w:sz="0" w:space="0" w:color="auto"/>
                <w:left w:val="none" w:sz="0" w:space="0" w:color="auto"/>
                <w:bottom w:val="none" w:sz="0" w:space="0" w:color="auto"/>
                <w:right w:val="none" w:sz="0" w:space="0" w:color="auto"/>
              </w:divBdr>
            </w:div>
            <w:div w:id="1846632417">
              <w:marLeft w:val="0"/>
              <w:marRight w:val="0"/>
              <w:marTop w:val="0"/>
              <w:marBottom w:val="0"/>
              <w:divBdr>
                <w:top w:val="none" w:sz="0" w:space="0" w:color="auto"/>
                <w:left w:val="none" w:sz="0" w:space="0" w:color="auto"/>
                <w:bottom w:val="none" w:sz="0" w:space="0" w:color="auto"/>
                <w:right w:val="none" w:sz="0" w:space="0" w:color="auto"/>
              </w:divBdr>
            </w:div>
          </w:divsChild>
        </w:div>
        <w:div w:id="1591498811">
          <w:marLeft w:val="0"/>
          <w:marRight w:val="0"/>
          <w:marTop w:val="120"/>
          <w:marBottom w:val="120"/>
          <w:divBdr>
            <w:top w:val="none" w:sz="0" w:space="0" w:color="auto"/>
            <w:left w:val="none" w:sz="0" w:space="0" w:color="auto"/>
            <w:bottom w:val="none" w:sz="0" w:space="0" w:color="auto"/>
            <w:right w:val="none" w:sz="0" w:space="0" w:color="auto"/>
          </w:divBdr>
          <w:divsChild>
            <w:div w:id="937718554">
              <w:marLeft w:val="288"/>
              <w:marRight w:val="0"/>
              <w:marTop w:val="0"/>
              <w:marBottom w:val="0"/>
              <w:divBdr>
                <w:top w:val="none" w:sz="0" w:space="0" w:color="auto"/>
                <w:left w:val="none" w:sz="0" w:space="0" w:color="auto"/>
                <w:bottom w:val="none" w:sz="0" w:space="0" w:color="auto"/>
                <w:right w:val="none" w:sz="0" w:space="0" w:color="auto"/>
              </w:divBdr>
            </w:div>
          </w:divsChild>
        </w:div>
        <w:div w:id="1708532022">
          <w:marLeft w:val="0"/>
          <w:marRight w:val="0"/>
          <w:marTop w:val="120"/>
          <w:marBottom w:val="120"/>
          <w:divBdr>
            <w:top w:val="none" w:sz="0" w:space="0" w:color="auto"/>
            <w:left w:val="none" w:sz="0" w:space="0" w:color="auto"/>
            <w:bottom w:val="none" w:sz="0" w:space="0" w:color="auto"/>
            <w:right w:val="none" w:sz="0" w:space="0" w:color="auto"/>
          </w:divBdr>
          <w:divsChild>
            <w:div w:id="2126803347">
              <w:marLeft w:val="0"/>
              <w:marRight w:val="0"/>
              <w:marTop w:val="0"/>
              <w:marBottom w:val="0"/>
              <w:divBdr>
                <w:top w:val="none" w:sz="0" w:space="0" w:color="auto"/>
                <w:left w:val="none" w:sz="0" w:space="0" w:color="auto"/>
                <w:bottom w:val="none" w:sz="0" w:space="0" w:color="auto"/>
                <w:right w:val="none" w:sz="0" w:space="0" w:color="auto"/>
              </w:divBdr>
            </w:div>
            <w:div w:id="1215192720">
              <w:marLeft w:val="0"/>
              <w:marRight w:val="0"/>
              <w:marTop w:val="0"/>
              <w:marBottom w:val="0"/>
              <w:divBdr>
                <w:top w:val="none" w:sz="0" w:space="0" w:color="auto"/>
                <w:left w:val="none" w:sz="0" w:space="0" w:color="auto"/>
                <w:bottom w:val="none" w:sz="0" w:space="0" w:color="auto"/>
                <w:right w:val="none" w:sz="0" w:space="0" w:color="auto"/>
              </w:divBdr>
            </w:div>
          </w:divsChild>
        </w:div>
        <w:div w:id="1184711577">
          <w:marLeft w:val="0"/>
          <w:marRight w:val="0"/>
          <w:marTop w:val="120"/>
          <w:marBottom w:val="120"/>
          <w:divBdr>
            <w:top w:val="none" w:sz="0" w:space="0" w:color="auto"/>
            <w:left w:val="none" w:sz="0" w:space="0" w:color="auto"/>
            <w:bottom w:val="none" w:sz="0" w:space="0" w:color="auto"/>
            <w:right w:val="none" w:sz="0" w:space="0" w:color="auto"/>
          </w:divBdr>
          <w:divsChild>
            <w:div w:id="434449650">
              <w:marLeft w:val="288"/>
              <w:marRight w:val="0"/>
              <w:marTop w:val="0"/>
              <w:marBottom w:val="0"/>
              <w:divBdr>
                <w:top w:val="none" w:sz="0" w:space="0" w:color="auto"/>
                <w:left w:val="none" w:sz="0" w:space="0" w:color="auto"/>
                <w:bottom w:val="none" w:sz="0" w:space="0" w:color="auto"/>
                <w:right w:val="none" w:sz="0" w:space="0" w:color="auto"/>
              </w:divBdr>
            </w:div>
          </w:divsChild>
        </w:div>
        <w:div w:id="1356033370">
          <w:marLeft w:val="0"/>
          <w:marRight w:val="0"/>
          <w:marTop w:val="120"/>
          <w:marBottom w:val="120"/>
          <w:divBdr>
            <w:top w:val="none" w:sz="0" w:space="0" w:color="auto"/>
            <w:left w:val="none" w:sz="0" w:space="0" w:color="auto"/>
            <w:bottom w:val="none" w:sz="0" w:space="0" w:color="auto"/>
            <w:right w:val="none" w:sz="0" w:space="0" w:color="auto"/>
          </w:divBdr>
          <w:divsChild>
            <w:div w:id="1350764990">
              <w:marLeft w:val="0"/>
              <w:marRight w:val="0"/>
              <w:marTop w:val="0"/>
              <w:marBottom w:val="0"/>
              <w:divBdr>
                <w:top w:val="none" w:sz="0" w:space="0" w:color="auto"/>
                <w:left w:val="none" w:sz="0" w:space="0" w:color="auto"/>
                <w:bottom w:val="none" w:sz="0" w:space="0" w:color="auto"/>
                <w:right w:val="none" w:sz="0" w:space="0" w:color="auto"/>
              </w:divBdr>
            </w:div>
            <w:div w:id="1376461922">
              <w:marLeft w:val="0"/>
              <w:marRight w:val="0"/>
              <w:marTop w:val="0"/>
              <w:marBottom w:val="0"/>
              <w:divBdr>
                <w:top w:val="none" w:sz="0" w:space="0" w:color="auto"/>
                <w:left w:val="none" w:sz="0" w:space="0" w:color="auto"/>
                <w:bottom w:val="none" w:sz="0" w:space="0" w:color="auto"/>
                <w:right w:val="none" w:sz="0" w:space="0" w:color="auto"/>
              </w:divBdr>
            </w:div>
          </w:divsChild>
        </w:div>
        <w:div w:id="744646893">
          <w:marLeft w:val="0"/>
          <w:marRight w:val="0"/>
          <w:marTop w:val="120"/>
          <w:marBottom w:val="120"/>
          <w:divBdr>
            <w:top w:val="none" w:sz="0" w:space="0" w:color="auto"/>
            <w:left w:val="none" w:sz="0" w:space="0" w:color="auto"/>
            <w:bottom w:val="none" w:sz="0" w:space="0" w:color="auto"/>
            <w:right w:val="none" w:sz="0" w:space="0" w:color="auto"/>
          </w:divBdr>
          <w:divsChild>
            <w:div w:id="919100961">
              <w:marLeft w:val="288"/>
              <w:marRight w:val="0"/>
              <w:marTop w:val="0"/>
              <w:marBottom w:val="0"/>
              <w:divBdr>
                <w:top w:val="none" w:sz="0" w:space="0" w:color="auto"/>
                <w:left w:val="none" w:sz="0" w:space="0" w:color="auto"/>
                <w:bottom w:val="none" w:sz="0" w:space="0" w:color="auto"/>
                <w:right w:val="none" w:sz="0" w:space="0" w:color="auto"/>
              </w:divBdr>
            </w:div>
          </w:divsChild>
        </w:div>
        <w:div w:id="340357917">
          <w:marLeft w:val="0"/>
          <w:marRight w:val="0"/>
          <w:marTop w:val="120"/>
          <w:marBottom w:val="120"/>
          <w:divBdr>
            <w:top w:val="none" w:sz="0" w:space="0" w:color="auto"/>
            <w:left w:val="none" w:sz="0" w:space="0" w:color="auto"/>
            <w:bottom w:val="none" w:sz="0" w:space="0" w:color="auto"/>
            <w:right w:val="none" w:sz="0" w:space="0" w:color="auto"/>
          </w:divBdr>
          <w:divsChild>
            <w:div w:id="92669205">
              <w:marLeft w:val="0"/>
              <w:marRight w:val="0"/>
              <w:marTop w:val="0"/>
              <w:marBottom w:val="0"/>
              <w:divBdr>
                <w:top w:val="none" w:sz="0" w:space="0" w:color="auto"/>
                <w:left w:val="none" w:sz="0" w:space="0" w:color="auto"/>
                <w:bottom w:val="none" w:sz="0" w:space="0" w:color="auto"/>
                <w:right w:val="none" w:sz="0" w:space="0" w:color="auto"/>
              </w:divBdr>
            </w:div>
            <w:div w:id="2091730362">
              <w:marLeft w:val="0"/>
              <w:marRight w:val="0"/>
              <w:marTop w:val="0"/>
              <w:marBottom w:val="0"/>
              <w:divBdr>
                <w:top w:val="none" w:sz="0" w:space="0" w:color="auto"/>
                <w:left w:val="none" w:sz="0" w:space="0" w:color="auto"/>
                <w:bottom w:val="none" w:sz="0" w:space="0" w:color="auto"/>
                <w:right w:val="none" w:sz="0" w:space="0" w:color="auto"/>
              </w:divBdr>
            </w:div>
            <w:div w:id="306207177">
              <w:marLeft w:val="0"/>
              <w:marRight w:val="0"/>
              <w:marTop w:val="0"/>
              <w:marBottom w:val="0"/>
              <w:divBdr>
                <w:top w:val="none" w:sz="0" w:space="0" w:color="auto"/>
                <w:left w:val="none" w:sz="0" w:space="0" w:color="auto"/>
                <w:bottom w:val="none" w:sz="0" w:space="0" w:color="auto"/>
                <w:right w:val="none" w:sz="0" w:space="0" w:color="auto"/>
              </w:divBdr>
            </w:div>
            <w:div w:id="267196261">
              <w:marLeft w:val="0"/>
              <w:marRight w:val="0"/>
              <w:marTop w:val="0"/>
              <w:marBottom w:val="0"/>
              <w:divBdr>
                <w:top w:val="none" w:sz="0" w:space="0" w:color="auto"/>
                <w:left w:val="none" w:sz="0" w:space="0" w:color="auto"/>
                <w:bottom w:val="none" w:sz="0" w:space="0" w:color="auto"/>
                <w:right w:val="none" w:sz="0" w:space="0" w:color="auto"/>
              </w:divBdr>
            </w:div>
          </w:divsChild>
        </w:div>
        <w:div w:id="1664966341">
          <w:marLeft w:val="0"/>
          <w:marRight w:val="0"/>
          <w:marTop w:val="120"/>
          <w:marBottom w:val="120"/>
          <w:divBdr>
            <w:top w:val="none" w:sz="0" w:space="0" w:color="auto"/>
            <w:left w:val="none" w:sz="0" w:space="0" w:color="auto"/>
            <w:bottom w:val="none" w:sz="0" w:space="0" w:color="auto"/>
            <w:right w:val="none" w:sz="0" w:space="0" w:color="auto"/>
          </w:divBdr>
          <w:divsChild>
            <w:div w:id="1384645384">
              <w:marLeft w:val="288"/>
              <w:marRight w:val="0"/>
              <w:marTop w:val="0"/>
              <w:marBottom w:val="0"/>
              <w:divBdr>
                <w:top w:val="none" w:sz="0" w:space="0" w:color="auto"/>
                <w:left w:val="none" w:sz="0" w:space="0" w:color="auto"/>
                <w:bottom w:val="none" w:sz="0" w:space="0" w:color="auto"/>
                <w:right w:val="none" w:sz="0" w:space="0" w:color="auto"/>
              </w:divBdr>
            </w:div>
            <w:div w:id="1395542377">
              <w:marLeft w:val="288"/>
              <w:marRight w:val="0"/>
              <w:marTop w:val="0"/>
              <w:marBottom w:val="0"/>
              <w:divBdr>
                <w:top w:val="none" w:sz="0" w:space="0" w:color="auto"/>
                <w:left w:val="none" w:sz="0" w:space="0" w:color="auto"/>
                <w:bottom w:val="none" w:sz="0" w:space="0" w:color="auto"/>
                <w:right w:val="none" w:sz="0" w:space="0" w:color="auto"/>
              </w:divBdr>
            </w:div>
          </w:divsChild>
        </w:div>
        <w:div w:id="1785803944">
          <w:marLeft w:val="0"/>
          <w:marRight w:val="0"/>
          <w:marTop w:val="120"/>
          <w:marBottom w:val="120"/>
          <w:divBdr>
            <w:top w:val="none" w:sz="0" w:space="0" w:color="auto"/>
            <w:left w:val="none" w:sz="0" w:space="0" w:color="auto"/>
            <w:bottom w:val="none" w:sz="0" w:space="0" w:color="auto"/>
            <w:right w:val="none" w:sz="0" w:space="0" w:color="auto"/>
          </w:divBdr>
          <w:divsChild>
            <w:div w:id="1389723046">
              <w:marLeft w:val="0"/>
              <w:marRight w:val="0"/>
              <w:marTop w:val="0"/>
              <w:marBottom w:val="0"/>
              <w:divBdr>
                <w:top w:val="none" w:sz="0" w:space="0" w:color="auto"/>
                <w:left w:val="none" w:sz="0" w:space="0" w:color="auto"/>
                <w:bottom w:val="none" w:sz="0" w:space="0" w:color="auto"/>
                <w:right w:val="none" w:sz="0" w:space="0" w:color="auto"/>
              </w:divBdr>
            </w:div>
            <w:div w:id="2096198894">
              <w:marLeft w:val="0"/>
              <w:marRight w:val="0"/>
              <w:marTop w:val="0"/>
              <w:marBottom w:val="0"/>
              <w:divBdr>
                <w:top w:val="none" w:sz="0" w:space="0" w:color="auto"/>
                <w:left w:val="none" w:sz="0" w:space="0" w:color="auto"/>
                <w:bottom w:val="none" w:sz="0" w:space="0" w:color="auto"/>
                <w:right w:val="none" w:sz="0" w:space="0" w:color="auto"/>
              </w:divBdr>
            </w:div>
          </w:divsChild>
        </w:div>
        <w:div w:id="1413501801">
          <w:marLeft w:val="0"/>
          <w:marRight w:val="0"/>
          <w:marTop w:val="120"/>
          <w:marBottom w:val="120"/>
          <w:divBdr>
            <w:top w:val="none" w:sz="0" w:space="0" w:color="auto"/>
            <w:left w:val="none" w:sz="0" w:space="0" w:color="auto"/>
            <w:bottom w:val="none" w:sz="0" w:space="0" w:color="auto"/>
            <w:right w:val="none" w:sz="0" w:space="0" w:color="auto"/>
          </w:divBdr>
          <w:divsChild>
            <w:div w:id="740639284">
              <w:marLeft w:val="288"/>
              <w:marRight w:val="0"/>
              <w:marTop w:val="0"/>
              <w:marBottom w:val="0"/>
              <w:divBdr>
                <w:top w:val="none" w:sz="0" w:space="0" w:color="auto"/>
                <w:left w:val="none" w:sz="0" w:space="0" w:color="auto"/>
                <w:bottom w:val="none" w:sz="0" w:space="0" w:color="auto"/>
                <w:right w:val="none" w:sz="0" w:space="0" w:color="auto"/>
              </w:divBdr>
            </w:div>
          </w:divsChild>
        </w:div>
        <w:div w:id="2110195146">
          <w:marLeft w:val="0"/>
          <w:marRight w:val="0"/>
          <w:marTop w:val="120"/>
          <w:marBottom w:val="120"/>
          <w:divBdr>
            <w:top w:val="none" w:sz="0" w:space="0" w:color="auto"/>
            <w:left w:val="none" w:sz="0" w:space="0" w:color="auto"/>
            <w:bottom w:val="none" w:sz="0" w:space="0" w:color="auto"/>
            <w:right w:val="none" w:sz="0" w:space="0" w:color="auto"/>
          </w:divBdr>
          <w:divsChild>
            <w:div w:id="22633462">
              <w:marLeft w:val="0"/>
              <w:marRight w:val="0"/>
              <w:marTop w:val="0"/>
              <w:marBottom w:val="0"/>
              <w:divBdr>
                <w:top w:val="none" w:sz="0" w:space="0" w:color="auto"/>
                <w:left w:val="none" w:sz="0" w:space="0" w:color="auto"/>
                <w:bottom w:val="none" w:sz="0" w:space="0" w:color="auto"/>
                <w:right w:val="none" w:sz="0" w:space="0" w:color="auto"/>
              </w:divBdr>
            </w:div>
          </w:divsChild>
        </w:div>
        <w:div w:id="2004627129">
          <w:marLeft w:val="0"/>
          <w:marRight w:val="0"/>
          <w:marTop w:val="120"/>
          <w:marBottom w:val="120"/>
          <w:divBdr>
            <w:top w:val="none" w:sz="0" w:space="0" w:color="auto"/>
            <w:left w:val="none" w:sz="0" w:space="0" w:color="auto"/>
            <w:bottom w:val="none" w:sz="0" w:space="0" w:color="auto"/>
            <w:right w:val="none" w:sz="0" w:space="0" w:color="auto"/>
          </w:divBdr>
          <w:divsChild>
            <w:div w:id="607005825">
              <w:marLeft w:val="288"/>
              <w:marRight w:val="0"/>
              <w:marTop w:val="0"/>
              <w:marBottom w:val="0"/>
              <w:divBdr>
                <w:top w:val="none" w:sz="0" w:space="0" w:color="auto"/>
                <w:left w:val="none" w:sz="0" w:space="0" w:color="auto"/>
                <w:bottom w:val="none" w:sz="0" w:space="0" w:color="auto"/>
                <w:right w:val="none" w:sz="0" w:space="0" w:color="auto"/>
              </w:divBdr>
            </w:div>
          </w:divsChild>
        </w:div>
      </w:divsChild>
    </w:div>
    <w:div w:id="200751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205.254.135.7/consumption/residential/data/2009/xls/HC7.1%20Air%20Conditioning%20by%20Housing%20Unit%20Type.xls" TargetMode="External"/><Relationship Id="rId1" Type="http://schemas.openxmlformats.org/officeDocument/2006/relationships/hyperlink" Target="http://205.254.135.7/consumption/residential/data/2009/xls/HC7.1%20Air%20Conditioning%20by%20Housing%20Unit%20Type.x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0fef99e30053e2e7706bd2fa2d9213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b:Source>
    <b:Tag>Uni10</b:Tag>
    <b:SourceType>Book</b:SourceType>
    <b:Guid>{D5C26D94-062D-4A89-976C-F50143CB0142}</b:Guid>
    <b:Author>
      <b:Author>
        <b:Corporate>University of Chicago Press Staff</b:Corporate>
      </b:Author>
    </b:Author>
    <b:Title>The Chicago Manual of Style</b:Title>
    <b:Year>2010</b:Year>
    <b:City>Chicago</b:City>
    <b:Publisher>The University of Chicago Press</b:Publisher>
    <b:StateProvince>IL</b:StateProvince>
    <b:Edition>16th</b:Edition>
    <b:RefOrder>1</b:RefOrder>
  </b:Source>
  <b:Source>
    <b:Tag>Nor12</b:Tag>
    <b:SourceType>Report</b:SourceType>
    <b:Guid>{BA7C56E8-45BD-4B20-B7F5-66DC9B71D0B1}</b:Guid>
    <b:Title>Angry Trout Café Kitchen Exhaust Heat Recovery</b:Title>
    <b:Year>2012</b:Year>
    <b:Author>
      <b:Author>
        <b:Corporate>Northwinds Sailing, Inc. and North Shore Sustainable Energy, LLC</b:Corporate>
      </b:Author>
    </b:Author>
    <b:Publisher>Minnesota Department of Commerce, Division of Energy Resources</b:Publisher>
    <b:RefOrder>2</b:RefOrder>
  </b:Source>
  <b:Source>
    <b:Tag>Nat11</b:Tag>
    <b:SourceType>Report</b:SourceType>
    <b:Guid>{5F8582E4-9062-4D6C-88D2-A3137F00C37F}</b:Guid>
    <b:Author>
      <b:Author>
        <b:Corporate>National Renewable Energy Laboratory</b:Corporate>
      </b:Author>
    </b:Author>
    <b:Title>U.S. Department of Energy Commercial Reference Building Models of the National Building Stock</b:Title>
    <b:Year>2011</b:Year>
    <b:ThesisType>Technical Report </b:ThesisType>
    <b:RefOrder>3</b:RefOrder>
  </b:Source>
  <b:Source>
    <b:Tag>DRI12</b:Tag>
    <b:SourceType>Book</b:SourceType>
    <b:Guid>{59EACC58-6A05-44A7-BBFA-2072E8FE170A}</b:Guid>
    <b:Title>2011 Buildings Energy Data Books</b:Title>
    <b:Year>2012</b:Year>
    <b:Publisher>Buildings Technologies Program, U.S Department of Energy</b:Publisher>
    <b:Author>
      <b:Author>
        <b:Corporate>D&amp;R International, Ltd.</b:Corporate>
      </b:Author>
    </b:Author>
    <b:RefOrder>4</b:RefOrder>
  </b:Source>
</b:Sources>
</file>

<file path=customXml/itemProps1.xml><?xml version="1.0" encoding="utf-8"?>
<ds:datastoreItem xmlns:ds="http://schemas.openxmlformats.org/officeDocument/2006/customXml" ds:itemID="{D32F4AF7-47C7-4D2D-8C3F-605DA3212328}">
  <ds:schemaRefs>
    <ds:schemaRef ds:uri="http://www.w3.org/XML/1998/namespace"/>
    <ds:schemaRef ds:uri="http://purl.org/dc/terms/"/>
    <ds:schemaRef ds:uri="http://schemas.microsoft.com/office/2006/metadata/properties"/>
    <ds:schemaRef ds:uri="http://schemas.openxmlformats.org/package/2006/metadata/core-properties"/>
    <ds:schemaRef ds:uri="http://schemas.microsoft.com/office/infopath/2007/PartnerControls"/>
    <ds:schemaRef ds:uri="http://schemas.microsoft.com/office/2006/documentManagement/types"/>
    <ds:schemaRef ds:uri="http://purl.org/dc/dcmitype/"/>
    <ds:schemaRef ds:uri="http://purl.org/dc/elements/1.1/"/>
  </ds:schemaRefs>
</ds:datastoreItem>
</file>

<file path=customXml/itemProps2.xml><?xml version="1.0" encoding="utf-8"?>
<ds:datastoreItem xmlns:ds="http://schemas.openxmlformats.org/officeDocument/2006/customXml" ds:itemID="{2BD820CF-A5F7-4D40-99E5-3881395BE2F3}">
  <ds:schemaRefs>
    <ds:schemaRef ds:uri="http://schemas.microsoft.com/sharepoint/v3/contenttype/forms"/>
  </ds:schemaRefs>
</ds:datastoreItem>
</file>

<file path=customXml/itemProps3.xml><?xml version="1.0" encoding="utf-8"?>
<ds:datastoreItem xmlns:ds="http://schemas.openxmlformats.org/officeDocument/2006/customXml" ds:itemID="{B33D8A24-64B7-49F6-AE74-FF43E00E40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282A717-3BBD-4BCA-88DF-5BDB0695C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B1D5ECEB</Template>
  <TotalTime>1</TotalTime>
  <Pages>4</Pages>
  <Words>568</Words>
  <Characters>3243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3804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Carroll</dc:creator>
  <cp:lastModifiedBy>Samuel Dent</cp:lastModifiedBy>
  <cp:revision>3</cp:revision>
  <cp:lastPrinted>2012-09-14T18:21:00Z</cp:lastPrinted>
  <dcterms:created xsi:type="dcterms:W3CDTF">2015-10-23T09:50:00Z</dcterms:created>
  <dcterms:modified xsi:type="dcterms:W3CDTF">2015-10-23T09:51:00Z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y fmtid="{D5CDD505-2E9C-101B-9397-08002B2CF9AE}" pid="3" name="_NewReviewCycle">
    <vt:lpwstr/>
  </property>
</Properties>
</file>