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60" w:rsidRDefault="000A7A60" w:rsidP="000A7A60">
      <w:pPr>
        <w:pStyle w:val="Heading3"/>
        <w:numPr>
          <w:ilvl w:val="2"/>
          <w:numId w:val="2"/>
        </w:numPr>
      </w:pPr>
      <w:bookmarkStart w:id="0" w:name="_Ref376422968"/>
      <w:bookmarkStart w:id="1" w:name="_Toc411593550"/>
      <w:r>
        <w:t>Ductless Heat Pumps</w:t>
      </w:r>
      <w:bookmarkEnd w:id="0"/>
      <w:bookmarkEnd w:id="1"/>
    </w:p>
    <w:p w:rsidR="000A7A60" w:rsidRPr="002F5F3E" w:rsidRDefault="000A7A60" w:rsidP="000A7A60">
      <w:pPr>
        <w:keepNext/>
        <w:keepLines/>
        <w:spacing w:before="200"/>
        <w:outlineLvl w:val="5"/>
        <w:rPr>
          <w:rFonts w:eastAsiaTheme="majorEastAsia" w:cstheme="majorBidi"/>
          <w:b/>
          <w:iCs/>
          <w:smallCaps/>
          <w:sz w:val="22"/>
        </w:rPr>
      </w:pPr>
      <w:bookmarkStart w:id="2" w:name="_Toc343160263"/>
      <w:r w:rsidRPr="002F5F3E">
        <w:rPr>
          <w:rFonts w:eastAsiaTheme="majorEastAsia" w:cstheme="majorBidi"/>
          <w:b/>
          <w:iCs/>
          <w:smallCaps/>
          <w:sz w:val="22"/>
        </w:rPr>
        <w:t>Description</w:t>
      </w:r>
      <w:bookmarkEnd w:id="2"/>
    </w:p>
    <w:p w:rsidR="000A7A60" w:rsidRPr="002F5F3E" w:rsidRDefault="000A7A60" w:rsidP="000A7A60">
      <w:pPr>
        <w:spacing w:after="240"/>
      </w:pPr>
      <w:r w:rsidRPr="002F5F3E">
        <w:t xml:space="preserve">This measure is designed to calculate electric savings for supplementing existing electric HVAC systems with ductless heat pumps. Existing systems can include: electric resistance heating or ducted air-source heat pumps. For ducted air source heat pumps, cooling savings are also possible if there is an existing air conditioning system. </w:t>
      </w:r>
    </w:p>
    <w:p w:rsidR="000A7A60" w:rsidRPr="002F5F3E" w:rsidRDefault="000A7A60" w:rsidP="000A7A60">
      <w:pPr>
        <w:spacing w:after="240"/>
      </w:pPr>
      <w:r w:rsidRPr="002F5F3E">
        <w:t xml:space="preserve">Savings are achieved by displacing some of the heating or cooling load currently provided by the existing system and meeting that load with the more efficient ductless heat pump instead. The offset of the home’s heating load is likely for the milder heating periods.  The limitations on heating offset increase as the outdoor temperature drops, because the DHP capacity decreases, and the point-source nature of the heater is less able to satisfy heating loads in remote rooms.  </w:t>
      </w:r>
    </w:p>
    <w:p w:rsidR="000A7A60" w:rsidRPr="002F5F3E" w:rsidRDefault="000A7A60" w:rsidP="000A7A60">
      <w:pPr>
        <w:spacing w:after="240"/>
      </w:pPr>
      <w:r w:rsidRPr="002F5F3E">
        <w:t xml:space="preserve">For cooling, the proposed savings calculations are aligned with those of typical replacement systems. In most cases, the DHP is expected to replace (rather than offset) a comparable amount of cooling in homes with electric resistance heat—at a much higher efficiency than the previously used cooling.   </w:t>
      </w:r>
    </w:p>
    <w:p w:rsidR="000A7A60" w:rsidRPr="002F5F3E" w:rsidRDefault="000A7A60" w:rsidP="000A7A60">
      <w:pPr>
        <w:spacing w:after="240"/>
        <w:rPr>
          <w:vertAlign w:val="superscript"/>
        </w:rPr>
      </w:pPr>
      <w:r w:rsidRPr="002F5F3E">
        <w:t>In order for this measure to apply, the control strategy for the heat pump is assumed to be chosen to maximize savings per installer recommendation.</w:t>
      </w:r>
      <w:r w:rsidRPr="002F5F3E">
        <w:rPr>
          <w:rFonts w:ascii="Arial" w:eastAsiaTheme="minorEastAsia" w:hAnsi="Arial"/>
          <w:vertAlign w:val="superscript"/>
        </w:rPr>
        <w:footnoteReference w:id="1"/>
      </w:r>
    </w:p>
    <w:p w:rsidR="000A7A60" w:rsidRPr="002F5F3E" w:rsidRDefault="000A7A60" w:rsidP="000A7A60">
      <w:pPr>
        <w:rPr>
          <w:rFonts w:cstheme="minorHAnsi"/>
          <w:szCs w:val="20"/>
        </w:rPr>
      </w:pPr>
      <w:bookmarkStart w:id="3" w:name="_Toc343160264"/>
      <w:r w:rsidRPr="002F5F3E">
        <w:rPr>
          <w:rFonts w:cstheme="minorHAnsi"/>
          <w:szCs w:val="20"/>
        </w:rPr>
        <w:t xml:space="preserve">This measure was developed to be applicable to the following program types:  RF.  </w:t>
      </w:r>
    </w:p>
    <w:p w:rsidR="000A7A60" w:rsidRPr="002F5F3E" w:rsidRDefault="000A7A60" w:rsidP="000A7A60">
      <w:pPr>
        <w:rPr>
          <w:rFonts w:cstheme="minorHAnsi"/>
          <w:szCs w:val="20"/>
        </w:rPr>
      </w:pPr>
      <w:r w:rsidRPr="002F5F3E">
        <w:rPr>
          <w:rFonts w:cstheme="minorHAnsi"/>
          <w:szCs w:val="20"/>
        </w:rPr>
        <w:t>If applied to other program types, the measure savings should be verified.</w:t>
      </w:r>
    </w:p>
    <w:p w:rsidR="000A7A60" w:rsidRPr="002F5F3E" w:rsidRDefault="000A7A60" w:rsidP="000A7A60">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Definition of Efficient Equipment</w:t>
      </w:r>
      <w:bookmarkEnd w:id="3"/>
    </w:p>
    <w:p w:rsidR="000A7A60" w:rsidRPr="002F5F3E" w:rsidRDefault="000A7A60" w:rsidP="000A7A60">
      <w:pPr>
        <w:spacing w:after="240"/>
      </w:pPr>
      <w:r w:rsidRPr="002F5F3E">
        <w:t>In order for this characterization to apply, the new equipment must be a high-efficiency, variable-capacity (typically “inverter-driven” DC motor) ductless heat pump system that exceeds the current Federal Standard. This means the unit must meet or exceed 8.2 HSPF (heating mode) and 14 SEER (cooling mode)</w:t>
      </w:r>
      <w:r w:rsidRPr="002F5F3E">
        <w:rPr>
          <w:rFonts w:ascii="Arial" w:hAnsi="Arial"/>
          <w:vertAlign w:val="superscript"/>
        </w:rPr>
        <w:footnoteReference w:id="2"/>
      </w:r>
      <w:r w:rsidRPr="002F5F3E">
        <w:t>.</w:t>
      </w:r>
    </w:p>
    <w:p w:rsidR="000A7A60" w:rsidRPr="002F5F3E" w:rsidRDefault="000A7A60" w:rsidP="000A7A60">
      <w:pPr>
        <w:spacing w:after="240"/>
      </w:pPr>
      <w:r w:rsidRPr="002F5F3E">
        <w:t xml:space="preserve">This measure only applies to the </w:t>
      </w:r>
      <w:r w:rsidRPr="002F5F3E">
        <w:rPr>
          <w:i/>
        </w:rPr>
        <w:t>first</w:t>
      </w:r>
      <w:r w:rsidRPr="002F5F3E">
        <w:t xml:space="preserve"> ductless heat pump installed in a residence</w:t>
      </w:r>
      <w:r w:rsidRPr="002F5F3E">
        <w:rPr>
          <w:rFonts w:ascii="Arial" w:eastAsiaTheme="minorEastAsia" w:hAnsi="Arial"/>
          <w:vertAlign w:val="superscript"/>
        </w:rPr>
        <w:footnoteReference w:id="3"/>
      </w:r>
      <w:r w:rsidRPr="002F5F3E">
        <w:t xml:space="preserve">. </w:t>
      </w:r>
    </w:p>
    <w:p w:rsidR="000A7A60" w:rsidRPr="002F5F3E" w:rsidRDefault="000A7A60" w:rsidP="000A7A60">
      <w:pPr>
        <w:keepNext/>
        <w:keepLines/>
        <w:spacing w:before="200"/>
        <w:outlineLvl w:val="5"/>
        <w:rPr>
          <w:rFonts w:eastAsiaTheme="majorEastAsia" w:cstheme="majorBidi"/>
          <w:b/>
          <w:iCs/>
          <w:smallCaps/>
          <w:sz w:val="22"/>
        </w:rPr>
      </w:pPr>
      <w:bookmarkStart w:id="4" w:name="_Toc343160265"/>
      <w:r w:rsidRPr="002F5F3E">
        <w:rPr>
          <w:rFonts w:eastAsiaTheme="majorEastAsia" w:cstheme="majorBidi"/>
          <w:b/>
          <w:iCs/>
          <w:smallCaps/>
          <w:sz w:val="22"/>
        </w:rPr>
        <w:t>Definition of Baseline Equipment</w:t>
      </w:r>
      <w:bookmarkEnd w:id="4"/>
    </w:p>
    <w:p w:rsidR="000A7A60" w:rsidRPr="002F5F3E" w:rsidRDefault="000A7A60" w:rsidP="000A7A60">
      <w:pPr>
        <w:spacing w:after="240"/>
      </w:pPr>
      <w:r w:rsidRPr="002F5F3E">
        <w:t>In order for this characterization to apply, baseline equipment must include a permanent electric resistance heating source or a ducted air-source heat pump. For multifamily buildings, each residence must have existing individual heating equipment. Multifamily residences with central heating do not qualify for this characterization. Existing cooling equipment is assumed to be standard efficiency. Note that in order to claim cooling savings, there must be an existing air conditioning system.</w:t>
      </w:r>
    </w:p>
    <w:p w:rsidR="000A7A60" w:rsidRPr="002F5F3E" w:rsidRDefault="000A7A60" w:rsidP="000A7A60">
      <w:pPr>
        <w:keepNext/>
        <w:keepLines/>
        <w:spacing w:before="200"/>
        <w:outlineLvl w:val="5"/>
        <w:rPr>
          <w:rFonts w:eastAsiaTheme="majorEastAsia" w:cstheme="majorBidi"/>
          <w:b/>
          <w:iCs/>
          <w:smallCaps/>
          <w:sz w:val="22"/>
        </w:rPr>
      </w:pPr>
      <w:bookmarkStart w:id="5" w:name="_Toc343160266"/>
      <w:r w:rsidRPr="002F5F3E">
        <w:rPr>
          <w:rFonts w:eastAsiaTheme="majorEastAsia" w:cstheme="majorBidi"/>
          <w:b/>
          <w:iCs/>
          <w:smallCaps/>
          <w:sz w:val="22"/>
        </w:rPr>
        <w:t>Deemed Lifetime of Efficient Equipment</w:t>
      </w:r>
      <w:bookmarkEnd w:id="5"/>
    </w:p>
    <w:p w:rsidR="000A7A60" w:rsidRPr="002F5F3E" w:rsidRDefault="000A7A60" w:rsidP="000A7A60">
      <w:pPr>
        <w:spacing w:after="240"/>
        <w:rPr>
          <w:rFonts w:ascii="Arial" w:hAnsi="Arial" w:cs="Arial"/>
          <w:sz w:val="14"/>
          <w:szCs w:val="14"/>
          <w:vertAlign w:val="superscript"/>
        </w:rPr>
      </w:pPr>
      <w:r w:rsidRPr="002F5F3E">
        <w:rPr>
          <w:rFonts w:ascii="Calibri" w:hAnsi="Calibri" w:cs="Calibri"/>
          <w:szCs w:val="20"/>
        </w:rPr>
        <w:t>The expected measure life is assumed to be 18 years</w:t>
      </w:r>
      <w:r w:rsidRPr="002F5F3E">
        <w:rPr>
          <w:rFonts w:ascii="Arial" w:hAnsi="Arial"/>
          <w:vertAlign w:val="superscript"/>
        </w:rPr>
        <w:footnoteReference w:id="4"/>
      </w:r>
      <w:r w:rsidRPr="002F5F3E">
        <w:rPr>
          <w:rFonts w:ascii="Calibri" w:hAnsi="Calibri" w:cs="Calibri"/>
          <w:szCs w:val="20"/>
        </w:rPr>
        <w:t>.</w:t>
      </w:r>
    </w:p>
    <w:p w:rsidR="000A7A60" w:rsidRPr="002F5F3E" w:rsidRDefault="000A7A60" w:rsidP="000A7A60">
      <w:pPr>
        <w:keepNext/>
        <w:keepLines/>
        <w:spacing w:before="200"/>
        <w:outlineLvl w:val="5"/>
        <w:rPr>
          <w:rFonts w:eastAsiaTheme="majorEastAsia" w:cstheme="majorBidi"/>
          <w:b/>
          <w:iCs/>
          <w:smallCaps/>
          <w:sz w:val="22"/>
        </w:rPr>
      </w:pPr>
      <w:bookmarkStart w:id="6" w:name="_Toc343160267"/>
      <w:r w:rsidRPr="002F5F3E">
        <w:rPr>
          <w:rFonts w:eastAsiaTheme="majorEastAsia" w:cstheme="majorBidi"/>
          <w:b/>
          <w:iCs/>
          <w:smallCaps/>
          <w:sz w:val="22"/>
        </w:rPr>
        <w:lastRenderedPageBreak/>
        <w:t>Deemed Measure Cost</w:t>
      </w:r>
      <w:bookmarkEnd w:id="6"/>
      <w:r w:rsidRPr="002F5F3E">
        <w:rPr>
          <w:rFonts w:eastAsiaTheme="majorEastAsia" w:cstheme="majorBidi"/>
          <w:b/>
          <w:iCs/>
          <w:smallCaps/>
          <w:sz w:val="22"/>
        </w:rPr>
        <w:t xml:space="preserve"> </w:t>
      </w:r>
    </w:p>
    <w:p w:rsidR="000A7A60" w:rsidRPr="002F5F3E" w:rsidRDefault="000A7A60" w:rsidP="000A7A60">
      <w:pPr>
        <w:spacing w:after="240"/>
      </w:pPr>
      <w:r w:rsidRPr="002F5F3E">
        <w:t>The incremental cost for this measure is provided below:</w:t>
      </w:r>
    </w:p>
    <w:tbl>
      <w:tblPr>
        <w:tblStyle w:val="TableGrid7"/>
        <w:tblW w:w="0" w:type="auto"/>
        <w:jc w:val="center"/>
        <w:tblLook w:val="04A0" w:firstRow="1" w:lastRow="0" w:firstColumn="1" w:lastColumn="0" w:noHBand="0" w:noVBand="1"/>
      </w:tblPr>
      <w:tblGrid>
        <w:gridCol w:w="1728"/>
        <w:gridCol w:w="2250"/>
      </w:tblGrid>
      <w:tr w:rsidR="000A7A60" w:rsidRPr="002F5F3E" w:rsidTr="00461F9E">
        <w:trPr>
          <w:jc w:val="center"/>
        </w:trPr>
        <w:tc>
          <w:tcPr>
            <w:tcW w:w="1728" w:type="dxa"/>
            <w:shd w:val="clear" w:color="auto" w:fill="7F7F7F" w:themeFill="text1" w:themeFillTint="80"/>
            <w:vAlign w:val="center"/>
          </w:tcPr>
          <w:p w:rsidR="000A7A60" w:rsidRPr="002F5F3E" w:rsidRDefault="000A7A60" w:rsidP="00461F9E">
            <w:pPr>
              <w:jc w:val="center"/>
              <w:rPr>
                <w:rFonts w:asciiTheme="minorHAnsi" w:hAnsiTheme="minorHAnsi"/>
                <w:b/>
                <w:color w:val="FFFFFF" w:themeColor="background1"/>
              </w:rPr>
            </w:pPr>
            <w:bookmarkStart w:id="7" w:name="_Toc343160269"/>
            <w:r w:rsidRPr="002F5F3E">
              <w:rPr>
                <w:rFonts w:asciiTheme="minorHAnsi" w:hAnsiTheme="minorHAnsi"/>
                <w:b/>
                <w:color w:val="FFFFFF" w:themeColor="background1"/>
              </w:rPr>
              <w:t>Unit Size</w:t>
            </w:r>
          </w:p>
        </w:tc>
        <w:tc>
          <w:tcPr>
            <w:tcW w:w="2250" w:type="dxa"/>
            <w:shd w:val="clear" w:color="auto" w:fill="7F7F7F" w:themeFill="text1" w:themeFillTint="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Incremental Cost</w:t>
            </w:r>
            <w:r w:rsidRPr="009C362B">
              <w:rPr>
                <w:rFonts w:eastAsiaTheme="minorEastAsia"/>
                <w:b/>
                <w:color w:val="FFFFFF" w:themeColor="background1"/>
                <w:vertAlign w:val="superscript"/>
              </w:rPr>
              <w:footnoteReference w:id="5"/>
            </w:r>
          </w:p>
        </w:tc>
      </w:tr>
      <w:tr w:rsidR="000A7A60" w:rsidRPr="002F5F3E" w:rsidTr="00461F9E">
        <w:trPr>
          <w:jc w:val="center"/>
        </w:trPr>
        <w:tc>
          <w:tcPr>
            <w:tcW w:w="1728" w:type="dxa"/>
          </w:tcPr>
          <w:p w:rsidR="000A7A60" w:rsidRPr="002F5F3E" w:rsidRDefault="000A7A60" w:rsidP="00461F9E">
            <w:pPr>
              <w:rPr>
                <w:rFonts w:asciiTheme="minorHAnsi" w:hAnsiTheme="minorHAnsi"/>
              </w:rPr>
            </w:pPr>
            <w:r w:rsidRPr="002F5F3E">
              <w:rPr>
                <w:rFonts w:asciiTheme="minorHAnsi" w:hAnsiTheme="minorHAnsi"/>
              </w:rPr>
              <w:t>1-Ton</w:t>
            </w:r>
          </w:p>
        </w:tc>
        <w:tc>
          <w:tcPr>
            <w:tcW w:w="2250" w:type="dxa"/>
          </w:tcPr>
          <w:p w:rsidR="000A7A60" w:rsidRPr="002F5F3E" w:rsidRDefault="000A7A60" w:rsidP="00461F9E">
            <w:pPr>
              <w:jc w:val="center"/>
              <w:rPr>
                <w:rFonts w:asciiTheme="minorHAnsi" w:hAnsiTheme="minorHAnsi"/>
                <w:szCs w:val="22"/>
              </w:rPr>
            </w:pPr>
            <w:r w:rsidRPr="002F5F3E">
              <w:rPr>
                <w:rFonts w:asciiTheme="minorHAnsi" w:hAnsiTheme="minorHAnsi"/>
              </w:rPr>
              <w:t>$3,000</w:t>
            </w:r>
          </w:p>
        </w:tc>
      </w:tr>
      <w:tr w:rsidR="000A7A60" w:rsidRPr="002F5F3E" w:rsidTr="00461F9E">
        <w:trPr>
          <w:jc w:val="center"/>
        </w:trPr>
        <w:tc>
          <w:tcPr>
            <w:tcW w:w="1728" w:type="dxa"/>
          </w:tcPr>
          <w:p w:rsidR="000A7A60" w:rsidRPr="002F5F3E" w:rsidRDefault="000A7A60" w:rsidP="00461F9E">
            <w:pPr>
              <w:rPr>
                <w:rFonts w:asciiTheme="minorHAnsi" w:hAnsiTheme="minorHAnsi"/>
              </w:rPr>
            </w:pPr>
            <w:r w:rsidRPr="002F5F3E">
              <w:rPr>
                <w:rFonts w:asciiTheme="minorHAnsi" w:hAnsiTheme="minorHAnsi"/>
              </w:rPr>
              <w:t>1.5-Ton</w:t>
            </w:r>
          </w:p>
        </w:tc>
        <w:tc>
          <w:tcPr>
            <w:tcW w:w="2250" w:type="dxa"/>
          </w:tcPr>
          <w:p w:rsidR="000A7A60" w:rsidRPr="002F5F3E" w:rsidRDefault="000A7A60" w:rsidP="00461F9E">
            <w:pPr>
              <w:jc w:val="center"/>
              <w:rPr>
                <w:rFonts w:asciiTheme="minorHAnsi" w:hAnsiTheme="minorHAnsi"/>
                <w:szCs w:val="22"/>
              </w:rPr>
            </w:pPr>
            <w:r w:rsidRPr="002F5F3E">
              <w:rPr>
                <w:rFonts w:asciiTheme="minorHAnsi" w:hAnsiTheme="minorHAnsi"/>
              </w:rPr>
              <w:t>$3750</w:t>
            </w:r>
          </w:p>
        </w:tc>
      </w:tr>
      <w:tr w:rsidR="000A7A60" w:rsidRPr="002F5F3E" w:rsidTr="00461F9E">
        <w:trPr>
          <w:jc w:val="center"/>
        </w:trPr>
        <w:tc>
          <w:tcPr>
            <w:tcW w:w="1728" w:type="dxa"/>
          </w:tcPr>
          <w:p w:rsidR="000A7A60" w:rsidRPr="002F5F3E" w:rsidRDefault="000A7A60" w:rsidP="00461F9E">
            <w:pPr>
              <w:rPr>
                <w:rFonts w:asciiTheme="minorHAnsi" w:hAnsiTheme="minorHAnsi"/>
              </w:rPr>
            </w:pPr>
            <w:r w:rsidRPr="002F5F3E">
              <w:rPr>
                <w:rFonts w:asciiTheme="minorHAnsi" w:hAnsiTheme="minorHAnsi"/>
              </w:rPr>
              <w:t>2-Ton</w:t>
            </w:r>
          </w:p>
        </w:tc>
        <w:tc>
          <w:tcPr>
            <w:tcW w:w="2250" w:type="dxa"/>
          </w:tcPr>
          <w:p w:rsidR="000A7A60" w:rsidRPr="002F5F3E" w:rsidRDefault="000A7A60" w:rsidP="00461F9E">
            <w:pPr>
              <w:jc w:val="center"/>
              <w:rPr>
                <w:rFonts w:asciiTheme="minorHAnsi" w:hAnsiTheme="minorHAnsi"/>
                <w:szCs w:val="22"/>
              </w:rPr>
            </w:pPr>
            <w:r w:rsidRPr="002F5F3E">
              <w:rPr>
                <w:rFonts w:asciiTheme="minorHAnsi" w:hAnsiTheme="minorHAnsi"/>
              </w:rPr>
              <w:t>$4,500</w:t>
            </w:r>
          </w:p>
        </w:tc>
      </w:tr>
    </w:tbl>
    <w:p w:rsidR="000A7A60" w:rsidRPr="002F5F3E" w:rsidRDefault="000A7A60" w:rsidP="000A7A60">
      <w:pPr>
        <w:keepNext/>
        <w:keepLines/>
        <w:spacing w:before="200"/>
        <w:outlineLvl w:val="5"/>
        <w:rPr>
          <w:rFonts w:eastAsiaTheme="majorEastAsia" w:cstheme="majorBidi"/>
          <w:b/>
          <w:iCs/>
          <w:smallCaps/>
          <w:sz w:val="22"/>
        </w:rPr>
      </w:pPr>
      <w:proofErr w:type="spellStart"/>
      <w:r w:rsidRPr="002F5F3E">
        <w:rPr>
          <w:rFonts w:eastAsiaTheme="majorEastAsia" w:cstheme="majorBidi"/>
          <w:b/>
          <w:iCs/>
          <w:smallCaps/>
          <w:sz w:val="22"/>
        </w:rPr>
        <w:t>Loadshape</w:t>
      </w:r>
      <w:bookmarkEnd w:id="7"/>
      <w:proofErr w:type="spellEnd"/>
    </w:p>
    <w:p w:rsidR="000A7A60" w:rsidRPr="002F5F3E" w:rsidRDefault="000A7A60" w:rsidP="000A7A60">
      <w:pPr>
        <w:spacing w:after="240"/>
        <w:rPr>
          <w:szCs w:val="20"/>
        </w:rPr>
      </w:pPr>
      <w:proofErr w:type="spellStart"/>
      <w:r w:rsidRPr="002F5F3E">
        <w:rPr>
          <w:rFonts w:ascii="Calibri" w:hAnsi="Calibri" w:cs="Calibri"/>
          <w:szCs w:val="20"/>
        </w:rPr>
        <w:t>Loadshape</w:t>
      </w:r>
      <w:proofErr w:type="spellEnd"/>
      <w:r w:rsidRPr="002F5F3E">
        <w:rPr>
          <w:rFonts w:ascii="Calibri" w:hAnsi="Calibri" w:cs="Calibri"/>
          <w:szCs w:val="20"/>
        </w:rPr>
        <w:t xml:space="preserve"> R10 - Residential Electric Heating and Cooling</w:t>
      </w:r>
    </w:p>
    <w:p w:rsidR="000A7A60" w:rsidRPr="002F5F3E" w:rsidRDefault="000A7A60" w:rsidP="000A7A60">
      <w:pPr>
        <w:keepNext/>
        <w:keepLines/>
        <w:spacing w:before="200"/>
        <w:outlineLvl w:val="5"/>
        <w:rPr>
          <w:rFonts w:eastAsiaTheme="majorEastAsia" w:cstheme="majorBidi"/>
          <w:b/>
          <w:iCs/>
          <w:smallCaps/>
          <w:sz w:val="22"/>
        </w:rPr>
      </w:pPr>
      <w:bookmarkStart w:id="8" w:name="_Toc343160270"/>
      <w:r w:rsidRPr="002F5F3E">
        <w:rPr>
          <w:rFonts w:eastAsiaTheme="majorEastAsia" w:cstheme="majorBidi"/>
          <w:b/>
          <w:iCs/>
          <w:smallCaps/>
          <w:sz w:val="22"/>
        </w:rPr>
        <w:t>Coincidence Factor</w:t>
      </w:r>
      <w:bookmarkEnd w:id="8"/>
    </w:p>
    <w:p w:rsidR="000A7A60" w:rsidRPr="002F5F3E" w:rsidRDefault="000A7A60" w:rsidP="000A7A60">
      <w:pPr>
        <w:autoSpaceDE w:val="0"/>
        <w:autoSpaceDN w:val="0"/>
        <w:adjustRightInd w:val="0"/>
        <w:rPr>
          <w:rFonts w:ascii="Calibri" w:hAnsi="Calibri" w:cs="Calibri"/>
          <w:szCs w:val="20"/>
        </w:rPr>
      </w:pPr>
      <w:r w:rsidRPr="002F5F3E">
        <w:rPr>
          <w:rFonts w:ascii="Calibri" w:hAnsi="Calibri"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2F5F3E">
        <w:rPr>
          <w:rFonts w:cs="Calibri,Italic"/>
          <w:i/>
          <w:iCs/>
          <w:szCs w:val="20"/>
        </w:rPr>
        <w:t>average</w:t>
      </w:r>
      <w:r w:rsidRPr="002F5F3E">
        <w:rPr>
          <w:rFonts w:ascii="Calibri,Italic" w:hAnsi="Calibri,Italic" w:cs="Calibri,Italic"/>
          <w:i/>
          <w:iCs/>
          <w:szCs w:val="20"/>
        </w:rPr>
        <w:t xml:space="preserve"> </w:t>
      </w:r>
      <w:r w:rsidRPr="002F5F3E">
        <w:rPr>
          <w:rFonts w:ascii="Calibri" w:hAnsi="Calibri" w:cs="Calibri"/>
          <w:szCs w:val="20"/>
        </w:rPr>
        <w:t xml:space="preserve">savings over the defined summer peak period, and is presented so that savings can be bid into PJM’s Forward Capacity Market. Both values provided are based on analysis of </w:t>
      </w:r>
      <w:proofErr w:type="spellStart"/>
      <w:r w:rsidRPr="002F5F3E">
        <w:rPr>
          <w:rFonts w:ascii="Calibri" w:hAnsi="Calibri" w:cs="Calibri"/>
          <w:szCs w:val="20"/>
        </w:rPr>
        <w:t>Itron</w:t>
      </w:r>
      <w:proofErr w:type="spellEnd"/>
      <w:r w:rsidRPr="002F5F3E">
        <w:rPr>
          <w:rFonts w:ascii="Calibri" w:hAnsi="Calibri" w:cs="Calibri"/>
          <w:szCs w:val="20"/>
        </w:rPr>
        <w:t xml:space="preserve"> </w:t>
      </w:r>
      <w:proofErr w:type="spellStart"/>
      <w:r w:rsidRPr="002F5F3E">
        <w:rPr>
          <w:rFonts w:ascii="Calibri" w:hAnsi="Calibri" w:cs="Calibri"/>
          <w:szCs w:val="20"/>
        </w:rPr>
        <w:t>eShape</w:t>
      </w:r>
      <w:proofErr w:type="spellEnd"/>
      <w:r w:rsidRPr="002F5F3E">
        <w:rPr>
          <w:rFonts w:ascii="Calibri" w:hAnsi="Calibri" w:cs="Calibri"/>
          <w:szCs w:val="20"/>
        </w:rPr>
        <w:t xml:space="preserve"> data for Missouri, calibrated to Illinois loads, supplied by Ameren.</w:t>
      </w:r>
    </w:p>
    <w:p w:rsidR="000A7A60" w:rsidRPr="002F5F3E" w:rsidRDefault="000A7A60" w:rsidP="000A7A60">
      <w:pPr>
        <w:autoSpaceDE w:val="0"/>
        <w:autoSpaceDN w:val="0"/>
        <w:adjustRightInd w:val="0"/>
        <w:rPr>
          <w:rFonts w:ascii="Calibri" w:hAnsi="Calibri" w:cs="Calibri"/>
          <w:szCs w:val="20"/>
        </w:rPr>
      </w:pPr>
    </w:p>
    <w:p w:rsidR="000A7A60" w:rsidRPr="002F5F3E" w:rsidRDefault="000A7A60" w:rsidP="000A7A60">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SSP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Summer System Peak Coincidence Factor for ASHP (during utility peak hour)</w:t>
      </w:r>
    </w:p>
    <w:p w:rsidR="000A7A60" w:rsidRPr="002F5F3E" w:rsidRDefault="000A7A60" w:rsidP="000A7A60">
      <w:pPr>
        <w:autoSpaceDE w:val="0"/>
        <w:autoSpaceDN w:val="0"/>
        <w:adjustRightInd w:val="0"/>
        <w:ind w:left="720" w:firstLine="720"/>
        <w:rPr>
          <w:rFonts w:ascii="Arial" w:hAnsi="Arial" w:cs="Arial"/>
          <w:sz w:val="13"/>
          <w:szCs w:val="13"/>
          <w:vertAlign w:val="superscript"/>
        </w:rPr>
      </w:pPr>
      <w:r w:rsidRPr="002F5F3E">
        <w:rPr>
          <w:rFonts w:ascii="Calibri" w:hAnsi="Calibri" w:cs="Calibri"/>
          <w:szCs w:val="20"/>
        </w:rPr>
        <w:t xml:space="preserve">= </w:t>
      </w:r>
      <w:r w:rsidRPr="002F5F3E">
        <w:rPr>
          <w:rFonts w:cstheme="minorHAnsi"/>
        </w:rPr>
        <w:t>72%%</w:t>
      </w:r>
      <w:r w:rsidRPr="002F5F3E">
        <w:rPr>
          <w:rFonts w:ascii="Arial" w:eastAsiaTheme="minorEastAsia" w:hAnsi="Arial"/>
          <w:vertAlign w:val="superscript"/>
        </w:rPr>
        <w:footnoteReference w:id="6"/>
      </w:r>
    </w:p>
    <w:p w:rsidR="000A7A60" w:rsidRPr="002F5F3E" w:rsidRDefault="000A7A60" w:rsidP="000A7A60">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PJM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PJM Summer Peak Coincidence Factor for Central A/C (average during PJM peak period)</w:t>
      </w:r>
    </w:p>
    <w:p w:rsidR="000A7A60" w:rsidRPr="002F5F3E" w:rsidRDefault="000A7A60" w:rsidP="000A7A60">
      <w:pPr>
        <w:spacing w:after="240"/>
        <w:ind w:left="720" w:firstLine="720"/>
        <w:rPr>
          <w:vertAlign w:val="superscript"/>
        </w:rPr>
      </w:pPr>
      <w:r w:rsidRPr="002F5F3E">
        <w:rPr>
          <w:rFonts w:ascii="Calibri" w:hAnsi="Calibri" w:cs="Calibri"/>
          <w:szCs w:val="20"/>
        </w:rPr>
        <w:t xml:space="preserve">= </w:t>
      </w:r>
      <w:r w:rsidRPr="002F5F3E">
        <w:rPr>
          <w:rFonts w:cstheme="minorHAnsi"/>
        </w:rPr>
        <w:t>46.6%</w:t>
      </w:r>
      <w:r w:rsidRPr="002F5F3E">
        <w:rPr>
          <w:rFonts w:ascii="Arial" w:eastAsiaTheme="minorEastAsia" w:hAnsi="Arial"/>
          <w:vertAlign w:val="superscript"/>
        </w:rPr>
        <w:footnoteReference w:id="7"/>
      </w:r>
    </w:p>
    <w:p w:rsidR="000A7A60" w:rsidRPr="002F5F3E" w:rsidRDefault="000A7A60" w:rsidP="000A7A60">
      <w:pPr>
        <w:spacing w:after="240"/>
        <w:rPr>
          <w:rFonts w:ascii="Calibri" w:hAnsi="Calibri" w:cs="Arial"/>
          <w:bCs/>
          <w:kern w:val="32"/>
          <w:sz w:val="32"/>
          <w:szCs w:val="32"/>
        </w:rPr>
      </w:pPr>
      <w:r w:rsidRPr="002F5F3E">
        <w:br w:type="page"/>
      </w:r>
    </w:p>
    <w:p w:rsidR="000A7A60" w:rsidRPr="002F5F3E" w:rsidRDefault="000A7A60" w:rsidP="000A7A60">
      <w:pPr>
        <w:pBdr>
          <w:top w:val="double" w:sz="4" w:space="1" w:color="auto"/>
          <w:bottom w:val="double" w:sz="4" w:space="1" w:color="auto"/>
        </w:pBdr>
        <w:spacing w:after="240"/>
        <w:jc w:val="center"/>
        <w:rPr>
          <w:rFonts w:cstheme="minorHAnsi"/>
          <w:b/>
          <w:sz w:val="22"/>
        </w:rPr>
      </w:pPr>
      <w:bookmarkStart w:id="9" w:name="_Toc343160272"/>
      <w:r w:rsidRPr="002F5F3E">
        <w:rPr>
          <w:rFonts w:cstheme="minorHAnsi"/>
          <w:b/>
          <w:sz w:val="22"/>
        </w:rPr>
        <w:lastRenderedPageBreak/>
        <w:t>Algorithms</w:t>
      </w:r>
    </w:p>
    <w:p w:rsidR="000A7A60" w:rsidRPr="002F5F3E" w:rsidRDefault="000A7A60" w:rsidP="000A7A60">
      <w:pPr>
        <w:keepNext/>
        <w:keepLines/>
        <w:spacing w:before="200"/>
        <w:outlineLvl w:val="5"/>
        <w:rPr>
          <w:rFonts w:eastAsiaTheme="majorEastAsia" w:cstheme="majorBidi"/>
          <w:b/>
          <w:iCs/>
          <w:smallCaps/>
          <w:sz w:val="22"/>
        </w:rPr>
      </w:pPr>
      <w:bookmarkStart w:id="10" w:name="_Toc343160273"/>
      <w:bookmarkEnd w:id="9"/>
      <w:r w:rsidRPr="002F5F3E">
        <w:rPr>
          <w:rFonts w:eastAsiaTheme="majorEastAsia" w:cstheme="majorBidi"/>
          <w:b/>
          <w:iCs/>
          <w:smallCaps/>
          <w:sz w:val="22"/>
        </w:rPr>
        <w:t>Calculation of Savings</w:t>
      </w:r>
      <w:bookmarkEnd w:id="10"/>
      <w:r w:rsidRPr="002F5F3E">
        <w:rPr>
          <w:rFonts w:eastAsiaTheme="majorEastAsia" w:cstheme="majorBidi"/>
          <w:b/>
          <w:iCs/>
          <w:smallCaps/>
          <w:sz w:val="22"/>
        </w:rPr>
        <w:t xml:space="preserve"> </w:t>
      </w:r>
    </w:p>
    <w:p w:rsidR="000A7A60" w:rsidRPr="002F5F3E" w:rsidRDefault="000A7A60" w:rsidP="000A7A60">
      <w:pPr>
        <w:keepNext/>
        <w:keepLines/>
        <w:spacing w:before="200"/>
        <w:outlineLvl w:val="5"/>
        <w:rPr>
          <w:rFonts w:eastAsiaTheme="majorEastAsia" w:cstheme="majorBidi"/>
          <w:b/>
          <w:iCs/>
          <w:smallCaps/>
          <w:sz w:val="22"/>
        </w:rPr>
      </w:pPr>
      <w:bookmarkStart w:id="11" w:name="_Toc343160274"/>
      <w:r w:rsidRPr="002F5F3E">
        <w:rPr>
          <w:rFonts w:eastAsiaTheme="majorEastAsia" w:cstheme="majorBidi"/>
          <w:b/>
          <w:iCs/>
          <w:smallCaps/>
          <w:sz w:val="22"/>
        </w:rPr>
        <w:t>Electric Energy Savings</w:t>
      </w:r>
      <w:bookmarkEnd w:id="11"/>
    </w:p>
    <w:p w:rsidR="000A7A60" w:rsidRPr="002F5F3E" w:rsidRDefault="000A7A60" w:rsidP="000A7A60">
      <w:pPr>
        <w:spacing w:after="240"/>
      </w:pPr>
      <w:r w:rsidRPr="002F5F3E">
        <w:t>Electric savings</w:t>
      </w:r>
    </w:p>
    <w:p w:rsidR="000A7A60" w:rsidRPr="002F5F3E" w:rsidRDefault="000A7A60" w:rsidP="000A7A60">
      <w:pPr>
        <w:spacing w:after="240"/>
        <w:ind w:left="720" w:firstLine="720"/>
        <w:rPr>
          <w:vertAlign w:val="subscript"/>
        </w:rPr>
      </w:pPr>
      <w:proofErr w:type="spellStart"/>
      <w:r w:rsidRPr="002F5F3E">
        <w:t>ΔkWh</w:t>
      </w:r>
      <w:proofErr w:type="spellEnd"/>
      <w:r w:rsidRPr="002F5F3E">
        <w:tab/>
        <w:t xml:space="preserve">= </w:t>
      </w:r>
      <w:proofErr w:type="spellStart"/>
      <w:r w:rsidRPr="002F5F3E">
        <w:t>ΔkWh</w:t>
      </w:r>
      <w:r w:rsidRPr="002F5F3E">
        <w:rPr>
          <w:vertAlign w:val="subscript"/>
        </w:rPr>
        <w:t>heat</w:t>
      </w:r>
      <w:proofErr w:type="spellEnd"/>
      <w:r w:rsidRPr="002F5F3E">
        <w:t xml:space="preserve"> + </w:t>
      </w:r>
      <w:proofErr w:type="spellStart"/>
      <w:r w:rsidRPr="002F5F3E">
        <w:t>ΔkWh</w:t>
      </w:r>
      <w:r w:rsidRPr="002F5F3E">
        <w:rPr>
          <w:vertAlign w:val="subscript"/>
        </w:rPr>
        <w:t>cool</w:t>
      </w:r>
      <w:proofErr w:type="spellEnd"/>
    </w:p>
    <w:p w:rsidR="000A7A60" w:rsidRPr="002F5F3E" w:rsidRDefault="000A7A60" w:rsidP="000A7A60">
      <w:pPr>
        <w:spacing w:after="240"/>
        <w:ind w:firstLine="720"/>
        <w:rPr>
          <w:vertAlign w:val="subscript"/>
        </w:rPr>
      </w:pPr>
      <w:proofErr w:type="spellStart"/>
      <w:r w:rsidRPr="002F5F3E">
        <w:t>ΔkWh</w:t>
      </w:r>
      <w:r w:rsidRPr="002F5F3E">
        <w:rPr>
          <w:vertAlign w:val="subscript"/>
        </w:rPr>
        <w:t>heat</w:t>
      </w:r>
      <w:proofErr w:type="spellEnd"/>
      <w:r w:rsidRPr="002F5F3E">
        <w:t xml:space="preserve"> </w:t>
      </w:r>
      <w:r w:rsidRPr="002F5F3E">
        <w:tab/>
        <w:t>= PLD*AHHL*HF*(1/HSPF</w:t>
      </w:r>
      <w:r w:rsidRPr="002F5F3E">
        <w:rPr>
          <w:vertAlign w:val="subscript"/>
        </w:rPr>
        <w:t>exist</w:t>
      </w:r>
      <w:r w:rsidRPr="002F5F3E">
        <w:t>-1/</w:t>
      </w:r>
      <w:proofErr w:type="spellStart"/>
      <w:r w:rsidRPr="002F5F3E">
        <w:t>HSPF</w:t>
      </w:r>
      <w:r w:rsidRPr="002F5F3E">
        <w:rPr>
          <w:vertAlign w:val="subscript"/>
        </w:rPr>
        <w:t>ee</w:t>
      </w:r>
      <w:proofErr w:type="spellEnd"/>
      <w:r w:rsidRPr="002F5F3E">
        <w:t>)*3.413</w:t>
      </w:r>
    </w:p>
    <w:p w:rsidR="000A7A60" w:rsidRPr="002F5F3E" w:rsidRDefault="000A7A60" w:rsidP="000A7A60">
      <w:pPr>
        <w:spacing w:after="240"/>
        <w:ind w:firstLine="720"/>
        <w:rPr>
          <w:color w:val="1F497D" w:themeColor="text2"/>
        </w:rPr>
      </w:pPr>
      <w:proofErr w:type="spellStart"/>
      <w:r w:rsidRPr="002F5F3E">
        <w:t>ΔkWh</w:t>
      </w:r>
      <w:r w:rsidRPr="002F5F3E">
        <w:rPr>
          <w:vertAlign w:val="subscript"/>
        </w:rPr>
        <w:t>cool</w:t>
      </w:r>
      <w:proofErr w:type="spellEnd"/>
      <w:r w:rsidRPr="002F5F3E">
        <w:rPr>
          <w:vertAlign w:val="subscript"/>
        </w:rPr>
        <w:t xml:space="preserve"> </w:t>
      </w:r>
      <w:r w:rsidRPr="002F5F3E">
        <w:rPr>
          <w:vertAlign w:val="subscript"/>
        </w:rPr>
        <w:tab/>
      </w:r>
      <w:r w:rsidRPr="002F5F3E">
        <w:t xml:space="preserve">= </w:t>
      </w:r>
      <w:proofErr w:type="spellStart"/>
      <w:r w:rsidRPr="002F5F3E">
        <w:t>Capacity</w:t>
      </w:r>
      <w:r w:rsidRPr="002F5F3E">
        <w:rPr>
          <w:vertAlign w:val="subscript"/>
        </w:rPr>
        <w:t>cool</w:t>
      </w:r>
      <w:proofErr w:type="spellEnd"/>
      <w:r w:rsidRPr="002F5F3E">
        <w:t>*HF*(1/SEER</w:t>
      </w:r>
      <w:r w:rsidRPr="002F5F3E">
        <w:rPr>
          <w:vertAlign w:val="subscript"/>
        </w:rPr>
        <w:t>exist</w:t>
      </w:r>
      <w:r w:rsidRPr="002F5F3E">
        <w:t>-1/</w:t>
      </w:r>
      <w:proofErr w:type="spellStart"/>
      <w:r w:rsidRPr="002F5F3E">
        <w:t>SEER</w:t>
      </w:r>
      <w:r w:rsidRPr="002F5F3E">
        <w:rPr>
          <w:vertAlign w:val="subscript"/>
        </w:rPr>
        <w:t>ee</w:t>
      </w:r>
      <w:proofErr w:type="spellEnd"/>
      <w:r w:rsidRPr="002F5F3E">
        <w:t>)*</w:t>
      </w:r>
      <w:proofErr w:type="spellStart"/>
      <w:r w:rsidRPr="002F5F3E">
        <w:t>EFLH</w:t>
      </w:r>
      <w:r w:rsidRPr="002F5F3E">
        <w:rPr>
          <w:vertAlign w:val="subscript"/>
        </w:rPr>
        <w:t>cool</w:t>
      </w:r>
      <w:proofErr w:type="spellEnd"/>
      <w:r w:rsidRPr="002F5F3E">
        <w:t xml:space="preserve"> </w:t>
      </w:r>
    </w:p>
    <w:p w:rsidR="000A7A60" w:rsidRPr="002F5F3E" w:rsidRDefault="000A7A60" w:rsidP="000A7A60">
      <w:pPr>
        <w:spacing w:after="240"/>
      </w:pPr>
      <w:r w:rsidRPr="002F5F3E">
        <w:t>Where:</w:t>
      </w:r>
    </w:p>
    <w:p w:rsidR="000A7A60" w:rsidRPr="002F5F3E" w:rsidRDefault="000A7A60" w:rsidP="000A7A60">
      <w:pPr>
        <w:spacing w:after="240"/>
        <w:ind w:left="2160" w:hanging="1440"/>
      </w:pPr>
      <w:r w:rsidRPr="002F5F3E">
        <w:t>PLD</w:t>
      </w:r>
      <w:r w:rsidRPr="002F5F3E">
        <w:tab/>
        <w:t>= Percent Load Displaced. The average total annual heating load displaced from the existing heating system and now provided by the ductless heat pump</w:t>
      </w:r>
      <w:r w:rsidRPr="002F5F3E">
        <w:rPr>
          <w:rFonts w:ascii="Arial" w:eastAsiaTheme="minorEastAsia" w:hAnsi="Arial"/>
          <w:vertAlign w:val="superscript"/>
        </w:rPr>
        <w:footnoteReference w:id="8"/>
      </w:r>
    </w:p>
    <w:p w:rsidR="000A7A60" w:rsidRPr="002F5F3E" w:rsidRDefault="000A7A60" w:rsidP="000A7A60">
      <w:pPr>
        <w:spacing w:after="240"/>
        <w:ind w:left="1440" w:firstLine="720"/>
      </w:pPr>
      <w:proofErr w:type="gramStart"/>
      <w:r w:rsidRPr="002F5F3E">
        <w:t>For a first DHP installed in a given home.</w:t>
      </w:r>
      <w:proofErr w:type="gramEnd"/>
    </w:p>
    <w:tbl>
      <w:tblPr>
        <w:tblStyle w:val="TableGrid7"/>
        <w:tblW w:w="0" w:type="auto"/>
        <w:jc w:val="center"/>
        <w:tblLook w:val="04A0" w:firstRow="1" w:lastRow="0" w:firstColumn="1" w:lastColumn="0" w:noHBand="0" w:noVBand="1"/>
      </w:tblPr>
      <w:tblGrid>
        <w:gridCol w:w="1584"/>
        <w:gridCol w:w="1584"/>
        <w:gridCol w:w="1584"/>
        <w:gridCol w:w="1584"/>
      </w:tblGrid>
      <w:tr w:rsidR="000A7A60" w:rsidRPr="002F5F3E" w:rsidTr="00461F9E">
        <w:trPr>
          <w:trHeight w:val="107"/>
          <w:jc w:val="center"/>
        </w:trPr>
        <w:tc>
          <w:tcPr>
            <w:tcW w:w="1584" w:type="dxa"/>
            <w:shd w:val="clear" w:color="auto" w:fill="A6A6A6" w:themeFill="background1" w:themeFillShade="A6"/>
            <w:vAlign w:val="center"/>
          </w:tcPr>
          <w:p w:rsidR="000A7A60" w:rsidRPr="002F5F3E" w:rsidRDefault="000A7A60" w:rsidP="00461F9E">
            <w:pPr>
              <w:jc w:val="center"/>
              <w:rPr>
                <w:rFonts w:asciiTheme="minorHAnsi" w:hAnsiTheme="minorHAnsi"/>
                <w:b/>
                <w:color w:val="FFFFFF" w:themeColor="background1"/>
              </w:rPr>
            </w:pPr>
          </w:p>
        </w:tc>
        <w:tc>
          <w:tcPr>
            <w:tcW w:w="4752" w:type="dxa"/>
            <w:gridSpan w:val="3"/>
            <w:shd w:val="clear" w:color="auto" w:fill="A6A6A6" w:themeFill="background1" w:themeFillShade="A6"/>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PLD5</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Climate zone</w:t>
            </w:r>
          </w:p>
        </w:tc>
        <w:tc>
          <w:tcPr>
            <w:tcW w:w="1584" w:type="dxa"/>
          </w:tcPr>
          <w:p w:rsidR="000A7A60" w:rsidRPr="002F5F3E" w:rsidRDefault="000A7A60" w:rsidP="00461F9E">
            <w:pPr>
              <w:rPr>
                <w:rFonts w:asciiTheme="minorHAnsi" w:hAnsiTheme="minorHAnsi"/>
              </w:rPr>
            </w:pPr>
            <w:r w:rsidRPr="002F5F3E">
              <w:rPr>
                <w:rFonts w:asciiTheme="minorHAnsi" w:hAnsiTheme="minorHAnsi"/>
              </w:rPr>
              <w:t>1-ton unit</w:t>
            </w:r>
          </w:p>
        </w:tc>
        <w:tc>
          <w:tcPr>
            <w:tcW w:w="1584" w:type="dxa"/>
          </w:tcPr>
          <w:p w:rsidR="000A7A60" w:rsidRPr="002F5F3E" w:rsidRDefault="000A7A60" w:rsidP="00461F9E">
            <w:pPr>
              <w:rPr>
                <w:rFonts w:asciiTheme="minorHAnsi" w:hAnsiTheme="minorHAnsi"/>
              </w:rPr>
            </w:pPr>
            <w:r w:rsidRPr="002F5F3E">
              <w:rPr>
                <w:rFonts w:asciiTheme="minorHAnsi" w:hAnsiTheme="minorHAnsi"/>
              </w:rPr>
              <w:t>1.5-ton unit</w:t>
            </w:r>
          </w:p>
        </w:tc>
        <w:tc>
          <w:tcPr>
            <w:tcW w:w="1584" w:type="dxa"/>
          </w:tcPr>
          <w:p w:rsidR="000A7A60" w:rsidRPr="002F5F3E" w:rsidRDefault="000A7A60" w:rsidP="00461F9E">
            <w:pPr>
              <w:rPr>
                <w:rFonts w:asciiTheme="minorHAnsi" w:hAnsiTheme="minorHAnsi"/>
              </w:rPr>
            </w:pPr>
            <w:r w:rsidRPr="002F5F3E">
              <w:rPr>
                <w:rFonts w:asciiTheme="minorHAnsi" w:hAnsiTheme="minorHAnsi"/>
              </w:rPr>
              <w:t>2-ton unit</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Rockford</w:t>
            </w:r>
          </w:p>
        </w:tc>
        <w:tc>
          <w:tcPr>
            <w:tcW w:w="1584" w:type="dxa"/>
            <w:vAlign w:val="bottom"/>
          </w:tcPr>
          <w:p w:rsidR="000A7A60" w:rsidRPr="002F5F3E" w:rsidRDefault="000A7A60" w:rsidP="00461F9E">
            <w:pPr>
              <w:rPr>
                <w:rFonts w:asciiTheme="minorHAnsi" w:hAnsiTheme="minorHAnsi"/>
              </w:rPr>
            </w:pPr>
            <w:r w:rsidRPr="002F5F3E">
              <w:rPr>
                <w:rFonts w:asciiTheme="minorHAnsi" w:hAnsiTheme="minorHAnsi"/>
              </w:rPr>
              <w:t>26%</w:t>
            </w:r>
          </w:p>
        </w:tc>
        <w:tc>
          <w:tcPr>
            <w:tcW w:w="1584" w:type="dxa"/>
          </w:tcPr>
          <w:p w:rsidR="000A7A60" w:rsidRPr="002F5F3E" w:rsidRDefault="000A7A60" w:rsidP="00461F9E">
            <w:pPr>
              <w:rPr>
                <w:rFonts w:asciiTheme="minorHAnsi" w:hAnsiTheme="minorHAnsi"/>
              </w:rPr>
            </w:pPr>
            <w:r w:rsidRPr="002F5F3E">
              <w:rPr>
                <w:rFonts w:asciiTheme="minorHAnsi" w:hAnsiTheme="minorHAnsi"/>
              </w:rPr>
              <w:t>39%</w:t>
            </w:r>
          </w:p>
        </w:tc>
        <w:tc>
          <w:tcPr>
            <w:tcW w:w="1584" w:type="dxa"/>
          </w:tcPr>
          <w:p w:rsidR="000A7A60" w:rsidRPr="002F5F3E" w:rsidRDefault="000A7A60" w:rsidP="00461F9E">
            <w:pPr>
              <w:rPr>
                <w:rFonts w:asciiTheme="minorHAnsi" w:hAnsiTheme="minorHAnsi"/>
              </w:rPr>
            </w:pPr>
            <w:r w:rsidRPr="002F5F3E">
              <w:rPr>
                <w:rFonts w:asciiTheme="minorHAnsi" w:hAnsiTheme="minorHAnsi"/>
              </w:rPr>
              <w:t>39%</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Chicago</w:t>
            </w:r>
          </w:p>
        </w:tc>
        <w:tc>
          <w:tcPr>
            <w:tcW w:w="1584" w:type="dxa"/>
            <w:vAlign w:val="bottom"/>
          </w:tcPr>
          <w:p w:rsidR="000A7A60" w:rsidRPr="002F5F3E" w:rsidRDefault="000A7A60" w:rsidP="00461F9E">
            <w:pPr>
              <w:rPr>
                <w:rFonts w:asciiTheme="minorHAnsi" w:hAnsiTheme="minorHAnsi"/>
              </w:rPr>
            </w:pPr>
            <w:r w:rsidRPr="002F5F3E">
              <w:rPr>
                <w:rFonts w:asciiTheme="minorHAnsi" w:hAnsiTheme="minorHAnsi"/>
              </w:rPr>
              <w:t>27%</w:t>
            </w:r>
          </w:p>
        </w:tc>
        <w:tc>
          <w:tcPr>
            <w:tcW w:w="1584" w:type="dxa"/>
          </w:tcPr>
          <w:p w:rsidR="000A7A60" w:rsidRPr="002F5F3E" w:rsidRDefault="000A7A60" w:rsidP="00461F9E">
            <w:pPr>
              <w:rPr>
                <w:rFonts w:asciiTheme="minorHAnsi" w:hAnsiTheme="minorHAnsi"/>
              </w:rPr>
            </w:pPr>
            <w:r w:rsidRPr="002F5F3E">
              <w:rPr>
                <w:rFonts w:asciiTheme="minorHAnsi" w:hAnsiTheme="minorHAnsi"/>
              </w:rPr>
              <w:t>40%</w:t>
            </w:r>
          </w:p>
        </w:tc>
        <w:tc>
          <w:tcPr>
            <w:tcW w:w="1584" w:type="dxa"/>
          </w:tcPr>
          <w:p w:rsidR="000A7A60" w:rsidRPr="002F5F3E" w:rsidRDefault="000A7A60" w:rsidP="00461F9E">
            <w:pPr>
              <w:rPr>
                <w:rFonts w:asciiTheme="minorHAnsi" w:hAnsiTheme="minorHAnsi"/>
              </w:rPr>
            </w:pPr>
            <w:r w:rsidRPr="002F5F3E">
              <w:rPr>
                <w:rFonts w:asciiTheme="minorHAnsi" w:hAnsiTheme="minorHAnsi"/>
              </w:rPr>
              <w:t>42%</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Springfield</w:t>
            </w:r>
          </w:p>
        </w:tc>
        <w:tc>
          <w:tcPr>
            <w:tcW w:w="1584" w:type="dxa"/>
            <w:vAlign w:val="bottom"/>
          </w:tcPr>
          <w:p w:rsidR="000A7A60" w:rsidRPr="002F5F3E" w:rsidRDefault="000A7A60" w:rsidP="00461F9E">
            <w:pPr>
              <w:rPr>
                <w:rFonts w:asciiTheme="minorHAnsi" w:hAnsiTheme="minorHAnsi"/>
              </w:rPr>
            </w:pPr>
            <w:r w:rsidRPr="002F5F3E">
              <w:rPr>
                <w:rFonts w:asciiTheme="minorHAnsi" w:hAnsiTheme="minorHAnsi"/>
              </w:rPr>
              <w:t>31%</w:t>
            </w:r>
          </w:p>
        </w:tc>
        <w:tc>
          <w:tcPr>
            <w:tcW w:w="1584" w:type="dxa"/>
          </w:tcPr>
          <w:p w:rsidR="000A7A60" w:rsidRPr="002F5F3E" w:rsidRDefault="000A7A60" w:rsidP="00461F9E">
            <w:pPr>
              <w:rPr>
                <w:rFonts w:asciiTheme="minorHAnsi" w:hAnsiTheme="minorHAnsi"/>
              </w:rPr>
            </w:pPr>
            <w:r w:rsidRPr="002F5F3E">
              <w:rPr>
                <w:rFonts w:asciiTheme="minorHAnsi" w:hAnsiTheme="minorHAnsi"/>
              </w:rPr>
              <w:t>47%</w:t>
            </w:r>
          </w:p>
        </w:tc>
        <w:tc>
          <w:tcPr>
            <w:tcW w:w="1584" w:type="dxa"/>
          </w:tcPr>
          <w:p w:rsidR="000A7A60" w:rsidRPr="002F5F3E" w:rsidRDefault="000A7A60" w:rsidP="00461F9E">
            <w:pPr>
              <w:rPr>
                <w:rFonts w:asciiTheme="minorHAnsi" w:hAnsiTheme="minorHAnsi"/>
              </w:rPr>
            </w:pPr>
            <w:r w:rsidRPr="002F5F3E">
              <w:rPr>
                <w:rFonts w:asciiTheme="minorHAnsi" w:hAnsiTheme="minorHAnsi"/>
              </w:rPr>
              <w:t>48%</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Belleville</w:t>
            </w:r>
          </w:p>
        </w:tc>
        <w:tc>
          <w:tcPr>
            <w:tcW w:w="1584" w:type="dxa"/>
            <w:vAlign w:val="bottom"/>
          </w:tcPr>
          <w:p w:rsidR="000A7A60" w:rsidRPr="002F5F3E" w:rsidRDefault="000A7A60" w:rsidP="00461F9E">
            <w:pPr>
              <w:rPr>
                <w:rFonts w:asciiTheme="minorHAnsi" w:hAnsiTheme="minorHAnsi"/>
              </w:rPr>
            </w:pPr>
            <w:r w:rsidRPr="002F5F3E">
              <w:rPr>
                <w:rFonts w:asciiTheme="minorHAnsi" w:hAnsiTheme="minorHAnsi"/>
              </w:rPr>
              <w:t>30%</w:t>
            </w:r>
          </w:p>
        </w:tc>
        <w:tc>
          <w:tcPr>
            <w:tcW w:w="1584" w:type="dxa"/>
          </w:tcPr>
          <w:p w:rsidR="000A7A60" w:rsidRPr="002F5F3E" w:rsidRDefault="000A7A60" w:rsidP="00461F9E">
            <w:pPr>
              <w:rPr>
                <w:rFonts w:asciiTheme="minorHAnsi" w:hAnsiTheme="minorHAnsi"/>
              </w:rPr>
            </w:pPr>
            <w:r w:rsidRPr="002F5F3E">
              <w:rPr>
                <w:rFonts w:asciiTheme="minorHAnsi" w:hAnsiTheme="minorHAnsi"/>
              </w:rPr>
              <w:t>45%</w:t>
            </w:r>
          </w:p>
        </w:tc>
        <w:tc>
          <w:tcPr>
            <w:tcW w:w="1584" w:type="dxa"/>
          </w:tcPr>
          <w:p w:rsidR="000A7A60" w:rsidRPr="002F5F3E" w:rsidRDefault="000A7A60" w:rsidP="00461F9E">
            <w:pPr>
              <w:rPr>
                <w:rFonts w:asciiTheme="minorHAnsi" w:hAnsiTheme="minorHAnsi"/>
              </w:rPr>
            </w:pPr>
            <w:r w:rsidRPr="002F5F3E">
              <w:rPr>
                <w:rFonts w:asciiTheme="minorHAnsi" w:hAnsiTheme="minorHAnsi"/>
              </w:rPr>
              <w:t>48%</w:t>
            </w:r>
          </w:p>
        </w:tc>
      </w:tr>
      <w:tr w:rsidR="000A7A60" w:rsidRPr="002F5F3E" w:rsidTr="00461F9E">
        <w:trPr>
          <w:jc w:val="center"/>
        </w:trPr>
        <w:tc>
          <w:tcPr>
            <w:tcW w:w="1584" w:type="dxa"/>
          </w:tcPr>
          <w:p w:rsidR="000A7A60" w:rsidRPr="002F5F3E" w:rsidRDefault="000A7A60" w:rsidP="00461F9E">
            <w:pPr>
              <w:rPr>
                <w:rFonts w:asciiTheme="minorHAnsi" w:hAnsiTheme="minorHAnsi"/>
              </w:rPr>
            </w:pPr>
            <w:r w:rsidRPr="002F5F3E">
              <w:rPr>
                <w:rFonts w:asciiTheme="minorHAnsi" w:hAnsiTheme="minorHAnsi"/>
              </w:rPr>
              <w:t>Marion</w:t>
            </w:r>
          </w:p>
        </w:tc>
        <w:tc>
          <w:tcPr>
            <w:tcW w:w="1584" w:type="dxa"/>
            <w:vAlign w:val="bottom"/>
          </w:tcPr>
          <w:p w:rsidR="000A7A60" w:rsidRPr="002F5F3E" w:rsidRDefault="000A7A60" w:rsidP="00461F9E">
            <w:pPr>
              <w:rPr>
                <w:rFonts w:asciiTheme="minorHAnsi" w:hAnsiTheme="minorHAnsi"/>
              </w:rPr>
            </w:pPr>
            <w:r w:rsidRPr="002F5F3E">
              <w:rPr>
                <w:rFonts w:asciiTheme="minorHAnsi" w:hAnsiTheme="minorHAnsi"/>
              </w:rPr>
              <w:t>31%</w:t>
            </w:r>
          </w:p>
        </w:tc>
        <w:tc>
          <w:tcPr>
            <w:tcW w:w="1584" w:type="dxa"/>
          </w:tcPr>
          <w:p w:rsidR="000A7A60" w:rsidRPr="002F5F3E" w:rsidRDefault="000A7A60" w:rsidP="00461F9E">
            <w:pPr>
              <w:rPr>
                <w:rFonts w:asciiTheme="minorHAnsi" w:hAnsiTheme="minorHAnsi"/>
              </w:rPr>
            </w:pPr>
            <w:r w:rsidRPr="002F5F3E">
              <w:rPr>
                <w:rFonts w:asciiTheme="minorHAnsi" w:hAnsiTheme="minorHAnsi"/>
              </w:rPr>
              <w:t>46%</w:t>
            </w:r>
          </w:p>
        </w:tc>
        <w:tc>
          <w:tcPr>
            <w:tcW w:w="1584" w:type="dxa"/>
          </w:tcPr>
          <w:p w:rsidR="000A7A60" w:rsidRPr="002F5F3E" w:rsidRDefault="000A7A60" w:rsidP="00461F9E">
            <w:pPr>
              <w:rPr>
                <w:rFonts w:asciiTheme="minorHAnsi" w:hAnsiTheme="minorHAnsi"/>
              </w:rPr>
            </w:pPr>
            <w:r w:rsidRPr="002F5F3E">
              <w:rPr>
                <w:rFonts w:asciiTheme="minorHAnsi" w:hAnsiTheme="minorHAnsi"/>
              </w:rPr>
              <w:t>50%</w:t>
            </w:r>
          </w:p>
        </w:tc>
      </w:tr>
    </w:tbl>
    <w:p w:rsidR="000A7A60" w:rsidRPr="002F5F3E" w:rsidRDefault="000A7A60" w:rsidP="000A7A60">
      <w:pPr>
        <w:spacing w:after="240"/>
        <w:ind w:left="1440" w:hanging="1440"/>
        <w:jc w:val="center"/>
      </w:pPr>
    </w:p>
    <w:p w:rsidR="000A7A60" w:rsidRDefault="000A7A60" w:rsidP="000A7A60">
      <w:pPr>
        <w:spacing w:after="240"/>
      </w:pPr>
      <w:r w:rsidRPr="002F5F3E">
        <w:rPr>
          <w:color w:val="1F497D" w:themeColor="text2"/>
        </w:rPr>
        <w:tab/>
      </w:r>
      <w:r w:rsidRPr="002F5F3E">
        <w:t>AHHL</w:t>
      </w:r>
      <w:r w:rsidRPr="002F5F3E">
        <w:tab/>
      </w:r>
      <w:r w:rsidRPr="002F5F3E">
        <w:tab/>
        <w:t>= Annual Household Heating Load in kWh</w:t>
      </w:r>
      <w:r w:rsidRPr="002F5F3E">
        <w:rPr>
          <w:rFonts w:ascii="Arial" w:eastAsiaTheme="minorEastAsia" w:hAnsi="Arial"/>
          <w:vertAlign w:val="superscript"/>
        </w:rPr>
        <w:footnoteReference w:id="9"/>
      </w:r>
    </w:p>
    <w:p w:rsidR="000A7A60" w:rsidRPr="002F5F3E" w:rsidRDefault="000A7A60" w:rsidP="000A7A60">
      <w:pPr>
        <w:spacing w:after="240"/>
      </w:pPr>
    </w:p>
    <w:tbl>
      <w:tblPr>
        <w:tblStyle w:val="TableGrid7"/>
        <w:tblW w:w="0" w:type="auto"/>
        <w:jc w:val="center"/>
        <w:tblLook w:val="04A0" w:firstRow="1" w:lastRow="0" w:firstColumn="1" w:lastColumn="0" w:noHBand="0" w:noVBand="1"/>
      </w:tblPr>
      <w:tblGrid>
        <w:gridCol w:w="2016"/>
        <w:gridCol w:w="2016"/>
        <w:gridCol w:w="2016"/>
      </w:tblGrid>
      <w:tr w:rsidR="000A7A60" w:rsidRPr="002F5F3E" w:rsidTr="00461F9E">
        <w:trPr>
          <w:trHeight w:val="350"/>
          <w:jc w:val="center"/>
        </w:trPr>
        <w:tc>
          <w:tcPr>
            <w:tcW w:w="2016"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lastRenderedPageBreak/>
              <w:t>Climate Zone</w:t>
            </w:r>
          </w:p>
        </w:tc>
        <w:tc>
          <w:tcPr>
            <w:tcW w:w="2016" w:type="dxa"/>
            <w:shd w:val="clear" w:color="auto" w:fill="808080" w:themeFill="background1" w:themeFillShade="80"/>
            <w:vAlign w:val="center"/>
          </w:tcPr>
          <w:p w:rsidR="000A7A60"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 xml:space="preserve">Annual Household </w:t>
            </w:r>
          </w:p>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Heating Load Resistance (kWh)</w:t>
            </w:r>
          </w:p>
        </w:tc>
        <w:tc>
          <w:tcPr>
            <w:tcW w:w="2016"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Annual Household Heating Load ASHP (kWh)</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1 (Rockford)</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21,741</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25,578</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2 (Chicago)</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20,771</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24,436</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3 (Springfield)</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17,789</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20,928</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4 (Belleville)</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13,722</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16,144</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5 (Marion)</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13,966</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16,431</w:t>
            </w:r>
          </w:p>
        </w:tc>
      </w:tr>
      <w:tr w:rsidR="000A7A60" w:rsidRPr="002F5F3E" w:rsidTr="00461F9E">
        <w:trPr>
          <w:trHeight w:val="144"/>
          <w:jc w:val="center"/>
        </w:trPr>
        <w:tc>
          <w:tcPr>
            <w:tcW w:w="2016" w:type="dxa"/>
          </w:tcPr>
          <w:p w:rsidR="000A7A60" w:rsidRPr="002F5F3E" w:rsidRDefault="000A7A60" w:rsidP="00461F9E">
            <w:pPr>
              <w:rPr>
                <w:rFonts w:asciiTheme="minorHAnsi" w:hAnsiTheme="minorHAnsi"/>
              </w:rPr>
            </w:pPr>
            <w:r w:rsidRPr="002F5F3E">
              <w:rPr>
                <w:rFonts w:asciiTheme="minorHAnsi" w:hAnsiTheme="minorHAnsi"/>
              </w:rPr>
              <w:t>Average</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19,743</w:t>
            </w:r>
          </w:p>
        </w:tc>
        <w:tc>
          <w:tcPr>
            <w:tcW w:w="2016" w:type="dxa"/>
            <w:vAlign w:val="bottom"/>
          </w:tcPr>
          <w:p w:rsidR="000A7A60" w:rsidRPr="002F5F3E" w:rsidRDefault="000A7A60" w:rsidP="00461F9E">
            <w:pPr>
              <w:jc w:val="center"/>
              <w:rPr>
                <w:rFonts w:asciiTheme="minorHAnsi" w:hAnsiTheme="minorHAnsi"/>
                <w:szCs w:val="22"/>
              </w:rPr>
            </w:pPr>
            <w:r w:rsidRPr="002F5F3E">
              <w:rPr>
                <w:rFonts w:asciiTheme="minorHAnsi" w:hAnsiTheme="minorHAnsi"/>
              </w:rPr>
              <w:t>23,227</w:t>
            </w:r>
          </w:p>
        </w:tc>
      </w:tr>
    </w:tbl>
    <w:p w:rsidR="000A7A60" w:rsidRPr="002F5F3E" w:rsidRDefault="000A7A60" w:rsidP="000A7A60">
      <w:pPr>
        <w:spacing w:after="240"/>
        <w:ind w:left="1440"/>
        <w:rPr>
          <w:rFonts w:cstheme="minorHAnsi"/>
          <w:noProof/>
        </w:rPr>
      </w:pPr>
    </w:p>
    <w:p w:rsidR="000A7A60" w:rsidRPr="002F5F3E" w:rsidRDefault="000A7A60" w:rsidP="000A7A60">
      <w:pPr>
        <w:spacing w:after="240"/>
        <w:ind w:firstLine="720"/>
        <w:rPr>
          <w:rFonts w:cstheme="minorHAnsi"/>
          <w:noProof/>
        </w:rPr>
      </w:pPr>
      <w:r w:rsidRPr="002F5F3E">
        <w:rPr>
          <w:rFonts w:cstheme="minorHAnsi"/>
          <w:noProof/>
        </w:rPr>
        <w:t>HF</w:t>
      </w:r>
      <w:r w:rsidRPr="002F5F3E">
        <w:rPr>
          <w:rFonts w:cstheme="minorHAnsi"/>
          <w:noProof/>
        </w:rPr>
        <w:tab/>
      </w:r>
      <w:r w:rsidRPr="002F5F3E">
        <w:rPr>
          <w:rFonts w:cstheme="minorHAnsi"/>
          <w:noProof/>
        </w:rPr>
        <w:tab/>
        <w:t>= Household factor, to adjust heating consumption for non-single-family households.</w:t>
      </w:r>
      <w:r w:rsidRPr="002F5F3E">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0A7A60" w:rsidRPr="002F5F3E" w:rsidTr="00461F9E">
        <w:tc>
          <w:tcPr>
            <w:tcW w:w="2430" w:type="dxa"/>
            <w:shd w:val="clear" w:color="auto" w:fill="7F7F7F" w:themeFill="text1" w:themeFillTint="80"/>
            <w:tcMar>
              <w:top w:w="0" w:type="dxa"/>
              <w:left w:w="108" w:type="dxa"/>
              <w:bottom w:w="0" w:type="dxa"/>
              <w:right w:w="108" w:type="dxa"/>
            </w:tcMar>
            <w:vAlign w:val="center"/>
            <w:hideMark/>
          </w:tcPr>
          <w:p w:rsidR="000A7A60" w:rsidRPr="002F5F3E" w:rsidRDefault="000A7A60" w:rsidP="00461F9E">
            <w:pPr>
              <w:jc w:val="center"/>
              <w:rPr>
                <w:b/>
                <w:color w:val="FFFFFF" w:themeColor="background1"/>
              </w:rPr>
            </w:pPr>
            <w:r w:rsidRPr="002F5F3E">
              <w:rPr>
                <w:b/>
                <w:color w:val="FFFFFF" w:themeColor="background1"/>
              </w:rPr>
              <w:t>Household Type</w:t>
            </w:r>
          </w:p>
        </w:tc>
        <w:tc>
          <w:tcPr>
            <w:tcW w:w="1774" w:type="dxa"/>
            <w:shd w:val="clear" w:color="auto" w:fill="7F7F7F" w:themeFill="text1" w:themeFillTint="80"/>
            <w:tcMar>
              <w:top w:w="0" w:type="dxa"/>
              <w:left w:w="108" w:type="dxa"/>
              <w:bottom w:w="0" w:type="dxa"/>
              <w:right w:w="108" w:type="dxa"/>
            </w:tcMar>
            <w:vAlign w:val="center"/>
            <w:hideMark/>
          </w:tcPr>
          <w:p w:rsidR="000A7A60" w:rsidRPr="002F5F3E" w:rsidRDefault="000A7A60" w:rsidP="00461F9E">
            <w:pPr>
              <w:jc w:val="center"/>
              <w:rPr>
                <w:b/>
                <w:color w:val="FFFFFF" w:themeColor="background1"/>
              </w:rPr>
            </w:pPr>
            <w:r w:rsidRPr="002F5F3E">
              <w:rPr>
                <w:b/>
                <w:color w:val="FFFFFF" w:themeColor="background1"/>
              </w:rPr>
              <w:t>HF</w:t>
            </w:r>
          </w:p>
        </w:tc>
      </w:tr>
      <w:tr w:rsidR="000A7A60" w:rsidRPr="002F5F3E" w:rsidTr="00461F9E">
        <w:tc>
          <w:tcPr>
            <w:tcW w:w="2430" w:type="dxa"/>
            <w:tcMar>
              <w:top w:w="0" w:type="dxa"/>
              <w:left w:w="108" w:type="dxa"/>
              <w:bottom w:w="0" w:type="dxa"/>
              <w:right w:w="108" w:type="dxa"/>
            </w:tcMar>
            <w:hideMark/>
          </w:tcPr>
          <w:p w:rsidR="000A7A60" w:rsidRPr="002F5F3E" w:rsidRDefault="000A7A60" w:rsidP="00461F9E">
            <w:r w:rsidRPr="002F5F3E">
              <w:t>Single-Family</w:t>
            </w:r>
          </w:p>
        </w:tc>
        <w:tc>
          <w:tcPr>
            <w:tcW w:w="1774" w:type="dxa"/>
            <w:tcMar>
              <w:top w:w="0" w:type="dxa"/>
              <w:left w:w="108" w:type="dxa"/>
              <w:bottom w:w="0" w:type="dxa"/>
              <w:right w:w="108" w:type="dxa"/>
            </w:tcMar>
            <w:hideMark/>
          </w:tcPr>
          <w:p w:rsidR="000A7A60" w:rsidRPr="002F5F3E" w:rsidRDefault="000A7A60" w:rsidP="00461F9E">
            <w:pPr>
              <w:jc w:val="center"/>
            </w:pPr>
            <w:r w:rsidRPr="002F5F3E">
              <w:t>100%</w:t>
            </w:r>
          </w:p>
        </w:tc>
      </w:tr>
      <w:tr w:rsidR="000A7A60" w:rsidRPr="002F5F3E" w:rsidTr="00461F9E">
        <w:tc>
          <w:tcPr>
            <w:tcW w:w="2430" w:type="dxa"/>
            <w:tcMar>
              <w:top w:w="0" w:type="dxa"/>
              <w:left w:w="108" w:type="dxa"/>
              <w:bottom w:w="0" w:type="dxa"/>
              <w:right w:w="108" w:type="dxa"/>
            </w:tcMar>
            <w:hideMark/>
          </w:tcPr>
          <w:p w:rsidR="000A7A60" w:rsidRPr="002F5F3E" w:rsidRDefault="000A7A60" w:rsidP="00461F9E">
            <w:r w:rsidRPr="002F5F3E">
              <w:t>Multi-Family</w:t>
            </w:r>
          </w:p>
        </w:tc>
        <w:tc>
          <w:tcPr>
            <w:tcW w:w="1774" w:type="dxa"/>
            <w:tcMar>
              <w:top w:w="0" w:type="dxa"/>
              <w:left w:w="108" w:type="dxa"/>
              <w:bottom w:w="0" w:type="dxa"/>
              <w:right w:w="108" w:type="dxa"/>
            </w:tcMar>
            <w:hideMark/>
          </w:tcPr>
          <w:p w:rsidR="000A7A60" w:rsidRPr="002F5F3E" w:rsidRDefault="000A7A60" w:rsidP="00461F9E">
            <w:pPr>
              <w:jc w:val="center"/>
            </w:pPr>
            <w:r w:rsidRPr="002F5F3E">
              <w:t>65%</w:t>
            </w:r>
            <w:r w:rsidRPr="009C362B">
              <w:rPr>
                <w:vertAlign w:val="superscript"/>
              </w:rPr>
              <w:footnoteReference w:id="10"/>
            </w:r>
          </w:p>
        </w:tc>
      </w:tr>
      <w:tr w:rsidR="000A7A60" w:rsidRPr="002F5F3E" w:rsidTr="00461F9E">
        <w:tc>
          <w:tcPr>
            <w:tcW w:w="2430" w:type="dxa"/>
            <w:tcMar>
              <w:top w:w="0" w:type="dxa"/>
              <w:left w:w="108" w:type="dxa"/>
              <w:bottom w:w="0" w:type="dxa"/>
              <w:right w:w="108" w:type="dxa"/>
            </w:tcMar>
            <w:hideMark/>
          </w:tcPr>
          <w:p w:rsidR="000A7A60" w:rsidRPr="002F5F3E" w:rsidRDefault="000A7A60" w:rsidP="00461F9E">
            <w:r w:rsidRPr="002F5F3E">
              <w:t>Actual</w:t>
            </w:r>
          </w:p>
        </w:tc>
        <w:tc>
          <w:tcPr>
            <w:tcW w:w="1774" w:type="dxa"/>
            <w:tcMar>
              <w:top w:w="0" w:type="dxa"/>
              <w:left w:w="108" w:type="dxa"/>
              <w:bottom w:w="0" w:type="dxa"/>
              <w:right w:w="108" w:type="dxa"/>
            </w:tcMar>
            <w:hideMark/>
          </w:tcPr>
          <w:p w:rsidR="000A7A60" w:rsidRPr="002F5F3E" w:rsidRDefault="000A7A60" w:rsidP="00461F9E">
            <w:pPr>
              <w:jc w:val="center"/>
            </w:pPr>
            <w:r w:rsidRPr="002F5F3E">
              <w:t>Custom</w:t>
            </w:r>
            <w:r w:rsidRPr="009C362B">
              <w:rPr>
                <w:vertAlign w:val="superscript"/>
              </w:rPr>
              <w:footnoteReference w:id="11"/>
            </w:r>
          </w:p>
        </w:tc>
      </w:tr>
    </w:tbl>
    <w:p w:rsidR="000A7A60" w:rsidRPr="002F5F3E" w:rsidRDefault="000A7A60" w:rsidP="000A7A60">
      <w:pPr>
        <w:spacing w:after="240"/>
      </w:pPr>
    </w:p>
    <w:p w:rsidR="000A7A60" w:rsidRPr="002F5F3E" w:rsidRDefault="000A7A60" w:rsidP="000A7A60">
      <w:pPr>
        <w:spacing w:after="240"/>
        <w:ind w:firstLine="720"/>
      </w:pPr>
      <w:proofErr w:type="spellStart"/>
      <w:r w:rsidRPr="002F5F3E">
        <w:t>Capacity</w:t>
      </w:r>
      <w:r w:rsidRPr="002F5F3E">
        <w:rPr>
          <w:vertAlign w:val="subscript"/>
        </w:rPr>
        <w:t>cool</w:t>
      </w:r>
      <w:proofErr w:type="spellEnd"/>
      <w:r w:rsidRPr="002F5F3E">
        <w:t xml:space="preserve"> </w:t>
      </w:r>
      <w:r w:rsidRPr="002F5F3E">
        <w:tab/>
        <w:t xml:space="preserve">= the cooling capacity of the ductless heat pump unit in </w:t>
      </w:r>
      <w:proofErr w:type="spellStart"/>
      <w:r w:rsidRPr="002F5F3E">
        <w:t>kBtu</w:t>
      </w:r>
      <w:proofErr w:type="spellEnd"/>
      <w:r w:rsidRPr="002F5F3E">
        <w:t>/</w:t>
      </w:r>
      <w:proofErr w:type="spellStart"/>
      <w:r w:rsidRPr="002F5F3E">
        <w:t>hr</w:t>
      </w:r>
      <w:proofErr w:type="spellEnd"/>
      <w:r w:rsidRPr="002F5F3E">
        <w:rPr>
          <w:rFonts w:ascii="Arial" w:eastAsiaTheme="minorEastAsia" w:hAnsi="Arial"/>
          <w:vertAlign w:val="superscript"/>
        </w:rPr>
        <w:footnoteReference w:id="12"/>
      </w:r>
      <w:r w:rsidRPr="002F5F3E">
        <w:t xml:space="preserve">. </w:t>
      </w:r>
    </w:p>
    <w:p w:rsidR="000A7A60" w:rsidRPr="002F5F3E" w:rsidRDefault="000A7A60" w:rsidP="000A7A60">
      <w:pPr>
        <w:spacing w:after="240"/>
      </w:pPr>
      <w:r w:rsidRPr="002F5F3E">
        <w:tab/>
      </w:r>
      <w:r w:rsidRPr="002F5F3E">
        <w:tab/>
      </w:r>
      <w:r w:rsidRPr="002F5F3E">
        <w:tab/>
        <w:t>= Actual installed</w:t>
      </w:r>
    </w:p>
    <w:p w:rsidR="000A7A60" w:rsidRPr="002F5F3E" w:rsidRDefault="000A7A60" w:rsidP="000A7A60">
      <w:pPr>
        <w:spacing w:after="240"/>
        <w:ind w:left="1440" w:hanging="720"/>
      </w:pPr>
      <w:proofErr w:type="spellStart"/>
      <w:r w:rsidRPr="002F5F3E">
        <w:t>HSPF</w:t>
      </w:r>
      <w:r w:rsidRPr="002F5F3E">
        <w:rPr>
          <w:vertAlign w:val="subscript"/>
        </w:rPr>
        <w:t>ee</w:t>
      </w:r>
      <w:proofErr w:type="spellEnd"/>
      <w:r w:rsidRPr="002F5F3E">
        <w:t xml:space="preserve"> </w:t>
      </w:r>
      <w:r w:rsidRPr="002F5F3E">
        <w:tab/>
      </w:r>
      <w:r w:rsidRPr="002F5F3E">
        <w:tab/>
        <w:t>= HSPF rating of new equipment</w:t>
      </w:r>
    </w:p>
    <w:p w:rsidR="000A7A60" w:rsidRPr="002F5F3E" w:rsidRDefault="000A7A60" w:rsidP="000A7A60">
      <w:pPr>
        <w:spacing w:after="240"/>
      </w:pPr>
      <w:r w:rsidRPr="002F5F3E">
        <w:tab/>
      </w:r>
      <w:r w:rsidRPr="002F5F3E">
        <w:tab/>
      </w:r>
      <w:r w:rsidRPr="002F5F3E">
        <w:tab/>
        <w:t>= Actual installed</w:t>
      </w:r>
    </w:p>
    <w:p w:rsidR="000A7A60" w:rsidRPr="002F5F3E" w:rsidRDefault="000A7A60" w:rsidP="000A7A60">
      <w:pPr>
        <w:spacing w:after="240"/>
        <w:ind w:firstLine="720"/>
      </w:pPr>
      <w:proofErr w:type="spellStart"/>
      <w:r w:rsidRPr="002F5F3E">
        <w:t>HSPF</w:t>
      </w:r>
      <w:r w:rsidRPr="002F5F3E">
        <w:rPr>
          <w:vertAlign w:val="subscript"/>
        </w:rPr>
        <w:t>exist</w:t>
      </w:r>
      <w:proofErr w:type="spellEnd"/>
      <w:r w:rsidRPr="002F5F3E">
        <w:tab/>
        <w:t xml:space="preserve"> </w:t>
      </w:r>
      <w:r w:rsidRPr="002F5F3E">
        <w:tab/>
        <w:t>= HSPF rating of existing equipment</w:t>
      </w:r>
    </w:p>
    <w:tbl>
      <w:tblPr>
        <w:tblStyle w:val="TableGrid7"/>
        <w:tblW w:w="0" w:type="auto"/>
        <w:jc w:val="center"/>
        <w:tblLook w:val="04A0" w:firstRow="1" w:lastRow="0" w:firstColumn="1" w:lastColumn="0" w:noHBand="0" w:noVBand="1"/>
      </w:tblPr>
      <w:tblGrid>
        <w:gridCol w:w="4176"/>
        <w:gridCol w:w="2034"/>
      </w:tblGrid>
      <w:tr w:rsidR="000A7A60" w:rsidRPr="002F5F3E" w:rsidTr="00461F9E">
        <w:trPr>
          <w:tblHeader/>
          <w:jc w:val="center"/>
        </w:trPr>
        <w:tc>
          <w:tcPr>
            <w:tcW w:w="4176"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Existing Equipment Type</w:t>
            </w:r>
          </w:p>
        </w:tc>
        <w:tc>
          <w:tcPr>
            <w:tcW w:w="2034"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proofErr w:type="spellStart"/>
            <w:r w:rsidRPr="002F5F3E">
              <w:rPr>
                <w:rFonts w:asciiTheme="minorHAnsi" w:hAnsiTheme="minorHAnsi"/>
                <w:b/>
                <w:color w:val="FFFFFF" w:themeColor="background1"/>
              </w:rPr>
              <w:t>HSPFbase</w:t>
            </w:r>
            <w:proofErr w:type="spellEnd"/>
          </w:p>
        </w:tc>
      </w:tr>
      <w:tr w:rsidR="000A7A60" w:rsidRPr="002F5F3E" w:rsidTr="00461F9E">
        <w:trPr>
          <w:jc w:val="center"/>
        </w:trPr>
        <w:tc>
          <w:tcPr>
            <w:tcW w:w="4176" w:type="dxa"/>
          </w:tcPr>
          <w:p w:rsidR="000A7A60" w:rsidRPr="002F5F3E" w:rsidRDefault="000A7A60" w:rsidP="00461F9E">
            <w:pPr>
              <w:rPr>
                <w:rFonts w:asciiTheme="minorHAnsi" w:hAnsiTheme="minorHAnsi"/>
              </w:rPr>
            </w:pPr>
            <w:r w:rsidRPr="002F5F3E">
              <w:rPr>
                <w:rFonts w:asciiTheme="minorHAnsi" w:hAnsiTheme="minorHAnsi"/>
              </w:rPr>
              <w:t>Electric resistance heating</w:t>
            </w:r>
          </w:p>
        </w:tc>
        <w:tc>
          <w:tcPr>
            <w:tcW w:w="2034" w:type="dxa"/>
          </w:tcPr>
          <w:p w:rsidR="000A7A60" w:rsidRPr="002F5F3E" w:rsidRDefault="000A7A60" w:rsidP="00461F9E">
            <w:pPr>
              <w:jc w:val="center"/>
              <w:rPr>
                <w:rFonts w:asciiTheme="minorHAnsi" w:hAnsiTheme="minorHAnsi"/>
                <w:szCs w:val="22"/>
              </w:rPr>
            </w:pPr>
            <w:r w:rsidRPr="002F5F3E">
              <w:rPr>
                <w:rFonts w:asciiTheme="minorHAnsi" w:hAnsiTheme="minorHAnsi"/>
              </w:rPr>
              <w:t>3.41</w:t>
            </w:r>
            <w:r w:rsidRPr="009C362B">
              <w:rPr>
                <w:rFonts w:eastAsiaTheme="minorEastAsia"/>
                <w:vertAlign w:val="superscript"/>
              </w:rPr>
              <w:footnoteReference w:id="13"/>
            </w:r>
          </w:p>
        </w:tc>
      </w:tr>
      <w:tr w:rsidR="000A7A60" w:rsidRPr="002F5F3E" w:rsidTr="00461F9E">
        <w:trPr>
          <w:jc w:val="center"/>
        </w:trPr>
        <w:tc>
          <w:tcPr>
            <w:tcW w:w="4176" w:type="dxa"/>
          </w:tcPr>
          <w:p w:rsidR="000A7A60" w:rsidRPr="002F5F3E" w:rsidRDefault="000A7A60" w:rsidP="00461F9E">
            <w:pPr>
              <w:rPr>
                <w:rFonts w:asciiTheme="minorHAnsi" w:hAnsiTheme="minorHAnsi"/>
              </w:rPr>
            </w:pPr>
            <w:r w:rsidRPr="002F5F3E">
              <w:rPr>
                <w:rFonts w:asciiTheme="minorHAnsi" w:hAnsiTheme="minorHAnsi"/>
              </w:rPr>
              <w:t>Air Source Heat Pump</w:t>
            </w:r>
          </w:p>
        </w:tc>
        <w:tc>
          <w:tcPr>
            <w:tcW w:w="2034" w:type="dxa"/>
          </w:tcPr>
          <w:p w:rsidR="000A7A60" w:rsidRPr="002F5F3E" w:rsidRDefault="000A7A60" w:rsidP="00461F9E">
            <w:pPr>
              <w:rPr>
                <w:rFonts w:asciiTheme="minorHAnsi" w:hAnsiTheme="minorHAnsi"/>
              </w:rPr>
            </w:pPr>
            <w:r w:rsidRPr="002F5F3E">
              <w:rPr>
                <w:rFonts w:asciiTheme="minorHAnsi" w:hAnsiTheme="minorHAnsi"/>
              </w:rPr>
              <w:t>5.44</w:t>
            </w:r>
            <w:r w:rsidRPr="009C362B">
              <w:rPr>
                <w:rFonts w:eastAsiaTheme="minorEastAsia"/>
                <w:vertAlign w:val="superscript"/>
              </w:rPr>
              <w:footnoteReference w:id="14"/>
            </w:r>
          </w:p>
        </w:tc>
      </w:tr>
    </w:tbl>
    <w:p w:rsidR="000A7A60" w:rsidRPr="002F5F3E" w:rsidRDefault="000A7A60" w:rsidP="000A7A60">
      <w:pPr>
        <w:spacing w:after="240"/>
      </w:pPr>
    </w:p>
    <w:p w:rsidR="000A7A60" w:rsidRPr="002F5F3E" w:rsidRDefault="000A7A60" w:rsidP="000A7A60">
      <w:pPr>
        <w:spacing w:after="240"/>
        <w:ind w:firstLine="720"/>
      </w:pPr>
      <w:proofErr w:type="spellStart"/>
      <w:r w:rsidRPr="002F5F3E">
        <w:lastRenderedPageBreak/>
        <w:t>SEER</w:t>
      </w:r>
      <w:r w:rsidRPr="002F5F3E">
        <w:rPr>
          <w:vertAlign w:val="subscript"/>
        </w:rPr>
        <w:t>ee</w:t>
      </w:r>
      <w:proofErr w:type="spellEnd"/>
      <w:r w:rsidRPr="002F5F3E">
        <w:tab/>
      </w:r>
      <w:r w:rsidRPr="002F5F3E">
        <w:tab/>
        <w:t>= SEER rating of new equipment</w:t>
      </w:r>
    </w:p>
    <w:p w:rsidR="000A7A60" w:rsidRPr="002F5F3E" w:rsidRDefault="000A7A60" w:rsidP="000A7A60">
      <w:pPr>
        <w:spacing w:after="240"/>
        <w:ind w:left="1440" w:firstLine="720"/>
      </w:pPr>
      <w:r w:rsidRPr="002F5F3E">
        <w:t>= Actual installed</w:t>
      </w:r>
      <w:r w:rsidRPr="002F5F3E">
        <w:rPr>
          <w:rFonts w:ascii="Arial" w:eastAsiaTheme="minorEastAsia" w:hAnsi="Arial"/>
          <w:vertAlign w:val="superscript"/>
        </w:rPr>
        <w:footnoteReference w:id="15"/>
      </w:r>
      <w:r w:rsidRPr="002F5F3E">
        <w:t xml:space="preserve"> </w:t>
      </w:r>
    </w:p>
    <w:p w:rsidR="000A7A60" w:rsidRPr="002F5F3E" w:rsidRDefault="000A7A60" w:rsidP="000A7A60">
      <w:pPr>
        <w:spacing w:after="240"/>
        <w:ind w:firstLine="720"/>
      </w:pPr>
      <w:proofErr w:type="spellStart"/>
      <w:r w:rsidRPr="002F5F3E">
        <w:t>SEER</w:t>
      </w:r>
      <w:r w:rsidRPr="002F5F3E">
        <w:rPr>
          <w:vertAlign w:val="subscript"/>
        </w:rPr>
        <w:t>exist</w:t>
      </w:r>
      <w:proofErr w:type="spellEnd"/>
      <w:r w:rsidRPr="002F5F3E">
        <w:tab/>
      </w:r>
      <w:r w:rsidRPr="002F5F3E">
        <w:tab/>
        <w:t>= SEER rating of existing equipment</w:t>
      </w:r>
    </w:p>
    <w:p w:rsidR="000A7A60" w:rsidRPr="002F5F3E" w:rsidRDefault="000A7A60" w:rsidP="000A7A60">
      <w:pPr>
        <w:spacing w:after="240"/>
      </w:pPr>
      <w:r w:rsidRPr="002F5F3E">
        <w:tab/>
      </w:r>
      <w:r w:rsidRPr="002F5F3E">
        <w:tab/>
      </w:r>
      <w:r w:rsidRPr="002F5F3E">
        <w:tab/>
        <w:t>= Use actual value. If unknown, see table below</w:t>
      </w:r>
    </w:p>
    <w:tbl>
      <w:tblPr>
        <w:tblStyle w:val="TableGrid7"/>
        <w:tblW w:w="0" w:type="auto"/>
        <w:jc w:val="center"/>
        <w:tblLook w:val="04A0" w:firstRow="1" w:lastRow="0" w:firstColumn="1" w:lastColumn="0" w:noHBand="0" w:noVBand="1"/>
      </w:tblPr>
      <w:tblGrid>
        <w:gridCol w:w="1815"/>
        <w:gridCol w:w="1766"/>
      </w:tblGrid>
      <w:tr w:rsidR="000A7A60" w:rsidRPr="002F5F3E" w:rsidTr="00461F9E">
        <w:trPr>
          <w:jc w:val="center"/>
        </w:trPr>
        <w:tc>
          <w:tcPr>
            <w:tcW w:w="0" w:type="auto"/>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Equipment Type</w:t>
            </w:r>
          </w:p>
        </w:tc>
        <w:tc>
          <w:tcPr>
            <w:tcW w:w="0" w:type="auto"/>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proofErr w:type="spellStart"/>
            <w:r w:rsidRPr="002F5F3E">
              <w:rPr>
                <w:rFonts w:asciiTheme="minorHAnsi" w:hAnsiTheme="minorHAnsi"/>
                <w:b/>
                <w:color w:val="FFFFFF" w:themeColor="background1"/>
              </w:rPr>
              <w:t>SEERexist</w:t>
            </w:r>
            <w:proofErr w:type="spellEnd"/>
            <w:r w:rsidRPr="009C362B">
              <w:rPr>
                <w:rFonts w:eastAsiaTheme="minorEastAsia"/>
                <w:b/>
                <w:color w:val="FFFFFF" w:themeColor="background1"/>
                <w:vertAlign w:val="superscript"/>
              </w:rPr>
              <w:footnoteReference w:id="16"/>
            </w:r>
          </w:p>
        </w:tc>
      </w:tr>
      <w:tr w:rsidR="000A7A60" w:rsidRPr="002F5F3E" w:rsidTr="00461F9E">
        <w:trPr>
          <w:trHeight w:val="188"/>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PTAC</w:t>
            </w:r>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7.4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PTHP</w:t>
            </w:r>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7.4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SPVAC &lt; 65kBtu/</w:t>
            </w:r>
            <w:proofErr w:type="spellStart"/>
            <w:r w:rsidRPr="002F5F3E">
              <w:rPr>
                <w:rFonts w:asciiTheme="minorHAnsi" w:hAnsiTheme="minorHAnsi"/>
              </w:rPr>
              <w:t>hr</w:t>
            </w:r>
            <w:proofErr w:type="spellEnd"/>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9.0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 xml:space="preserve">SPVHP &lt; 65 </w:t>
            </w:r>
            <w:proofErr w:type="spellStart"/>
            <w:r w:rsidRPr="002F5F3E">
              <w:rPr>
                <w:rFonts w:asciiTheme="minorHAnsi" w:hAnsiTheme="minorHAnsi"/>
              </w:rPr>
              <w:t>kBtu</w:t>
            </w:r>
            <w:proofErr w:type="spellEnd"/>
            <w:r w:rsidRPr="002F5F3E">
              <w:rPr>
                <w:rFonts w:asciiTheme="minorHAnsi" w:hAnsiTheme="minorHAnsi"/>
              </w:rPr>
              <w:t>/</w:t>
            </w:r>
            <w:proofErr w:type="spellStart"/>
            <w:r w:rsidRPr="002F5F3E">
              <w:rPr>
                <w:rFonts w:asciiTheme="minorHAnsi" w:hAnsiTheme="minorHAnsi"/>
              </w:rPr>
              <w:t>hr</w:t>
            </w:r>
            <w:proofErr w:type="spellEnd"/>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9.0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Room AC</w:t>
            </w:r>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7.0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Ducted ASHP</w:t>
            </w:r>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13.0 SEER</w:t>
            </w:r>
          </w:p>
        </w:tc>
      </w:tr>
      <w:tr w:rsidR="000A7A60" w:rsidRPr="002F5F3E" w:rsidTr="00461F9E">
        <w:trPr>
          <w:jc w:val="center"/>
        </w:trPr>
        <w:tc>
          <w:tcPr>
            <w:tcW w:w="0" w:type="auto"/>
          </w:tcPr>
          <w:p w:rsidR="000A7A60" w:rsidRPr="002F5F3E" w:rsidRDefault="000A7A60" w:rsidP="00461F9E">
            <w:pPr>
              <w:rPr>
                <w:rFonts w:asciiTheme="minorHAnsi" w:hAnsiTheme="minorHAnsi"/>
              </w:rPr>
            </w:pPr>
            <w:r w:rsidRPr="002F5F3E">
              <w:rPr>
                <w:rFonts w:asciiTheme="minorHAnsi" w:hAnsiTheme="minorHAnsi"/>
              </w:rPr>
              <w:t>No existing system</w:t>
            </w:r>
          </w:p>
        </w:tc>
        <w:tc>
          <w:tcPr>
            <w:tcW w:w="0" w:type="auto"/>
          </w:tcPr>
          <w:p w:rsidR="000A7A60" w:rsidRPr="002F5F3E" w:rsidRDefault="000A7A60" w:rsidP="00461F9E">
            <w:pPr>
              <w:jc w:val="center"/>
              <w:rPr>
                <w:rFonts w:asciiTheme="minorHAnsi" w:hAnsiTheme="minorHAnsi"/>
                <w:szCs w:val="22"/>
              </w:rPr>
            </w:pPr>
            <w:r w:rsidRPr="002F5F3E">
              <w:rPr>
                <w:rFonts w:asciiTheme="minorHAnsi" w:hAnsiTheme="minorHAnsi"/>
              </w:rPr>
              <w:t>No cooling savings.</w:t>
            </w:r>
          </w:p>
        </w:tc>
      </w:tr>
    </w:tbl>
    <w:p w:rsidR="000A7A60" w:rsidRPr="002F5F3E" w:rsidRDefault="000A7A60" w:rsidP="000A7A60">
      <w:pPr>
        <w:ind w:left="720"/>
      </w:pPr>
    </w:p>
    <w:p w:rsidR="000A7A60" w:rsidRPr="002F5F3E" w:rsidRDefault="000A7A60" w:rsidP="000A7A60">
      <w:pPr>
        <w:spacing w:after="240"/>
        <w:ind w:left="720"/>
      </w:pPr>
      <w:proofErr w:type="spellStart"/>
      <w:r w:rsidRPr="002F5F3E">
        <w:t>EFLH</w:t>
      </w:r>
      <w:r w:rsidRPr="002F5F3E">
        <w:rPr>
          <w:vertAlign w:val="subscript"/>
        </w:rPr>
        <w:t>cool</w:t>
      </w:r>
      <w:proofErr w:type="spellEnd"/>
      <w:r w:rsidRPr="002F5F3E">
        <w:tab/>
      </w:r>
      <w:r w:rsidRPr="002F5F3E">
        <w:tab/>
        <w:t xml:space="preserve">= Equivalent Full Load Hours for cooling. </w:t>
      </w:r>
      <w:proofErr w:type="gramStart"/>
      <w:r w:rsidRPr="002F5F3E">
        <w:t>Depends on location.</w:t>
      </w:r>
      <w:proofErr w:type="gramEnd"/>
      <w:r w:rsidRPr="002F5F3E">
        <w:t xml:space="preserve"> See table below</w:t>
      </w:r>
      <w:r w:rsidRPr="002F5F3E">
        <w:rPr>
          <w:rFonts w:ascii="Arial" w:eastAsiaTheme="minorEastAsia" w:hAnsi="Arial"/>
          <w:vertAlign w:val="superscript"/>
        </w:rPr>
        <w:footnoteReference w:id="17"/>
      </w:r>
      <w:r w:rsidRPr="002F5F3E">
        <w:t>.</w:t>
      </w:r>
    </w:p>
    <w:tbl>
      <w:tblPr>
        <w:tblStyle w:val="TableGrid7"/>
        <w:tblW w:w="3456" w:type="dxa"/>
        <w:jc w:val="center"/>
        <w:tblLook w:val="04A0" w:firstRow="1" w:lastRow="0" w:firstColumn="1" w:lastColumn="0" w:noHBand="0" w:noVBand="1"/>
      </w:tblPr>
      <w:tblGrid>
        <w:gridCol w:w="1728"/>
        <w:gridCol w:w="1728"/>
      </w:tblGrid>
      <w:tr w:rsidR="000A7A60" w:rsidRPr="002F5F3E" w:rsidTr="00461F9E">
        <w:trPr>
          <w:trHeight w:val="270"/>
          <w:tblHeader/>
          <w:jc w:val="center"/>
        </w:trPr>
        <w:tc>
          <w:tcPr>
            <w:tcW w:w="1728" w:type="dxa"/>
            <w:shd w:val="clear" w:color="auto" w:fill="808080" w:themeFill="background1" w:themeFillShade="80"/>
            <w:noWrap/>
            <w:vAlign w:val="center"/>
            <w:hideMark/>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Climate Zone</w:t>
            </w:r>
          </w:p>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(City based upon)</w:t>
            </w:r>
          </w:p>
        </w:tc>
        <w:tc>
          <w:tcPr>
            <w:tcW w:w="1728"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proofErr w:type="spellStart"/>
            <w:r w:rsidRPr="002F5F3E">
              <w:rPr>
                <w:rFonts w:asciiTheme="minorHAnsi" w:hAnsiTheme="minorHAnsi"/>
                <w:b/>
                <w:color w:val="FFFFFF" w:themeColor="background1"/>
              </w:rPr>
              <w:t>FLHRoomAC</w:t>
            </w:r>
            <w:proofErr w:type="spellEnd"/>
          </w:p>
        </w:tc>
      </w:tr>
      <w:tr w:rsidR="000A7A60" w:rsidRPr="002F5F3E" w:rsidTr="00461F9E">
        <w:trPr>
          <w:trHeight w:val="187"/>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1 (Rockford)</w:t>
            </w:r>
          </w:p>
        </w:tc>
        <w:tc>
          <w:tcPr>
            <w:tcW w:w="1728" w:type="dxa"/>
          </w:tcPr>
          <w:p w:rsidR="000A7A60" w:rsidRPr="002F5F3E" w:rsidRDefault="000A7A60" w:rsidP="00461F9E">
            <w:pPr>
              <w:jc w:val="center"/>
              <w:rPr>
                <w:rFonts w:asciiTheme="minorHAnsi" w:hAnsiTheme="minorHAnsi"/>
                <w:szCs w:val="22"/>
              </w:rPr>
            </w:pPr>
            <w:r w:rsidRPr="002F5F3E">
              <w:rPr>
                <w:rFonts w:asciiTheme="minorHAnsi" w:hAnsiTheme="minorHAnsi"/>
              </w:rPr>
              <w:t>220</w:t>
            </w:r>
          </w:p>
        </w:tc>
      </w:tr>
      <w:tr w:rsidR="000A7A60" w:rsidRPr="002F5F3E" w:rsidTr="00461F9E">
        <w:trPr>
          <w:trHeight w:val="187"/>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2 (Chicago)</w:t>
            </w:r>
          </w:p>
        </w:tc>
        <w:tc>
          <w:tcPr>
            <w:tcW w:w="1728" w:type="dxa"/>
          </w:tcPr>
          <w:p w:rsidR="000A7A60" w:rsidRPr="002F5F3E" w:rsidRDefault="000A7A60" w:rsidP="00461F9E">
            <w:pPr>
              <w:jc w:val="center"/>
              <w:rPr>
                <w:rFonts w:asciiTheme="minorHAnsi" w:hAnsiTheme="minorHAnsi"/>
                <w:szCs w:val="22"/>
              </w:rPr>
            </w:pPr>
            <w:r w:rsidRPr="002F5F3E">
              <w:rPr>
                <w:rFonts w:asciiTheme="minorHAnsi" w:hAnsiTheme="minorHAnsi"/>
              </w:rPr>
              <w:t>210</w:t>
            </w:r>
          </w:p>
        </w:tc>
      </w:tr>
      <w:tr w:rsidR="000A7A60" w:rsidRPr="002F5F3E" w:rsidTr="00461F9E">
        <w:trPr>
          <w:trHeight w:val="187"/>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3 (Springfield)</w:t>
            </w:r>
          </w:p>
        </w:tc>
        <w:tc>
          <w:tcPr>
            <w:tcW w:w="1728" w:type="dxa"/>
          </w:tcPr>
          <w:p w:rsidR="000A7A60" w:rsidRPr="002F5F3E" w:rsidRDefault="000A7A60" w:rsidP="00461F9E">
            <w:pPr>
              <w:jc w:val="center"/>
              <w:rPr>
                <w:rFonts w:asciiTheme="minorHAnsi" w:hAnsiTheme="minorHAnsi"/>
                <w:szCs w:val="22"/>
              </w:rPr>
            </w:pPr>
            <w:r w:rsidRPr="002F5F3E">
              <w:rPr>
                <w:rFonts w:asciiTheme="minorHAnsi" w:hAnsiTheme="minorHAnsi"/>
              </w:rPr>
              <w:t>319</w:t>
            </w:r>
          </w:p>
        </w:tc>
      </w:tr>
      <w:tr w:rsidR="000A7A60" w:rsidRPr="002F5F3E" w:rsidTr="00461F9E">
        <w:trPr>
          <w:trHeight w:val="115"/>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4 (Belleville)</w:t>
            </w:r>
          </w:p>
        </w:tc>
        <w:tc>
          <w:tcPr>
            <w:tcW w:w="1728" w:type="dxa"/>
          </w:tcPr>
          <w:p w:rsidR="000A7A60" w:rsidRPr="002F5F3E" w:rsidRDefault="000A7A60" w:rsidP="00461F9E">
            <w:pPr>
              <w:jc w:val="center"/>
              <w:rPr>
                <w:rFonts w:asciiTheme="minorHAnsi" w:hAnsiTheme="minorHAnsi"/>
                <w:szCs w:val="22"/>
              </w:rPr>
            </w:pPr>
            <w:r w:rsidRPr="002F5F3E">
              <w:rPr>
                <w:rFonts w:asciiTheme="minorHAnsi" w:hAnsiTheme="minorHAnsi"/>
              </w:rPr>
              <w:t>428</w:t>
            </w:r>
          </w:p>
        </w:tc>
      </w:tr>
      <w:tr w:rsidR="000A7A60" w:rsidRPr="002F5F3E" w:rsidTr="00461F9E">
        <w:trPr>
          <w:trHeight w:val="115"/>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5 (Marion)</w:t>
            </w:r>
          </w:p>
        </w:tc>
        <w:tc>
          <w:tcPr>
            <w:tcW w:w="1728" w:type="dxa"/>
          </w:tcPr>
          <w:p w:rsidR="000A7A60" w:rsidRPr="002F5F3E" w:rsidRDefault="000A7A60" w:rsidP="00461F9E">
            <w:pPr>
              <w:jc w:val="center"/>
              <w:rPr>
                <w:rFonts w:asciiTheme="minorHAnsi" w:hAnsiTheme="minorHAnsi"/>
                <w:szCs w:val="22"/>
              </w:rPr>
            </w:pPr>
            <w:r w:rsidRPr="002F5F3E">
              <w:rPr>
                <w:rFonts w:asciiTheme="minorHAnsi" w:hAnsiTheme="minorHAnsi"/>
              </w:rPr>
              <w:t>374</w:t>
            </w:r>
          </w:p>
        </w:tc>
      </w:tr>
      <w:tr w:rsidR="000A7A60" w:rsidRPr="002F5F3E" w:rsidTr="00461F9E">
        <w:trPr>
          <w:trHeight w:val="133"/>
          <w:jc w:val="center"/>
        </w:trPr>
        <w:tc>
          <w:tcPr>
            <w:tcW w:w="1728" w:type="dxa"/>
            <w:noWrap/>
            <w:hideMark/>
          </w:tcPr>
          <w:p w:rsidR="000A7A60" w:rsidRPr="002F5F3E" w:rsidRDefault="000A7A60" w:rsidP="00461F9E">
            <w:pPr>
              <w:rPr>
                <w:rFonts w:asciiTheme="minorHAnsi" w:hAnsiTheme="minorHAnsi"/>
              </w:rPr>
            </w:pPr>
            <w:r w:rsidRPr="002F5F3E">
              <w:rPr>
                <w:rFonts w:asciiTheme="minorHAnsi" w:hAnsiTheme="minorHAnsi"/>
              </w:rPr>
              <w:t>Weighted Average</w:t>
            </w:r>
            <w:r w:rsidRPr="009C362B">
              <w:rPr>
                <w:rFonts w:eastAsiaTheme="minorEastAsia"/>
                <w:vertAlign w:val="superscript"/>
              </w:rPr>
              <w:footnoteReference w:id="18"/>
            </w:r>
          </w:p>
        </w:tc>
        <w:tc>
          <w:tcPr>
            <w:tcW w:w="1728" w:type="dxa"/>
            <w:vAlign w:val="center"/>
          </w:tcPr>
          <w:p w:rsidR="000A7A60" w:rsidRPr="002F5F3E" w:rsidRDefault="000A7A60" w:rsidP="00461F9E">
            <w:pPr>
              <w:jc w:val="center"/>
              <w:rPr>
                <w:rFonts w:asciiTheme="minorHAnsi" w:hAnsiTheme="minorHAnsi"/>
                <w:szCs w:val="22"/>
              </w:rPr>
            </w:pPr>
            <w:r w:rsidRPr="002F5F3E">
              <w:rPr>
                <w:rFonts w:asciiTheme="minorHAnsi" w:hAnsiTheme="minorHAnsi"/>
              </w:rPr>
              <w:t>248</w:t>
            </w:r>
          </w:p>
        </w:tc>
      </w:tr>
    </w:tbl>
    <w:p w:rsidR="000A7A60" w:rsidRDefault="000A7A60" w:rsidP="000A7A60">
      <w:pPr>
        <w:keepNext/>
        <w:keepLines/>
        <w:spacing w:before="200"/>
        <w:outlineLvl w:val="5"/>
        <w:rPr>
          <w:rFonts w:eastAsiaTheme="majorEastAsia" w:cstheme="majorBidi"/>
          <w:b/>
          <w:iCs/>
          <w:smallCaps/>
          <w:sz w:val="22"/>
        </w:rPr>
      </w:pPr>
      <w:bookmarkStart w:id="12" w:name="_Toc343160275"/>
      <w:r w:rsidRPr="002F5F3E">
        <w:rPr>
          <w:rFonts w:eastAsiaTheme="majorEastAsia" w:cstheme="minorHAnsi"/>
          <w:b/>
          <w:iCs/>
          <w:smallCaps/>
          <w:noProof/>
          <w:sz w:val="22"/>
        </w:rPr>
        <w:lastRenderedPageBreak/>
        <mc:AlternateContent>
          <mc:Choice Requires="wps">
            <w:drawing>
              <wp:inline distT="0" distB="0" distL="0" distR="0" wp14:anchorId="11A8E7EA" wp14:editId="17D5C06C">
                <wp:extent cx="5636895" cy="1275907"/>
                <wp:effectExtent l="0" t="0" r="20955" b="19685"/>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rsidR="000A7A60" w:rsidRDefault="000A7A60" w:rsidP="000A7A60">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 savings are:</w:t>
                            </w:r>
                          </w:p>
                          <w:p w:rsidR="000A7A60" w:rsidRDefault="000A7A60" w:rsidP="000A7A60">
                            <w:pPr>
                              <w:ind w:left="720"/>
                            </w:pPr>
                            <w:proofErr w:type="spellStart"/>
                            <w:r>
                              <w:t>ΔkWh</w:t>
                            </w:r>
                            <w:r>
                              <w:rPr>
                                <w:vertAlign w:val="subscript"/>
                              </w:rPr>
                              <w:t>heat</w:t>
                            </w:r>
                            <w:proofErr w:type="spellEnd"/>
                            <w:r>
                              <w:t xml:space="preserve"> </w:t>
                            </w:r>
                            <w:r>
                              <w:tab/>
                              <w:t xml:space="preserve">= 40% x 20,771kWh x 100% x (1/3.41 – 1/8) x 3.413 </w:t>
                            </w:r>
                            <w:r>
                              <w:tab/>
                              <w:t>= 4,771kWh</w:t>
                            </w:r>
                          </w:p>
                          <w:p w:rsidR="000A7A60" w:rsidRDefault="000A7A60" w:rsidP="000A7A60">
                            <w:pPr>
                              <w:ind w:left="720"/>
                            </w:pPr>
                            <w:proofErr w:type="spellStart"/>
                            <w:r>
                              <w:t>ΔkWh</w:t>
                            </w:r>
                            <w:r>
                              <w:rPr>
                                <w:vertAlign w:val="subscript"/>
                              </w:rPr>
                              <w:t>cool</w:t>
                            </w:r>
                            <w:proofErr w:type="spellEnd"/>
                            <w:r>
                              <w:t xml:space="preserve"> </w:t>
                            </w:r>
                            <w:r>
                              <w:tab/>
                              <w:t xml:space="preserve">= 18 x 100% x (1/7 – 1/14) x 210 </w:t>
                            </w:r>
                            <w:r>
                              <w:tab/>
                              <w:t>= 270kWh</w:t>
                            </w:r>
                          </w:p>
                          <w:p w:rsidR="000A7A60" w:rsidRPr="00DA4449" w:rsidRDefault="000A7A60" w:rsidP="000A7A60">
                            <w:pPr>
                              <w:ind w:left="720"/>
                            </w:pPr>
                            <w:proofErr w:type="spellStart"/>
                            <w:r>
                              <w:t>ΔkWh</w:t>
                            </w:r>
                            <w:proofErr w:type="spellEnd"/>
                            <w:r>
                              <w:t xml:space="preserve"> </w:t>
                            </w:r>
                            <w:r>
                              <w:tab/>
                            </w:r>
                            <w:r>
                              <w:tab/>
                              <w:t xml:space="preserve">= 4,771 + 270 </w:t>
                            </w:r>
                            <w:r>
                              <w:tab/>
                              <w:t>= 5,041kWh</w:t>
                            </w:r>
                          </w:p>
                          <w:p w:rsidR="000A7A60" w:rsidRPr="00DA4449" w:rsidRDefault="000A7A60" w:rsidP="000A7A60"/>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4" o:spid="_x0000_s1026"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JQIAAEcEAAAOAAAAZHJzL2Uyb0RvYy54bWysU9uO2yAQfa/Uf0C8N3aycS5WnNU221SV&#10;thdptx+AMY5RgXGBxE6/vgP2puntpSoPiGGGw8w5M5vbXityEtZJMAWdTlJKhOFQSXMo6Oen/asV&#10;Jc4zUzEFRhT0LBy93b58senaXMygAVUJSxDEuLxrC9p43+ZJ4ngjNHMTaIVBZw1WM4+mPSSVZR2i&#10;a5XM0nSRdGCr1gIXzuHt/eCk24hf14L7j3XthCeqoJibj7uNexn2ZLth+cGytpF8TIP9QxaaSYOf&#10;XqDumWfkaOVvUFpyCw5qP+GgE6hryUWsAauZpr9U89iwVsRakBzXXmhy/w+Wfzh9skRWBb2ZU2KY&#10;Ro2eRO/Ja+gJXiE/XetyDHtsMdD3eI86x1pd+wD8iyMGdg0zB3FnLXSNYBXmNw0vk6unA44LIGX3&#10;Hir8hx09RKC+tjqQh3QQREedzhdtQi4cL7PFzWK1zijh6JvOltk6XcY/WP78vLXOvxWgSTgU1KL4&#10;EZ6dHpwP6bD8OST85kDJai+VioY9lDtlyYlho+zjGtF/ClOGdAVdZ7NsYOCvEGlcf4LQ0mPHK6kL&#10;uroEsTzw9sZUsR89k2o4Y8rKjEQG7gYWfV/2ozAlVGek1MLQ2TiJeGjAfqOkw64uqPt6ZFZQot4Z&#10;lGU9nc/DGERjni1naNhrT3ntYYYjVEE9JcNx5+PoBMIM3KF8tYzEBp2HTMZcsVsj3+NkhXG4tmPU&#10;j/nffgcAAP//AwBQSwMEFAAGAAgAAAAhADojSnjcAAAABQEAAA8AAABkcnMvZG93bnJldi54bWxM&#10;j81OwzAQhO9IvIO1SFxQ6/CjJg1xKoQEglspFVzdeJtE2Otgu2l4exYucBlpNauZb6rV5KwYMcTe&#10;k4LLeQYCqfGmp1bB9vVhVoCISZPR1hMq+MIIq/r0pNKl8Ud6wXGTWsEhFEutoEtpKKWMTYdOx7kf&#10;kNjb++B04jO00gR95HBn5VWWLaTTPXFDpwe877D52BycguLmaXyPz9frt2axt8t0kY+Pn0Gp87Pp&#10;7hZEwin9PcMPPqNDzUw7fyAThVXAQ9KvslcUeQ5ip4ArlyDrSv6nr78BAAD//wMAUEsBAi0AFAAG&#10;AAgAAAAhALaDOJL+AAAA4QEAABMAAAAAAAAAAAAAAAAAAAAAAFtDb250ZW50X1R5cGVzXS54bWxQ&#10;SwECLQAUAAYACAAAACEAOP0h/9YAAACUAQAACwAAAAAAAAAAAAAAAAAvAQAAX3JlbHMvLnJlbHNQ&#10;SwECLQAUAAYACAAAACEAf2VYPiUCAABHBAAADgAAAAAAAAAAAAAAAAAuAgAAZHJzL2Uyb0RvYy54&#10;bWxQSwECLQAUAAYACAAAACEAOiNKeNwAAAAFAQAADwAAAAAAAAAAAAAAAAB/BAAAZHJzL2Rvd25y&#10;ZXYueG1sUEsFBgAAAAAEAAQA8wAAAIgFAAAAAA==&#10;">
                <v:textbox>
                  <w:txbxContent>
                    <w:p w:rsidR="000A7A60" w:rsidRDefault="000A7A60" w:rsidP="000A7A60">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 savings are:</w:t>
                      </w:r>
                    </w:p>
                    <w:p w:rsidR="000A7A60" w:rsidRDefault="000A7A60" w:rsidP="000A7A60">
                      <w:pPr>
                        <w:ind w:left="720"/>
                      </w:pPr>
                      <w:proofErr w:type="spellStart"/>
                      <w:r>
                        <w:t>ΔkWh</w:t>
                      </w:r>
                      <w:r>
                        <w:rPr>
                          <w:vertAlign w:val="subscript"/>
                        </w:rPr>
                        <w:t>heat</w:t>
                      </w:r>
                      <w:proofErr w:type="spellEnd"/>
                      <w:r>
                        <w:t xml:space="preserve"> </w:t>
                      </w:r>
                      <w:r>
                        <w:tab/>
                        <w:t xml:space="preserve">= 40% x 20,771kWh x 100% x (1/3.41 – 1/8) x 3.413 </w:t>
                      </w:r>
                      <w:r>
                        <w:tab/>
                        <w:t>= 4,771kWh</w:t>
                      </w:r>
                    </w:p>
                    <w:p w:rsidR="000A7A60" w:rsidRDefault="000A7A60" w:rsidP="000A7A60">
                      <w:pPr>
                        <w:ind w:left="720"/>
                      </w:pPr>
                      <w:proofErr w:type="spellStart"/>
                      <w:r>
                        <w:t>ΔkWh</w:t>
                      </w:r>
                      <w:r>
                        <w:rPr>
                          <w:vertAlign w:val="subscript"/>
                        </w:rPr>
                        <w:t>cool</w:t>
                      </w:r>
                      <w:proofErr w:type="spellEnd"/>
                      <w:r>
                        <w:t xml:space="preserve"> </w:t>
                      </w:r>
                      <w:r>
                        <w:tab/>
                        <w:t xml:space="preserve">= 18 x 100% x (1/7 – 1/14) x 210 </w:t>
                      </w:r>
                      <w:r>
                        <w:tab/>
                        <w:t>= 270kWh</w:t>
                      </w:r>
                    </w:p>
                    <w:p w:rsidR="000A7A60" w:rsidRPr="00DA4449" w:rsidRDefault="000A7A60" w:rsidP="000A7A60">
                      <w:pPr>
                        <w:ind w:left="720"/>
                      </w:pPr>
                      <w:proofErr w:type="spellStart"/>
                      <w:r>
                        <w:t>ΔkWh</w:t>
                      </w:r>
                      <w:proofErr w:type="spellEnd"/>
                      <w:r>
                        <w:t xml:space="preserve"> </w:t>
                      </w:r>
                      <w:r>
                        <w:tab/>
                      </w:r>
                      <w:r>
                        <w:tab/>
                        <w:t xml:space="preserve">= 4,771 + 270 </w:t>
                      </w:r>
                      <w:r>
                        <w:tab/>
                        <w:t>= 5,041kWh</w:t>
                      </w:r>
                    </w:p>
                    <w:p w:rsidR="000A7A60" w:rsidRPr="00DA4449" w:rsidRDefault="000A7A60" w:rsidP="000A7A60"/>
                  </w:txbxContent>
                </v:textbox>
                <w10:anchorlock/>
              </v:shape>
            </w:pict>
          </mc:Fallback>
        </mc:AlternateContent>
      </w:r>
    </w:p>
    <w:p w:rsidR="000A7A60" w:rsidRDefault="000A7A60" w:rsidP="000A7A60">
      <w:pPr>
        <w:keepNext/>
        <w:keepLines/>
        <w:spacing w:before="200"/>
        <w:outlineLvl w:val="5"/>
        <w:rPr>
          <w:rFonts w:eastAsiaTheme="majorEastAsia" w:cstheme="majorBidi"/>
          <w:b/>
          <w:iCs/>
          <w:smallCaps/>
          <w:sz w:val="22"/>
        </w:rPr>
      </w:pPr>
    </w:p>
    <w:p w:rsidR="000A7A60" w:rsidRPr="002F5F3E" w:rsidRDefault="000A7A60" w:rsidP="000A7A60">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Summer Coincident Peak Demand Savings</w:t>
      </w:r>
      <w:bookmarkEnd w:id="12"/>
    </w:p>
    <w:p w:rsidR="000A7A60" w:rsidRPr="002F5F3E" w:rsidRDefault="000A7A60" w:rsidP="000A7A60">
      <w:pPr>
        <w:spacing w:after="240"/>
        <w:ind w:left="1440" w:hanging="720"/>
        <w:rPr>
          <w:rFonts w:cstheme="minorHAnsi"/>
          <w:noProof/>
          <w:szCs w:val="20"/>
          <w:lang w:val="nl-NL"/>
        </w:rPr>
      </w:pPr>
      <w:r w:rsidRPr="002F5F3E">
        <w:rPr>
          <w:rFonts w:cstheme="minorHAnsi"/>
          <w:noProof/>
        </w:rPr>
        <w:t>Δ</w:t>
      </w:r>
      <w:r w:rsidRPr="002F5F3E">
        <w:rPr>
          <w:rFonts w:cstheme="minorHAnsi"/>
          <w:noProof/>
          <w:lang w:val="nl-NL"/>
        </w:rPr>
        <w:t xml:space="preserve">kW </w:t>
      </w:r>
      <w:r w:rsidRPr="002F5F3E">
        <w:rPr>
          <w:rFonts w:cstheme="minorHAnsi"/>
          <w:noProof/>
          <w:lang w:val="nl-NL"/>
        </w:rPr>
        <w:tab/>
        <w:t>= (</w:t>
      </w:r>
      <w:r w:rsidRPr="002F5F3E">
        <w:rPr>
          <w:rFonts w:cstheme="minorHAnsi"/>
          <w:noProof/>
        </w:rPr>
        <w:t>Capacity_cooling</w:t>
      </w:r>
      <w:r w:rsidRPr="002F5F3E" w:rsidDel="00F528F5">
        <w:rPr>
          <w:rFonts w:cstheme="minorHAnsi"/>
          <w:noProof/>
          <w:lang w:val="nl-NL"/>
        </w:rPr>
        <w:t xml:space="preserve"> </w:t>
      </w:r>
      <w:r w:rsidRPr="002F5F3E">
        <w:rPr>
          <w:rFonts w:cstheme="minorHAnsi"/>
          <w:noProof/>
          <w:lang w:val="nl-NL"/>
        </w:rPr>
        <w:t>*HF* (1/EER_exist - 1/EER_ee))</w:t>
      </w:r>
      <w:del w:id="13" w:author="Samuel Dent" w:date="2015-10-09T06:42:00Z">
        <w:r w:rsidRPr="002F5F3E" w:rsidDel="000A7A60">
          <w:rPr>
            <w:rFonts w:cstheme="minorHAnsi"/>
            <w:noProof/>
            <w:lang w:val="nl-NL"/>
          </w:rPr>
          <w:delText xml:space="preserve"> / 1000</w:delText>
        </w:r>
      </w:del>
      <w:r w:rsidRPr="002F5F3E">
        <w:rPr>
          <w:rFonts w:cstheme="minorHAnsi"/>
          <w:noProof/>
          <w:lang w:val="nl-NL"/>
        </w:rPr>
        <w:t>) * CF</w:t>
      </w:r>
    </w:p>
    <w:p w:rsidR="000A7A60" w:rsidRPr="002F5F3E" w:rsidRDefault="000A7A60" w:rsidP="000A7A60">
      <w:pPr>
        <w:autoSpaceDE w:val="0"/>
        <w:autoSpaceDN w:val="0"/>
        <w:adjustRightInd w:val="0"/>
        <w:rPr>
          <w:szCs w:val="20"/>
          <w:vertAlign w:val="superscript"/>
        </w:rPr>
      </w:pPr>
      <w:r w:rsidRPr="002F5F3E">
        <w:rPr>
          <w:rFonts w:cs="Calibri"/>
          <w:szCs w:val="20"/>
        </w:rPr>
        <w:t>Where:</w:t>
      </w:r>
      <w:r w:rsidRPr="002F5F3E">
        <w:rPr>
          <w:rFonts w:cs="Calibri"/>
          <w:szCs w:val="20"/>
        </w:rPr>
        <w:tab/>
      </w:r>
      <w:r w:rsidRPr="002F5F3E">
        <w:rPr>
          <w:rFonts w:cs="Calibri"/>
          <w:szCs w:val="20"/>
        </w:rPr>
        <w:tab/>
      </w:r>
    </w:p>
    <w:p w:rsidR="000A7A60" w:rsidRPr="002F5F3E" w:rsidRDefault="000A7A60" w:rsidP="000A7A60">
      <w:pPr>
        <w:spacing w:after="240"/>
        <w:ind w:firstLine="720"/>
        <w:rPr>
          <w:rFonts w:cstheme="minorHAnsi"/>
          <w:noProof/>
          <w:lang w:val="nl-NL"/>
        </w:rPr>
      </w:pPr>
      <w:r w:rsidRPr="002F5F3E">
        <w:rPr>
          <w:rFonts w:cstheme="minorHAnsi"/>
          <w:noProof/>
          <w:lang w:val="nl-NL"/>
        </w:rPr>
        <w:t>EER_exist</w:t>
      </w:r>
      <w:r w:rsidRPr="002F5F3E">
        <w:rPr>
          <w:rFonts w:cstheme="minorHAnsi"/>
          <w:noProof/>
          <w:lang w:val="nl-NL"/>
        </w:rPr>
        <w:tab/>
        <w:t>= Energy Efficiency Ratio of existing cooling system (kBtu/hr / kW)</w:t>
      </w:r>
    </w:p>
    <w:p w:rsidR="000A7A60" w:rsidRDefault="000A7A60" w:rsidP="000A7A60">
      <w:pPr>
        <w:spacing w:after="240"/>
        <w:ind w:left="1440" w:firstLine="720"/>
        <w:rPr>
          <w:rFonts w:cstheme="minorHAnsi"/>
          <w:noProof/>
        </w:rPr>
      </w:pPr>
      <w:r w:rsidRPr="002F5F3E">
        <w:rPr>
          <w:rFonts w:cstheme="minorHAnsi"/>
          <w:noProof/>
        </w:rPr>
        <w:t>= Use actual EER rating otherwise:</w:t>
      </w:r>
    </w:p>
    <w:tbl>
      <w:tblPr>
        <w:tblStyle w:val="TableGrid7"/>
        <w:tblW w:w="0" w:type="auto"/>
        <w:jc w:val="center"/>
        <w:tblLook w:val="04A0" w:firstRow="1" w:lastRow="0" w:firstColumn="1" w:lastColumn="0" w:noHBand="0" w:noVBand="1"/>
      </w:tblPr>
      <w:tblGrid>
        <w:gridCol w:w="5184"/>
        <w:gridCol w:w="2016"/>
      </w:tblGrid>
      <w:tr w:rsidR="000A7A60" w:rsidRPr="002F5F3E" w:rsidTr="00461F9E">
        <w:trPr>
          <w:tblHeader/>
          <w:jc w:val="center"/>
        </w:trPr>
        <w:tc>
          <w:tcPr>
            <w:tcW w:w="5184"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r w:rsidRPr="002F5F3E">
              <w:rPr>
                <w:rFonts w:asciiTheme="minorHAnsi" w:hAnsiTheme="minorHAnsi"/>
                <w:b/>
                <w:color w:val="FFFFFF" w:themeColor="background1"/>
              </w:rPr>
              <w:t>Equipment Type</w:t>
            </w:r>
          </w:p>
        </w:tc>
        <w:tc>
          <w:tcPr>
            <w:tcW w:w="2016" w:type="dxa"/>
            <w:shd w:val="clear" w:color="auto" w:fill="808080" w:themeFill="background1" w:themeFillShade="80"/>
            <w:vAlign w:val="center"/>
          </w:tcPr>
          <w:p w:rsidR="000A7A60" w:rsidRPr="002F5F3E" w:rsidRDefault="000A7A60" w:rsidP="00461F9E">
            <w:pPr>
              <w:jc w:val="center"/>
              <w:rPr>
                <w:rFonts w:asciiTheme="minorHAnsi" w:hAnsiTheme="minorHAnsi"/>
                <w:b/>
                <w:color w:val="FFFFFF" w:themeColor="background1"/>
              </w:rPr>
            </w:pPr>
            <w:proofErr w:type="spellStart"/>
            <w:r w:rsidRPr="002F5F3E">
              <w:rPr>
                <w:rFonts w:asciiTheme="minorHAnsi" w:hAnsiTheme="minorHAnsi"/>
                <w:b/>
                <w:color w:val="FFFFFF" w:themeColor="background1"/>
              </w:rPr>
              <w:t>EERexist</w:t>
            </w:r>
            <w:proofErr w:type="spellEnd"/>
          </w:p>
        </w:tc>
      </w:tr>
      <w:tr w:rsidR="000A7A60" w:rsidRPr="002F5F3E" w:rsidTr="00461F9E">
        <w:trPr>
          <w:trHeight w:val="188"/>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PTAC</w:t>
            </w:r>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8.1EER</w:t>
            </w:r>
            <w:r w:rsidRPr="009C362B">
              <w:rPr>
                <w:vertAlign w:val="superscript"/>
              </w:rPr>
              <w:footnoteReference w:id="19"/>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PTHP</w:t>
            </w:r>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8.1EER</w:t>
            </w:r>
            <w:r w:rsidRPr="009C362B">
              <w:rPr>
                <w:vertAlign w:val="superscript"/>
              </w:rPr>
              <w:footnoteReference w:id="20"/>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SPVAC &lt; 65kBtu/</w:t>
            </w:r>
            <w:proofErr w:type="spellStart"/>
            <w:r w:rsidRPr="002F5F3E">
              <w:rPr>
                <w:rFonts w:asciiTheme="minorHAnsi" w:hAnsiTheme="minorHAnsi"/>
              </w:rPr>
              <w:t>hr</w:t>
            </w:r>
            <w:proofErr w:type="spellEnd"/>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 xml:space="preserve">9.9 EER </w:t>
            </w:r>
            <w:r w:rsidRPr="009C362B">
              <w:rPr>
                <w:rFonts w:eastAsiaTheme="minorEastAsia"/>
                <w:vertAlign w:val="superscript"/>
              </w:rPr>
              <w:footnoteReference w:id="21"/>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 xml:space="preserve">SPVHP &lt; 65 </w:t>
            </w:r>
            <w:proofErr w:type="spellStart"/>
            <w:r w:rsidRPr="002F5F3E">
              <w:rPr>
                <w:rFonts w:asciiTheme="minorHAnsi" w:hAnsiTheme="minorHAnsi"/>
              </w:rPr>
              <w:t>kBtu</w:t>
            </w:r>
            <w:proofErr w:type="spellEnd"/>
            <w:r w:rsidRPr="002F5F3E">
              <w:rPr>
                <w:rFonts w:asciiTheme="minorHAnsi" w:hAnsiTheme="minorHAnsi"/>
              </w:rPr>
              <w:t>/</w:t>
            </w:r>
            <w:proofErr w:type="spellStart"/>
            <w:r w:rsidRPr="002F5F3E">
              <w:rPr>
                <w:rFonts w:asciiTheme="minorHAnsi" w:hAnsiTheme="minorHAnsi"/>
              </w:rPr>
              <w:t>hr</w:t>
            </w:r>
            <w:proofErr w:type="spellEnd"/>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9.9 EER</w:t>
            </w:r>
            <w:r w:rsidRPr="009C362B">
              <w:rPr>
                <w:rFonts w:eastAsiaTheme="minorEastAsia"/>
                <w:vertAlign w:val="superscript"/>
              </w:rPr>
              <w:footnoteReference w:id="22"/>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Room AC</w:t>
            </w:r>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7.7 EER</w:t>
            </w:r>
            <w:r w:rsidRPr="009C362B">
              <w:rPr>
                <w:rFonts w:eastAsia="Calibri"/>
                <w:vertAlign w:val="superscript"/>
              </w:rPr>
              <w:footnoteReference w:id="23"/>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Ducted ASHP</w:t>
            </w:r>
          </w:p>
        </w:tc>
        <w:tc>
          <w:tcPr>
            <w:tcW w:w="2016" w:type="dxa"/>
          </w:tcPr>
          <w:p w:rsidR="000A7A60" w:rsidRPr="002F5F3E" w:rsidRDefault="000A7A60" w:rsidP="00461F9E">
            <w:pPr>
              <w:jc w:val="center"/>
              <w:rPr>
                <w:rFonts w:asciiTheme="minorHAnsi" w:hAnsiTheme="minorHAnsi"/>
                <w:szCs w:val="22"/>
              </w:rPr>
            </w:pPr>
            <w:r w:rsidRPr="002F5F3E">
              <w:rPr>
                <w:rFonts w:asciiTheme="minorHAnsi" w:hAnsiTheme="minorHAnsi"/>
              </w:rPr>
              <w:t xml:space="preserve">11.2 EER </w:t>
            </w:r>
            <w:r w:rsidRPr="009C362B">
              <w:rPr>
                <w:rFonts w:eastAsiaTheme="minorEastAsia"/>
                <w:vertAlign w:val="superscript"/>
              </w:rPr>
              <w:footnoteReference w:id="24"/>
            </w:r>
          </w:p>
        </w:tc>
      </w:tr>
      <w:tr w:rsidR="000A7A60" w:rsidRPr="002F5F3E" w:rsidTr="00461F9E">
        <w:trPr>
          <w:jc w:val="center"/>
        </w:trPr>
        <w:tc>
          <w:tcPr>
            <w:tcW w:w="5184" w:type="dxa"/>
          </w:tcPr>
          <w:p w:rsidR="000A7A60" w:rsidRPr="002F5F3E" w:rsidRDefault="000A7A60" w:rsidP="00461F9E">
            <w:pPr>
              <w:rPr>
                <w:rFonts w:asciiTheme="minorHAnsi" w:hAnsiTheme="minorHAnsi"/>
              </w:rPr>
            </w:pPr>
            <w:r w:rsidRPr="002F5F3E">
              <w:rPr>
                <w:rFonts w:asciiTheme="minorHAnsi" w:hAnsiTheme="minorHAnsi"/>
              </w:rPr>
              <w:t>No existing system</w:t>
            </w:r>
          </w:p>
        </w:tc>
        <w:tc>
          <w:tcPr>
            <w:tcW w:w="2016" w:type="dxa"/>
          </w:tcPr>
          <w:p w:rsidR="000A7A60" w:rsidRPr="002F5F3E" w:rsidRDefault="000A7A60" w:rsidP="00461F9E">
            <w:pPr>
              <w:rPr>
                <w:rFonts w:asciiTheme="minorHAnsi" w:hAnsiTheme="minorHAnsi"/>
              </w:rPr>
            </w:pPr>
          </w:p>
        </w:tc>
      </w:tr>
    </w:tbl>
    <w:p w:rsidR="000A7A60" w:rsidRPr="002F5F3E" w:rsidRDefault="000A7A60" w:rsidP="000A7A60">
      <w:pPr>
        <w:spacing w:after="240"/>
        <w:ind w:left="1440"/>
        <w:rPr>
          <w:rFonts w:cstheme="minorHAnsi"/>
          <w:noProof/>
          <w:lang w:val="nl-NL"/>
        </w:rPr>
      </w:pPr>
    </w:p>
    <w:p w:rsidR="000A7A60" w:rsidRPr="002F5F3E" w:rsidRDefault="000A7A60" w:rsidP="000A7A60">
      <w:pPr>
        <w:spacing w:after="240"/>
        <w:ind w:left="720"/>
        <w:rPr>
          <w:rFonts w:cstheme="minorHAnsi"/>
          <w:noProof/>
          <w:lang w:val="nl-NL"/>
        </w:rPr>
      </w:pPr>
      <w:r w:rsidRPr="002F5F3E">
        <w:rPr>
          <w:rFonts w:cstheme="minorHAnsi"/>
          <w:noProof/>
          <w:lang w:val="nl-NL"/>
        </w:rPr>
        <w:t>EER_ee</w:t>
      </w:r>
      <w:r w:rsidRPr="002F5F3E">
        <w:rPr>
          <w:rFonts w:cstheme="minorHAnsi"/>
          <w:noProof/>
          <w:lang w:val="nl-NL"/>
        </w:rPr>
        <w:tab/>
      </w:r>
      <w:r w:rsidRPr="002F5F3E">
        <w:rPr>
          <w:rFonts w:cstheme="minorHAnsi"/>
          <w:noProof/>
          <w:lang w:val="nl-NL"/>
        </w:rPr>
        <w:tab/>
        <w:t>= Energy Efficiency Ratio of new ductless Air Source Heat Pump (kBtu/hr / kW)</w:t>
      </w:r>
    </w:p>
    <w:p w:rsidR="000A7A60" w:rsidRPr="002F5F3E" w:rsidRDefault="000A7A60" w:rsidP="000A7A60">
      <w:pPr>
        <w:spacing w:after="240"/>
        <w:ind w:left="1440" w:firstLine="720"/>
        <w:rPr>
          <w:rFonts w:cstheme="minorHAnsi"/>
          <w:noProof/>
          <w:lang w:val="nl-NL"/>
        </w:rPr>
      </w:pPr>
      <w:r w:rsidRPr="002F5F3E">
        <w:rPr>
          <w:rFonts w:cstheme="minorHAnsi"/>
          <w:noProof/>
          <w:lang w:val="nl-NL"/>
        </w:rPr>
        <w:t xml:space="preserve">= Actual, If not provided convert SEER to EER using this formula: </w:t>
      </w:r>
    </w:p>
    <w:p w:rsidR="000A7A60" w:rsidRPr="002F5F3E" w:rsidRDefault="000A7A60" w:rsidP="000A7A60">
      <w:pPr>
        <w:spacing w:after="240"/>
        <w:ind w:left="2160" w:hanging="1440"/>
        <w:rPr>
          <w:rFonts w:cstheme="minorHAnsi"/>
        </w:rPr>
      </w:pPr>
      <w:r w:rsidRPr="002F5F3E">
        <w:rPr>
          <w:rFonts w:cstheme="minorHAnsi"/>
        </w:rPr>
        <w:t>CF</w:t>
      </w:r>
      <w:r w:rsidRPr="002F5F3E">
        <w:rPr>
          <w:rFonts w:cstheme="minorHAnsi"/>
          <w:vertAlign w:val="subscript"/>
        </w:rPr>
        <w:t>SSP</w:t>
      </w:r>
      <w:r w:rsidRPr="002F5F3E">
        <w:rPr>
          <w:rFonts w:cstheme="minorHAnsi"/>
        </w:rPr>
        <w:tab/>
        <w:t>= Summer System Peak Coincidence Factor for Central A/C (during system peak hour)</w:t>
      </w:r>
    </w:p>
    <w:p w:rsidR="000A7A60" w:rsidRPr="002F5F3E" w:rsidRDefault="000A7A60" w:rsidP="000A7A60">
      <w:pPr>
        <w:spacing w:after="240"/>
        <w:ind w:left="720" w:firstLine="720"/>
        <w:rPr>
          <w:rFonts w:cstheme="minorHAnsi"/>
        </w:rPr>
      </w:pPr>
      <w:r w:rsidRPr="002F5F3E">
        <w:rPr>
          <w:rFonts w:cstheme="minorHAnsi"/>
        </w:rPr>
        <w:lastRenderedPageBreak/>
        <w:tab/>
        <w:t>= 72%%</w:t>
      </w:r>
      <w:r w:rsidRPr="002F5F3E">
        <w:rPr>
          <w:rFonts w:ascii="Arial" w:eastAsiaTheme="minorEastAsia" w:hAnsi="Arial"/>
          <w:vertAlign w:val="superscript"/>
        </w:rPr>
        <w:footnoteReference w:id="25"/>
      </w:r>
    </w:p>
    <w:p w:rsidR="000A7A60" w:rsidRPr="002F5F3E" w:rsidRDefault="000A7A60" w:rsidP="000A7A60">
      <w:pPr>
        <w:spacing w:after="240"/>
        <w:ind w:left="2160" w:hanging="1440"/>
        <w:rPr>
          <w:rFonts w:cstheme="minorHAnsi"/>
        </w:rPr>
      </w:pPr>
      <w:r w:rsidRPr="002F5F3E">
        <w:rPr>
          <w:rFonts w:cstheme="minorHAnsi"/>
        </w:rPr>
        <w:t>CF</w:t>
      </w:r>
      <w:r w:rsidRPr="002F5F3E">
        <w:rPr>
          <w:rFonts w:cstheme="minorHAnsi"/>
          <w:vertAlign w:val="subscript"/>
        </w:rPr>
        <w:t>PJM</w:t>
      </w:r>
      <w:r w:rsidRPr="002F5F3E">
        <w:rPr>
          <w:rFonts w:cstheme="minorHAnsi"/>
        </w:rPr>
        <w:tab/>
        <w:t>= PJM Summer Peak Coincidence Factor for Central A/C (average during peak period)</w:t>
      </w:r>
    </w:p>
    <w:p w:rsidR="000A7A60" w:rsidRPr="002F5F3E" w:rsidRDefault="000A7A60" w:rsidP="000A7A60">
      <w:pPr>
        <w:spacing w:after="240"/>
        <w:ind w:left="1440" w:firstLine="720"/>
        <w:rPr>
          <w:rFonts w:cstheme="minorHAnsi"/>
        </w:rPr>
      </w:pPr>
      <w:r w:rsidRPr="002F5F3E">
        <w:rPr>
          <w:rFonts w:cstheme="minorHAnsi"/>
        </w:rPr>
        <w:t>= 46.6%</w:t>
      </w:r>
      <w:r w:rsidRPr="002F5F3E">
        <w:rPr>
          <w:rFonts w:ascii="Arial" w:eastAsiaTheme="minorEastAsia" w:hAnsi="Arial"/>
          <w:vertAlign w:val="superscript"/>
        </w:rPr>
        <w:footnoteReference w:id="26"/>
      </w:r>
    </w:p>
    <w:p w:rsidR="000A7A60" w:rsidRPr="002F5F3E" w:rsidRDefault="000A7A60" w:rsidP="000A7A60">
      <w:pPr>
        <w:keepNext/>
        <w:keepLines/>
        <w:spacing w:before="200"/>
        <w:outlineLvl w:val="5"/>
        <w:rPr>
          <w:rFonts w:eastAsiaTheme="majorEastAsia" w:cstheme="majorBidi"/>
          <w:b/>
          <w:iCs/>
          <w:smallCaps/>
          <w:sz w:val="22"/>
        </w:rPr>
      </w:pPr>
      <w:bookmarkStart w:id="14" w:name="_Toc343160276"/>
      <w:r w:rsidRPr="002F5F3E">
        <w:rPr>
          <w:rFonts w:eastAsiaTheme="majorEastAsia" w:cstheme="majorBidi"/>
          <w:b/>
          <w:iCs/>
          <w:smallCaps/>
          <w:sz w:val="22"/>
        </w:rPr>
        <w:t>Natural Gas Savings</w:t>
      </w:r>
      <w:bookmarkEnd w:id="14"/>
    </w:p>
    <w:p w:rsidR="000A7A60" w:rsidRPr="002F5F3E" w:rsidRDefault="000A7A60" w:rsidP="000A7A60">
      <w:pPr>
        <w:spacing w:after="240"/>
      </w:pPr>
      <w:r w:rsidRPr="002F5F3E">
        <w:t>N/A</w:t>
      </w:r>
    </w:p>
    <w:p w:rsidR="000A7A60" w:rsidRPr="002F5F3E" w:rsidRDefault="000A7A60" w:rsidP="000A7A60">
      <w:pPr>
        <w:keepNext/>
        <w:keepLines/>
        <w:spacing w:before="200"/>
        <w:outlineLvl w:val="5"/>
        <w:rPr>
          <w:rFonts w:eastAsiaTheme="majorEastAsia" w:cstheme="majorBidi"/>
          <w:b/>
          <w:iCs/>
          <w:smallCaps/>
          <w:sz w:val="22"/>
        </w:rPr>
      </w:pPr>
      <w:bookmarkStart w:id="15" w:name="_Toc343160277"/>
      <w:r w:rsidRPr="002F5F3E">
        <w:rPr>
          <w:rFonts w:eastAsiaTheme="majorEastAsia" w:cstheme="majorBidi"/>
          <w:b/>
          <w:iCs/>
          <w:smallCaps/>
          <w:sz w:val="22"/>
        </w:rPr>
        <w:t>Water Impact Descriptions and Calculation</w:t>
      </w:r>
      <w:bookmarkEnd w:id="15"/>
      <w:r w:rsidRPr="002F5F3E">
        <w:rPr>
          <w:rFonts w:eastAsiaTheme="majorEastAsia" w:cstheme="majorBidi"/>
          <w:b/>
          <w:iCs/>
          <w:smallCaps/>
          <w:sz w:val="22"/>
        </w:rPr>
        <w:t xml:space="preserve">  </w:t>
      </w:r>
    </w:p>
    <w:p w:rsidR="000A7A60" w:rsidRPr="002F5F3E" w:rsidRDefault="000A7A60" w:rsidP="000A7A60">
      <w:pPr>
        <w:spacing w:after="240"/>
      </w:pPr>
      <w:r w:rsidRPr="002F5F3E">
        <w:t>N/A</w:t>
      </w:r>
      <w:bookmarkStart w:id="16" w:name="_Toc343160278"/>
    </w:p>
    <w:p w:rsidR="000A7A60" w:rsidRDefault="000A7A60" w:rsidP="000A7A60">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Deemed O&amp;M Cost Adjustment Calculation</w:t>
      </w:r>
      <w:bookmarkEnd w:id="16"/>
    </w:p>
    <w:p w:rsidR="000A7A60" w:rsidRPr="009C362B" w:rsidRDefault="000A7A60" w:rsidP="000A7A60">
      <w:pPr>
        <w:spacing w:after="240"/>
      </w:pPr>
      <w:r w:rsidRPr="009C362B">
        <w:t>N/A</w:t>
      </w:r>
    </w:p>
    <w:p w:rsidR="000A7A60" w:rsidDel="000A7A60" w:rsidRDefault="000A7A60" w:rsidP="000A7A60">
      <w:pPr>
        <w:keepNext/>
        <w:keepLines/>
        <w:spacing w:before="200"/>
        <w:jc w:val="left"/>
        <w:outlineLvl w:val="5"/>
        <w:rPr>
          <w:del w:id="17" w:author="Samuel Dent" w:date="2015-10-09T06:42:00Z"/>
          <w:rFonts w:eastAsiaTheme="majorEastAsia" w:cstheme="majorBidi"/>
          <w:b/>
          <w:iCs/>
          <w:smallCaps/>
          <w:sz w:val="22"/>
        </w:rPr>
        <w:sectPr w:rsidR="000A7A60" w:rsidDel="000A7A60" w:rsidSect="00B64B6A">
          <w:headerReference w:type="default" r:id="rId8"/>
          <w:pgSz w:w="12240" w:h="15840" w:code="1"/>
          <w:pgMar w:top="1440" w:right="1440" w:bottom="1440" w:left="1440" w:header="720" w:footer="720" w:gutter="0"/>
          <w:cols w:space="720"/>
          <w:docGrid w:linePitch="360"/>
        </w:sectPr>
      </w:pPr>
      <w:r w:rsidRPr="002F5F3E">
        <w:rPr>
          <w:rFonts w:eastAsiaTheme="majorEastAsia" w:cstheme="majorBidi"/>
          <w:b/>
          <w:iCs/>
          <w:smallCaps/>
          <w:sz w:val="22"/>
        </w:rPr>
        <w:t>Measure Code: RS-HVC-DHP-</w:t>
      </w:r>
      <w:del w:id="18" w:author="Samuel Dent" w:date="2015-10-09T06:42:00Z">
        <w:r w:rsidRPr="002F5F3E" w:rsidDel="000A7A60">
          <w:rPr>
            <w:rFonts w:eastAsiaTheme="majorEastAsia" w:cstheme="majorBidi"/>
            <w:b/>
            <w:iCs/>
            <w:smallCaps/>
            <w:sz w:val="22"/>
          </w:rPr>
          <w:delText>V02</w:delText>
        </w:r>
      </w:del>
      <w:ins w:id="19" w:author="Samuel Dent" w:date="2015-10-09T06:42:00Z">
        <w:r w:rsidRPr="002F5F3E">
          <w:rPr>
            <w:rFonts w:eastAsiaTheme="majorEastAsia" w:cstheme="majorBidi"/>
            <w:b/>
            <w:iCs/>
            <w:smallCaps/>
            <w:sz w:val="22"/>
          </w:rPr>
          <w:t>V0</w:t>
        </w:r>
        <w:r>
          <w:rPr>
            <w:rFonts w:eastAsiaTheme="majorEastAsia" w:cstheme="majorBidi"/>
            <w:b/>
            <w:iCs/>
            <w:smallCaps/>
            <w:sz w:val="22"/>
          </w:rPr>
          <w:t>3</w:t>
        </w:r>
      </w:ins>
      <w:r w:rsidRPr="002F5F3E">
        <w:rPr>
          <w:rFonts w:eastAsiaTheme="majorEastAsia" w:cstheme="majorBidi"/>
          <w:b/>
          <w:iCs/>
          <w:smallCaps/>
          <w:sz w:val="22"/>
        </w:rPr>
        <w:t>-1</w:t>
      </w:r>
      <w:bookmarkStart w:id="20" w:name="_GoBack"/>
      <w:r w:rsidRPr="002F5F3E">
        <w:rPr>
          <w:rFonts w:eastAsiaTheme="majorEastAsia" w:cstheme="majorBidi"/>
          <w:b/>
          <w:iCs/>
          <w:smallCaps/>
          <w:sz w:val="22"/>
        </w:rPr>
        <w:t>5</w:t>
      </w:r>
      <w:bookmarkEnd w:id="20"/>
      <w:r w:rsidRPr="002F5F3E">
        <w:rPr>
          <w:rFonts w:eastAsiaTheme="majorEastAsia" w:cstheme="majorBidi"/>
          <w:b/>
          <w:iCs/>
          <w:smallCaps/>
          <w:sz w:val="22"/>
        </w:rPr>
        <w:t>0601</w:t>
      </w:r>
    </w:p>
    <w:p w:rsidR="00D5281E" w:rsidRDefault="00D5281E" w:rsidP="000A7A60">
      <w:pPr>
        <w:keepNext/>
        <w:keepLines/>
        <w:spacing w:before="200"/>
        <w:jc w:val="left"/>
        <w:outlineLvl w:val="5"/>
        <w:pPrChange w:id="21" w:author="Samuel Dent" w:date="2015-10-09T06:42:00Z">
          <w:pPr/>
        </w:pPrChange>
      </w:pP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A60" w:rsidRDefault="000A7A60" w:rsidP="000A7A60">
      <w:pPr>
        <w:spacing w:after="0"/>
      </w:pPr>
      <w:r>
        <w:separator/>
      </w:r>
    </w:p>
  </w:endnote>
  <w:endnote w:type="continuationSeparator" w:id="0">
    <w:p w:rsidR="000A7A60" w:rsidRDefault="000A7A60" w:rsidP="000A7A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A60" w:rsidRDefault="000A7A60" w:rsidP="000A7A60">
      <w:pPr>
        <w:spacing w:after="0"/>
      </w:pPr>
      <w:r>
        <w:separator/>
      </w:r>
    </w:p>
  </w:footnote>
  <w:footnote w:type="continuationSeparator" w:id="0">
    <w:p w:rsidR="000A7A60" w:rsidRDefault="000A7A60" w:rsidP="000A7A60">
      <w:pPr>
        <w:spacing w:after="0"/>
      </w:pPr>
      <w:r>
        <w:continuationSeparator/>
      </w:r>
    </w:p>
  </w:footnote>
  <w:footnote w:id="1">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whole purpose of installing ductless heat pumps is to conserve energy, so the installer can be assumed to be capable of recommending an appropriate controls strategy. For most applications, the heating </w:t>
      </w:r>
      <w:proofErr w:type="spellStart"/>
      <w:r w:rsidRPr="009C362B">
        <w:rPr>
          <w:szCs w:val="18"/>
        </w:rPr>
        <w:t>setpoint</w:t>
      </w:r>
      <w:proofErr w:type="spellEnd"/>
      <w:r w:rsidRPr="009C362B">
        <w:rPr>
          <w:szCs w:val="18"/>
        </w:rPr>
        <w:t xml:space="preserve"> for the ductless heat pump should be at least 2F higher than any remaining existing system and the cooling </w:t>
      </w:r>
      <w:proofErr w:type="spellStart"/>
      <w:r w:rsidRPr="009C362B">
        <w:rPr>
          <w:szCs w:val="18"/>
        </w:rPr>
        <w:t>setpoint</w:t>
      </w:r>
      <w:proofErr w:type="spellEnd"/>
      <w:r w:rsidRPr="009C362B">
        <w:rPr>
          <w:szCs w:val="18"/>
        </w:rPr>
        <w:t xml:space="preserve"> for the ductless heat pump should be at least 2F cooler than the existing system (this should apply to all periods of a programmable schedule, if applicable). This helps ensure that the ductless heat pump will be used to meet as much of the load as possible before the existing system operates to meet the remaining load. Ideally, the new ductless heat pump controls should be set to the current comfort settings, while the existing system </w:t>
      </w:r>
      <w:proofErr w:type="spellStart"/>
      <w:r w:rsidRPr="009C362B">
        <w:rPr>
          <w:szCs w:val="18"/>
        </w:rPr>
        <w:t>setpoints</w:t>
      </w:r>
      <w:proofErr w:type="spellEnd"/>
      <w:r w:rsidRPr="009C362B">
        <w:rPr>
          <w:szCs w:val="18"/>
        </w:rPr>
        <w:t xml:space="preserve"> should be adjusted down (heating) and up (cooling) to capture savings.</w:t>
      </w:r>
    </w:p>
  </w:footnote>
  <w:footnote w:id="2">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Minimum Federal Standard as of 1/1/2015;</w:t>
      </w:r>
    </w:p>
    <w:p w:rsidR="000A7A60" w:rsidRPr="009C362B" w:rsidRDefault="000A7A60" w:rsidP="000A7A60">
      <w:pPr>
        <w:pStyle w:val="Footnote"/>
        <w:rPr>
          <w:szCs w:val="18"/>
        </w:rPr>
      </w:pPr>
      <w:r w:rsidRPr="009C362B">
        <w:rPr>
          <w:szCs w:val="18"/>
        </w:rPr>
        <w:t>http://www.gpo.gov/fdsys/pkg/CFR-2012-title10-vol3/pdf/CFR-2012-title10-vol3-sec430-32.pdf</w:t>
      </w:r>
    </w:p>
  </w:footnote>
  <w:footnote w:id="3">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Additional heat pumps will achieve additional savings, but not as much as the first one. </w:t>
      </w:r>
    </w:p>
    <w:p w:rsidR="000A7A60" w:rsidRPr="009C362B" w:rsidRDefault="000A7A60" w:rsidP="000A7A60">
      <w:pPr>
        <w:pStyle w:val="Footnote"/>
        <w:rPr>
          <w:szCs w:val="18"/>
        </w:rPr>
      </w:pPr>
    </w:p>
  </w:footnote>
  <w:footnote w:id="4">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r w:rsidRPr="009C362B">
        <w:rPr>
          <w:rFonts w:eastAsiaTheme="minorHAnsi"/>
          <w:szCs w:val="18"/>
        </w:rPr>
        <w:t>Measure Life Report: Residential and Commercial/Industrial Lighting and HVAC Measures, GDS Associates, Inc., June 2007</w:t>
      </w:r>
    </w:p>
  </w:footnote>
  <w:footnote w:id="5">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r w:rsidRPr="009C362B">
        <w:rPr>
          <w:i/>
          <w:iCs/>
          <w:szCs w:val="18"/>
        </w:rPr>
        <w:t>Ductless Heat Pumps for Residential Customers in Connecticut</w:t>
      </w:r>
      <w:r w:rsidRPr="009C362B">
        <w:rPr>
          <w:szCs w:val="18"/>
        </w:rPr>
        <w:t>,  Swift, Joseph R and Rebecca A. Meyer, The Connecticut Light &amp; Power Company, 2010 ACEEE Summer Study on Energy Efficiency in Buildings (2-292)</w:t>
      </w:r>
    </w:p>
  </w:footnote>
  <w:footnote w:id="6">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7">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8">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PLD values calculated in “DHP Savings Model 12-31-13.xls”. To verify that the proposed algorithm generates reasonable savings, we compared the results to metering studies done to measure ductless heat pump savings. </w:t>
      </w:r>
    </w:p>
    <w:p w:rsidR="000A7A60" w:rsidRPr="009C362B" w:rsidRDefault="000A7A60" w:rsidP="000A7A60">
      <w:pPr>
        <w:pStyle w:val="Footnote"/>
        <w:rPr>
          <w:szCs w:val="18"/>
        </w:rPr>
      </w:pPr>
      <w:r w:rsidRPr="009C362B">
        <w:rPr>
          <w:noProof/>
          <w:szCs w:val="18"/>
        </w:rPr>
        <w:t>Ecotope Study, prepared for Bonneville Power Administration, “</w:t>
      </w:r>
      <w:r w:rsidRPr="009C362B">
        <w:rPr>
          <w:szCs w:val="18"/>
        </w:rPr>
        <w:t>Residential Ductless Mini-Split Heat Pump Retrofit Monitoring,” Monmouth, Oregon, June, 2009.</w:t>
      </w:r>
    </w:p>
    <w:p w:rsidR="000A7A60" w:rsidRPr="009C362B" w:rsidRDefault="000A7A60" w:rsidP="000A7A60">
      <w:pPr>
        <w:pStyle w:val="Footnote"/>
        <w:rPr>
          <w:szCs w:val="18"/>
        </w:rPr>
      </w:pPr>
      <w:proofErr w:type="spellStart"/>
      <w:r w:rsidRPr="009C362B">
        <w:rPr>
          <w:szCs w:val="18"/>
        </w:rPr>
        <w:t>Ecotope</w:t>
      </w:r>
      <w:proofErr w:type="spellEnd"/>
      <w:r w:rsidRPr="009C362B">
        <w:rPr>
          <w:szCs w:val="18"/>
        </w:rPr>
        <w:t xml:space="preserve"> </w:t>
      </w:r>
      <w:proofErr w:type="gramStart"/>
      <w:r w:rsidRPr="009C362B">
        <w:rPr>
          <w:szCs w:val="18"/>
        </w:rPr>
        <w:t>Study,</w:t>
      </w:r>
      <w:proofErr w:type="gramEnd"/>
      <w:r w:rsidRPr="009C362B">
        <w:rPr>
          <w:szCs w:val="18"/>
        </w:rPr>
        <w:t xml:space="preserve"> Prepared for Bonneville Power Administration, “Ductless Heat Pump Retrofits in Multifamily and Small Commercial Buildings,” December, 2012.</w:t>
      </w:r>
    </w:p>
    <w:p w:rsidR="000A7A60" w:rsidRPr="009C362B" w:rsidRDefault="000A7A60" w:rsidP="000A7A60">
      <w:pPr>
        <w:pStyle w:val="Footnote"/>
        <w:rPr>
          <w:szCs w:val="18"/>
        </w:rPr>
      </w:pPr>
      <w:r w:rsidRPr="009C362B">
        <w:rPr>
          <w:rFonts w:eastAsiaTheme="minorHAnsi"/>
          <w:szCs w:val="18"/>
        </w:rPr>
        <w:t>KEMA Study, Prepared for NSTAR Electric and Gas Corporation et al. “Ductless Mini Pilot Study,” Middletown, Connecticut, June, 2009</w:t>
      </w:r>
    </w:p>
  </w:footnote>
  <w:footnote w:id="9">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Values in table are based on converting an average household heating load (834 therms) for Chicago based on ‘Table E-1, Energy Efficiency/Demand Response </w:t>
      </w:r>
      <w:proofErr w:type="spellStart"/>
      <w:r w:rsidRPr="009C362B">
        <w:rPr>
          <w:szCs w:val="18"/>
        </w:rPr>
        <w:t>Nicor</w:t>
      </w:r>
      <w:proofErr w:type="spellEnd"/>
      <w:r w:rsidRPr="009C362B">
        <w:rPr>
          <w:szCs w:val="18"/>
        </w:rPr>
        <w:t xml:space="preserve"> Gas Plan Year 1: Research Report: Furnace Metering Study, Draft, Navigant, August 1 2013 to an electric heat load (divide by 0.03413) to electric resistance and ASHP heat load (resistance load reduced by 15% to account for distribution losses that occur in furnace heating but not in electric resistance while ASHP heat is assumed to suffer from similar distribution losses) (see ‘Household Heating Load Summary Calculations_11062013.xls’). Finally these values were adjusted to a statewide average using relative HDD assumptions to adjust for the evaluation results focus on northern region. Values for individual cities are then calculated by comparing average HDD to the individual city’s HDD.</w:t>
      </w:r>
    </w:p>
  </w:footnote>
  <w:footnote w:id="10">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1">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Program-specific household factors may be utilized on the basis of sufficiently validated program evaluations. </w:t>
      </w:r>
    </w:p>
  </w:footnote>
  <w:footnote w:id="12">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1 Ton = 12 </w:t>
      </w:r>
      <w:proofErr w:type="spellStart"/>
      <w:r w:rsidRPr="009C362B">
        <w:rPr>
          <w:szCs w:val="18"/>
        </w:rPr>
        <w:t>kBtu</w:t>
      </w:r>
      <w:proofErr w:type="spellEnd"/>
      <w:r w:rsidRPr="009C362B">
        <w:rPr>
          <w:szCs w:val="18"/>
        </w:rPr>
        <w:t>/</w:t>
      </w:r>
      <w:proofErr w:type="spellStart"/>
      <w:r w:rsidRPr="009C362B">
        <w:rPr>
          <w:szCs w:val="18"/>
        </w:rPr>
        <w:t>hr</w:t>
      </w:r>
      <w:proofErr w:type="spellEnd"/>
    </w:p>
  </w:footnote>
  <w:footnote w:id="13">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Electric resistance has a COP of 1.0 which equals 1/0.293 = 3.41 HSPF.</w:t>
      </w:r>
    </w:p>
  </w:footnote>
  <w:footnote w:id="14">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This is from the ASHP measure which estimated HSPF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15">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that if only an EER rating is available, a conversion factor of SEER=1.1*EER can be used</w:t>
      </w:r>
    </w:p>
  </w:footnote>
  <w:footnote w:id="16">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Converted from EER using formula EER = 1.1 SEER</w:t>
      </w:r>
    </w:p>
  </w:footnote>
  <w:footnote w:id="17">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Residential EFLH for room AC</w:t>
      </w:r>
    </w:p>
  </w:footnote>
  <w:footnote w:id="18">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Weighted based on number of residential occupied housing units in each zone.</w:t>
      </w:r>
    </w:p>
  </w:footnote>
  <w:footnote w:id="19">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Same EER as PTAC recycling.</w:t>
      </w:r>
      <w:proofErr w:type="gramEnd"/>
      <w:r w:rsidRPr="009C362B">
        <w:rPr>
          <w:szCs w:val="18"/>
        </w:rPr>
        <w:t xml:space="preserve"> Estimated using the IECC building energy code up until year 2003 (p107; https://law.resource.org/pub/us/code/ibr/icc.iecc.2000.pdf) and assuming a 1 ton unit; EER = 10 – (0.16 * 12,000/1,000) = 8.1.</w:t>
      </w:r>
    </w:p>
  </w:footnote>
  <w:footnote w:id="20">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Same method to calculate EER as PTAC recycling.</w:t>
      </w:r>
      <w:proofErr w:type="gramEnd"/>
      <w:r w:rsidRPr="009C362B">
        <w:rPr>
          <w:szCs w:val="18"/>
        </w:rPr>
        <w:t xml:space="preserve"> Estimated using the IECC building energy code up until year 2003 (p107; https://law.resource.org/pub/us/code/ibr/icc.iecc.2000.pdf) and assuming a 1 ton unit; EER = 10 – (0.16 * 12,000/1,000) = 8.1.</w:t>
      </w:r>
    </w:p>
  </w:footnote>
  <w:footnote w:id="21">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quoted efficiency rating in the IECC was given in EER and was translated to SEER using a conversion factor of SEER=1.1*EER.</w:t>
      </w:r>
    </w:p>
  </w:footnote>
  <w:footnote w:id="22">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Ibid.</w:t>
      </w:r>
    </w:p>
  </w:footnote>
  <w:footnote w:id="23">
    <w:p w:rsidR="000A7A60" w:rsidRPr="009C362B" w:rsidRDefault="000A7A60" w:rsidP="000A7A60">
      <w:pPr>
        <w:pStyle w:val="Footnote"/>
        <w:rPr>
          <w:szCs w:val="18"/>
        </w:rPr>
      </w:pPr>
      <w:r w:rsidRPr="009C362B">
        <w:rPr>
          <w:rStyle w:val="FootnoteReference"/>
          <w:rFonts w:asciiTheme="minorHAnsi" w:eastAsia="Calibri" w:hAnsiTheme="minorHAnsi" w:cstheme="minorHAnsi"/>
          <w:sz w:val="18"/>
          <w:szCs w:val="18"/>
        </w:rPr>
        <w:footnoteRef/>
      </w:r>
      <w:r w:rsidRPr="009C362B">
        <w:rPr>
          <w:szCs w:val="18"/>
        </w:rPr>
        <w:t xml:space="preserve"> </w:t>
      </w:r>
      <w:proofErr w:type="gramStart"/>
      <w:r w:rsidRPr="009C362B">
        <w:rPr>
          <w:szCs w:val="18"/>
        </w:rPr>
        <w:t>Same EER as Window AC recycling.</w:t>
      </w:r>
      <w:proofErr w:type="gramEnd"/>
      <w:r w:rsidRPr="009C362B">
        <w:rPr>
          <w:szCs w:val="18"/>
        </w:rPr>
        <w:t xml:space="preserve"> Based on Nexus Market Research </w:t>
      </w:r>
      <w:proofErr w:type="spellStart"/>
      <w:r w:rsidRPr="009C362B">
        <w:rPr>
          <w:szCs w:val="18"/>
        </w:rPr>
        <w:t>Inc</w:t>
      </w:r>
      <w:proofErr w:type="spellEnd"/>
      <w:r w:rsidRPr="009C362B">
        <w:rPr>
          <w:szCs w:val="18"/>
        </w:rPr>
        <w:t xml:space="preserve">, RLW Analytics, </w:t>
      </w:r>
      <w:proofErr w:type="gramStart"/>
      <w:r w:rsidRPr="009C362B">
        <w:rPr>
          <w:szCs w:val="18"/>
        </w:rPr>
        <w:t>December</w:t>
      </w:r>
      <w:proofErr w:type="gramEnd"/>
      <w:r w:rsidRPr="009C362B">
        <w:rPr>
          <w:szCs w:val="18"/>
        </w:rPr>
        <w:t xml:space="preserve"> 2005; “Impact, Process, and Market Study of the Connecticut Appliance Retirement Program: Overall Report.”</w:t>
      </w:r>
    </w:p>
  </w:footnote>
  <w:footnote w:id="24">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Federal Standard does not include an EER requirement, so it is approximated with this formula: (-0.02 * SEER2) + (1.12 * SEER)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p>
  </w:footnote>
  <w:footnote w:id="25">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6">
    <w:p w:rsidR="000A7A60" w:rsidRPr="009C362B" w:rsidRDefault="000A7A60" w:rsidP="000A7A60">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A60" w:rsidRPr="004A7427" w:rsidRDefault="000A7A60" w:rsidP="00645A06">
    <w:pPr>
      <w:pStyle w:val="HeaderIL"/>
    </w:pPr>
    <w:r w:rsidRPr="005D746C">
      <w:t xml:space="preserve">Illinois Statewide Technical Reference Manual - </w:t>
    </w:r>
    <w:r>
      <w:fldChar w:fldCharType="begin"/>
    </w:r>
    <w:r>
      <w:instrText xml:space="preserve"> REF _Ref376422968 \n \h </w:instrText>
    </w:r>
    <w:r>
      <w:fldChar w:fldCharType="separate"/>
    </w:r>
    <w:r>
      <w:t>5.3.12</w:t>
    </w:r>
    <w:r>
      <w:fldChar w:fldCharType="end"/>
    </w:r>
    <w:r>
      <w:t xml:space="preserve"> </w:t>
    </w:r>
    <w:r>
      <w:fldChar w:fldCharType="begin"/>
    </w:r>
    <w:r>
      <w:instrText xml:space="preserve"> REF _Ref376422968 \h </w:instrText>
    </w:r>
    <w:r>
      <w:fldChar w:fldCharType="separate"/>
    </w:r>
    <w:r>
      <w:t>Ductless Heat Pumps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4C337FD"/>
    <w:multiLevelType w:val="multilevel"/>
    <w:tmpl w:val="65DC30D0"/>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60"/>
    <w:rsid w:val="000A7A60"/>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A6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A7A60"/>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A7A60"/>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A7A60"/>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A7A60"/>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A7A60"/>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A7A6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A7A6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A7A6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A7A60"/>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A7A60"/>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A7A60"/>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A7A60"/>
    <w:rPr>
      <w:rFonts w:ascii="Calibri" w:eastAsiaTheme="minorEastAsia" w:hAnsi="Calibri" w:cs="Arial"/>
      <w:bCs/>
      <w:i/>
      <w:noProof/>
    </w:rPr>
  </w:style>
  <w:style w:type="character" w:customStyle="1" w:styleId="Heading5Char">
    <w:name w:val="Heading 5 Char"/>
    <w:basedOn w:val="DefaultParagraphFont"/>
    <w:link w:val="Heading5"/>
    <w:uiPriority w:val="99"/>
    <w:rsid w:val="000A7A60"/>
    <w:rPr>
      <w:rFonts w:ascii="Calibri" w:eastAsia="Times New Roman" w:hAnsi="Calibri" w:cs="Times New Roman"/>
      <w:sz w:val="20"/>
    </w:rPr>
  </w:style>
  <w:style w:type="character" w:customStyle="1" w:styleId="Heading7Char">
    <w:name w:val="Heading 7 Char"/>
    <w:basedOn w:val="DefaultParagraphFont"/>
    <w:link w:val="Heading7"/>
    <w:uiPriority w:val="99"/>
    <w:rsid w:val="000A7A6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A7A6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A7A6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A7A60"/>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0A7A60"/>
    <w:rPr>
      <w:rFonts w:ascii="Arial" w:hAnsi="Arial" w:cs="Times New Roman"/>
      <w:sz w:val="20"/>
      <w:vertAlign w:val="superscript"/>
    </w:rPr>
  </w:style>
  <w:style w:type="character" w:customStyle="1" w:styleId="FootnoteChar">
    <w:name w:val="Footnote Char"/>
    <w:basedOn w:val="DefaultParagraphFont"/>
    <w:link w:val="Footnote"/>
    <w:rsid w:val="000A7A60"/>
    <w:rPr>
      <w:rFonts w:eastAsiaTheme="minorEastAsia" w:cstheme="minorHAnsi"/>
      <w:sz w:val="18"/>
      <w:szCs w:val="20"/>
    </w:rPr>
  </w:style>
  <w:style w:type="paragraph" w:customStyle="1" w:styleId="HeaderIL">
    <w:name w:val="Header IL"/>
    <w:basedOn w:val="Header"/>
    <w:link w:val="HeaderILChar"/>
    <w:qFormat/>
    <w:rsid w:val="000A7A60"/>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A7A60"/>
    <w:rPr>
      <w:rFonts w:eastAsia="Times New Roman" w:cs="Times New Roman"/>
      <w:sz w:val="20"/>
    </w:rPr>
  </w:style>
  <w:style w:type="paragraph" w:customStyle="1" w:styleId="Footnote">
    <w:name w:val="Footnote"/>
    <w:basedOn w:val="FootnoteText"/>
    <w:link w:val="FootnoteChar"/>
    <w:autoRedefine/>
    <w:qFormat/>
    <w:rsid w:val="000A7A60"/>
    <w:pPr>
      <w:jc w:val="left"/>
    </w:pPr>
    <w:rPr>
      <w:rFonts w:eastAsiaTheme="minorEastAsia" w:cstheme="minorHAnsi"/>
      <w:sz w:val="18"/>
    </w:rPr>
  </w:style>
  <w:style w:type="table" w:customStyle="1" w:styleId="TableGrid7">
    <w:name w:val="Table Grid7"/>
    <w:basedOn w:val="TableNormal"/>
    <w:next w:val="TableGrid"/>
    <w:uiPriority w:val="59"/>
    <w:rsid w:val="000A7A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A7A60"/>
    <w:pPr>
      <w:tabs>
        <w:tab w:val="center" w:pos="4680"/>
        <w:tab w:val="right" w:pos="9360"/>
      </w:tabs>
      <w:spacing w:after="0"/>
    </w:pPr>
  </w:style>
  <w:style w:type="character" w:customStyle="1" w:styleId="HeaderChar">
    <w:name w:val="Header Char"/>
    <w:basedOn w:val="DefaultParagraphFont"/>
    <w:link w:val="Header"/>
    <w:uiPriority w:val="99"/>
    <w:semiHidden/>
    <w:rsid w:val="000A7A60"/>
    <w:rPr>
      <w:rFonts w:eastAsia="Times New Roman" w:cs="Times New Roman"/>
      <w:sz w:val="20"/>
    </w:rPr>
  </w:style>
  <w:style w:type="paragraph" w:styleId="FootnoteText">
    <w:name w:val="footnote text"/>
    <w:basedOn w:val="Normal"/>
    <w:link w:val="FootnoteTextChar"/>
    <w:uiPriority w:val="99"/>
    <w:semiHidden/>
    <w:unhideWhenUsed/>
    <w:rsid w:val="000A7A60"/>
    <w:pPr>
      <w:spacing w:after="0"/>
    </w:pPr>
    <w:rPr>
      <w:szCs w:val="20"/>
    </w:rPr>
  </w:style>
  <w:style w:type="character" w:customStyle="1" w:styleId="FootnoteTextChar">
    <w:name w:val="Footnote Text Char"/>
    <w:basedOn w:val="DefaultParagraphFont"/>
    <w:link w:val="FootnoteText"/>
    <w:uiPriority w:val="99"/>
    <w:semiHidden/>
    <w:rsid w:val="000A7A60"/>
    <w:rPr>
      <w:rFonts w:eastAsia="Times New Roman" w:cs="Times New Roman"/>
      <w:sz w:val="20"/>
      <w:szCs w:val="20"/>
    </w:rPr>
  </w:style>
  <w:style w:type="table" w:styleId="TableGrid">
    <w:name w:val="Table Grid"/>
    <w:basedOn w:val="TableNormal"/>
    <w:uiPriority w:val="59"/>
    <w:rsid w:val="000A7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A6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A6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A6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A7A60"/>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A7A60"/>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A7A60"/>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A7A60"/>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A7A60"/>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A7A6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A7A6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A7A6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A7A60"/>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A7A60"/>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A7A60"/>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A7A60"/>
    <w:rPr>
      <w:rFonts w:ascii="Calibri" w:eastAsiaTheme="minorEastAsia" w:hAnsi="Calibri" w:cs="Arial"/>
      <w:bCs/>
      <w:i/>
      <w:noProof/>
    </w:rPr>
  </w:style>
  <w:style w:type="character" w:customStyle="1" w:styleId="Heading5Char">
    <w:name w:val="Heading 5 Char"/>
    <w:basedOn w:val="DefaultParagraphFont"/>
    <w:link w:val="Heading5"/>
    <w:uiPriority w:val="99"/>
    <w:rsid w:val="000A7A60"/>
    <w:rPr>
      <w:rFonts w:ascii="Calibri" w:eastAsia="Times New Roman" w:hAnsi="Calibri" w:cs="Times New Roman"/>
      <w:sz w:val="20"/>
    </w:rPr>
  </w:style>
  <w:style w:type="character" w:customStyle="1" w:styleId="Heading7Char">
    <w:name w:val="Heading 7 Char"/>
    <w:basedOn w:val="DefaultParagraphFont"/>
    <w:link w:val="Heading7"/>
    <w:uiPriority w:val="99"/>
    <w:rsid w:val="000A7A6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A7A6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A7A6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A7A60"/>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0A7A60"/>
    <w:rPr>
      <w:rFonts w:ascii="Arial" w:hAnsi="Arial" w:cs="Times New Roman"/>
      <w:sz w:val="20"/>
      <w:vertAlign w:val="superscript"/>
    </w:rPr>
  </w:style>
  <w:style w:type="character" w:customStyle="1" w:styleId="FootnoteChar">
    <w:name w:val="Footnote Char"/>
    <w:basedOn w:val="DefaultParagraphFont"/>
    <w:link w:val="Footnote"/>
    <w:rsid w:val="000A7A60"/>
    <w:rPr>
      <w:rFonts w:eastAsiaTheme="minorEastAsia" w:cstheme="minorHAnsi"/>
      <w:sz w:val="18"/>
      <w:szCs w:val="20"/>
    </w:rPr>
  </w:style>
  <w:style w:type="paragraph" w:customStyle="1" w:styleId="HeaderIL">
    <w:name w:val="Header IL"/>
    <w:basedOn w:val="Header"/>
    <w:link w:val="HeaderILChar"/>
    <w:qFormat/>
    <w:rsid w:val="000A7A60"/>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0A7A60"/>
    <w:rPr>
      <w:rFonts w:eastAsia="Times New Roman" w:cs="Times New Roman"/>
      <w:sz w:val="20"/>
    </w:rPr>
  </w:style>
  <w:style w:type="paragraph" w:customStyle="1" w:styleId="Footnote">
    <w:name w:val="Footnote"/>
    <w:basedOn w:val="FootnoteText"/>
    <w:link w:val="FootnoteChar"/>
    <w:autoRedefine/>
    <w:qFormat/>
    <w:rsid w:val="000A7A60"/>
    <w:pPr>
      <w:jc w:val="left"/>
    </w:pPr>
    <w:rPr>
      <w:rFonts w:eastAsiaTheme="minorEastAsia" w:cstheme="minorHAnsi"/>
      <w:sz w:val="18"/>
    </w:rPr>
  </w:style>
  <w:style w:type="table" w:customStyle="1" w:styleId="TableGrid7">
    <w:name w:val="Table Grid7"/>
    <w:basedOn w:val="TableNormal"/>
    <w:next w:val="TableGrid"/>
    <w:uiPriority w:val="59"/>
    <w:rsid w:val="000A7A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A7A60"/>
    <w:pPr>
      <w:tabs>
        <w:tab w:val="center" w:pos="4680"/>
        <w:tab w:val="right" w:pos="9360"/>
      </w:tabs>
      <w:spacing w:after="0"/>
    </w:pPr>
  </w:style>
  <w:style w:type="character" w:customStyle="1" w:styleId="HeaderChar">
    <w:name w:val="Header Char"/>
    <w:basedOn w:val="DefaultParagraphFont"/>
    <w:link w:val="Header"/>
    <w:uiPriority w:val="99"/>
    <w:semiHidden/>
    <w:rsid w:val="000A7A60"/>
    <w:rPr>
      <w:rFonts w:eastAsia="Times New Roman" w:cs="Times New Roman"/>
      <w:sz w:val="20"/>
    </w:rPr>
  </w:style>
  <w:style w:type="paragraph" w:styleId="FootnoteText">
    <w:name w:val="footnote text"/>
    <w:basedOn w:val="Normal"/>
    <w:link w:val="FootnoteTextChar"/>
    <w:uiPriority w:val="99"/>
    <w:semiHidden/>
    <w:unhideWhenUsed/>
    <w:rsid w:val="000A7A60"/>
    <w:pPr>
      <w:spacing w:after="0"/>
    </w:pPr>
    <w:rPr>
      <w:szCs w:val="20"/>
    </w:rPr>
  </w:style>
  <w:style w:type="character" w:customStyle="1" w:styleId="FootnoteTextChar">
    <w:name w:val="Footnote Text Char"/>
    <w:basedOn w:val="DefaultParagraphFont"/>
    <w:link w:val="FootnoteText"/>
    <w:uiPriority w:val="99"/>
    <w:semiHidden/>
    <w:rsid w:val="000A7A60"/>
    <w:rPr>
      <w:rFonts w:eastAsia="Times New Roman" w:cs="Times New Roman"/>
      <w:sz w:val="20"/>
      <w:szCs w:val="20"/>
    </w:rPr>
  </w:style>
  <w:style w:type="table" w:styleId="TableGrid">
    <w:name w:val="Table Grid"/>
    <w:basedOn w:val="TableNormal"/>
    <w:uiPriority w:val="59"/>
    <w:rsid w:val="000A7A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7A6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A6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13868CD</Template>
  <TotalTime>2</TotalTime>
  <Pages>7</Pages>
  <Words>946</Words>
  <Characters>5396</Characters>
  <Application>Microsoft Office Word</Application>
  <DocSecurity>0</DocSecurity>
  <Lines>44</Lines>
  <Paragraphs>12</Paragraphs>
  <ScaleCrop>false</ScaleCrop>
  <Company>VEIC</Company>
  <LinksUpToDate>false</LinksUpToDate>
  <CharactersWithSpaces>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2015-10-09T10:41:00Z</dcterms:created>
  <dcterms:modified xsi:type="dcterms:W3CDTF">2015-10-09T10:43:00Z</dcterms:modified>
</cp:coreProperties>
</file>