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FDC" w:rsidRDefault="003E7FDC" w:rsidP="00D75BD7">
      <w:pPr>
        <w:pStyle w:val="Heading3"/>
        <w:numPr>
          <w:ilvl w:val="2"/>
          <w:numId w:val="2"/>
        </w:numPr>
      </w:pPr>
      <w:bookmarkStart w:id="0" w:name="_Ref350097887"/>
      <w:bookmarkStart w:id="1" w:name="_Ref350097915"/>
      <w:bookmarkStart w:id="2" w:name="_Ref350147073"/>
      <w:bookmarkStart w:id="3" w:name="_Toc411593501"/>
      <w:r>
        <w:t>Occupancy Sensor Lighting Controls</w:t>
      </w:r>
      <w:bookmarkEnd w:id="0"/>
      <w:bookmarkEnd w:id="1"/>
      <w:bookmarkEnd w:id="2"/>
      <w:bookmarkEnd w:id="3"/>
      <w:r>
        <w:t xml:space="preserve"> </w:t>
      </w:r>
    </w:p>
    <w:p w:rsidR="003E7FDC" w:rsidRPr="009C6C55" w:rsidRDefault="003E7FDC" w:rsidP="003E7FDC">
      <w:pPr>
        <w:pStyle w:val="Heading6"/>
      </w:pPr>
      <w:r w:rsidRPr="009C6C55">
        <w:t>Description</w:t>
      </w:r>
      <w:r>
        <w:t xml:space="preserve"> </w:t>
      </w:r>
    </w:p>
    <w:p w:rsidR="003E7FDC" w:rsidRDefault="003E7FDC" w:rsidP="003E7FDC">
      <w:r w:rsidRPr="00F100B0">
        <w:t>This measure relates to the installation of new occupancy sensor</w:t>
      </w:r>
      <w:r>
        <w:t>s</w:t>
      </w:r>
      <w:r w:rsidRPr="00F100B0">
        <w:t xml:space="preserve"> on a new or existing lighting system.  Lighting control types covered by this measure include wall</w:t>
      </w:r>
      <w:r>
        <w:t>, ceiling or fixture</w:t>
      </w:r>
      <w:r w:rsidRPr="00F100B0">
        <w:t xml:space="preserve"> mounted occupancy sensors. </w:t>
      </w:r>
      <w:r>
        <w:t xml:space="preserve">Passive infrared, ultrasonic detectors and fixture-mounted sensors or sensors with a combination thereof are eligible.  </w:t>
      </w:r>
      <w:r w:rsidRPr="00F100B0">
        <w:t>Lighting controls required by state energy codes are not eligible.  This must be a new installation and may</w:t>
      </w:r>
      <w:r>
        <w:t xml:space="preserve"> </w:t>
      </w:r>
      <w:r w:rsidRPr="00087DAA">
        <w:t>not replace an existing lighting occupancy sensor contro</w:t>
      </w:r>
      <w:r>
        <w:t xml:space="preserve">l. </w:t>
      </w:r>
    </w:p>
    <w:p w:rsidR="003E7FDC" w:rsidRDefault="003E7FDC" w:rsidP="003E7FDC">
      <w:pPr>
        <w:widowControl/>
        <w:jc w:val="left"/>
        <w:rPr>
          <w:rFonts w:ascii="Calibri" w:hAnsi="Calibri" w:cs="Calibri"/>
          <w:szCs w:val="20"/>
        </w:rPr>
      </w:pPr>
      <w:r w:rsidRPr="006F7AFA">
        <w:rPr>
          <w:rFonts w:ascii="Calibri" w:hAnsi="Calibri" w:cs="Calibri"/>
          <w:szCs w:val="20"/>
        </w:rPr>
        <w:t>This measure was developed to be applicable to the f</w:t>
      </w:r>
      <w:r>
        <w:rPr>
          <w:rFonts w:ascii="Calibri" w:hAnsi="Calibri" w:cs="Calibri"/>
          <w:szCs w:val="20"/>
        </w:rPr>
        <w:t>ollowing program types: RF.</w:t>
      </w:r>
      <w:r w:rsidRPr="006F7AFA">
        <w:rPr>
          <w:rFonts w:ascii="Calibri" w:hAnsi="Calibri" w:cs="Calibri"/>
          <w:szCs w:val="20"/>
        </w:rPr>
        <w:t xml:space="preserve">  </w:t>
      </w:r>
    </w:p>
    <w:p w:rsidR="003E7FDC" w:rsidRPr="006F7AFA" w:rsidRDefault="003E7FDC" w:rsidP="003E7FDC">
      <w:pPr>
        <w:widowControl/>
        <w:jc w:val="left"/>
        <w:rPr>
          <w:rFonts w:ascii="Calibri" w:hAnsi="Calibri" w:cs="Calibri"/>
          <w:szCs w:val="20"/>
        </w:rPr>
      </w:pPr>
      <w:r w:rsidRPr="006F7AFA">
        <w:rPr>
          <w:rFonts w:ascii="Calibri" w:hAnsi="Calibri" w:cs="Calibri"/>
          <w:szCs w:val="20"/>
        </w:rPr>
        <w:t>If applied to other program types, the measure savings should be verified.</w:t>
      </w:r>
    </w:p>
    <w:p w:rsidR="003E7FDC" w:rsidRPr="00933056" w:rsidRDefault="003E7FDC" w:rsidP="003E7FDC">
      <w:pPr>
        <w:pStyle w:val="Heading6"/>
      </w:pPr>
      <w:r w:rsidRPr="00933056">
        <w:t>Definition of Efficient Equipment</w:t>
      </w:r>
      <w:r>
        <w:t xml:space="preserve"> </w:t>
      </w:r>
    </w:p>
    <w:p w:rsidR="003E7FDC" w:rsidRDefault="003E7FDC" w:rsidP="003E7FDC">
      <w:r w:rsidRPr="00493D8B">
        <w:t xml:space="preserve">In order for this characterization to apply, the existing system is assumed to be </w:t>
      </w:r>
      <w:r>
        <w:t xml:space="preserve">manually controlled or an uncontrolled </w:t>
      </w:r>
      <w:r w:rsidRPr="00493D8B">
        <w:t xml:space="preserve">lighting system </w:t>
      </w:r>
      <w:r>
        <w:t xml:space="preserve">which is being </w:t>
      </w:r>
      <w:r w:rsidRPr="00493D8B">
        <w:t>controlled by one of the lighting controls systems listed above.</w:t>
      </w:r>
      <w:ins w:id="4" w:author="Zoe Dawson" w:date="2015-10-23T08:20:00Z">
        <w:r w:rsidR="00312DA0">
          <w:t xml:space="preserve"> This measure is intended for </w:t>
        </w:r>
      </w:ins>
      <w:del w:id="5" w:author="Zoe Dawson" w:date="2015-10-23T08:20:00Z">
        <w:r w:rsidRPr="00493D8B" w:rsidDel="00312DA0">
          <w:delText xml:space="preserve"> All sensors must be hard wired and </w:delText>
        </w:r>
      </w:del>
      <w:r w:rsidRPr="00493D8B">
        <w:t>control</w:t>
      </w:r>
      <w:ins w:id="6" w:author="Zoe Dawson" w:date="2015-10-23T08:20:00Z">
        <w:r w:rsidR="00312DA0">
          <w:t>ling</w:t>
        </w:r>
      </w:ins>
      <w:r w:rsidRPr="00493D8B">
        <w:t xml:space="preserve"> interior lighting</w:t>
      </w:r>
      <w:ins w:id="7" w:author="Zoe Dawson" w:date="2015-10-23T08:20:00Z">
        <w:r w:rsidR="00312DA0">
          <w:t xml:space="preserve"> only</w:t>
        </w:r>
      </w:ins>
      <w:r w:rsidRPr="00493D8B">
        <w:t>.</w:t>
      </w:r>
      <w:del w:id="8" w:author="Zoe Dawson" w:date="2015-10-23T08:21:00Z">
        <w:r w:rsidRPr="00493D8B" w:rsidDel="00312DA0">
          <w:delText xml:space="preserve"> </w:delText>
        </w:r>
      </w:del>
    </w:p>
    <w:p w:rsidR="003E7FDC" w:rsidRDefault="003E7FDC" w:rsidP="003E7FDC">
      <w:pPr>
        <w:rPr>
          <w:b/>
          <w:iCs/>
        </w:rPr>
      </w:pPr>
      <w:r>
        <w:t>A subset of occupancy sensors are those that are programmed as “vacancy” sensors. To qualify as a vacancy sensor, the control must be configured such that manual input is required to turn on the controlled lighting and the control automatically turns the lighting off. Additional savings are achieved compared to standard occupancy sensors because lighting does not automatically turn on and occupants may decide to not turn it on. Note that vacancy sensors are not a viable option for many applications where standard occupancy sensors should be used instead.</w:t>
      </w:r>
    </w:p>
    <w:p w:rsidR="003E7FDC" w:rsidRPr="00933056" w:rsidRDefault="003E7FDC" w:rsidP="003E7FDC">
      <w:pPr>
        <w:pStyle w:val="Heading6"/>
      </w:pPr>
      <w:r w:rsidRPr="00933056">
        <w:t>Definition of Baseline Equipment</w:t>
      </w:r>
    </w:p>
    <w:p w:rsidR="003E7FDC" w:rsidRDefault="003E7FDC" w:rsidP="003E7FDC">
      <w:r w:rsidRPr="002F5B2A">
        <w:t>The baseline is assumed to be a lighting system</w:t>
      </w:r>
      <w:r>
        <w:t xml:space="preserve"> uncontrolled by occupancy</w:t>
      </w:r>
      <w:r w:rsidRPr="002F5B2A">
        <w:t>.</w:t>
      </w:r>
      <w:r>
        <w:t xml:space="preserve"> </w:t>
      </w:r>
    </w:p>
    <w:p w:rsidR="003E7FDC" w:rsidRPr="00933056" w:rsidRDefault="003E7FDC" w:rsidP="003E7FDC">
      <w:pPr>
        <w:pStyle w:val="Heading6"/>
      </w:pPr>
      <w:r w:rsidRPr="00933056">
        <w:t>Deemed Lifetime of Efficient Equipment</w:t>
      </w:r>
      <w:r>
        <w:t xml:space="preserve"> </w:t>
      </w:r>
    </w:p>
    <w:p w:rsidR="003E7FDC" w:rsidRDefault="003E7FDC" w:rsidP="003E7FDC">
      <w:pPr>
        <w:rPr>
          <w:b/>
          <w:iCs/>
        </w:rPr>
      </w:pPr>
      <w:r w:rsidRPr="002F5B2A">
        <w:t xml:space="preserve">The expected measure life for all lighting controls is assumed to be </w:t>
      </w:r>
      <w:r>
        <w:t>8</w:t>
      </w:r>
      <w:r w:rsidRPr="002F5B2A">
        <w:t xml:space="preserve"> years</w:t>
      </w:r>
      <w:r>
        <w:rPr>
          <w:rStyle w:val="FootnoteReference"/>
        </w:rPr>
        <w:footnoteReference w:id="1"/>
      </w:r>
      <w:r>
        <w:t xml:space="preserve">. </w:t>
      </w:r>
    </w:p>
    <w:p w:rsidR="003E7FDC" w:rsidRPr="00933056" w:rsidRDefault="003E7FDC" w:rsidP="003E7FDC">
      <w:pPr>
        <w:pStyle w:val="Heading6"/>
      </w:pPr>
      <w:r w:rsidRPr="00933056">
        <w:t xml:space="preserve">Deemed Measure Cost </w:t>
      </w:r>
    </w:p>
    <w:p w:rsidR="003E7FDC" w:rsidRDefault="003E7FDC" w:rsidP="003E7FDC">
      <w:r>
        <w:t>When available, the actual cost of the measure shall be used.  When not available, the following default values are provided:</w:t>
      </w:r>
    </w:p>
    <w:tbl>
      <w:tblPr>
        <w:tblStyle w:val="TableGrid"/>
        <w:tblpPr w:leftFromText="180" w:rightFromText="180" w:vertAnchor="text" w:tblpX="1440" w:tblpY="1"/>
        <w:tblOverlap w:val="never"/>
        <w:tblW w:w="0" w:type="auto"/>
        <w:shd w:val="clear" w:color="auto" w:fill="FFFFFF" w:themeFill="background1"/>
        <w:tblLook w:val="04A0" w:firstRow="1" w:lastRow="0" w:firstColumn="1" w:lastColumn="0" w:noHBand="0" w:noVBand="1"/>
        <w:tblPrChange w:id="9" w:author="Zoe Dawson" w:date="2015-10-23T08:35:00Z">
          <w:tblPr>
            <w:tblStyle w:val="TableGrid"/>
            <w:tblW w:w="0" w:type="auto"/>
            <w:tblInd w:w="1440" w:type="dxa"/>
            <w:shd w:val="clear" w:color="auto" w:fill="FFFFFF" w:themeFill="background1"/>
            <w:tblLook w:val="04A0" w:firstRow="1" w:lastRow="0" w:firstColumn="1" w:lastColumn="0" w:noHBand="0" w:noVBand="1"/>
          </w:tblPr>
        </w:tblPrChange>
      </w:tblPr>
      <w:tblGrid>
        <w:gridCol w:w="4068"/>
        <w:gridCol w:w="2610"/>
        <w:tblGridChange w:id="10">
          <w:tblGrid>
            <w:gridCol w:w="4068"/>
            <w:gridCol w:w="2610"/>
          </w:tblGrid>
        </w:tblGridChange>
      </w:tblGrid>
      <w:tr w:rsidR="003E7FDC" w:rsidRPr="00F40C53" w:rsidTr="007E2883">
        <w:trPr>
          <w:trHeight w:val="317"/>
          <w:trPrChange w:id="11" w:author="Zoe Dawson" w:date="2015-10-23T08:35:00Z">
            <w:trPr>
              <w:trHeight w:val="317"/>
            </w:trPr>
          </w:trPrChange>
        </w:trPr>
        <w:tc>
          <w:tcPr>
            <w:tcW w:w="4068" w:type="dxa"/>
            <w:shd w:val="clear" w:color="auto" w:fill="7F7F7F" w:themeFill="text1" w:themeFillTint="80"/>
            <w:tcPrChange w:id="12" w:author="Zoe Dawson" w:date="2015-10-23T08:35:00Z">
              <w:tcPr>
                <w:tcW w:w="4068" w:type="dxa"/>
                <w:shd w:val="clear" w:color="auto" w:fill="7F7F7F" w:themeFill="text1" w:themeFillTint="80"/>
              </w:tcPr>
            </w:tcPrChange>
          </w:tcPr>
          <w:p w:rsidR="003E7FDC" w:rsidRPr="00A11025" w:rsidRDefault="003E7FDC">
            <w:pPr>
              <w:pStyle w:val="TableText"/>
            </w:pPr>
            <w:r w:rsidRPr="009C362B">
              <w:rPr>
                <w:b/>
                <w:color w:val="FFFFFF" w:themeColor="background1"/>
              </w:rPr>
              <w:t>Lighting control type</w:t>
            </w:r>
          </w:p>
        </w:tc>
        <w:tc>
          <w:tcPr>
            <w:tcW w:w="2610" w:type="dxa"/>
            <w:shd w:val="clear" w:color="auto" w:fill="7F7F7F" w:themeFill="text1" w:themeFillTint="80"/>
            <w:tcPrChange w:id="13" w:author="Zoe Dawson" w:date="2015-10-23T08:35:00Z">
              <w:tcPr>
                <w:tcW w:w="2610" w:type="dxa"/>
                <w:shd w:val="clear" w:color="auto" w:fill="7F7F7F" w:themeFill="text1" w:themeFillTint="80"/>
              </w:tcPr>
            </w:tcPrChange>
          </w:tcPr>
          <w:p w:rsidR="003E7FDC" w:rsidRPr="00A11025" w:rsidRDefault="003E7FDC">
            <w:pPr>
              <w:pStyle w:val="TableText"/>
            </w:pPr>
            <w:r w:rsidRPr="009C362B">
              <w:rPr>
                <w:b/>
                <w:color w:val="FFFFFF" w:themeColor="background1"/>
              </w:rPr>
              <w:t>Cost</w:t>
            </w:r>
            <w:ins w:id="14" w:author="Samuel Dent" w:date="2015-10-23T09:33:00Z">
              <w:r w:rsidR="00D75BD7" w:rsidRPr="00B375D1">
                <w:rPr>
                  <w:rStyle w:val="CaptionChar"/>
                  <w:vertAlign w:val="superscript"/>
                </w:rPr>
                <w:footnoteReference w:id="2"/>
              </w:r>
            </w:ins>
          </w:p>
        </w:tc>
      </w:tr>
      <w:tr w:rsidR="003E7FDC" w:rsidRPr="00B375D1" w:rsidTr="007E2883">
        <w:trPr>
          <w:trHeight w:val="317"/>
          <w:trPrChange w:id="25" w:author="Zoe Dawson" w:date="2015-10-23T08:35:00Z">
            <w:trPr>
              <w:trHeight w:val="317"/>
            </w:trPr>
          </w:trPrChange>
        </w:trPr>
        <w:tc>
          <w:tcPr>
            <w:tcW w:w="4068" w:type="dxa"/>
            <w:shd w:val="clear" w:color="auto" w:fill="FFFFFF" w:themeFill="background1"/>
            <w:tcPrChange w:id="26" w:author="Zoe Dawson" w:date="2015-10-23T08:35:00Z">
              <w:tcPr>
                <w:tcW w:w="4068" w:type="dxa"/>
                <w:shd w:val="clear" w:color="auto" w:fill="FFFFFF" w:themeFill="background1"/>
              </w:tcPr>
            </w:tcPrChange>
          </w:tcPr>
          <w:p w:rsidR="003E7FDC" w:rsidRPr="00A5701B" w:rsidRDefault="003E7FDC">
            <w:pPr>
              <w:pStyle w:val="TableText"/>
              <w:rPr>
                <w:rFonts w:asciiTheme="minorHAnsi" w:hAnsiTheme="minorHAnsi"/>
                <w:szCs w:val="22"/>
              </w:rPr>
            </w:pPr>
            <w:r w:rsidRPr="00A5701B">
              <w:lastRenderedPageBreak/>
              <w:t>Full cost of wall mounted occupancy sensor</w:t>
            </w:r>
          </w:p>
        </w:tc>
        <w:tc>
          <w:tcPr>
            <w:tcW w:w="2610" w:type="dxa"/>
            <w:shd w:val="clear" w:color="auto" w:fill="FFFFFF" w:themeFill="background1"/>
            <w:tcPrChange w:id="27" w:author="Zoe Dawson" w:date="2015-10-23T08:35:00Z">
              <w:tcPr>
                <w:tcW w:w="2610" w:type="dxa"/>
                <w:shd w:val="clear" w:color="auto" w:fill="FFFFFF" w:themeFill="background1"/>
              </w:tcPr>
            </w:tcPrChange>
          </w:tcPr>
          <w:p w:rsidR="003E7FDC" w:rsidRPr="00A5701B" w:rsidRDefault="003E7FDC" w:rsidP="00D75BD7">
            <w:pPr>
              <w:pStyle w:val="TableText"/>
              <w:rPr>
                <w:rFonts w:asciiTheme="minorHAnsi" w:hAnsiTheme="minorHAnsi"/>
                <w:szCs w:val="22"/>
              </w:rPr>
            </w:pPr>
            <w:r w:rsidRPr="00A5701B">
              <w:t>$</w:t>
            </w:r>
            <w:ins w:id="28" w:author="Zoe Dawson" w:date="2015-10-23T08:26:00Z">
              <w:r w:rsidR="00312DA0">
                <w:t>5</w:t>
              </w:r>
            </w:ins>
            <w:ins w:id="29" w:author="Zoe Dawson" w:date="2015-10-23T09:53:00Z">
              <w:r w:rsidR="00D01C04">
                <w:t>1</w:t>
              </w:r>
            </w:ins>
            <w:del w:id="30" w:author="Zoe Dawson" w:date="2015-10-23T08:21:00Z">
              <w:r w:rsidRPr="00A5701B" w:rsidDel="00312DA0">
                <w:delText>42</w:delText>
              </w:r>
            </w:del>
            <w:del w:id="31" w:author="Samuel Dent" w:date="2015-10-23T09:33:00Z">
              <w:r w:rsidRPr="00B375D1" w:rsidDel="00D75BD7">
                <w:rPr>
                  <w:rStyle w:val="CaptionChar"/>
                  <w:vertAlign w:val="superscript"/>
                </w:rPr>
                <w:footnoteReference w:id="3"/>
              </w:r>
            </w:del>
          </w:p>
        </w:tc>
      </w:tr>
      <w:tr w:rsidR="003E7FDC" w:rsidRPr="00B375D1" w:rsidTr="007E2883">
        <w:trPr>
          <w:trHeight w:val="317"/>
          <w:trPrChange w:id="42" w:author="Zoe Dawson" w:date="2015-10-23T08:35:00Z">
            <w:trPr>
              <w:trHeight w:val="317"/>
            </w:trPr>
          </w:trPrChange>
        </w:trPr>
        <w:tc>
          <w:tcPr>
            <w:tcW w:w="4068" w:type="dxa"/>
            <w:shd w:val="clear" w:color="auto" w:fill="FFFFFF" w:themeFill="background1"/>
            <w:tcPrChange w:id="43" w:author="Zoe Dawson" w:date="2015-10-23T08:35:00Z">
              <w:tcPr>
                <w:tcW w:w="4068" w:type="dxa"/>
                <w:shd w:val="clear" w:color="auto" w:fill="FFFFFF" w:themeFill="background1"/>
              </w:tcPr>
            </w:tcPrChange>
          </w:tcPr>
          <w:p w:rsidR="003E7FDC" w:rsidRPr="00A5701B" w:rsidRDefault="003E7FDC">
            <w:pPr>
              <w:pStyle w:val="TableText"/>
              <w:rPr>
                <w:rFonts w:asciiTheme="minorHAnsi" w:hAnsiTheme="minorHAnsi"/>
                <w:szCs w:val="22"/>
              </w:rPr>
            </w:pPr>
            <w:r w:rsidRPr="00A5701B">
              <w:t xml:space="preserve">Full cost </w:t>
            </w:r>
            <w:ins w:id="44" w:author="Zoe Dawson" w:date="2015-10-23T08:22:00Z">
              <w:r w:rsidR="00312DA0">
                <w:t xml:space="preserve">of ceiling or remote </w:t>
              </w:r>
            </w:ins>
            <w:r w:rsidRPr="00A5701B">
              <w:t>mounted occupancy sensor</w:t>
            </w:r>
          </w:p>
        </w:tc>
        <w:tc>
          <w:tcPr>
            <w:tcW w:w="2610" w:type="dxa"/>
            <w:shd w:val="clear" w:color="auto" w:fill="FFFFFF" w:themeFill="background1"/>
            <w:tcPrChange w:id="45" w:author="Zoe Dawson" w:date="2015-10-23T08:35:00Z">
              <w:tcPr>
                <w:tcW w:w="2610" w:type="dxa"/>
                <w:shd w:val="clear" w:color="auto" w:fill="FFFFFF" w:themeFill="background1"/>
              </w:tcPr>
            </w:tcPrChange>
          </w:tcPr>
          <w:p w:rsidR="003E7FDC" w:rsidRPr="00A5701B" w:rsidRDefault="003E7FDC" w:rsidP="00D75BD7">
            <w:pPr>
              <w:pStyle w:val="TableText"/>
              <w:rPr>
                <w:rFonts w:asciiTheme="minorHAnsi" w:hAnsiTheme="minorHAnsi"/>
                <w:szCs w:val="22"/>
              </w:rPr>
            </w:pPr>
            <w:r w:rsidRPr="00A5701B">
              <w:t>$</w:t>
            </w:r>
            <w:del w:id="46" w:author="Zoe Dawson" w:date="2015-10-23T08:22:00Z">
              <w:r w:rsidRPr="00A5701B" w:rsidDel="00312DA0">
                <w:delText>66</w:delText>
              </w:r>
            </w:del>
            <w:ins w:id="47" w:author="Zoe Dawson" w:date="2015-10-23T08:22:00Z">
              <w:r w:rsidR="00312DA0">
                <w:t>1</w:t>
              </w:r>
            </w:ins>
            <w:ins w:id="48" w:author="Zoe Dawson" w:date="2015-10-23T08:26:00Z">
              <w:r w:rsidR="00312DA0">
                <w:t>0</w:t>
              </w:r>
            </w:ins>
            <w:ins w:id="49" w:author="Zoe Dawson" w:date="2015-10-23T09:53:00Z">
              <w:r w:rsidR="00D01C04">
                <w:t>2</w:t>
              </w:r>
            </w:ins>
            <w:del w:id="50" w:author="Samuel Dent" w:date="2015-10-23T09:33:00Z">
              <w:r w:rsidRPr="00B375D1" w:rsidDel="00D75BD7">
                <w:rPr>
                  <w:rStyle w:val="CaptionChar"/>
                  <w:vertAlign w:val="superscript"/>
                </w:rPr>
                <w:footnoteReference w:id="4"/>
              </w:r>
            </w:del>
          </w:p>
        </w:tc>
      </w:tr>
      <w:tr w:rsidR="003E7FDC" w:rsidRPr="00B375D1" w:rsidTr="007E2883">
        <w:trPr>
          <w:trHeight w:val="317"/>
          <w:trPrChange w:id="57" w:author="Zoe Dawson" w:date="2015-10-23T08:35:00Z">
            <w:trPr>
              <w:trHeight w:val="317"/>
            </w:trPr>
          </w:trPrChange>
        </w:trPr>
        <w:tc>
          <w:tcPr>
            <w:tcW w:w="4068" w:type="dxa"/>
            <w:shd w:val="clear" w:color="auto" w:fill="FFFFFF" w:themeFill="background1"/>
            <w:tcPrChange w:id="58" w:author="Zoe Dawson" w:date="2015-10-23T08:35:00Z">
              <w:tcPr>
                <w:tcW w:w="4068" w:type="dxa"/>
                <w:shd w:val="clear" w:color="auto" w:fill="FFFFFF" w:themeFill="background1"/>
              </w:tcPr>
            </w:tcPrChange>
          </w:tcPr>
          <w:p w:rsidR="003E7FDC" w:rsidRPr="00A5701B" w:rsidRDefault="003E7FDC">
            <w:pPr>
              <w:pStyle w:val="TableText"/>
              <w:rPr>
                <w:rFonts w:asciiTheme="minorHAnsi" w:hAnsiTheme="minorHAnsi"/>
                <w:szCs w:val="22"/>
              </w:rPr>
            </w:pPr>
            <w:r w:rsidRPr="00A5701B">
              <w:t>Full cost of fixture-mounted occupancy sensor</w:t>
            </w:r>
          </w:p>
        </w:tc>
        <w:tc>
          <w:tcPr>
            <w:tcW w:w="2610" w:type="dxa"/>
            <w:shd w:val="clear" w:color="auto" w:fill="FFFFFF" w:themeFill="background1"/>
            <w:tcPrChange w:id="59" w:author="Zoe Dawson" w:date="2015-10-23T08:35:00Z">
              <w:tcPr>
                <w:tcW w:w="2610" w:type="dxa"/>
                <w:shd w:val="clear" w:color="auto" w:fill="FFFFFF" w:themeFill="background1"/>
              </w:tcPr>
            </w:tcPrChange>
          </w:tcPr>
          <w:p w:rsidR="003E7FDC" w:rsidRPr="00A5701B" w:rsidRDefault="003E7FDC" w:rsidP="00D75BD7">
            <w:pPr>
              <w:pStyle w:val="TableText"/>
              <w:rPr>
                <w:rFonts w:asciiTheme="minorHAnsi" w:hAnsiTheme="minorHAnsi"/>
                <w:szCs w:val="22"/>
              </w:rPr>
            </w:pPr>
            <w:r w:rsidRPr="00A5701B">
              <w:t>$</w:t>
            </w:r>
            <w:del w:id="60" w:author="Zoe Dawson" w:date="2015-10-23T08:22:00Z">
              <w:r w:rsidRPr="00A5701B" w:rsidDel="00312DA0">
                <w:delText>125</w:delText>
              </w:r>
            </w:del>
            <w:ins w:id="61" w:author="Zoe Dawson" w:date="2015-10-23T09:56:00Z">
              <w:r w:rsidR="00D01C04">
                <w:t>91.83</w:t>
              </w:r>
            </w:ins>
            <w:del w:id="62" w:author="Samuel Dent" w:date="2015-10-23T09:33:00Z">
              <w:r w:rsidRPr="00B375D1" w:rsidDel="00D75BD7">
                <w:rPr>
                  <w:rStyle w:val="CaptionChar"/>
                  <w:vertAlign w:val="superscript"/>
                </w:rPr>
                <w:footnoteReference w:id="5"/>
              </w:r>
            </w:del>
          </w:p>
        </w:tc>
      </w:tr>
      <w:tr w:rsidR="00312DA0" w:rsidRPr="00B375D1" w:rsidTr="007E2883">
        <w:trPr>
          <w:trHeight w:val="317"/>
          <w:ins w:id="71" w:author="Zoe Dawson" w:date="2015-10-23T08:23:00Z"/>
          <w:trPrChange w:id="72" w:author="Zoe Dawson" w:date="2015-10-23T08:35:00Z">
            <w:trPr>
              <w:trHeight w:val="317"/>
            </w:trPr>
          </w:trPrChange>
        </w:trPr>
        <w:tc>
          <w:tcPr>
            <w:tcW w:w="4068" w:type="dxa"/>
            <w:shd w:val="clear" w:color="auto" w:fill="FFFFFF" w:themeFill="background1"/>
            <w:tcPrChange w:id="73" w:author="Zoe Dawson" w:date="2015-10-23T08:35:00Z">
              <w:tcPr>
                <w:tcW w:w="4068" w:type="dxa"/>
                <w:shd w:val="clear" w:color="auto" w:fill="FFFFFF" w:themeFill="background1"/>
              </w:tcPr>
            </w:tcPrChange>
          </w:tcPr>
          <w:p w:rsidR="00312DA0" w:rsidRPr="00A5701B" w:rsidRDefault="00312DA0">
            <w:pPr>
              <w:pStyle w:val="TableText"/>
              <w:rPr>
                <w:ins w:id="74" w:author="Zoe Dawson" w:date="2015-10-23T08:23:00Z"/>
              </w:rPr>
            </w:pPr>
            <w:ins w:id="75" w:author="Zoe Dawson" w:date="2015-10-23T08:23:00Z">
              <w:r>
                <w:t>Full cost of fixture embedded occupancy sensor</w:t>
              </w:r>
            </w:ins>
            <w:ins w:id="76" w:author="Zoe Dawson" w:date="2015-10-23T08:37:00Z">
              <w:r w:rsidR="007E2883">
                <w:rPr>
                  <w:rStyle w:val="FootnoteReference"/>
                  <w:b/>
                  <w:color w:val="FFFFFF" w:themeColor="background1"/>
                </w:rPr>
                <w:footnoteReference w:id="6"/>
              </w:r>
            </w:ins>
          </w:p>
        </w:tc>
        <w:tc>
          <w:tcPr>
            <w:tcW w:w="2610" w:type="dxa"/>
            <w:shd w:val="clear" w:color="auto" w:fill="FFFFFF" w:themeFill="background1"/>
            <w:tcPrChange w:id="79" w:author="Zoe Dawson" w:date="2015-10-23T08:35:00Z">
              <w:tcPr>
                <w:tcW w:w="2610" w:type="dxa"/>
                <w:shd w:val="clear" w:color="auto" w:fill="FFFFFF" w:themeFill="background1"/>
              </w:tcPr>
            </w:tcPrChange>
          </w:tcPr>
          <w:p w:rsidR="00312DA0" w:rsidRPr="00A5701B" w:rsidRDefault="00312DA0">
            <w:pPr>
              <w:pStyle w:val="TableText"/>
              <w:rPr>
                <w:ins w:id="80" w:author="Zoe Dawson" w:date="2015-10-23T08:23:00Z"/>
              </w:rPr>
            </w:pPr>
            <w:ins w:id="81" w:author="Zoe Dawson" w:date="2015-10-23T08:23:00Z">
              <w:r>
                <w:t>$5</w:t>
              </w:r>
            </w:ins>
            <w:ins w:id="82" w:author="Zoe Dawson" w:date="2015-10-23T08:37:00Z">
              <w:r w:rsidR="007E2883">
                <w:t>4</w:t>
              </w:r>
            </w:ins>
          </w:p>
        </w:tc>
      </w:tr>
    </w:tbl>
    <w:p w:rsidR="003E7FDC" w:rsidRPr="002F2E85" w:rsidRDefault="007E2883" w:rsidP="003E7FDC">
      <w:pPr>
        <w:pStyle w:val="TableText"/>
      </w:pPr>
      <w:ins w:id="83" w:author="Zoe Dawson" w:date="2015-10-23T08:35:00Z">
        <w:r>
          <w:br w:type="textWrapping" w:clear="all"/>
        </w:r>
      </w:ins>
    </w:p>
    <w:p w:rsidR="003E7FDC" w:rsidRDefault="003E7FDC" w:rsidP="003E7FDC">
      <w:pPr>
        <w:pStyle w:val="Heading6"/>
      </w:pPr>
      <w:proofErr w:type="spellStart"/>
      <w:r>
        <w:t>Loadshape</w:t>
      </w:r>
      <w:proofErr w:type="spellEnd"/>
    </w:p>
    <w:tbl>
      <w:tblPr>
        <w:tblW w:w="8120" w:type="dxa"/>
        <w:tblInd w:w="93" w:type="dxa"/>
        <w:tblLook w:val="04A0" w:firstRow="1" w:lastRow="0" w:firstColumn="1" w:lastColumn="0" w:noHBand="0" w:noVBand="1"/>
      </w:tblPr>
      <w:tblGrid>
        <w:gridCol w:w="8120"/>
      </w:tblGrid>
      <w:tr w:rsidR="003E7FDC" w:rsidRPr="00B57AE6" w:rsidTr="00153C8C">
        <w:trPr>
          <w:trHeight w:val="300"/>
        </w:trPr>
        <w:tc>
          <w:tcPr>
            <w:tcW w:w="8120" w:type="dxa"/>
            <w:tcBorders>
              <w:top w:val="nil"/>
              <w:left w:val="nil"/>
              <w:bottom w:val="nil"/>
              <w:right w:val="nil"/>
            </w:tcBorders>
            <w:shd w:val="clear" w:color="auto" w:fill="auto"/>
            <w:noWrap/>
            <w:vAlign w:val="center"/>
            <w:hideMark/>
          </w:tcPr>
          <w:p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C06 - </w:t>
            </w:r>
            <w:r>
              <w:rPr>
                <w:rFonts w:ascii="Calibri" w:hAnsi="Calibri" w:cs="Calibri"/>
                <w:color w:val="000000"/>
                <w:szCs w:val="20"/>
              </w:rPr>
              <w:t>Commercial</w:t>
            </w:r>
            <w:r w:rsidRPr="00B57AE6">
              <w:rPr>
                <w:rFonts w:ascii="Calibri" w:hAnsi="Calibri" w:cs="Calibri"/>
                <w:color w:val="000000"/>
                <w:szCs w:val="20"/>
              </w:rPr>
              <w:t xml:space="preserve"> Indoor Lighting</w:t>
            </w:r>
          </w:p>
        </w:tc>
      </w:tr>
      <w:tr w:rsidR="003E7FDC" w:rsidRPr="00B57AE6" w:rsidTr="00153C8C">
        <w:trPr>
          <w:trHeight w:val="300"/>
        </w:trPr>
        <w:tc>
          <w:tcPr>
            <w:tcW w:w="8120" w:type="dxa"/>
            <w:tcBorders>
              <w:top w:val="nil"/>
              <w:left w:val="nil"/>
              <w:bottom w:val="nil"/>
              <w:right w:val="nil"/>
            </w:tcBorders>
            <w:shd w:val="clear" w:color="auto" w:fill="auto"/>
            <w:noWrap/>
            <w:vAlign w:val="center"/>
            <w:hideMark/>
          </w:tcPr>
          <w:p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C07 - Grocery/Conv. Store Indoor Lighting</w:t>
            </w:r>
          </w:p>
        </w:tc>
      </w:tr>
      <w:tr w:rsidR="003E7FDC" w:rsidRPr="00B57AE6" w:rsidTr="00153C8C">
        <w:trPr>
          <w:trHeight w:val="300"/>
        </w:trPr>
        <w:tc>
          <w:tcPr>
            <w:tcW w:w="8120" w:type="dxa"/>
            <w:tcBorders>
              <w:top w:val="nil"/>
              <w:left w:val="nil"/>
              <w:bottom w:val="nil"/>
              <w:right w:val="nil"/>
            </w:tcBorders>
            <w:shd w:val="clear" w:color="auto" w:fill="auto"/>
            <w:noWrap/>
            <w:vAlign w:val="center"/>
            <w:hideMark/>
          </w:tcPr>
          <w:p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C08 - Hospital Indoor Lighting</w:t>
            </w:r>
          </w:p>
        </w:tc>
      </w:tr>
      <w:tr w:rsidR="003E7FDC" w:rsidRPr="00B57AE6" w:rsidTr="00153C8C">
        <w:trPr>
          <w:trHeight w:val="300"/>
        </w:trPr>
        <w:tc>
          <w:tcPr>
            <w:tcW w:w="8120" w:type="dxa"/>
            <w:tcBorders>
              <w:top w:val="nil"/>
              <w:left w:val="nil"/>
              <w:bottom w:val="nil"/>
              <w:right w:val="nil"/>
            </w:tcBorders>
            <w:shd w:val="clear" w:color="auto" w:fill="auto"/>
            <w:noWrap/>
            <w:vAlign w:val="center"/>
            <w:hideMark/>
          </w:tcPr>
          <w:p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C09 - Office Indoor Lighting</w:t>
            </w:r>
          </w:p>
        </w:tc>
      </w:tr>
      <w:tr w:rsidR="003E7FDC" w:rsidRPr="00B57AE6" w:rsidTr="00153C8C">
        <w:trPr>
          <w:trHeight w:val="300"/>
        </w:trPr>
        <w:tc>
          <w:tcPr>
            <w:tcW w:w="8120" w:type="dxa"/>
            <w:tcBorders>
              <w:top w:val="nil"/>
              <w:left w:val="nil"/>
              <w:bottom w:val="nil"/>
              <w:right w:val="nil"/>
            </w:tcBorders>
            <w:shd w:val="clear" w:color="auto" w:fill="auto"/>
            <w:noWrap/>
            <w:vAlign w:val="center"/>
            <w:hideMark/>
          </w:tcPr>
          <w:p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C10 - Restaurant Indoor Lighting</w:t>
            </w:r>
          </w:p>
        </w:tc>
      </w:tr>
      <w:tr w:rsidR="003E7FDC" w:rsidRPr="00B57AE6" w:rsidTr="00153C8C">
        <w:trPr>
          <w:trHeight w:val="300"/>
        </w:trPr>
        <w:tc>
          <w:tcPr>
            <w:tcW w:w="8120" w:type="dxa"/>
            <w:tcBorders>
              <w:top w:val="nil"/>
              <w:left w:val="nil"/>
              <w:bottom w:val="nil"/>
              <w:right w:val="nil"/>
            </w:tcBorders>
            <w:shd w:val="clear" w:color="auto" w:fill="auto"/>
            <w:noWrap/>
            <w:vAlign w:val="center"/>
            <w:hideMark/>
          </w:tcPr>
          <w:p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C11 - Retail Indoor Lighting</w:t>
            </w:r>
          </w:p>
        </w:tc>
      </w:tr>
      <w:tr w:rsidR="003E7FDC" w:rsidRPr="00B57AE6" w:rsidTr="00153C8C">
        <w:trPr>
          <w:trHeight w:val="300"/>
        </w:trPr>
        <w:tc>
          <w:tcPr>
            <w:tcW w:w="8120" w:type="dxa"/>
            <w:tcBorders>
              <w:top w:val="nil"/>
              <w:left w:val="nil"/>
              <w:bottom w:val="nil"/>
              <w:right w:val="nil"/>
            </w:tcBorders>
            <w:shd w:val="clear" w:color="auto" w:fill="auto"/>
            <w:noWrap/>
            <w:vAlign w:val="center"/>
            <w:hideMark/>
          </w:tcPr>
          <w:p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C12 - Warehouse Indoor Lighting</w:t>
            </w:r>
          </w:p>
        </w:tc>
      </w:tr>
      <w:tr w:rsidR="003E7FDC" w:rsidRPr="00B57AE6" w:rsidTr="00153C8C">
        <w:trPr>
          <w:trHeight w:val="300"/>
        </w:trPr>
        <w:tc>
          <w:tcPr>
            <w:tcW w:w="8120" w:type="dxa"/>
            <w:tcBorders>
              <w:top w:val="nil"/>
              <w:left w:val="nil"/>
              <w:bottom w:val="nil"/>
              <w:right w:val="nil"/>
            </w:tcBorders>
            <w:shd w:val="clear" w:color="auto" w:fill="auto"/>
            <w:noWrap/>
            <w:vAlign w:val="center"/>
            <w:hideMark/>
          </w:tcPr>
          <w:p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C13 - K-12 School Indoor Lighting</w:t>
            </w:r>
          </w:p>
        </w:tc>
      </w:tr>
      <w:tr w:rsidR="003E7FDC" w:rsidRPr="00B57AE6" w:rsidTr="00153C8C">
        <w:trPr>
          <w:trHeight w:val="300"/>
        </w:trPr>
        <w:tc>
          <w:tcPr>
            <w:tcW w:w="8120" w:type="dxa"/>
            <w:tcBorders>
              <w:top w:val="nil"/>
              <w:left w:val="nil"/>
              <w:bottom w:val="nil"/>
              <w:right w:val="nil"/>
            </w:tcBorders>
            <w:shd w:val="clear" w:color="auto" w:fill="auto"/>
            <w:noWrap/>
            <w:vAlign w:val="center"/>
            <w:hideMark/>
          </w:tcPr>
          <w:p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C14 - </w:t>
            </w:r>
            <w:proofErr w:type="spellStart"/>
            <w:r w:rsidRPr="00B57AE6">
              <w:rPr>
                <w:rFonts w:ascii="Calibri" w:hAnsi="Calibri" w:cs="Calibri"/>
                <w:color w:val="000000"/>
                <w:szCs w:val="20"/>
              </w:rPr>
              <w:t>Indust</w:t>
            </w:r>
            <w:proofErr w:type="spellEnd"/>
            <w:r w:rsidRPr="00B57AE6">
              <w:rPr>
                <w:rFonts w:ascii="Calibri" w:hAnsi="Calibri" w:cs="Calibri"/>
                <w:color w:val="000000"/>
                <w:szCs w:val="20"/>
              </w:rPr>
              <w:t>. 1-shift (8/5) (e.g., comp. air, lights)</w:t>
            </w:r>
          </w:p>
        </w:tc>
      </w:tr>
      <w:tr w:rsidR="003E7FDC" w:rsidRPr="00B57AE6" w:rsidTr="00153C8C">
        <w:trPr>
          <w:trHeight w:val="300"/>
        </w:trPr>
        <w:tc>
          <w:tcPr>
            <w:tcW w:w="8120" w:type="dxa"/>
            <w:tcBorders>
              <w:top w:val="nil"/>
              <w:left w:val="nil"/>
              <w:bottom w:val="nil"/>
              <w:right w:val="nil"/>
            </w:tcBorders>
            <w:shd w:val="clear" w:color="auto" w:fill="auto"/>
            <w:noWrap/>
            <w:vAlign w:val="center"/>
            <w:hideMark/>
          </w:tcPr>
          <w:p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C15 - </w:t>
            </w:r>
            <w:proofErr w:type="spellStart"/>
            <w:r w:rsidRPr="00B57AE6">
              <w:rPr>
                <w:rFonts w:ascii="Calibri" w:hAnsi="Calibri" w:cs="Calibri"/>
                <w:color w:val="000000"/>
                <w:szCs w:val="20"/>
              </w:rPr>
              <w:t>Indust</w:t>
            </w:r>
            <w:proofErr w:type="spellEnd"/>
            <w:r w:rsidRPr="00B57AE6">
              <w:rPr>
                <w:rFonts w:ascii="Calibri" w:hAnsi="Calibri" w:cs="Calibri"/>
                <w:color w:val="000000"/>
                <w:szCs w:val="20"/>
              </w:rPr>
              <w:t>. 2-shift (16/5) (e.g., comp. air, lights)</w:t>
            </w:r>
          </w:p>
        </w:tc>
      </w:tr>
      <w:tr w:rsidR="003E7FDC" w:rsidRPr="00B57AE6" w:rsidTr="00153C8C">
        <w:trPr>
          <w:trHeight w:val="300"/>
        </w:trPr>
        <w:tc>
          <w:tcPr>
            <w:tcW w:w="8120" w:type="dxa"/>
            <w:tcBorders>
              <w:top w:val="nil"/>
              <w:left w:val="nil"/>
              <w:bottom w:val="nil"/>
              <w:right w:val="nil"/>
            </w:tcBorders>
            <w:shd w:val="clear" w:color="auto" w:fill="auto"/>
            <w:noWrap/>
            <w:vAlign w:val="center"/>
            <w:hideMark/>
          </w:tcPr>
          <w:p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C16 - </w:t>
            </w:r>
            <w:proofErr w:type="spellStart"/>
            <w:r w:rsidRPr="00B57AE6">
              <w:rPr>
                <w:rFonts w:ascii="Calibri" w:hAnsi="Calibri" w:cs="Calibri"/>
                <w:color w:val="000000"/>
                <w:szCs w:val="20"/>
              </w:rPr>
              <w:t>Indust</w:t>
            </w:r>
            <w:proofErr w:type="spellEnd"/>
            <w:r w:rsidRPr="00B57AE6">
              <w:rPr>
                <w:rFonts w:ascii="Calibri" w:hAnsi="Calibri" w:cs="Calibri"/>
                <w:color w:val="000000"/>
                <w:szCs w:val="20"/>
              </w:rPr>
              <w:t>. 3-shift (24/5) (e.g., comp. air, lights)</w:t>
            </w:r>
          </w:p>
        </w:tc>
      </w:tr>
      <w:tr w:rsidR="003E7FDC" w:rsidRPr="00B57AE6" w:rsidTr="00153C8C">
        <w:trPr>
          <w:trHeight w:val="300"/>
        </w:trPr>
        <w:tc>
          <w:tcPr>
            <w:tcW w:w="8120" w:type="dxa"/>
            <w:tcBorders>
              <w:top w:val="nil"/>
              <w:left w:val="nil"/>
              <w:bottom w:val="nil"/>
              <w:right w:val="nil"/>
            </w:tcBorders>
            <w:shd w:val="clear" w:color="auto" w:fill="auto"/>
            <w:noWrap/>
            <w:vAlign w:val="center"/>
            <w:hideMark/>
          </w:tcPr>
          <w:p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C17 - </w:t>
            </w:r>
            <w:proofErr w:type="spellStart"/>
            <w:r w:rsidRPr="00B57AE6">
              <w:rPr>
                <w:rFonts w:ascii="Calibri" w:hAnsi="Calibri" w:cs="Calibri"/>
                <w:color w:val="000000"/>
                <w:szCs w:val="20"/>
              </w:rPr>
              <w:t>Indust</w:t>
            </w:r>
            <w:proofErr w:type="spellEnd"/>
            <w:r w:rsidRPr="00B57AE6">
              <w:rPr>
                <w:rFonts w:ascii="Calibri" w:hAnsi="Calibri" w:cs="Calibri"/>
                <w:color w:val="000000"/>
                <w:szCs w:val="20"/>
              </w:rPr>
              <w:t>. 4-shift (24/7) (e.g., comp. air, lights)</w:t>
            </w:r>
          </w:p>
        </w:tc>
      </w:tr>
      <w:tr w:rsidR="003E7FDC" w:rsidRPr="00B57AE6" w:rsidTr="00153C8C">
        <w:trPr>
          <w:trHeight w:val="300"/>
        </w:trPr>
        <w:tc>
          <w:tcPr>
            <w:tcW w:w="8120" w:type="dxa"/>
            <w:tcBorders>
              <w:top w:val="nil"/>
              <w:left w:val="nil"/>
              <w:bottom w:val="nil"/>
              <w:right w:val="nil"/>
            </w:tcBorders>
            <w:shd w:val="clear" w:color="auto" w:fill="auto"/>
            <w:noWrap/>
            <w:vAlign w:val="center"/>
            <w:hideMark/>
          </w:tcPr>
          <w:p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C18 - Industrial Indoor Lighting</w:t>
            </w:r>
          </w:p>
        </w:tc>
      </w:tr>
      <w:tr w:rsidR="003E7FDC" w:rsidRPr="00B57AE6" w:rsidTr="00153C8C">
        <w:trPr>
          <w:trHeight w:val="300"/>
        </w:trPr>
        <w:tc>
          <w:tcPr>
            <w:tcW w:w="8120" w:type="dxa"/>
            <w:tcBorders>
              <w:top w:val="nil"/>
              <w:left w:val="nil"/>
              <w:bottom w:val="nil"/>
              <w:right w:val="nil"/>
            </w:tcBorders>
            <w:shd w:val="clear" w:color="auto" w:fill="auto"/>
            <w:noWrap/>
            <w:vAlign w:val="center"/>
            <w:hideMark/>
          </w:tcPr>
          <w:p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C19 - Industrial Outdoor Lighting</w:t>
            </w:r>
          </w:p>
        </w:tc>
      </w:tr>
      <w:tr w:rsidR="003E7FDC" w:rsidRPr="00B57AE6" w:rsidTr="00153C8C">
        <w:trPr>
          <w:trHeight w:val="300"/>
        </w:trPr>
        <w:tc>
          <w:tcPr>
            <w:tcW w:w="8120" w:type="dxa"/>
            <w:tcBorders>
              <w:top w:val="nil"/>
              <w:left w:val="nil"/>
              <w:bottom w:val="nil"/>
              <w:right w:val="nil"/>
            </w:tcBorders>
            <w:shd w:val="clear" w:color="auto" w:fill="auto"/>
            <w:noWrap/>
            <w:vAlign w:val="center"/>
            <w:hideMark/>
          </w:tcPr>
          <w:p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C20 - </w:t>
            </w:r>
            <w:r>
              <w:rPr>
                <w:rFonts w:ascii="Calibri" w:hAnsi="Calibri" w:cs="Calibri"/>
                <w:color w:val="000000"/>
                <w:szCs w:val="20"/>
              </w:rPr>
              <w:t>Commercial</w:t>
            </w:r>
            <w:r w:rsidRPr="00B57AE6">
              <w:rPr>
                <w:rFonts w:ascii="Calibri" w:hAnsi="Calibri" w:cs="Calibri"/>
                <w:color w:val="000000"/>
                <w:szCs w:val="20"/>
              </w:rPr>
              <w:t xml:space="preserve"> Outdoor Lighting</w:t>
            </w:r>
          </w:p>
        </w:tc>
      </w:tr>
    </w:tbl>
    <w:p w:rsidR="003E7FDC" w:rsidRPr="00933056" w:rsidRDefault="003E7FDC" w:rsidP="003E7FDC">
      <w:pPr>
        <w:pStyle w:val="Heading6"/>
      </w:pPr>
      <w:r w:rsidRPr="00FA7C3C">
        <w:t>Coincidence Factor</w:t>
      </w:r>
      <w:r>
        <w:t xml:space="preserve"> </w:t>
      </w:r>
    </w:p>
    <w:p w:rsidR="003E7FDC" w:rsidRDefault="003E7FDC" w:rsidP="003E7FDC">
      <w:r>
        <w:t>The summer peak coincidence factor for this measure is dependent on location.</w:t>
      </w:r>
    </w:p>
    <w:p w:rsidR="003E7FDC" w:rsidRDefault="003E7FDC" w:rsidP="003E7FDC">
      <w:pPr>
        <w:rPr>
          <w:b/>
          <w:iCs/>
        </w:rPr>
      </w:pPr>
    </w:p>
    <w:p w:rsidR="003E7FDC" w:rsidRPr="00A860C0" w:rsidRDefault="003E7FDC" w:rsidP="003E7FDC">
      <w:pPr>
        <w:keepNext/>
        <w:pBdr>
          <w:top w:val="double" w:sz="4" w:space="1" w:color="auto"/>
          <w:bottom w:val="double" w:sz="4" w:space="1" w:color="auto"/>
        </w:pBdr>
        <w:jc w:val="center"/>
        <w:rPr>
          <w:rFonts w:cstheme="minorHAnsi"/>
          <w:b/>
          <w:szCs w:val="20"/>
        </w:rPr>
      </w:pPr>
      <w:r w:rsidRPr="00A860C0">
        <w:rPr>
          <w:rFonts w:cstheme="minorHAnsi"/>
          <w:b/>
          <w:szCs w:val="20"/>
        </w:rPr>
        <w:lastRenderedPageBreak/>
        <w:t>Algorithm</w:t>
      </w:r>
    </w:p>
    <w:p w:rsidR="003E7FDC" w:rsidRPr="00FA7C3C" w:rsidRDefault="003E7FDC" w:rsidP="003E7FDC">
      <w:pPr>
        <w:pStyle w:val="Heading6"/>
      </w:pPr>
      <w:r w:rsidRPr="00FA7C3C">
        <w:t xml:space="preserve">Calculation of Savings </w:t>
      </w:r>
    </w:p>
    <w:p w:rsidR="003E7FDC" w:rsidRPr="00FA7C3C" w:rsidRDefault="003E7FDC" w:rsidP="003E7FDC">
      <w:pPr>
        <w:pStyle w:val="Heading6"/>
      </w:pPr>
      <w:r>
        <w:t xml:space="preserve">Electric </w:t>
      </w:r>
      <w:r w:rsidRPr="00FA7C3C">
        <w:t xml:space="preserve">Energy Savings </w:t>
      </w:r>
    </w:p>
    <w:p w:rsidR="003E7FDC" w:rsidRDefault="003E7FDC" w:rsidP="003E7FDC">
      <w:pPr>
        <w:ind w:left="1440"/>
        <w:rPr>
          <w:vertAlign w:val="subscript"/>
        </w:rPr>
      </w:pPr>
      <w:proofErr w:type="spellStart"/>
      <w:r w:rsidRPr="00476123">
        <w:t>ΔkWh</w:t>
      </w:r>
      <w:proofErr w:type="spellEnd"/>
      <w:r w:rsidRPr="00476123">
        <w:t xml:space="preserve"> </w:t>
      </w:r>
      <w:r>
        <w:tab/>
      </w:r>
      <w:r w:rsidRPr="00476123">
        <w:t xml:space="preserve">= </w:t>
      </w:r>
      <w:proofErr w:type="spellStart"/>
      <w:r>
        <w:t>KW</w:t>
      </w:r>
      <w:r w:rsidRPr="001E3D59">
        <w:rPr>
          <w:vertAlign w:val="subscript"/>
        </w:rPr>
        <w:t>Co</w:t>
      </w:r>
      <w:r w:rsidRPr="006C4B1E">
        <w:rPr>
          <w:vertAlign w:val="subscript"/>
        </w:rPr>
        <w:t>ntrolled</w:t>
      </w:r>
      <w:proofErr w:type="spellEnd"/>
      <w:r w:rsidRPr="00476123">
        <w:t xml:space="preserve">* Hours * ESF * </w:t>
      </w:r>
      <w:proofErr w:type="spellStart"/>
      <w:r w:rsidRPr="00476123">
        <w:t>WHF</w:t>
      </w:r>
      <w:r w:rsidRPr="000F059E">
        <w:rPr>
          <w:vertAlign w:val="subscript"/>
        </w:rPr>
        <w:t>e</w:t>
      </w:r>
      <w:proofErr w:type="spellEnd"/>
    </w:p>
    <w:p w:rsidR="003E7FDC" w:rsidRPr="00933056" w:rsidRDefault="003E7FDC" w:rsidP="003E7FDC">
      <w:pPr>
        <w:rPr>
          <w:noProof/>
        </w:rPr>
      </w:pPr>
      <w:r w:rsidRPr="00933056">
        <w:rPr>
          <w:noProof/>
        </w:rPr>
        <w:t>Where:</w:t>
      </w:r>
    </w:p>
    <w:p w:rsidR="003E7FDC" w:rsidRDefault="003E7FDC" w:rsidP="003E7FDC">
      <w:pPr>
        <w:ind w:left="2160" w:hanging="1440"/>
        <w:rPr>
          <w:noProof/>
        </w:rPr>
      </w:pPr>
      <w:r>
        <w:rPr>
          <w:noProof/>
        </w:rPr>
        <w:t>Kw</w:t>
      </w:r>
      <w:r>
        <w:rPr>
          <w:noProof/>
          <w:vertAlign w:val="subscript"/>
        </w:rPr>
        <w:t xml:space="preserve">Controlled  </w:t>
      </w:r>
      <w:r>
        <w:rPr>
          <w:noProof/>
          <w:vertAlign w:val="subscript"/>
        </w:rPr>
        <w:tab/>
      </w:r>
      <w:r>
        <w:rPr>
          <w:noProof/>
        </w:rPr>
        <w:t xml:space="preserve">= </w:t>
      </w:r>
      <w:r w:rsidRPr="00476123">
        <w:rPr>
          <w:noProof/>
        </w:rPr>
        <w:t>Total lighting load connected to the control in kilowatts</w:t>
      </w:r>
      <w:r>
        <w:rPr>
          <w:noProof/>
        </w:rPr>
        <w:t>.  Savings is per control.  The total connected load per control should be collected from the customer or the default values presented below used;</w:t>
      </w:r>
    </w:p>
    <w:tbl>
      <w:tblPr>
        <w:tblW w:w="603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160"/>
      </w:tblGrid>
      <w:tr w:rsidR="003E7FDC" w:rsidRPr="000E35DA" w:rsidTr="00153C8C">
        <w:trPr>
          <w:tblHeader/>
        </w:trPr>
        <w:tc>
          <w:tcPr>
            <w:tcW w:w="3870" w:type="dxa"/>
            <w:shd w:val="clear" w:color="auto" w:fill="7F7F7F" w:themeFill="text1" w:themeFillTint="80"/>
          </w:tcPr>
          <w:p w:rsidR="003E7FDC" w:rsidRPr="000E35DA" w:rsidRDefault="003E7FDC" w:rsidP="00153C8C">
            <w:pPr>
              <w:pStyle w:val="TableHeading"/>
            </w:pPr>
            <w:r w:rsidRPr="000E35DA">
              <w:t>Lighting Control Type</w:t>
            </w:r>
          </w:p>
        </w:tc>
        <w:tc>
          <w:tcPr>
            <w:tcW w:w="2160" w:type="dxa"/>
            <w:shd w:val="clear" w:color="auto" w:fill="7F7F7F" w:themeFill="text1" w:themeFillTint="80"/>
          </w:tcPr>
          <w:p w:rsidR="003E7FDC" w:rsidRPr="000E35DA" w:rsidRDefault="003E7FDC" w:rsidP="00153C8C">
            <w:pPr>
              <w:pStyle w:val="TableHeading"/>
            </w:pPr>
            <w:r w:rsidRPr="000E35DA">
              <w:t>Default kw controlled</w:t>
            </w:r>
            <w:ins w:id="84" w:author="Samuel Dent" w:date="2015-10-23T09:33:00Z">
              <w:r w:rsidR="00D75BD7" w:rsidRPr="008A0321">
                <w:rPr>
                  <w:rStyle w:val="CaptionChar"/>
                  <w:vertAlign w:val="superscript"/>
                </w:rPr>
                <w:footnoteReference w:id="7"/>
              </w:r>
            </w:ins>
          </w:p>
        </w:tc>
      </w:tr>
      <w:tr w:rsidR="003E7FDC" w:rsidRPr="00B5105D" w:rsidTr="00153C8C">
        <w:tc>
          <w:tcPr>
            <w:tcW w:w="3870" w:type="dxa"/>
          </w:tcPr>
          <w:p w:rsidR="003E7FDC" w:rsidRPr="008F033B" w:rsidRDefault="003E7FDC" w:rsidP="00153C8C">
            <w:pPr>
              <w:ind w:right="43"/>
            </w:pPr>
            <w:r w:rsidRPr="008F033B">
              <w:t>Wall mounted occupancy sensor</w:t>
            </w:r>
            <w:ins w:id="87" w:author="Zoe Dawson" w:date="2015-10-23T08:43:00Z">
              <w:r w:rsidR="00872106">
                <w:t xml:space="preserve"> (per control)</w:t>
              </w:r>
            </w:ins>
          </w:p>
        </w:tc>
        <w:tc>
          <w:tcPr>
            <w:tcW w:w="2160" w:type="dxa"/>
          </w:tcPr>
          <w:p w:rsidR="003E7FDC" w:rsidRPr="008F033B" w:rsidRDefault="003E7FDC" w:rsidP="00D75BD7">
            <w:r w:rsidRPr="008F033B">
              <w:t>0.3</w:t>
            </w:r>
            <w:del w:id="88" w:author="Zoe Dawson" w:date="2015-10-23T08:42:00Z">
              <w:r w:rsidRPr="008F033B" w:rsidDel="00872106">
                <w:delText>5</w:delText>
              </w:r>
            </w:del>
            <w:r w:rsidRPr="008F033B">
              <w:t>0</w:t>
            </w:r>
            <w:ins w:id="89" w:author="Zoe Dawson" w:date="2015-10-23T08:42:00Z">
              <w:r w:rsidR="00872106">
                <w:t>5</w:t>
              </w:r>
            </w:ins>
            <w:del w:id="90" w:author="Samuel Dent" w:date="2015-10-23T09:33:00Z">
              <w:r w:rsidRPr="008A0321" w:rsidDel="00D75BD7">
                <w:rPr>
                  <w:rStyle w:val="CaptionChar"/>
                  <w:vertAlign w:val="superscript"/>
                </w:rPr>
                <w:footnoteReference w:id="8"/>
              </w:r>
            </w:del>
          </w:p>
        </w:tc>
      </w:tr>
      <w:tr w:rsidR="003E7FDC" w:rsidRPr="00B5105D" w:rsidTr="00153C8C">
        <w:tc>
          <w:tcPr>
            <w:tcW w:w="3870" w:type="dxa"/>
          </w:tcPr>
          <w:p w:rsidR="003E7FDC" w:rsidRPr="008F033B" w:rsidRDefault="003E7FDC" w:rsidP="00153C8C">
            <w:pPr>
              <w:ind w:right="43"/>
            </w:pPr>
            <w:r w:rsidRPr="008F033B">
              <w:t>Remote mounted occupancy sensor</w:t>
            </w:r>
            <w:ins w:id="97" w:author="Zoe Dawson" w:date="2015-10-23T08:43:00Z">
              <w:r w:rsidR="00872106">
                <w:t xml:space="preserve"> (per control)</w:t>
              </w:r>
            </w:ins>
          </w:p>
        </w:tc>
        <w:tc>
          <w:tcPr>
            <w:tcW w:w="2160" w:type="dxa"/>
          </w:tcPr>
          <w:p w:rsidR="003E7FDC" w:rsidRPr="008F033B" w:rsidRDefault="003E7FDC" w:rsidP="00D75BD7">
            <w:r w:rsidRPr="008F033B">
              <w:t>0.</w:t>
            </w:r>
            <w:del w:id="98" w:author="Zoe Dawson" w:date="2015-10-23T08:43:00Z">
              <w:r w:rsidRPr="008F033B" w:rsidDel="00872106">
                <w:delText>587</w:delText>
              </w:r>
            </w:del>
            <w:ins w:id="99" w:author="Zoe Dawson" w:date="2015-10-23T08:43:00Z">
              <w:r w:rsidR="00872106" w:rsidRPr="008F033B">
                <w:t>5</w:t>
              </w:r>
              <w:r w:rsidR="00872106">
                <w:t>17</w:t>
              </w:r>
            </w:ins>
            <w:del w:id="100" w:author="Samuel Dent" w:date="2015-10-23T09:34:00Z">
              <w:r w:rsidRPr="008A0321" w:rsidDel="00D75BD7">
                <w:rPr>
                  <w:rStyle w:val="CaptionChar"/>
                  <w:vertAlign w:val="superscript"/>
                </w:rPr>
                <w:footnoteReference w:id="9"/>
              </w:r>
            </w:del>
          </w:p>
        </w:tc>
      </w:tr>
      <w:tr w:rsidR="003E7FDC" w:rsidRPr="00B5105D" w:rsidTr="00153C8C">
        <w:tc>
          <w:tcPr>
            <w:tcW w:w="3870" w:type="dxa"/>
          </w:tcPr>
          <w:p w:rsidR="003E7FDC" w:rsidRPr="008F033B" w:rsidRDefault="003E7FDC" w:rsidP="00153C8C">
            <w:r w:rsidRPr="008F033B">
              <w:t>Fixture mounted sensor</w:t>
            </w:r>
            <w:ins w:id="107" w:author="Zoe Dawson" w:date="2015-10-23T08:44:00Z">
              <w:r w:rsidR="00872106">
                <w:t xml:space="preserve"> (per fixture)</w:t>
              </w:r>
            </w:ins>
          </w:p>
        </w:tc>
        <w:tc>
          <w:tcPr>
            <w:tcW w:w="2160" w:type="dxa"/>
          </w:tcPr>
          <w:p w:rsidR="003E7FDC" w:rsidRPr="008F033B" w:rsidRDefault="003E7FDC" w:rsidP="00D75BD7">
            <w:r w:rsidRPr="008F033B">
              <w:t>0.</w:t>
            </w:r>
            <w:ins w:id="108" w:author="Zoe Dawson" w:date="2015-10-23T08:43:00Z">
              <w:r w:rsidR="00872106">
                <w:t>1</w:t>
              </w:r>
            </w:ins>
            <w:del w:id="109" w:author="Zoe Dawson" w:date="2015-10-23T08:43:00Z">
              <w:r w:rsidRPr="008F033B" w:rsidDel="00872106">
                <w:delText>0</w:delText>
              </w:r>
            </w:del>
            <w:ins w:id="110" w:author="Zoe Dawson" w:date="2015-10-23T08:43:00Z">
              <w:r w:rsidR="00872106">
                <w:t>8</w:t>
              </w:r>
            </w:ins>
            <w:del w:id="111" w:author="Zoe Dawson" w:date="2015-10-23T08:43:00Z">
              <w:r w:rsidRPr="008F033B" w:rsidDel="00872106">
                <w:delText>7</w:delText>
              </w:r>
            </w:del>
            <w:ins w:id="112" w:author="Zoe Dawson" w:date="2015-10-23T08:43:00Z">
              <w:r w:rsidR="00872106">
                <w:t>0</w:t>
              </w:r>
            </w:ins>
            <w:del w:id="113" w:author="Zoe Dawson" w:date="2015-10-23T08:43:00Z">
              <w:r w:rsidRPr="008F033B" w:rsidDel="00872106">
                <w:delText>3</w:delText>
              </w:r>
            </w:del>
            <w:del w:id="114" w:author="Samuel Dent" w:date="2015-10-23T09:34:00Z">
              <w:r w:rsidRPr="008A0321" w:rsidDel="00D75BD7">
                <w:rPr>
                  <w:rStyle w:val="CaptionChar"/>
                  <w:vertAlign w:val="superscript"/>
                </w:rPr>
                <w:footnoteReference w:id="10"/>
              </w:r>
            </w:del>
          </w:p>
        </w:tc>
      </w:tr>
    </w:tbl>
    <w:p w:rsidR="003E7FDC" w:rsidRDefault="003E7FDC" w:rsidP="003E7FDC">
      <w:pPr>
        <w:ind w:left="1440" w:hanging="720"/>
        <w:rPr>
          <w:noProof/>
        </w:rPr>
      </w:pPr>
    </w:p>
    <w:p w:rsidR="003E7FDC" w:rsidRPr="001E043D" w:rsidRDefault="003E7FDC" w:rsidP="003E7FDC">
      <w:pPr>
        <w:ind w:left="2160" w:hanging="1440"/>
        <w:rPr>
          <w:noProof/>
        </w:rPr>
      </w:pPr>
      <w:r>
        <w:rPr>
          <w:noProof/>
        </w:rPr>
        <w:t>Hours</w:t>
      </w:r>
      <w:r>
        <w:rPr>
          <w:noProof/>
        </w:rPr>
        <w:tab/>
        <w:t xml:space="preserve">= total operating hours of the controlled lighting circuit before the lighting controls are installed. This number should be collected from the customer.  Average hours of use per year are provided in the Reference Table in </w:t>
      </w:r>
      <w:r w:rsidRPr="001E043D">
        <w:rPr>
          <w:noProof/>
        </w:rPr>
        <w:t xml:space="preserve">Section </w:t>
      </w:r>
      <w:r>
        <w:rPr>
          <w:noProof/>
        </w:rPr>
        <w:t>4.5</w:t>
      </w:r>
      <w:r w:rsidRPr="001E043D">
        <w:rPr>
          <w:noProof/>
        </w:rPr>
        <w:t xml:space="preserve">, Fixture annual operating hours,  for each building type if customer specific information is not collected.  If unknown buidling type, use the Miscellaneous value. </w:t>
      </w:r>
    </w:p>
    <w:p w:rsidR="003E7FDC" w:rsidRPr="001E043D" w:rsidRDefault="003E7FDC" w:rsidP="003E7FDC">
      <w:pPr>
        <w:ind w:left="2160" w:hanging="1440"/>
        <w:rPr>
          <w:noProof/>
        </w:rPr>
      </w:pPr>
      <w:r w:rsidRPr="001E043D">
        <w:rPr>
          <w:noProof/>
        </w:rPr>
        <w:t>ESF</w:t>
      </w:r>
      <w:r w:rsidRPr="001E043D">
        <w:rPr>
          <w:noProof/>
        </w:rPr>
        <w:tab/>
        <w:t>=  Energy Savings factor (</w:t>
      </w:r>
      <w:r w:rsidRPr="001E043D">
        <w:t>represents the percentage reduction to the operating Hours from the non-controlled baseline lighting system).</w:t>
      </w:r>
    </w:p>
    <w:tbl>
      <w:tblPr>
        <w:tblStyle w:val="TableGrid"/>
        <w:tblW w:w="0" w:type="auto"/>
        <w:tblInd w:w="1440" w:type="dxa"/>
        <w:tblLook w:val="04A0" w:firstRow="1" w:lastRow="0" w:firstColumn="1" w:lastColumn="0" w:noHBand="0" w:noVBand="1"/>
      </w:tblPr>
      <w:tblGrid>
        <w:gridCol w:w="4093"/>
        <w:gridCol w:w="2315"/>
      </w:tblGrid>
      <w:tr w:rsidR="003E7FDC" w:rsidRPr="00F40C53" w:rsidTr="00153C8C">
        <w:tc>
          <w:tcPr>
            <w:tcW w:w="4093" w:type="dxa"/>
            <w:shd w:val="clear" w:color="auto" w:fill="7F7F7F" w:themeFill="text1" w:themeFillTint="80"/>
          </w:tcPr>
          <w:p w:rsidR="003E7FDC" w:rsidRPr="00A11025" w:rsidRDefault="003E7FDC" w:rsidP="00153C8C">
            <w:pPr>
              <w:pStyle w:val="TableText"/>
            </w:pPr>
            <w:r w:rsidRPr="009C362B">
              <w:rPr>
                <w:b/>
                <w:color w:val="FFFFFF" w:themeColor="background1"/>
              </w:rPr>
              <w:t>Lighting Control Type</w:t>
            </w:r>
          </w:p>
        </w:tc>
        <w:tc>
          <w:tcPr>
            <w:tcW w:w="2315" w:type="dxa"/>
            <w:shd w:val="clear" w:color="auto" w:fill="7F7F7F" w:themeFill="text1" w:themeFillTint="80"/>
          </w:tcPr>
          <w:p w:rsidR="003E7FDC" w:rsidRPr="00A11025" w:rsidRDefault="003E7FDC" w:rsidP="00153C8C">
            <w:pPr>
              <w:pStyle w:val="TableText"/>
            </w:pPr>
            <w:r w:rsidRPr="009C362B">
              <w:rPr>
                <w:b/>
                <w:color w:val="FFFFFF" w:themeColor="background1"/>
              </w:rPr>
              <w:t>Energy Savings Factor</w:t>
            </w:r>
            <w:r w:rsidRPr="009C362B">
              <w:rPr>
                <w:rStyle w:val="FootnoteReference"/>
                <w:rFonts w:asciiTheme="minorHAnsi" w:hAnsiTheme="minorHAnsi" w:cstheme="minorHAnsi"/>
                <w:b/>
                <w:color w:val="FFFFFF" w:themeColor="background1"/>
              </w:rPr>
              <w:footnoteReference w:id="11"/>
            </w:r>
          </w:p>
        </w:tc>
      </w:tr>
      <w:tr w:rsidR="003E7FDC" w:rsidRPr="00B375D1" w:rsidTr="00153C8C">
        <w:tc>
          <w:tcPr>
            <w:tcW w:w="4093" w:type="dxa"/>
          </w:tcPr>
          <w:p w:rsidR="003E7FDC" w:rsidRPr="00A5701B" w:rsidRDefault="003E7FDC" w:rsidP="00153C8C">
            <w:pPr>
              <w:pStyle w:val="TableText"/>
              <w:rPr>
                <w:rFonts w:asciiTheme="minorHAnsi" w:hAnsiTheme="minorHAnsi"/>
                <w:szCs w:val="22"/>
              </w:rPr>
            </w:pPr>
            <w:r w:rsidRPr="00A5701B">
              <w:t>Wall or Ceiling-Mounted Occupancy Sensors</w:t>
            </w:r>
          </w:p>
        </w:tc>
        <w:tc>
          <w:tcPr>
            <w:tcW w:w="2315" w:type="dxa"/>
          </w:tcPr>
          <w:p w:rsidR="003E7FDC" w:rsidRPr="00A5701B" w:rsidRDefault="003E7FDC" w:rsidP="00153C8C">
            <w:pPr>
              <w:pStyle w:val="TableText"/>
              <w:rPr>
                <w:rFonts w:asciiTheme="minorHAnsi" w:hAnsiTheme="minorHAnsi"/>
                <w:szCs w:val="22"/>
              </w:rPr>
            </w:pPr>
            <w:del w:id="123" w:author="Zoe Dawson" w:date="2015-10-23T08:38:00Z">
              <w:r w:rsidRPr="00A5701B" w:rsidDel="007E2883">
                <w:delText>41% or custom</w:delText>
              </w:r>
            </w:del>
            <w:ins w:id="124" w:author="Zoe Dawson" w:date="2015-10-23T08:38:00Z">
              <w:r w:rsidR="007E2883">
                <w:t>24%</w:t>
              </w:r>
            </w:ins>
          </w:p>
        </w:tc>
      </w:tr>
      <w:tr w:rsidR="003E7FDC" w:rsidRPr="00B375D1" w:rsidTr="00153C8C">
        <w:tc>
          <w:tcPr>
            <w:tcW w:w="4093" w:type="dxa"/>
          </w:tcPr>
          <w:p w:rsidR="003E7FDC" w:rsidRPr="00A5701B" w:rsidRDefault="003E7FDC" w:rsidP="00153C8C">
            <w:pPr>
              <w:pStyle w:val="TableText"/>
              <w:rPr>
                <w:rFonts w:asciiTheme="minorHAnsi" w:hAnsiTheme="minorHAnsi"/>
                <w:szCs w:val="22"/>
              </w:rPr>
            </w:pPr>
            <w:r w:rsidRPr="00A5701B">
              <w:t>Fixture Mounted Occupancy Sensors</w:t>
            </w:r>
          </w:p>
        </w:tc>
        <w:tc>
          <w:tcPr>
            <w:tcW w:w="2315" w:type="dxa"/>
          </w:tcPr>
          <w:p w:rsidR="003E7FDC" w:rsidRPr="00A5701B" w:rsidRDefault="003E7FDC" w:rsidP="00153C8C">
            <w:pPr>
              <w:pStyle w:val="TableText"/>
              <w:rPr>
                <w:rFonts w:asciiTheme="minorHAnsi" w:hAnsiTheme="minorHAnsi"/>
                <w:szCs w:val="22"/>
              </w:rPr>
            </w:pPr>
            <w:del w:id="125" w:author="Zoe Dawson" w:date="2015-10-23T08:38:00Z">
              <w:r w:rsidRPr="00A5701B" w:rsidDel="007E2883">
                <w:delText>30% or custom</w:delText>
              </w:r>
            </w:del>
            <w:ins w:id="126" w:author="Zoe Dawson" w:date="2015-10-23T08:38:00Z">
              <w:r w:rsidR="007E2883">
                <w:t>24%</w:t>
              </w:r>
            </w:ins>
          </w:p>
        </w:tc>
      </w:tr>
      <w:tr w:rsidR="003E7FDC" w:rsidRPr="00B375D1" w:rsidTr="00153C8C">
        <w:tc>
          <w:tcPr>
            <w:tcW w:w="4093" w:type="dxa"/>
          </w:tcPr>
          <w:p w:rsidR="003E7FDC" w:rsidRPr="00A5701B" w:rsidRDefault="003E7FDC" w:rsidP="00153C8C">
            <w:pPr>
              <w:pStyle w:val="TableText"/>
              <w:rPr>
                <w:rFonts w:asciiTheme="minorHAnsi" w:hAnsiTheme="minorHAnsi"/>
                <w:szCs w:val="22"/>
              </w:rPr>
            </w:pPr>
            <w:r w:rsidRPr="00A5701B">
              <w:t>Wall-Mounted Occupancy Sensors Configured as “Vacancy Sensors”</w:t>
            </w:r>
          </w:p>
        </w:tc>
        <w:tc>
          <w:tcPr>
            <w:tcW w:w="2315" w:type="dxa"/>
          </w:tcPr>
          <w:p w:rsidR="003E7FDC" w:rsidRPr="00A5701B" w:rsidRDefault="003E7FDC" w:rsidP="00153C8C">
            <w:pPr>
              <w:pStyle w:val="TableText"/>
              <w:rPr>
                <w:rFonts w:asciiTheme="minorHAnsi" w:hAnsiTheme="minorHAnsi"/>
                <w:szCs w:val="22"/>
                <w:vertAlign w:val="superscript"/>
              </w:rPr>
            </w:pPr>
            <w:del w:id="127" w:author="Zoe Dawson" w:date="2015-10-23T08:38:00Z">
              <w:r w:rsidRPr="00A5701B" w:rsidDel="007E2883">
                <w:delText>53% or custom</w:delText>
              </w:r>
            </w:del>
            <w:ins w:id="128" w:author="Zoe Dawson" w:date="2015-10-23T08:38:00Z">
              <w:del w:id="129" w:author="Samuel Dent" w:date="2015-10-23T09:36:00Z">
                <w:r w:rsidR="007E2883" w:rsidDel="00D75BD7">
                  <w:delText>24</w:delText>
                </w:r>
              </w:del>
            </w:ins>
            <w:ins w:id="130" w:author="Samuel Dent" w:date="2015-10-23T09:36:00Z">
              <w:r w:rsidR="00D75BD7">
                <w:t>31</w:t>
              </w:r>
            </w:ins>
            <w:ins w:id="131" w:author="Zoe Dawson" w:date="2015-10-23T08:38:00Z">
              <w:r w:rsidR="007E2883">
                <w:t>%</w:t>
              </w:r>
            </w:ins>
            <w:r w:rsidRPr="00A5701B">
              <w:rPr>
                <w:rStyle w:val="FootnoteReference"/>
                <w:rFonts w:asciiTheme="minorHAnsi" w:hAnsiTheme="minorHAnsi" w:cstheme="minorHAnsi"/>
              </w:rPr>
              <w:footnoteReference w:id="12"/>
            </w:r>
          </w:p>
        </w:tc>
      </w:tr>
    </w:tbl>
    <w:p w:rsidR="003E7FDC" w:rsidRPr="001E043D" w:rsidRDefault="003E7FDC" w:rsidP="003E7FDC">
      <w:pPr>
        <w:rPr>
          <w:noProof/>
        </w:rPr>
      </w:pPr>
    </w:p>
    <w:p w:rsidR="003E7FDC" w:rsidRPr="001E043D" w:rsidRDefault="003E7FDC" w:rsidP="003E7FDC">
      <w:pPr>
        <w:ind w:left="2160" w:hanging="1440"/>
        <w:rPr>
          <w:noProof/>
        </w:rPr>
      </w:pPr>
      <w:r w:rsidRPr="001E043D">
        <w:rPr>
          <w:noProof/>
        </w:rPr>
        <w:t>WHF</w:t>
      </w:r>
      <w:r w:rsidRPr="001E043D">
        <w:rPr>
          <w:noProof/>
          <w:vertAlign w:val="subscript"/>
        </w:rPr>
        <w:t>e</w:t>
      </w:r>
      <w:r w:rsidRPr="001E043D">
        <w:rPr>
          <w:noProof/>
        </w:rPr>
        <w:tab/>
        <w:t xml:space="preserve">= </w:t>
      </w:r>
      <w:r w:rsidRPr="001E043D">
        <w:t xml:space="preserve">Waste heat factor for energy to account for cooling energy savings from efficient lighting is </w:t>
      </w:r>
      <w:r w:rsidRPr="001E043D">
        <w:rPr>
          <w:noProof/>
        </w:rPr>
        <w:t xml:space="preserve">provided in the Reference Table in Section </w:t>
      </w:r>
      <w:r>
        <w:rPr>
          <w:noProof/>
        </w:rPr>
        <w:t>4.5</w:t>
      </w:r>
      <w:r w:rsidRPr="001E043D">
        <w:rPr>
          <w:noProof/>
        </w:rPr>
        <w:t xml:space="preserve"> </w:t>
      </w:r>
      <w:r w:rsidRPr="001E043D">
        <w:t>for each building type.  If building is un-cooled, the value is 1.0.</w:t>
      </w:r>
    </w:p>
    <w:p w:rsidR="003E7FDC" w:rsidRPr="004E7E30" w:rsidRDefault="003E7FDC" w:rsidP="003E7FDC">
      <w:pPr>
        <w:pStyle w:val="Heading6"/>
      </w:pPr>
      <w:r w:rsidRPr="000B7BB6">
        <w:lastRenderedPageBreak/>
        <w:t>Heating Penalty</w:t>
      </w:r>
    </w:p>
    <w:p w:rsidR="003E7FDC" w:rsidRPr="00C50BC6" w:rsidRDefault="003E7FDC" w:rsidP="003E7FDC">
      <w:pPr>
        <w:rPr>
          <w:rFonts w:cs="Calibri"/>
          <w:noProof/>
        </w:rPr>
      </w:pPr>
      <w:r>
        <w:rPr>
          <w:rFonts w:cs="Calibri"/>
          <w:noProof/>
        </w:rPr>
        <w:t>If</w:t>
      </w:r>
      <w:r w:rsidRPr="00C50BC6">
        <w:rPr>
          <w:rFonts w:cs="Calibri"/>
          <w:noProof/>
        </w:rPr>
        <w:t xml:space="preserve"> </w:t>
      </w:r>
      <w:r>
        <w:rPr>
          <w:rFonts w:cs="Calibri"/>
          <w:noProof/>
        </w:rPr>
        <w:t>electrically</w:t>
      </w:r>
      <w:r w:rsidRPr="00C50BC6">
        <w:rPr>
          <w:rFonts w:cs="Calibri"/>
          <w:noProof/>
        </w:rPr>
        <w:t xml:space="preserve"> heated building:</w:t>
      </w:r>
    </w:p>
    <w:p w:rsidR="003E7FDC" w:rsidRPr="00C50BC6" w:rsidRDefault="003E7FDC" w:rsidP="003E7FDC">
      <w:pPr>
        <w:ind w:left="720" w:firstLine="720"/>
        <w:rPr>
          <w:noProof/>
        </w:rPr>
      </w:pPr>
      <w:r w:rsidRPr="00C50BC6">
        <w:rPr>
          <w:noProof/>
        </w:rPr>
        <w:t>Δ</w:t>
      </w:r>
      <w:r>
        <w:rPr>
          <w:noProof/>
        </w:rPr>
        <w:t>kWh</w:t>
      </w:r>
      <w:r w:rsidRPr="004E7E30">
        <w:rPr>
          <w:noProof/>
          <w:vertAlign w:val="subscript"/>
        </w:rPr>
        <w:t>heatpenalty</w:t>
      </w:r>
      <w:r w:rsidRPr="00C50BC6">
        <w:rPr>
          <w:rStyle w:val="FootnoteReference"/>
          <w:rFonts w:eastAsiaTheme="majorEastAsia" w:cs="Calibri"/>
          <w:noProof/>
        </w:rPr>
        <w:footnoteReference w:id="13"/>
      </w:r>
      <w:r w:rsidRPr="00C50BC6">
        <w:rPr>
          <w:noProof/>
        </w:rPr>
        <w:t xml:space="preserve">  =</w:t>
      </w:r>
      <w:r w:rsidRPr="00476123">
        <w:t xml:space="preserve"> </w:t>
      </w:r>
      <w:proofErr w:type="spellStart"/>
      <w:r>
        <w:t>KW</w:t>
      </w:r>
      <w:r w:rsidRPr="001E3D59">
        <w:rPr>
          <w:vertAlign w:val="subscript"/>
        </w:rPr>
        <w:t>Co</w:t>
      </w:r>
      <w:r w:rsidRPr="006C4B1E">
        <w:rPr>
          <w:vertAlign w:val="subscript"/>
        </w:rPr>
        <w:t>ntrolled</w:t>
      </w:r>
      <w:proofErr w:type="spellEnd"/>
      <w:r w:rsidRPr="00476123">
        <w:t xml:space="preserve">* Hours * ESF </w:t>
      </w:r>
      <w:r w:rsidRPr="00C50BC6">
        <w:rPr>
          <w:noProof/>
        </w:rPr>
        <w:t>*</w:t>
      </w:r>
      <w:r>
        <w:rPr>
          <w:noProof/>
        </w:rPr>
        <w:t xml:space="preserve"> </w:t>
      </w:r>
      <w:r w:rsidRPr="00C50BC6">
        <w:rPr>
          <w:noProof/>
        </w:rPr>
        <w:t>-IF</w:t>
      </w:r>
      <w:r>
        <w:rPr>
          <w:noProof/>
        </w:rPr>
        <w:t>kWh</w:t>
      </w:r>
      <w:r w:rsidRPr="00C50BC6">
        <w:rPr>
          <w:noProof/>
        </w:rPr>
        <w:tab/>
      </w:r>
    </w:p>
    <w:p w:rsidR="003E7FDC" w:rsidRPr="00C50BC6" w:rsidRDefault="003E7FDC" w:rsidP="003E7FDC">
      <w:pPr>
        <w:rPr>
          <w:noProof/>
          <w:lang w:val="nl-NL"/>
        </w:rPr>
      </w:pPr>
      <w:r w:rsidRPr="00C50BC6">
        <w:rPr>
          <w:noProof/>
          <w:lang w:val="nl-NL"/>
        </w:rPr>
        <w:t>Where:</w:t>
      </w:r>
    </w:p>
    <w:p w:rsidR="003E7FDC" w:rsidRPr="00C50BC6" w:rsidRDefault="003E7FDC" w:rsidP="003E7FDC">
      <w:pPr>
        <w:ind w:left="2160" w:hanging="1440"/>
        <w:rPr>
          <w:noProof/>
          <w:lang w:val="nl-NL"/>
        </w:rPr>
      </w:pPr>
      <w:r w:rsidRPr="00C50BC6">
        <w:rPr>
          <w:noProof/>
          <w:lang w:val="nl-NL"/>
        </w:rPr>
        <w:t>IF</w:t>
      </w:r>
      <w:r>
        <w:rPr>
          <w:noProof/>
          <w:lang w:val="nl-NL"/>
        </w:rPr>
        <w:t>kWh</w:t>
      </w:r>
      <w:r w:rsidRPr="00C50BC6">
        <w:rPr>
          <w:noProof/>
          <w:lang w:val="nl-NL"/>
        </w:rPr>
        <w:tab/>
        <w:t xml:space="preserve">= Lighting-HVAC Interation Factor for </w:t>
      </w:r>
      <w:r>
        <w:rPr>
          <w:noProof/>
          <w:lang w:val="nl-NL"/>
        </w:rPr>
        <w:t>electric</w:t>
      </w:r>
      <w:r w:rsidRPr="00C50BC6">
        <w:rPr>
          <w:noProof/>
          <w:lang w:val="nl-NL"/>
        </w:rPr>
        <w:t xml:space="preserve"> heating impacts; this factor represents the increased </w:t>
      </w:r>
      <w:r>
        <w:rPr>
          <w:noProof/>
          <w:lang w:val="nl-NL"/>
        </w:rPr>
        <w:t>electric</w:t>
      </w:r>
      <w:r w:rsidRPr="00C50BC6">
        <w:rPr>
          <w:noProof/>
          <w:lang w:val="nl-NL"/>
        </w:rPr>
        <w:t xml:space="preserve"> space heating requirements due to the reduction of waste heat rejected by the efficent lighting. </w:t>
      </w:r>
      <w:r w:rsidRPr="00C50BC6">
        <w:t>Values are</w:t>
      </w:r>
      <w:r w:rsidRPr="00C50BC6">
        <w:rPr>
          <w:noProof/>
        </w:rPr>
        <w:t xml:space="preserve"> provided in the Reference Table in Section 4.5</w:t>
      </w:r>
      <w:r w:rsidRPr="00C50BC6">
        <w:t xml:space="preserve">.  If unknown, use the </w:t>
      </w:r>
      <w:proofErr w:type="gramStart"/>
      <w:r w:rsidRPr="00C50BC6">
        <w:t>Miscellaneous</w:t>
      </w:r>
      <w:proofErr w:type="gramEnd"/>
      <w:r w:rsidRPr="00C50BC6">
        <w:t xml:space="preserve"> value.</w:t>
      </w:r>
    </w:p>
    <w:p w:rsidR="003E7FDC" w:rsidRDefault="003E7FDC" w:rsidP="003E7FDC">
      <w:pPr>
        <w:pStyle w:val="Heading6"/>
      </w:pPr>
      <w:r w:rsidRPr="00933056">
        <w:t xml:space="preserve"> Summer Coincident Peak Demand Savings</w:t>
      </w:r>
      <w:r>
        <w:t xml:space="preserve"> </w:t>
      </w:r>
    </w:p>
    <w:p w:rsidR="003E7FDC" w:rsidRDefault="003E7FDC" w:rsidP="003E7FDC">
      <w:pPr>
        <w:ind w:left="1440"/>
      </w:pPr>
      <w:r w:rsidRPr="003F40DE">
        <w:rPr>
          <w:noProof/>
        </w:rPr>
        <w:t>ΔkW  = KW</w:t>
      </w:r>
      <w:r>
        <w:rPr>
          <w:noProof/>
          <w:vertAlign w:val="subscript"/>
        </w:rPr>
        <w:t>controlled</w:t>
      </w:r>
      <w:r w:rsidRPr="006C4B1E">
        <w:rPr>
          <w:noProof/>
          <w:vertAlign w:val="subscript"/>
        </w:rPr>
        <w:t xml:space="preserve"> </w:t>
      </w:r>
      <w:r w:rsidRPr="003F40DE">
        <w:rPr>
          <w:noProof/>
        </w:rPr>
        <w:t xml:space="preserve"> *</w:t>
      </w:r>
      <w:r>
        <w:rPr>
          <w:noProof/>
        </w:rPr>
        <w:t xml:space="preserve"> </w:t>
      </w:r>
      <w:r w:rsidRPr="003F40DE">
        <w:rPr>
          <w:noProof/>
        </w:rPr>
        <w:t>WHF</w:t>
      </w:r>
      <w:r w:rsidRPr="006C4B1E">
        <w:rPr>
          <w:noProof/>
          <w:vertAlign w:val="subscript"/>
        </w:rPr>
        <w:t>d</w:t>
      </w:r>
      <w:r>
        <w:rPr>
          <w:noProof/>
          <w:vertAlign w:val="subscript"/>
        </w:rPr>
        <w:t xml:space="preserve"> </w:t>
      </w:r>
      <w:r w:rsidRPr="003F40DE">
        <w:rPr>
          <w:noProof/>
        </w:rPr>
        <w:t>*</w:t>
      </w:r>
      <w:r>
        <w:rPr>
          <w:noProof/>
        </w:rPr>
        <w:t xml:space="preserve"> (CFbaseline – </w:t>
      </w:r>
      <w:r w:rsidRPr="003F40DE">
        <w:rPr>
          <w:noProof/>
        </w:rPr>
        <w:t>C</w:t>
      </w:r>
      <w:r>
        <w:rPr>
          <w:noProof/>
        </w:rPr>
        <w:t>Fos)</w:t>
      </w:r>
    </w:p>
    <w:p w:rsidR="003E7FDC" w:rsidRPr="001E043D" w:rsidRDefault="003E7FDC" w:rsidP="003E7FDC">
      <w:r w:rsidRPr="001E043D">
        <w:t>Where:</w:t>
      </w:r>
    </w:p>
    <w:p w:rsidR="003E7FDC" w:rsidRPr="001E043D" w:rsidRDefault="003E7FDC" w:rsidP="003E7FDC">
      <w:pPr>
        <w:ind w:left="2160" w:hanging="1440"/>
        <w:rPr>
          <w:noProof/>
        </w:rPr>
      </w:pPr>
      <w:r w:rsidRPr="001E043D">
        <w:rPr>
          <w:noProof/>
          <w:lang w:val="nl-NL"/>
        </w:rPr>
        <w:t>WHF</w:t>
      </w:r>
      <w:r w:rsidRPr="001E043D">
        <w:rPr>
          <w:noProof/>
          <w:vertAlign w:val="subscript"/>
          <w:lang w:val="nl-NL"/>
        </w:rPr>
        <w:t>d</w:t>
      </w:r>
      <w:r w:rsidRPr="001E043D">
        <w:rPr>
          <w:noProof/>
          <w:lang w:val="nl-NL"/>
        </w:rPr>
        <w:tab/>
        <w:t xml:space="preserve">= </w:t>
      </w:r>
      <w:r w:rsidRPr="001E043D">
        <w:rPr>
          <w:noProof/>
        </w:rPr>
        <w:t xml:space="preserve">Waste Heat Factor for Demand to account for cooling savings from efficient lighting in cooled buildings is provided in the Reference Table in Section </w:t>
      </w:r>
      <w:r>
        <w:rPr>
          <w:noProof/>
        </w:rPr>
        <w:t>4.5</w:t>
      </w:r>
      <w:r w:rsidRPr="001E043D">
        <w:rPr>
          <w:noProof/>
        </w:rPr>
        <w:t xml:space="preserve">. If the  building is un-cooled WHFd is 1. </w:t>
      </w:r>
    </w:p>
    <w:p w:rsidR="003E7FDC" w:rsidRPr="001E043D" w:rsidRDefault="003E7FDC" w:rsidP="003E7FDC">
      <w:pPr>
        <w:ind w:left="2160" w:hanging="1440"/>
        <w:rPr>
          <w:noProof/>
        </w:rPr>
      </w:pPr>
      <w:r w:rsidRPr="001E043D">
        <w:rPr>
          <w:noProof/>
        </w:rPr>
        <w:t xml:space="preserve">CFbaseline </w:t>
      </w:r>
      <w:r>
        <w:rPr>
          <w:noProof/>
        </w:rPr>
        <w:tab/>
      </w:r>
      <w:r w:rsidRPr="001E043D">
        <w:rPr>
          <w:noProof/>
        </w:rPr>
        <w:t xml:space="preserve">= </w:t>
      </w:r>
      <w:r w:rsidRPr="00950747">
        <w:rPr>
          <w:noProof/>
          <w:lang w:val="nl-NL"/>
        </w:rPr>
        <w:t>Baseline</w:t>
      </w:r>
      <w:r w:rsidRPr="001E043D">
        <w:rPr>
          <w:noProof/>
        </w:rPr>
        <w:t xml:space="preserve"> </w:t>
      </w:r>
      <w:r w:rsidRPr="001E043D">
        <w:t xml:space="preserve">Summer Peak Coincidence Factor for the lighting system without Occupancy Sensors installed selected from the Reference Table in Section </w:t>
      </w:r>
      <w:r>
        <w:t>4.5</w:t>
      </w:r>
      <w:r w:rsidRPr="001E043D">
        <w:t xml:space="preserve"> for each building type. If the building type is unknown, use the </w:t>
      </w:r>
      <w:proofErr w:type="gramStart"/>
      <w:r w:rsidRPr="001E043D">
        <w:t>Miscellaneous</w:t>
      </w:r>
      <w:proofErr w:type="gramEnd"/>
      <w:r w:rsidRPr="001E043D">
        <w:t xml:space="preserve"> value of 0.66</w:t>
      </w:r>
    </w:p>
    <w:p w:rsidR="003E7FDC" w:rsidRPr="001E043D" w:rsidRDefault="003E7FDC" w:rsidP="003E7FDC">
      <w:pPr>
        <w:ind w:left="2160" w:hanging="1440"/>
        <w:rPr>
          <w:noProof/>
        </w:rPr>
      </w:pPr>
      <w:r w:rsidRPr="001E043D">
        <w:rPr>
          <w:noProof/>
        </w:rPr>
        <w:t xml:space="preserve">CFos </w:t>
      </w:r>
      <w:r w:rsidRPr="001E043D">
        <w:rPr>
          <w:noProof/>
        </w:rPr>
        <w:tab/>
        <w:t xml:space="preserve">= </w:t>
      </w:r>
      <w:r w:rsidRPr="00950747">
        <w:rPr>
          <w:noProof/>
          <w:lang w:val="nl-NL"/>
        </w:rPr>
        <w:t>Retrofit</w:t>
      </w:r>
      <w:r w:rsidRPr="001E043D">
        <w:rPr>
          <w:noProof/>
        </w:rPr>
        <w:t xml:space="preserve"> Summer Peak Coincidence Factor </w:t>
      </w:r>
      <w:r w:rsidRPr="001E043D">
        <w:t xml:space="preserve">the lighting system with Occupancy Sensors installed </w:t>
      </w:r>
      <w:del w:id="136" w:author="Samuel Dent" w:date="2015-10-23T09:36:00Z">
        <w:r w:rsidRPr="001E043D" w:rsidDel="00D75BD7">
          <w:rPr>
            <w:noProof/>
          </w:rPr>
          <w:delText xml:space="preserve"> </w:delText>
        </w:r>
      </w:del>
      <w:r w:rsidRPr="001E043D">
        <w:rPr>
          <w:noProof/>
        </w:rPr>
        <w:t>is 0.15 regardless of building type.</w:t>
      </w:r>
      <w:r w:rsidRPr="001E043D">
        <w:rPr>
          <w:rStyle w:val="FootnoteReference"/>
          <w:noProof/>
        </w:rPr>
        <w:footnoteReference w:id="14"/>
      </w:r>
    </w:p>
    <w:p w:rsidR="003E7FDC" w:rsidRPr="001E043D" w:rsidRDefault="003E7FDC" w:rsidP="003E7FDC">
      <w:pPr>
        <w:pStyle w:val="Heading6"/>
      </w:pPr>
      <w:r>
        <w:t>Natural Gas Energy Savings</w:t>
      </w:r>
    </w:p>
    <w:p w:rsidR="003E7FDC" w:rsidRPr="001E043D" w:rsidRDefault="003E7FDC" w:rsidP="003E7FDC">
      <w:pPr>
        <w:ind w:left="1440" w:hanging="720"/>
        <w:rPr>
          <w:iCs/>
        </w:rPr>
      </w:pPr>
      <w:r w:rsidRPr="001E043D">
        <w:rPr>
          <w:noProof/>
        </w:rPr>
        <w:tab/>
      </w:r>
      <w:proofErr w:type="spellStart"/>
      <w:r w:rsidRPr="001E043D">
        <w:t>Δtherms</w:t>
      </w:r>
      <w:proofErr w:type="spellEnd"/>
      <w:r w:rsidRPr="001E043D">
        <w:t xml:space="preserve"> = </w:t>
      </w:r>
      <w:proofErr w:type="spellStart"/>
      <w:r>
        <w:t>KW</w:t>
      </w:r>
      <w:r w:rsidRPr="001E3D59">
        <w:rPr>
          <w:vertAlign w:val="subscript"/>
        </w:rPr>
        <w:t>Co</w:t>
      </w:r>
      <w:r w:rsidRPr="006C4B1E">
        <w:rPr>
          <w:vertAlign w:val="subscript"/>
        </w:rPr>
        <w:t>ntrolled</w:t>
      </w:r>
      <w:proofErr w:type="spellEnd"/>
      <w:r w:rsidRPr="00476123">
        <w:t xml:space="preserve">* Hours * ESF </w:t>
      </w:r>
      <w:r w:rsidRPr="001E043D">
        <w:t xml:space="preserve">* - </w:t>
      </w:r>
      <w:proofErr w:type="spellStart"/>
      <w:r w:rsidRPr="001E043D">
        <w:t>IFTherms</w:t>
      </w:r>
      <w:proofErr w:type="spellEnd"/>
    </w:p>
    <w:p w:rsidR="003E7FDC" w:rsidRPr="001E043D" w:rsidRDefault="003E7FDC" w:rsidP="003E7FDC">
      <w:r w:rsidRPr="001E043D">
        <w:t>Where:</w:t>
      </w:r>
    </w:p>
    <w:p w:rsidR="003E7FDC" w:rsidRDefault="003E7FDC" w:rsidP="003E7FDC">
      <w:pPr>
        <w:ind w:left="2160" w:hanging="1440"/>
      </w:pPr>
      <w:proofErr w:type="spellStart"/>
      <w:r w:rsidRPr="001E043D">
        <w:t>IFTherms</w:t>
      </w:r>
      <w:proofErr w:type="spellEnd"/>
      <w:r w:rsidRPr="001E043D">
        <w:t xml:space="preserve"> </w:t>
      </w:r>
      <w:r>
        <w:tab/>
      </w:r>
      <w:r w:rsidRPr="001E043D">
        <w:t>= Lighting-HVAC Integration Factor for gas heating impacts</w:t>
      </w:r>
      <w:r w:rsidRPr="00D820A5">
        <w:t xml:space="preserve">; this factor represents the increased gas space heating requirements due to the reduction of waste heat rejected by the </w:t>
      </w:r>
      <w:r>
        <w:t>e</w:t>
      </w:r>
      <w:r w:rsidRPr="00D820A5">
        <w:t>fficient lighting</w:t>
      </w:r>
      <w:r>
        <w:t xml:space="preserve"> and </w:t>
      </w:r>
      <w:r>
        <w:rPr>
          <w:noProof/>
        </w:rPr>
        <w:t>provided in the Reference Table in Section 4.5 by buidling type</w:t>
      </w:r>
      <w:r w:rsidRPr="00D820A5">
        <w:t>.</w:t>
      </w:r>
      <w:r>
        <w:t xml:space="preserve">  </w:t>
      </w:r>
    </w:p>
    <w:p w:rsidR="003E7FDC" w:rsidRPr="00CB477A" w:rsidRDefault="003E7FDC" w:rsidP="003E7FDC">
      <w:pPr>
        <w:pStyle w:val="Heading6"/>
      </w:pPr>
      <w:r w:rsidRPr="00CB477A">
        <w:t xml:space="preserve">Water Impact Descriptions and Calculation  </w:t>
      </w:r>
    </w:p>
    <w:p w:rsidR="003E7FDC" w:rsidRPr="00CB477A" w:rsidRDefault="003E7FDC" w:rsidP="003E7FDC">
      <w:r>
        <w:t>N/A</w:t>
      </w:r>
    </w:p>
    <w:p w:rsidR="003E7FDC" w:rsidRDefault="003E7FDC" w:rsidP="003E7FDC">
      <w:pPr>
        <w:pStyle w:val="Heading6"/>
      </w:pPr>
      <w:r w:rsidRPr="00CB477A">
        <w:t>Deemed O&amp;M Cost Adjustment Calculation</w:t>
      </w:r>
      <w:r>
        <w:t xml:space="preserve"> </w:t>
      </w:r>
    </w:p>
    <w:p w:rsidR="003E7FDC" w:rsidRDefault="003E7FDC" w:rsidP="003E7FDC">
      <w:r>
        <w:t>N/A</w:t>
      </w:r>
    </w:p>
    <w:p w:rsidR="003E111B" w:rsidRPr="00D75BD7" w:rsidRDefault="003E7FDC" w:rsidP="003E7FDC">
      <w:pPr>
        <w:rPr>
          <w:rFonts w:cs="Calibri"/>
          <w:b/>
          <w:smallCaps/>
          <w:sz w:val="22"/>
          <w:rPrChange w:id="137" w:author="Samuel Dent" w:date="2015-10-23T09:36:00Z">
            <w:rPr/>
          </w:rPrChange>
        </w:rPr>
      </w:pPr>
      <w:r w:rsidRPr="00D75BD7">
        <w:rPr>
          <w:rFonts w:cs="Calibri"/>
          <w:b/>
          <w:smallCaps/>
          <w:sz w:val="22"/>
          <w:rPrChange w:id="138" w:author="Samuel Dent" w:date="2015-10-23T09:36:00Z">
            <w:rPr/>
          </w:rPrChange>
        </w:rPr>
        <w:t>Measure Code: CI-LTG-OSLC-V0</w:t>
      </w:r>
      <w:del w:id="139" w:author="Samuel Dent" w:date="2015-10-23T09:36:00Z">
        <w:r w:rsidRPr="00D75BD7" w:rsidDel="00D75BD7">
          <w:rPr>
            <w:rFonts w:cs="Calibri"/>
            <w:b/>
            <w:smallCaps/>
            <w:sz w:val="22"/>
            <w:rPrChange w:id="140" w:author="Samuel Dent" w:date="2015-10-23T09:36:00Z">
              <w:rPr/>
            </w:rPrChange>
          </w:rPr>
          <w:delText>2</w:delText>
        </w:r>
      </w:del>
      <w:ins w:id="141" w:author="Samuel Dent" w:date="2015-10-23T09:36:00Z">
        <w:r w:rsidR="00D75BD7">
          <w:rPr>
            <w:rFonts w:cs="Calibri"/>
            <w:b/>
            <w:smallCaps/>
            <w:sz w:val="22"/>
          </w:rPr>
          <w:t>3</w:t>
        </w:r>
      </w:ins>
      <w:r w:rsidRPr="00D75BD7">
        <w:rPr>
          <w:rFonts w:cs="Calibri"/>
          <w:b/>
          <w:smallCaps/>
          <w:sz w:val="22"/>
          <w:rPrChange w:id="142" w:author="Samuel Dent" w:date="2015-10-23T09:36:00Z">
            <w:rPr/>
          </w:rPrChange>
        </w:rPr>
        <w:t>-1</w:t>
      </w:r>
      <w:del w:id="143" w:author="Samuel Dent" w:date="2015-10-23T09:36:00Z">
        <w:r w:rsidRPr="00D75BD7" w:rsidDel="00D75BD7">
          <w:rPr>
            <w:rFonts w:cs="Calibri"/>
            <w:b/>
            <w:smallCaps/>
            <w:sz w:val="22"/>
            <w:rPrChange w:id="144" w:author="Samuel Dent" w:date="2015-10-23T09:36:00Z">
              <w:rPr/>
            </w:rPrChange>
          </w:rPr>
          <w:delText>4</w:delText>
        </w:r>
      </w:del>
      <w:ins w:id="145" w:author="Samuel Dent" w:date="2015-10-23T09:36:00Z">
        <w:r w:rsidR="00D75BD7">
          <w:rPr>
            <w:rFonts w:cs="Calibri"/>
            <w:b/>
            <w:smallCaps/>
            <w:sz w:val="22"/>
          </w:rPr>
          <w:t>5</w:t>
        </w:r>
      </w:ins>
      <w:r w:rsidRPr="00D75BD7">
        <w:rPr>
          <w:rFonts w:cs="Calibri"/>
          <w:b/>
          <w:smallCaps/>
          <w:sz w:val="22"/>
          <w:rPrChange w:id="146" w:author="Samuel Dent" w:date="2015-10-23T09:36:00Z">
            <w:rPr/>
          </w:rPrChange>
        </w:rPr>
        <w:t>0601</w:t>
      </w:r>
    </w:p>
    <w:sectPr w:rsidR="003E111B" w:rsidRPr="00D75BD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F53" w:rsidRDefault="00293F53" w:rsidP="003E7FDC">
      <w:pPr>
        <w:spacing w:after="0"/>
      </w:pPr>
      <w:r>
        <w:separator/>
      </w:r>
    </w:p>
  </w:endnote>
  <w:endnote w:type="continuationSeparator" w:id="0">
    <w:p w:rsidR="00293F53" w:rsidRDefault="00293F53" w:rsidP="003E7F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Oblique">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F53" w:rsidRDefault="00293F53" w:rsidP="003E7FDC">
      <w:pPr>
        <w:spacing w:after="0"/>
      </w:pPr>
      <w:r>
        <w:separator/>
      </w:r>
    </w:p>
  </w:footnote>
  <w:footnote w:type="continuationSeparator" w:id="0">
    <w:p w:rsidR="00293F53" w:rsidRDefault="00293F53" w:rsidP="003E7FDC">
      <w:pPr>
        <w:spacing w:after="0"/>
      </w:pPr>
      <w:r>
        <w:continuationSeparator/>
      </w:r>
    </w:p>
  </w:footnote>
  <w:footnote w:id="1">
    <w:p w:rsidR="003E7FDC" w:rsidRPr="009C362B" w:rsidRDefault="003E7FDC" w:rsidP="003E7FDC">
      <w:pPr>
        <w:pStyle w:val="Footnote"/>
        <w:rPr>
          <w:szCs w:val="18"/>
        </w:rPr>
      </w:pPr>
      <w:r w:rsidRPr="009C362B">
        <w:rPr>
          <w:rStyle w:val="FootnoteReference"/>
          <w:sz w:val="18"/>
          <w:szCs w:val="18"/>
        </w:rPr>
        <w:footnoteRef/>
      </w:r>
      <w:r w:rsidRPr="009C362B">
        <w:rPr>
          <w:szCs w:val="18"/>
        </w:rPr>
        <w:t xml:space="preserve"> DEER 2008</w:t>
      </w:r>
    </w:p>
  </w:footnote>
  <w:footnote w:id="2">
    <w:p w:rsidR="00D75BD7" w:rsidRPr="009C362B" w:rsidRDefault="00D75BD7" w:rsidP="00D75BD7">
      <w:pPr>
        <w:pStyle w:val="Footnote"/>
        <w:rPr>
          <w:ins w:id="15" w:author="Samuel Dent" w:date="2015-10-23T09:33:00Z"/>
          <w:szCs w:val="18"/>
        </w:rPr>
      </w:pPr>
      <w:ins w:id="16" w:author="Samuel Dent" w:date="2015-10-23T09:33:00Z">
        <w:r w:rsidRPr="009C362B">
          <w:rPr>
            <w:rStyle w:val="FootnoteReference"/>
            <w:sz w:val="18"/>
            <w:szCs w:val="18"/>
          </w:rPr>
          <w:footnoteRef/>
        </w:r>
        <w:r w:rsidRPr="009C362B">
          <w:rPr>
            <w:szCs w:val="18"/>
          </w:rPr>
          <w:t xml:space="preserve"> </w:t>
        </w:r>
        <w:del w:id="17" w:author="Zoe Dawson" w:date="2015-10-23T09:57:00Z">
          <w:r w:rsidDel="00D01C04">
            <w:rPr>
              <w:szCs w:val="18"/>
            </w:rPr>
            <w:delText>Based</w:delText>
          </w:r>
        </w:del>
      </w:ins>
      <w:ins w:id="18" w:author="Zoe Dawson" w:date="2015-10-23T09:59:00Z">
        <w:r w:rsidR="00D01C04">
          <w:rPr>
            <w:szCs w:val="18"/>
          </w:rPr>
          <w:t>Taken</w:t>
        </w:r>
      </w:ins>
      <w:ins w:id="19" w:author="Zoe Dawson" w:date="2015-10-23T09:57:00Z">
        <w:r w:rsidR="00D01C04">
          <w:rPr>
            <w:szCs w:val="18"/>
          </w:rPr>
          <w:t xml:space="preserve"> from NEEP Commercial Lighting Controls, </w:t>
        </w:r>
      </w:ins>
      <w:ins w:id="20" w:author="Zoe Dawson" w:date="2015-10-23T09:58:00Z">
        <w:r w:rsidR="00D01C04">
          <w:rPr>
            <w:szCs w:val="18"/>
          </w:rPr>
          <w:t xml:space="preserve">Incremental Cost Data Analysis, </w:t>
        </w:r>
      </w:ins>
      <w:ins w:id="21" w:author="Zoe Dawson" w:date="2015-10-23T09:57:00Z">
        <w:r w:rsidR="00D01C04">
          <w:rPr>
            <w:szCs w:val="18"/>
          </w:rPr>
          <w:t>2011</w:t>
        </w:r>
      </w:ins>
      <w:ins w:id="22" w:author="Zoe Dawson" w:date="2015-10-23T09:58:00Z">
        <w:r w:rsidR="00D01C04">
          <w:rPr>
            <w:szCs w:val="18"/>
          </w:rPr>
          <w:t xml:space="preserve"> “</w:t>
        </w:r>
        <w:r w:rsidR="00D01C04" w:rsidRPr="00D01C04">
          <w:rPr>
            <w:szCs w:val="18"/>
          </w:rPr>
          <w:t>NEEP Commercial Lighting Controls 2011_08_29.xlsx</w:t>
        </w:r>
        <w:r w:rsidR="00D01C04">
          <w:rPr>
            <w:szCs w:val="18"/>
          </w:rPr>
          <w:t>”</w:t>
        </w:r>
      </w:ins>
      <w:ins w:id="23" w:author="Samuel Dent" w:date="2015-10-23T09:33:00Z">
        <w:del w:id="24" w:author="Zoe Dawson" w:date="2015-10-23T09:58:00Z">
          <w:r w:rsidDel="00D01C04">
            <w:rPr>
              <w:szCs w:val="18"/>
            </w:rPr>
            <w:delText xml:space="preserve"> on Efficiency Vermont (EVT) control data for Occupancy Sensor Costs 2009-2014</w:delText>
          </w:r>
        </w:del>
      </w:ins>
    </w:p>
  </w:footnote>
  <w:footnote w:id="3">
    <w:p w:rsidR="003E7FDC" w:rsidRPr="009C362B" w:rsidDel="00D75BD7" w:rsidRDefault="003E7FDC" w:rsidP="003E7FDC">
      <w:pPr>
        <w:pStyle w:val="Footnote"/>
        <w:rPr>
          <w:del w:id="32" w:author="Samuel Dent" w:date="2015-10-23T09:33:00Z"/>
          <w:szCs w:val="18"/>
        </w:rPr>
      </w:pPr>
      <w:del w:id="33" w:author="Samuel Dent" w:date="2015-10-23T09:33:00Z">
        <w:r w:rsidRPr="009C362B" w:rsidDel="00D75BD7">
          <w:rPr>
            <w:rStyle w:val="FootnoteReference"/>
            <w:sz w:val="18"/>
            <w:szCs w:val="18"/>
          </w:rPr>
          <w:footnoteRef/>
        </w:r>
        <w:r w:rsidRPr="009C362B" w:rsidDel="00D75BD7">
          <w:rPr>
            <w:szCs w:val="18"/>
          </w:rPr>
          <w:delText xml:space="preserve"> Goldberg et al, State of Wisconsin, Public Service Commission of Wisconsin, Focus on Energy Evaluation Business programs Incremental Cost Study, KEMA, October 28, </w:delText>
        </w:r>
      </w:del>
      <w:ins w:id="34" w:author="Zoe Dawson" w:date="2015-10-23T08:30:00Z">
        <w:del w:id="35" w:author="Samuel Dent" w:date="2015-10-23T09:33:00Z">
          <w:r w:rsidR="00312DA0" w:rsidDel="00D75BD7">
            <w:rPr>
              <w:szCs w:val="18"/>
            </w:rPr>
            <w:delText>Based on Efficiency Vermont</w:delText>
          </w:r>
        </w:del>
      </w:ins>
      <w:ins w:id="36" w:author="Samuel Dent" w:date="2015-10-23T09:33:00Z">
        <w:del w:id="37" w:author="Samuel Dent" w:date="2015-10-23T09:33:00Z">
          <w:r w:rsidR="00D75BD7" w:rsidDel="00D75BD7">
            <w:rPr>
              <w:szCs w:val="18"/>
            </w:rPr>
            <w:delText xml:space="preserve"> </w:delText>
          </w:r>
        </w:del>
      </w:ins>
      <w:ins w:id="38" w:author="Zoe Dawson" w:date="2015-10-23T08:30:00Z">
        <w:del w:id="39" w:author="Samuel Dent" w:date="2015-10-23T09:33:00Z">
          <w:r w:rsidR="00312DA0" w:rsidDel="00D75BD7">
            <w:rPr>
              <w:szCs w:val="18"/>
            </w:rPr>
            <w:delText xml:space="preserve"> control data for Occupancy Sensor Costs 2009-2014</w:delText>
          </w:r>
        </w:del>
      </w:ins>
      <w:del w:id="40" w:author="Samuel Dent" w:date="2015-10-23T09:33:00Z">
        <w:r w:rsidRPr="009C362B" w:rsidDel="00D75BD7">
          <w:rPr>
            <w:szCs w:val="18"/>
          </w:rPr>
          <w:delText>2009</w:delText>
        </w:r>
      </w:del>
      <w:ins w:id="41" w:author="Zoe Dawson" w:date="2015-10-23T09:59:00Z">
        <w:r w:rsidR="00D01C04" w:rsidRPr="00D01C04">
          <w:rPr>
            <w:szCs w:val="18"/>
          </w:rPr>
          <w:t xml:space="preserve"> </w:t>
        </w:r>
        <w:r w:rsidR="00D01C04">
          <w:rPr>
            <w:szCs w:val="18"/>
          </w:rPr>
          <w:t>Taken from NEEP Commercial Lighting Controls, Incremental Cost Data Analysis, 2011 “</w:t>
        </w:r>
        <w:r w:rsidR="00D01C04" w:rsidRPr="00D01C04">
          <w:rPr>
            <w:szCs w:val="18"/>
          </w:rPr>
          <w:t>NEEP Commercial Lighting Controls 2011_08_29.xlsx</w:t>
        </w:r>
        <w:r w:rsidR="00D01C04">
          <w:rPr>
            <w:szCs w:val="18"/>
          </w:rPr>
          <w:t>”</w:t>
        </w:r>
      </w:ins>
    </w:p>
  </w:footnote>
  <w:footnote w:id="4">
    <w:p w:rsidR="003E7FDC" w:rsidRPr="009C362B" w:rsidDel="00D75BD7" w:rsidRDefault="003E7FDC" w:rsidP="003E7FDC">
      <w:pPr>
        <w:pStyle w:val="Footnote"/>
        <w:rPr>
          <w:del w:id="51" w:author="Samuel Dent" w:date="2015-10-23T09:33:00Z"/>
          <w:szCs w:val="18"/>
        </w:rPr>
      </w:pPr>
      <w:del w:id="52" w:author="Samuel Dent" w:date="2015-10-23T09:33:00Z">
        <w:r w:rsidRPr="009C362B" w:rsidDel="00D75BD7">
          <w:rPr>
            <w:rStyle w:val="FootnoteReference"/>
            <w:sz w:val="18"/>
            <w:szCs w:val="18"/>
          </w:rPr>
          <w:footnoteRef/>
        </w:r>
        <w:r w:rsidRPr="009C362B" w:rsidDel="00D75BD7">
          <w:rPr>
            <w:szCs w:val="18"/>
          </w:rPr>
          <w:delText xml:space="preserve"> </w:delText>
        </w:r>
      </w:del>
      <w:ins w:id="53" w:author="Zoe Dawson" w:date="2015-10-23T08:30:00Z">
        <w:del w:id="54" w:author="Samuel Dent" w:date="2015-10-23T09:33:00Z">
          <w:r w:rsidR="00312DA0" w:rsidDel="00D75BD7">
            <w:rPr>
              <w:szCs w:val="18"/>
            </w:rPr>
            <w:delText>Based on Efficiency Vermont control data for Occupancy Sensor Costs 2009-2014</w:delText>
          </w:r>
        </w:del>
      </w:ins>
      <w:del w:id="55" w:author="Samuel Dent" w:date="2015-10-23T09:33:00Z">
        <w:r w:rsidRPr="009C362B" w:rsidDel="00D75BD7">
          <w:rPr>
            <w:szCs w:val="18"/>
          </w:rPr>
          <w:delText>Ibid</w:delText>
        </w:r>
      </w:del>
      <w:ins w:id="56" w:author="Zoe Dawson" w:date="2015-10-23T09:59:00Z">
        <w:r w:rsidR="00D01C04" w:rsidRPr="00D01C04">
          <w:rPr>
            <w:szCs w:val="18"/>
          </w:rPr>
          <w:t xml:space="preserve"> </w:t>
        </w:r>
        <w:r w:rsidR="00D01C04">
          <w:rPr>
            <w:szCs w:val="18"/>
          </w:rPr>
          <w:t>Taken from NEEP Commercial Lighting Controls, Incremental Cost Data Analysis, 2011 “</w:t>
        </w:r>
        <w:r w:rsidR="00D01C04" w:rsidRPr="00D01C04">
          <w:rPr>
            <w:szCs w:val="18"/>
          </w:rPr>
          <w:t>NEEP Commercial Lighting Controls 2011_08_29.xlsx</w:t>
        </w:r>
        <w:r w:rsidR="00D01C04">
          <w:rPr>
            <w:szCs w:val="18"/>
          </w:rPr>
          <w:t>”</w:t>
        </w:r>
      </w:ins>
    </w:p>
  </w:footnote>
  <w:footnote w:id="5">
    <w:p w:rsidR="003E7FDC" w:rsidRPr="009C362B" w:rsidDel="00D75BD7" w:rsidRDefault="003E7FDC" w:rsidP="003E7FDC">
      <w:pPr>
        <w:pStyle w:val="Footnote"/>
        <w:rPr>
          <w:del w:id="63" w:author="Samuel Dent" w:date="2015-10-23T09:33:00Z"/>
          <w:szCs w:val="18"/>
        </w:rPr>
      </w:pPr>
      <w:del w:id="64" w:author="Samuel Dent" w:date="2015-10-23T09:33:00Z">
        <w:r w:rsidRPr="009C362B" w:rsidDel="00D75BD7">
          <w:rPr>
            <w:rStyle w:val="FootnoteReference"/>
            <w:sz w:val="18"/>
            <w:szCs w:val="18"/>
          </w:rPr>
          <w:footnoteRef/>
        </w:r>
        <w:r w:rsidRPr="009C362B" w:rsidDel="00D75BD7">
          <w:rPr>
            <w:szCs w:val="18"/>
          </w:rPr>
          <w:delText xml:space="preserve"> </w:delText>
        </w:r>
      </w:del>
      <w:ins w:id="65" w:author="Zoe Dawson" w:date="2015-10-23T10:00:00Z">
        <w:r w:rsidR="00D01C04">
          <w:rPr>
            <w:szCs w:val="18"/>
          </w:rPr>
          <w:t xml:space="preserve">Taken from NEEP Commercial Lighting Controls, Incremental Cost Data Analysis, 2011 </w:t>
        </w:r>
        <w:r w:rsidR="00D01C04">
          <w:rPr>
            <w:szCs w:val="18"/>
          </w:rPr>
          <w:t xml:space="preserve">and average of fixture-mounted sensor costs provided </w:t>
        </w:r>
        <w:bookmarkStart w:id="66" w:name="_GoBack"/>
        <w:bookmarkEnd w:id="66"/>
        <w:r w:rsidR="00D01C04">
          <w:rPr>
            <w:szCs w:val="18"/>
          </w:rPr>
          <w:t>“</w:t>
        </w:r>
        <w:r w:rsidR="00D01C04" w:rsidRPr="00D01C04">
          <w:rPr>
            <w:szCs w:val="18"/>
          </w:rPr>
          <w:t>NEEP Commercial Lighting Controls 2011_08_29.xlsx</w:t>
        </w:r>
        <w:r w:rsidR="00D01C04">
          <w:rPr>
            <w:szCs w:val="18"/>
          </w:rPr>
          <w:t>”</w:t>
        </w:r>
      </w:ins>
      <w:del w:id="67" w:author="Samuel Dent" w:date="2015-10-23T09:33:00Z">
        <w:r w:rsidRPr="009C362B" w:rsidDel="00D75BD7">
          <w:rPr>
            <w:szCs w:val="18"/>
          </w:rPr>
          <w:delText>Efficiency Vermont TRM, October 26, 2011</w:delText>
        </w:r>
      </w:del>
      <w:ins w:id="68" w:author="Zoe Dawson" w:date="2015-10-23T08:29:00Z">
        <w:del w:id="69" w:author="Samuel Dent" w:date="2015-10-23T09:33:00Z">
          <w:r w:rsidR="00312DA0" w:rsidDel="00D75BD7">
            <w:rPr>
              <w:szCs w:val="18"/>
            </w:rPr>
            <w:delText xml:space="preserve"> Based on Efficiency Vermont control data for Occupancy Sensor Costs 2009-2014,</w:delText>
          </w:r>
        </w:del>
      </w:ins>
      <w:del w:id="70" w:author="Samuel Dent" w:date="2015-10-23T09:33:00Z">
        <w:r w:rsidRPr="009C362B" w:rsidDel="00D75BD7">
          <w:rPr>
            <w:szCs w:val="18"/>
          </w:rPr>
          <w:delText>.</w:delText>
        </w:r>
      </w:del>
    </w:p>
  </w:footnote>
  <w:footnote w:id="6">
    <w:p w:rsidR="007E2883" w:rsidRDefault="007E2883" w:rsidP="007E2883">
      <w:pPr>
        <w:pStyle w:val="FootnoteText"/>
        <w:rPr>
          <w:ins w:id="77" w:author="Zoe Dawson" w:date="2015-10-23T08:37:00Z"/>
        </w:rPr>
      </w:pPr>
      <w:ins w:id="78" w:author="Zoe Dawson" w:date="2015-10-23T08:37:00Z">
        <w:r>
          <w:rPr>
            <w:rStyle w:val="FootnoteReference"/>
          </w:rPr>
          <w:footnoteRef/>
        </w:r>
        <w:r>
          <w:t xml:space="preserve"> Fixture embedded Occupancy Sensors are included with the fixture and therefore no additional installation costs are incurred for these sensors. Therefore, it is assumed that the costs associated with Fixture-embedded Occupancy Sensors should not surpass those of the wall mounted due to the similarity in installation.</w:t>
        </w:r>
      </w:ins>
    </w:p>
  </w:footnote>
  <w:footnote w:id="7">
    <w:p w:rsidR="00D75BD7" w:rsidRPr="00872106" w:rsidRDefault="00D75BD7" w:rsidP="00D75BD7">
      <w:pPr>
        <w:pStyle w:val="Footnote"/>
        <w:rPr>
          <w:ins w:id="85" w:author="Samuel Dent" w:date="2015-10-23T09:33:00Z"/>
          <w:szCs w:val="18"/>
        </w:rPr>
      </w:pPr>
      <w:ins w:id="86" w:author="Samuel Dent" w:date="2015-10-23T09:33:00Z">
        <w:r w:rsidRPr="009C362B">
          <w:rPr>
            <w:rStyle w:val="CaptionChar"/>
            <w:rFonts w:eastAsiaTheme="minorEastAsia"/>
            <w:szCs w:val="18"/>
            <w:vertAlign w:val="superscript"/>
          </w:rPr>
          <w:footnoteRef/>
        </w:r>
        <w:r w:rsidRPr="009C362B">
          <w:rPr>
            <w:rStyle w:val="CaptionChar"/>
            <w:rFonts w:eastAsiaTheme="minorEastAsia"/>
            <w:szCs w:val="18"/>
            <w:vertAlign w:val="superscript"/>
          </w:rPr>
          <w:t xml:space="preserve"> </w:t>
        </w:r>
        <w:proofErr w:type="gramStart"/>
        <w:r w:rsidRPr="00C233BB">
          <w:rPr>
            <w:szCs w:val="18"/>
          </w:rPr>
          <w:t>Based on EVT control data for Occupancy Sensor Costs 2009-2014.</w:t>
        </w:r>
        <w:proofErr w:type="gramEnd"/>
        <w:r w:rsidRPr="00C233BB">
          <w:rPr>
            <w:szCs w:val="18"/>
          </w:rPr>
          <w:t xml:space="preserve"> </w:t>
        </w:r>
      </w:ins>
    </w:p>
  </w:footnote>
  <w:footnote w:id="8">
    <w:p w:rsidR="003E7FDC" w:rsidRPr="00872106" w:rsidDel="00D75BD7" w:rsidRDefault="003E7FDC" w:rsidP="003E7FDC">
      <w:pPr>
        <w:pStyle w:val="Footnote"/>
        <w:rPr>
          <w:del w:id="91" w:author="Samuel Dent" w:date="2015-10-23T09:33:00Z"/>
          <w:szCs w:val="18"/>
        </w:rPr>
      </w:pPr>
      <w:del w:id="92" w:author="Samuel Dent" w:date="2015-10-23T09:33:00Z">
        <w:r w:rsidRPr="009C362B" w:rsidDel="00D75BD7">
          <w:rPr>
            <w:rStyle w:val="CaptionChar"/>
            <w:rFonts w:eastAsiaTheme="minorEastAsia"/>
            <w:szCs w:val="18"/>
            <w:vertAlign w:val="superscript"/>
          </w:rPr>
          <w:footnoteRef/>
        </w:r>
        <w:r w:rsidRPr="009C362B" w:rsidDel="00D75BD7">
          <w:rPr>
            <w:rStyle w:val="CaptionChar"/>
            <w:rFonts w:eastAsiaTheme="minorEastAsia"/>
            <w:szCs w:val="18"/>
            <w:vertAlign w:val="superscript"/>
          </w:rPr>
          <w:delText xml:space="preserve"> </w:delText>
        </w:r>
      </w:del>
      <w:ins w:id="93" w:author="Zoe Dawson" w:date="2015-10-23T08:44:00Z">
        <w:del w:id="94" w:author="Samuel Dent" w:date="2015-10-23T09:33:00Z">
          <w:r w:rsidR="00872106" w:rsidRPr="00872106" w:rsidDel="00D75BD7">
            <w:rPr>
              <w:szCs w:val="18"/>
              <w:rPrChange w:id="95" w:author="Zoe Dawson" w:date="2015-10-23T08:45:00Z">
                <w:rPr>
                  <w:sz w:val="16"/>
                  <w:szCs w:val="16"/>
                </w:rPr>
              </w:rPrChange>
            </w:rPr>
            <w:delText xml:space="preserve">Based on EVT control data for Occupancy Sensor Costs 2009-2014. </w:delText>
          </w:r>
        </w:del>
      </w:ins>
      <w:del w:id="96" w:author="Samuel Dent" w:date="2015-10-23T09:33:00Z">
        <w:r w:rsidRPr="00872106" w:rsidDel="00D75BD7">
          <w:rPr>
            <w:szCs w:val="18"/>
          </w:rPr>
          <w:delText>Goldberg et al, State of Wisconsin Public Service Commission of Wisconsin, Focus on Energy Evaluation, Business Programs, Incremental Cost Study, KEMA, October 28, 2009</w:delText>
        </w:r>
      </w:del>
    </w:p>
  </w:footnote>
  <w:footnote w:id="9">
    <w:p w:rsidR="003E7FDC" w:rsidRPr="00872106" w:rsidDel="00D75BD7" w:rsidRDefault="003E7FDC" w:rsidP="003E7FDC">
      <w:pPr>
        <w:pStyle w:val="Footnote"/>
        <w:rPr>
          <w:del w:id="101" w:author="Samuel Dent" w:date="2015-10-23T09:34:00Z"/>
          <w:szCs w:val="18"/>
        </w:rPr>
      </w:pPr>
      <w:del w:id="102" w:author="Samuel Dent" w:date="2015-10-23T09:34:00Z">
        <w:r w:rsidRPr="00D75BD7" w:rsidDel="00D75BD7">
          <w:rPr>
            <w:rStyle w:val="CaptionChar"/>
            <w:rFonts w:eastAsiaTheme="minorEastAsia"/>
            <w:sz w:val="18"/>
            <w:szCs w:val="18"/>
            <w:vertAlign w:val="superscript"/>
          </w:rPr>
          <w:footnoteRef/>
        </w:r>
        <w:r w:rsidRPr="00872106" w:rsidDel="00D75BD7">
          <w:rPr>
            <w:b/>
            <w:szCs w:val="18"/>
            <w:vertAlign w:val="superscript"/>
          </w:rPr>
          <w:delText xml:space="preserve"> </w:delText>
        </w:r>
      </w:del>
      <w:ins w:id="103" w:author="Zoe Dawson" w:date="2015-10-23T08:45:00Z">
        <w:del w:id="104" w:author="Samuel Dent" w:date="2015-10-23T09:34:00Z">
          <w:r w:rsidR="00872106" w:rsidRPr="00872106" w:rsidDel="00D75BD7">
            <w:rPr>
              <w:szCs w:val="18"/>
              <w:rPrChange w:id="105" w:author="Zoe Dawson" w:date="2015-10-23T08:45:00Z">
                <w:rPr>
                  <w:sz w:val="16"/>
                  <w:szCs w:val="16"/>
                </w:rPr>
              </w:rPrChange>
            </w:rPr>
            <w:delText>Based on EVT control data for Occupancy Sensor Costs 2009-2014.</w:delText>
          </w:r>
        </w:del>
      </w:ins>
      <w:del w:id="106" w:author="Samuel Dent" w:date="2015-10-23T09:34:00Z">
        <w:r w:rsidRPr="00872106" w:rsidDel="00D75BD7">
          <w:rPr>
            <w:szCs w:val="18"/>
          </w:rPr>
          <w:delText>Ibid</w:delText>
        </w:r>
      </w:del>
    </w:p>
  </w:footnote>
  <w:footnote w:id="10">
    <w:p w:rsidR="003E7FDC" w:rsidRPr="00872106" w:rsidDel="00D75BD7" w:rsidRDefault="003E7FDC" w:rsidP="003E7FDC">
      <w:pPr>
        <w:pStyle w:val="Footnote"/>
        <w:rPr>
          <w:del w:id="115" w:author="Samuel Dent" w:date="2015-10-23T09:34:00Z"/>
          <w:szCs w:val="18"/>
        </w:rPr>
      </w:pPr>
      <w:del w:id="116" w:author="Samuel Dent" w:date="2015-10-23T09:34:00Z">
        <w:r w:rsidRPr="006A3694" w:rsidDel="00D75BD7">
          <w:rPr>
            <w:rStyle w:val="CaptionChar"/>
            <w:rFonts w:eastAsiaTheme="minorEastAsia"/>
            <w:sz w:val="18"/>
            <w:szCs w:val="18"/>
            <w:vertAlign w:val="superscript"/>
          </w:rPr>
          <w:footnoteRef/>
        </w:r>
        <w:r w:rsidRPr="00872106" w:rsidDel="00D75BD7">
          <w:rPr>
            <w:szCs w:val="18"/>
          </w:rPr>
          <w:delText xml:space="preserve"> </w:delText>
        </w:r>
      </w:del>
      <w:ins w:id="117" w:author="Zoe Dawson" w:date="2015-10-23T08:45:00Z">
        <w:del w:id="118" w:author="Samuel Dent" w:date="2015-10-23T09:34:00Z">
          <w:r w:rsidR="00872106" w:rsidRPr="00872106" w:rsidDel="00D75BD7">
            <w:rPr>
              <w:szCs w:val="18"/>
              <w:rPrChange w:id="119" w:author="Zoe Dawson" w:date="2015-10-23T08:45:00Z">
                <w:rPr>
                  <w:sz w:val="16"/>
                  <w:szCs w:val="16"/>
                </w:rPr>
              </w:rPrChange>
            </w:rPr>
            <w:delText xml:space="preserve">Based on EVT control data for Occupancy Sensor Costs 2009-2014. </w:delText>
          </w:r>
        </w:del>
      </w:ins>
      <w:del w:id="120" w:author="Samuel Dent" w:date="2015-10-23T09:34:00Z">
        <w:r w:rsidRPr="00872106" w:rsidDel="00D75BD7">
          <w:rPr>
            <w:szCs w:val="18"/>
          </w:rPr>
          <w:delText>Efficiency Vermont TRM 2/19/2010</w:delText>
        </w:r>
      </w:del>
    </w:p>
  </w:footnote>
  <w:footnote w:id="11">
    <w:p w:rsidR="003E7FDC" w:rsidRPr="00225B09" w:rsidRDefault="003E7FDC" w:rsidP="003E7FDC">
      <w:pPr>
        <w:pStyle w:val="Footnote"/>
        <w:rPr>
          <w:szCs w:val="18"/>
        </w:rPr>
      </w:pPr>
      <w:r w:rsidRPr="00D75BD7">
        <w:rPr>
          <w:rStyle w:val="FootnoteReference"/>
          <w:rFonts w:asciiTheme="minorHAnsi" w:hAnsiTheme="minorHAnsi"/>
          <w:sz w:val="18"/>
          <w:szCs w:val="18"/>
        </w:rPr>
        <w:footnoteRef/>
      </w:r>
      <w:r w:rsidRPr="00872106">
        <w:rPr>
          <w:szCs w:val="18"/>
        </w:rPr>
        <w:t xml:space="preserve"> </w:t>
      </w:r>
      <w:proofErr w:type="gramStart"/>
      <w:ins w:id="121" w:author="Zoe Dawson" w:date="2015-10-23T08:41:00Z">
        <w:r w:rsidR="00872106" w:rsidRPr="00D75BD7">
          <w:rPr>
            <w:szCs w:val="18"/>
          </w:rPr>
          <w:t>Lawrence Berkeley National Laboratory.</w:t>
        </w:r>
        <w:proofErr w:type="gramEnd"/>
        <w:r w:rsidR="00872106" w:rsidRPr="00D75BD7">
          <w:rPr>
            <w:szCs w:val="18"/>
          </w:rPr>
          <w:t xml:space="preserve"> </w:t>
        </w:r>
        <w:proofErr w:type="gramStart"/>
        <w:r w:rsidR="00872106" w:rsidRPr="00D75BD7">
          <w:rPr>
            <w:i/>
            <w:szCs w:val="18"/>
          </w:rPr>
          <w:t>A Meta-Analysis of Energy Savings from Lighting Controls in Commercial Buildings.</w:t>
        </w:r>
        <w:proofErr w:type="gramEnd"/>
        <w:r w:rsidR="00872106" w:rsidRPr="00D75BD7">
          <w:rPr>
            <w:szCs w:val="18"/>
          </w:rPr>
          <w:t xml:space="preserve"> Page &amp; Associates Inc. 2011 </w:t>
        </w:r>
      </w:ins>
      <w:del w:id="122" w:author="Zoe Dawson" w:date="2015-10-23T08:39:00Z">
        <w:r w:rsidRPr="00872106" w:rsidDel="007E2883">
          <w:rPr>
            <w:szCs w:val="18"/>
          </w:rPr>
          <w:delText>Kuiken</w:delText>
        </w:r>
        <w:r w:rsidRPr="009C362B" w:rsidDel="007E2883">
          <w:rPr>
            <w:szCs w:val="18"/>
          </w:rPr>
          <w:delText>, Tammy eta al, State of Wisconsin/Public Service Commission of Wisconsin, Focus on Energy Evaluation, Business Programs, Deemed Savings Manual V1.0, PA Consulting Group and KEMA, March 22, 2010 pp 4-192-194.</w:delText>
        </w:r>
        <w:r w:rsidRPr="009C362B" w:rsidDel="007E2883">
          <w:rPr>
            <w:rFonts w:cs="Helvetica-Oblique"/>
            <w:i/>
            <w:iCs/>
            <w:szCs w:val="18"/>
          </w:rPr>
          <w:delText xml:space="preserve"> </w:delText>
        </w:r>
      </w:del>
    </w:p>
  </w:footnote>
  <w:footnote w:id="12">
    <w:p w:rsidR="003E7FDC" w:rsidRPr="0075793C" w:rsidRDefault="003E7FDC" w:rsidP="003E7FDC">
      <w:pPr>
        <w:pStyle w:val="Footnote"/>
        <w:rPr>
          <w:szCs w:val="18"/>
        </w:rPr>
      </w:pPr>
      <w:r w:rsidRPr="007A07C8">
        <w:rPr>
          <w:rStyle w:val="FootnoteReference"/>
          <w:sz w:val="18"/>
          <w:szCs w:val="18"/>
        </w:rPr>
        <w:footnoteRef/>
      </w:r>
      <w:r w:rsidRPr="00D53442">
        <w:rPr>
          <w:szCs w:val="18"/>
        </w:rPr>
        <w:t xml:space="preserve"> </w:t>
      </w:r>
      <w:proofErr w:type="spellStart"/>
      <w:r w:rsidRPr="00D53442">
        <w:rPr>
          <w:szCs w:val="18"/>
        </w:rPr>
        <w:t>Papamichael</w:t>
      </w:r>
      <w:proofErr w:type="spellEnd"/>
      <w:r w:rsidRPr="00D53442">
        <w:rPr>
          <w:szCs w:val="18"/>
        </w:rPr>
        <w:t xml:space="preserve">, </w:t>
      </w:r>
      <w:proofErr w:type="spellStart"/>
      <w:r w:rsidRPr="00D53442">
        <w:rPr>
          <w:szCs w:val="18"/>
        </w:rPr>
        <w:t>Konstantions</w:t>
      </w:r>
      <w:proofErr w:type="spellEnd"/>
      <w:r w:rsidRPr="00D53442">
        <w:rPr>
          <w:szCs w:val="18"/>
        </w:rPr>
        <w:t>, Bi-Level Switching in Office Spaces, California Lighting Technology Center, February 1</w:t>
      </w:r>
      <w:proofErr w:type="gramStart"/>
      <w:r w:rsidRPr="00D53442">
        <w:rPr>
          <w:szCs w:val="18"/>
        </w:rPr>
        <w:t>,2010</w:t>
      </w:r>
      <w:proofErr w:type="gramEnd"/>
      <w:r w:rsidRPr="00D53442">
        <w:rPr>
          <w:szCs w:val="18"/>
        </w:rPr>
        <w:t>. Note: See Figure 8 on page 10 for relevant study</w:t>
      </w:r>
      <w:r w:rsidRPr="005D0D50">
        <w:rPr>
          <w:szCs w:val="18"/>
        </w:rPr>
        <w:t xml:space="preserve"> results. The study shows a 30% extra savings above a typical occupancy sensor; </w:t>
      </w:r>
      <w:del w:id="132" w:author="Samuel Dent" w:date="2015-10-23T09:36:00Z">
        <w:r w:rsidRPr="005D0D50" w:rsidDel="00D75BD7">
          <w:rPr>
            <w:szCs w:val="18"/>
          </w:rPr>
          <w:delText>41</w:delText>
        </w:r>
      </w:del>
      <w:ins w:id="133" w:author="Samuel Dent" w:date="2015-10-23T09:36:00Z">
        <w:r w:rsidR="00D75BD7">
          <w:rPr>
            <w:szCs w:val="18"/>
          </w:rPr>
          <w:t>24</w:t>
        </w:r>
      </w:ins>
      <w:r w:rsidRPr="005D0D50">
        <w:rPr>
          <w:szCs w:val="18"/>
        </w:rPr>
        <w:t xml:space="preserve">% * 1.3 = </w:t>
      </w:r>
      <w:del w:id="134" w:author="Samuel Dent" w:date="2015-10-23T09:36:00Z">
        <w:r w:rsidRPr="005D0D50" w:rsidDel="00D75BD7">
          <w:rPr>
            <w:szCs w:val="18"/>
          </w:rPr>
          <w:delText>53</w:delText>
        </w:r>
      </w:del>
      <w:ins w:id="135" w:author="Samuel Dent" w:date="2015-10-23T09:36:00Z">
        <w:r w:rsidR="00D75BD7">
          <w:rPr>
            <w:szCs w:val="18"/>
          </w:rPr>
          <w:t>31</w:t>
        </w:r>
      </w:ins>
      <w:r w:rsidRPr="005D0D50">
        <w:rPr>
          <w:szCs w:val="18"/>
        </w:rPr>
        <w:t>%</w:t>
      </w:r>
      <w:proofErr w:type="gramStart"/>
      <w:r w:rsidRPr="005D0D50">
        <w:rPr>
          <w:szCs w:val="18"/>
        </w:rPr>
        <w:t>..</w:t>
      </w:r>
      <w:proofErr w:type="gramEnd"/>
    </w:p>
  </w:footnote>
  <w:footnote w:id="13">
    <w:p w:rsidR="003E7FDC" w:rsidRPr="009C362B" w:rsidRDefault="003E7FDC" w:rsidP="003E7FDC">
      <w:pPr>
        <w:pStyle w:val="Footnote"/>
        <w:rPr>
          <w:szCs w:val="18"/>
        </w:rPr>
      </w:pPr>
      <w:r w:rsidRPr="003B1236">
        <w:rPr>
          <w:rStyle w:val="FootnoteReference"/>
          <w:sz w:val="18"/>
          <w:szCs w:val="18"/>
        </w:rPr>
        <w:footnoteRef/>
      </w:r>
      <w:proofErr w:type="gramStart"/>
      <w:r w:rsidRPr="009C362B">
        <w:rPr>
          <w:szCs w:val="18"/>
        </w:rPr>
        <w:t>Negative value because this is an increase in heating consumption due to the efficient lighting.</w:t>
      </w:r>
      <w:proofErr w:type="gramEnd"/>
    </w:p>
  </w:footnote>
  <w:footnote w:id="14">
    <w:p w:rsidR="003E7FDC" w:rsidRPr="009C362B" w:rsidRDefault="003E7FDC" w:rsidP="003E7FDC">
      <w:pPr>
        <w:pStyle w:val="Footnote"/>
        <w:rPr>
          <w:szCs w:val="18"/>
        </w:rPr>
      </w:pPr>
      <w:r w:rsidRPr="009C362B">
        <w:rPr>
          <w:rStyle w:val="FootnoteReference"/>
          <w:sz w:val="18"/>
          <w:szCs w:val="18"/>
        </w:rPr>
        <w:footnoteRef/>
      </w:r>
      <w:r w:rsidRPr="009C362B">
        <w:rPr>
          <w:szCs w:val="18"/>
        </w:rPr>
        <w:t xml:space="preserve"> Coincidence Factor Study Residential and Commercial Industrial Lighting Measures, RLW Analytics, </w:t>
      </w:r>
      <w:proofErr w:type="gramStart"/>
      <w:r w:rsidRPr="009C362B">
        <w:rPr>
          <w:szCs w:val="18"/>
        </w:rPr>
        <w:t>Spring</w:t>
      </w:r>
      <w:proofErr w:type="gramEnd"/>
      <w:r w:rsidRPr="009C362B">
        <w:rPr>
          <w:szCs w:val="18"/>
        </w:rPr>
        <w:t xml:space="preserve"> 2007.  Note</w:t>
      </w:r>
      <w:proofErr w:type="gramStart"/>
      <w:r w:rsidRPr="009C362B">
        <w:rPr>
          <w:szCs w:val="18"/>
        </w:rPr>
        <w:t>,</w:t>
      </w:r>
      <w:proofErr w:type="gramEnd"/>
      <w:r w:rsidRPr="009C362B">
        <w:rPr>
          <w:szCs w:val="18"/>
        </w:rPr>
        <w:t xml:space="preserve"> the connected load used in the calculation of the CF for occupancy sensor lights includes the average ESF.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BD7" w:rsidRPr="00D75BD7" w:rsidRDefault="00D75BD7" w:rsidP="00D75BD7">
    <w:pPr>
      <w:pStyle w:val="Header"/>
      <w:pBdr>
        <w:bottom w:val="single" w:sz="4" w:space="0" w:color="auto"/>
      </w:pBdr>
      <w:jc w:val="left"/>
      <w:rPr>
        <w:sz w:val="22"/>
      </w:rPr>
    </w:pPr>
    <w:r w:rsidRPr="00BD0270">
      <w:rPr>
        <w:sz w:val="22"/>
      </w:rPr>
      <w:t xml:space="preserve">Illinois Statewide Technical Reference Manual </w:t>
    </w:r>
    <w:r>
      <w:rPr>
        <w:sz w:val="22"/>
      </w:rPr>
      <w:t>– 4.5.10 Occupancy Sensor Lighting Controls</w:t>
    </w:r>
    <w:r w:rsidRPr="00BD0270">
      <w:rPr>
        <w:sz w:val="22"/>
      </w:rPr>
      <w:t xml:space="preserve"> </w:t>
    </w:r>
  </w:p>
  <w:p w:rsidR="00D75BD7" w:rsidRDefault="00D75B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70CF0"/>
    <w:multiLevelType w:val="multilevel"/>
    <w:tmpl w:val="ECB0C478"/>
    <w:lvl w:ilvl="0">
      <w:start w:val="4"/>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FDC"/>
    <w:rsid w:val="00293F53"/>
    <w:rsid w:val="00312DA0"/>
    <w:rsid w:val="003E111B"/>
    <w:rsid w:val="003E7FDC"/>
    <w:rsid w:val="006A3694"/>
    <w:rsid w:val="007905B9"/>
    <w:rsid w:val="007E2883"/>
    <w:rsid w:val="00872106"/>
    <w:rsid w:val="00D01C04"/>
    <w:rsid w:val="00D72376"/>
    <w:rsid w:val="00D75BD7"/>
    <w:rsid w:val="00F54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FD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3E7FD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3E7FD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3E7FD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3E7FD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3E7FDC"/>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3E7FDC"/>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3E7FD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3E7FD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3E7FD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E7FD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3E7FD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3E7FD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3E7FDC"/>
    <w:rPr>
      <w:rFonts w:ascii="Calibri" w:eastAsiaTheme="minorEastAsia" w:hAnsi="Calibri" w:cs="Arial"/>
      <w:bCs/>
      <w:i/>
      <w:noProof/>
    </w:rPr>
  </w:style>
  <w:style w:type="character" w:customStyle="1" w:styleId="Heading5Char">
    <w:name w:val="Heading 5 Char"/>
    <w:basedOn w:val="DefaultParagraphFont"/>
    <w:link w:val="Heading5"/>
    <w:uiPriority w:val="99"/>
    <w:rsid w:val="003E7FDC"/>
    <w:rPr>
      <w:rFonts w:ascii="Calibri" w:eastAsia="Times New Roman" w:hAnsi="Calibri" w:cs="Times New Roman"/>
      <w:sz w:val="20"/>
    </w:rPr>
  </w:style>
  <w:style w:type="character" w:customStyle="1" w:styleId="Heading6Char">
    <w:name w:val="Heading 6 Char"/>
    <w:basedOn w:val="DefaultParagraphFont"/>
    <w:link w:val="Heading6"/>
    <w:uiPriority w:val="9"/>
    <w:rsid w:val="003E7FDC"/>
    <w:rPr>
      <w:rFonts w:eastAsia="Times New Roman" w:cs="Calibri"/>
      <w:b/>
      <w:smallCaps/>
    </w:rPr>
  </w:style>
  <w:style w:type="character" w:customStyle="1" w:styleId="Heading7Char">
    <w:name w:val="Heading 7 Char"/>
    <w:basedOn w:val="DefaultParagraphFont"/>
    <w:link w:val="Heading7"/>
    <w:uiPriority w:val="99"/>
    <w:rsid w:val="003E7FD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3E7FD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3E7FD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3E7FDC"/>
    <w:rPr>
      <w:rFonts w:ascii="Calibri" w:eastAsiaTheme="minorEastAsia" w:hAnsi="Calibri" w:cs="Times New Roman"/>
      <w:bCs/>
      <w:sz w:val="24"/>
      <w:szCs w:val="24"/>
    </w:rPr>
  </w:style>
  <w:style w:type="table" w:styleId="TableGrid">
    <w:name w:val="Table Grid"/>
    <w:basedOn w:val="TableNormal"/>
    <w:uiPriority w:val="59"/>
    <w:rsid w:val="003E7F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3E7FDC"/>
    <w:rPr>
      <w:rFonts w:ascii="Arial" w:hAnsi="Arial" w:cs="Times New Roman"/>
      <w:sz w:val="20"/>
      <w:vertAlign w:val="superscript"/>
    </w:rPr>
  </w:style>
  <w:style w:type="paragraph" w:styleId="Caption">
    <w:name w:val="caption"/>
    <w:aliases w:val="Footnotes,Table Caption,Char"/>
    <w:basedOn w:val="Normal"/>
    <w:next w:val="Normal"/>
    <w:link w:val="CaptionChar"/>
    <w:autoRedefine/>
    <w:uiPriority w:val="35"/>
    <w:qFormat/>
    <w:rsid w:val="003E7FDC"/>
    <w:pPr>
      <w:keepNext/>
      <w:tabs>
        <w:tab w:val="left" w:pos="1152"/>
      </w:tabs>
      <w:jc w:val="center"/>
    </w:pPr>
    <w:rPr>
      <w:rFonts w:cstheme="minorHAnsi"/>
      <w:b/>
      <w:szCs w:val="24"/>
    </w:rPr>
  </w:style>
  <w:style w:type="character" w:customStyle="1" w:styleId="CaptionChar">
    <w:name w:val="Caption Char"/>
    <w:aliases w:val="Footnotes Char,Table Caption Char,Char Char"/>
    <w:link w:val="Caption"/>
    <w:uiPriority w:val="35"/>
    <w:locked/>
    <w:rsid w:val="003E7FDC"/>
    <w:rPr>
      <w:rFonts w:eastAsia="Times New Roman" w:cstheme="minorHAnsi"/>
      <w:b/>
      <w:sz w:val="20"/>
      <w:szCs w:val="24"/>
    </w:rPr>
  </w:style>
  <w:style w:type="paragraph" w:customStyle="1" w:styleId="TableText">
    <w:name w:val="Table Text"/>
    <w:basedOn w:val="Normal"/>
    <w:autoRedefine/>
    <w:qFormat/>
    <w:rsid w:val="003E7FDC"/>
    <w:pPr>
      <w:jc w:val="left"/>
    </w:pPr>
    <w:rPr>
      <w:rFonts w:ascii="Calibri" w:hAnsi="Calibri" w:cs="Arial"/>
      <w:noProof/>
      <w:szCs w:val="18"/>
      <w:lang w:val="en"/>
    </w:rPr>
  </w:style>
  <w:style w:type="character" w:customStyle="1" w:styleId="FootnoteChar">
    <w:name w:val="Footnote Char"/>
    <w:basedOn w:val="DefaultParagraphFont"/>
    <w:link w:val="Footnote"/>
    <w:rsid w:val="003E7FDC"/>
    <w:rPr>
      <w:rFonts w:eastAsiaTheme="minorEastAsia" w:cstheme="minorHAnsi"/>
      <w:sz w:val="18"/>
      <w:szCs w:val="20"/>
    </w:rPr>
  </w:style>
  <w:style w:type="paragraph" w:customStyle="1" w:styleId="TableHeading">
    <w:name w:val="Table Heading"/>
    <w:basedOn w:val="TableText"/>
    <w:autoRedefine/>
    <w:uiPriority w:val="99"/>
    <w:qFormat/>
    <w:rsid w:val="003E7FDC"/>
    <w:pPr>
      <w:jc w:val="center"/>
    </w:pPr>
    <w:rPr>
      <w:rFonts w:cs="Times New Roman"/>
      <w:b/>
      <w:color w:val="FFFFFF" w:themeColor="background1"/>
      <w:szCs w:val="24"/>
      <w:lang w:val="en-US"/>
    </w:rPr>
  </w:style>
  <w:style w:type="paragraph" w:customStyle="1" w:styleId="Footnote">
    <w:name w:val="Footnote"/>
    <w:basedOn w:val="FootnoteText"/>
    <w:link w:val="FootnoteChar"/>
    <w:autoRedefine/>
    <w:qFormat/>
    <w:rsid w:val="003E7FDC"/>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3E7FDC"/>
    <w:pPr>
      <w:spacing w:after="0"/>
    </w:pPr>
    <w:rPr>
      <w:szCs w:val="20"/>
    </w:rPr>
  </w:style>
  <w:style w:type="character" w:customStyle="1" w:styleId="FootnoteTextChar">
    <w:name w:val="Footnote Text Char"/>
    <w:basedOn w:val="DefaultParagraphFont"/>
    <w:link w:val="FootnoteText"/>
    <w:uiPriority w:val="99"/>
    <w:semiHidden/>
    <w:rsid w:val="003E7FDC"/>
    <w:rPr>
      <w:rFonts w:eastAsia="Times New Roman" w:cs="Times New Roman"/>
      <w:sz w:val="20"/>
      <w:szCs w:val="20"/>
    </w:rPr>
  </w:style>
  <w:style w:type="paragraph" w:styleId="CommentText">
    <w:name w:val="annotation text"/>
    <w:basedOn w:val="Normal"/>
    <w:link w:val="CommentTextChar"/>
    <w:uiPriority w:val="99"/>
    <w:rsid w:val="003E7FDC"/>
    <w:pPr>
      <w:spacing w:after="240"/>
    </w:pPr>
  </w:style>
  <w:style w:type="character" w:customStyle="1" w:styleId="CommentTextChar">
    <w:name w:val="Comment Text Char"/>
    <w:basedOn w:val="DefaultParagraphFont"/>
    <w:link w:val="CommentText"/>
    <w:uiPriority w:val="99"/>
    <w:rsid w:val="003E7FDC"/>
    <w:rPr>
      <w:rFonts w:eastAsia="Times New Roman" w:cs="Times New Roman"/>
      <w:sz w:val="20"/>
    </w:rPr>
  </w:style>
  <w:style w:type="character" w:styleId="CommentReference">
    <w:name w:val="annotation reference"/>
    <w:uiPriority w:val="99"/>
    <w:rsid w:val="003E7FDC"/>
    <w:rPr>
      <w:rFonts w:cs="Times New Roman"/>
      <w:sz w:val="16"/>
      <w:szCs w:val="16"/>
    </w:rPr>
  </w:style>
  <w:style w:type="paragraph" w:styleId="BalloonText">
    <w:name w:val="Balloon Text"/>
    <w:basedOn w:val="Normal"/>
    <w:link w:val="BalloonTextChar"/>
    <w:uiPriority w:val="99"/>
    <w:semiHidden/>
    <w:unhideWhenUsed/>
    <w:rsid w:val="003E7FD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7FDC"/>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312DA0"/>
    <w:pPr>
      <w:spacing w:after="120"/>
    </w:pPr>
    <w:rPr>
      <w:b/>
      <w:bCs/>
      <w:szCs w:val="20"/>
    </w:rPr>
  </w:style>
  <w:style w:type="character" w:customStyle="1" w:styleId="CommentSubjectChar">
    <w:name w:val="Comment Subject Char"/>
    <w:basedOn w:val="CommentTextChar"/>
    <w:link w:val="CommentSubject"/>
    <w:uiPriority w:val="99"/>
    <w:semiHidden/>
    <w:rsid w:val="00312DA0"/>
    <w:rPr>
      <w:rFonts w:eastAsia="Times New Roman" w:cs="Times New Roman"/>
      <w:b/>
      <w:bCs/>
      <w:sz w:val="20"/>
      <w:szCs w:val="20"/>
    </w:rPr>
  </w:style>
  <w:style w:type="paragraph" w:styleId="Header">
    <w:name w:val="header"/>
    <w:basedOn w:val="Normal"/>
    <w:link w:val="HeaderChar"/>
    <w:uiPriority w:val="99"/>
    <w:unhideWhenUsed/>
    <w:rsid w:val="00D75BD7"/>
    <w:pPr>
      <w:tabs>
        <w:tab w:val="center" w:pos="4680"/>
        <w:tab w:val="right" w:pos="9360"/>
      </w:tabs>
      <w:spacing w:after="0"/>
    </w:pPr>
  </w:style>
  <w:style w:type="character" w:customStyle="1" w:styleId="HeaderChar">
    <w:name w:val="Header Char"/>
    <w:basedOn w:val="DefaultParagraphFont"/>
    <w:link w:val="Header"/>
    <w:uiPriority w:val="99"/>
    <w:rsid w:val="00D75BD7"/>
    <w:rPr>
      <w:rFonts w:eastAsia="Times New Roman" w:cs="Times New Roman"/>
      <w:sz w:val="20"/>
    </w:rPr>
  </w:style>
  <w:style w:type="paragraph" w:styleId="Footer">
    <w:name w:val="footer"/>
    <w:basedOn w:val="Normal"/>
    <w:link w:val="FooterChar"/>
    <w:uiPriority w:val="99"/>
    <w:unhideWhenUsed/>
    <w:rsid w:val="00D75BD7"/>
    <w:pPr>
      <w:tabs>
        <w:tab w:val="center" w:pos="4680"/>
        <w:tab w:val="right" w:pos="9360"/>
      </w:tabs>
      <w:spacing w:after="0"/>
    </w:pPr>
  </w:style>
  <w:style w:type="character" w:customStyle="1" w:styleId="FooterChar">
    <w:name w:val="Footer Char"/>
    <w:basedOn w:val="DefaultParagraphFont"/>
    <w:link w:val="Footer"/>
    <w:uiPriority w:val="99"/>
    <w:rsid w:val="00D75BD7"/>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FD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3E7FD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3E7FD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3E7FD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3E7FD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3E7FDC"/>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3E7FDC"/>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3E7FD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3E7FD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3E7FD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E7FD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3E7FD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3E7FD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3E7FDC"/>
    <w:rPr>
      <w:rFonts w:ascii="Calibri" w:eastAsiaTheme="minorEastAsia" w:hAnsi="Calibri" w:cs="Arial"/>
      <w:bCs/>
      <w:i/>
      <w:noProof/>
    </w:rPr>
  </w:style>
  <w:style w:type="character" w:customStyle="1" w:styleId="Heading5Char">
    <w:name w:val="Heading 5 Char"/>
    <w:basedOn w:val="DefaultParagraphFont"/>
    <w:link w:val="Heading5"/>
    <w:uiPriority w:val="99"/>
    <w:rsid w:val="003E7FDC"/>
    <w:rPr>
      <w:rFonts w:ascii="Calibri" w:eastAsia="Times New Roman" w:hAnsi="Calibri" w:cs="Times New Roman"/>
      <w:sz w:val="20"/>
    </w:rPr>
  </w:style>
  <w:style w:type="character" w:customStyle="1" w:styleId="Heading6Char">
    <w:name w:val="Heading 6 Char"/>
    <w:basedOn w:val="DefaultParagraphFont"/>
    <w:link w:val="Heading6"/>
    <w:uiPriority w:val="9"/>
    <w:rsid w:val="003E7FDC"/>
    <w:rPr>
      <w:rFonts w:eastAsia="Times New Roman" w:cs="Calibri"/>
      <w:b/>
      <w:smallCaps/>
    </w:rPr>
  </w:style>
  <w:style w:type="character" w:customStyle="1" w:styleId="Heading7Char">
    <w:name w:val="Heading 7 Char"/>
    <w:basedOn w:val="DefaultParagraphFont"/>
    <w:link w:val="Heading7"/>
    <w:uiPriority w:val="99"/>
    <w:rsid w:val="003E7FD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3E7FD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3E7FD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3E7FDC"/>
    <w:rPr>
      <w:rFonts w:ascii="Calibri" w:eastAsiaTheme="minorEastAsia" w:hAnsi="Calibri" w:cs="Times New Roman"/>
      <w:bCs/>
      <w:sz w:val="24"/>
      <w:szCs w:val="24"/>
    </w:rPr>
  </w:style>
  <w:style w:type="table" w:styleId="TableGrid">
    <w:name w:val="Table Grid"/>
    <w:basedOn w:val="TableNormal"/>
    <w:uiPriority w:val="59"/>
    <w:rsid w:val="003E7F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3E7FDC"/>
    <w:rPr>
      <w:rFonts w:ascii="Arial" w:hAnsi="Arial" w:cs="Times New Roman"/>
      <w:sz w:val="20"/>
      <w:vertAlign w:val="superscript"/>
    </w:rPr>
  </w:style>
  <w:style w:type="paragraph" w:styleId="Caption">
    <w:name w:val="caption"/>
    <w:aliases w:val="Footnotes,Table Caption,Char"/>
    <w:basedOn w:val="Normal"/>
    <w:next w:val="Normal"/>
    <w:link w:val="CaptionChar"/>
    <w:autoRedefine/>
    <w:uiPriority w:val="35"/>
    <w:qFormat/>
    <w:rsid w:val="003E7FDC"/>
    <w:pPr>
      <w:keepNext/>
      <w:tabs>
        <w:tab w:val="left" w:pos="1152"/>
      </w:tabs>
      <w:jc w:val="center"/>
    </w:pPr>
    <w:rPr>
      <w:rFonts w:cstheme="minorHAnsi"/>
      <w:b/>
      <w:szCs w:val="24"/>
    </w:rPr>
  </w:style>
  <w:style w:type="character" w:customStyle="1" w:styleId="CaptionChar">
    <w:name w:val="Caption Char"/>
    <w:aliases w:val="Footnotes Char,Table Caption Char,Char Char"/>
    <w:link w:val="Caption"/>
    <w:uiPriority w:val="35"/>
    <w:locked/>
    <w:rsid w:val="003E7FDC"/>
    <w:rPr>
      <w:rFonts w:eastAsia="Times New Roman" w:cstheme="minorHAnsi"/>
      <w:b/>
      <w:sz w:val="20"/>
      <w:szCs w:val="24"/>
    </w:rPr>
  </w:style>
  <w:style w:type="paragraph" w:customStyle="1" w:styleId="TableText">
    <w:name w:val="Table Text"/>
    <w:basedOn w:val="Normal"/>
    <w:autoRedefine/>
    <w:qFormat/>
    <w:rsid w:val="003E7FDC"/>
    <w:pPr>
      <w:jc w:val="left"/>
    </w:pPr>
    <w:rPr>
      <w:rFonts w:ascii="Calibri" w:hAnsi="Calibri" w:cs="Arial"/>
      <w:noProof/>
      <w:szCs w:val="18"/>
      <w:lang w:val="en"/>
    </w:rPr>
  </w:style>
  <w:style w:type="character" w:customStyle="1" w:styleId="FootnoteChar">
    <w:name w:val="Footnote Char"/>
    <w:basedOn w:val="DefaultParagraphFont"/>
    <w:link w:val="Footnote"/>
    <w:rsid w:val="003E7FDC"/>
    <w:rPr>
      <w:rFonts w:eastAsiaTheme="minorEastAsia" w:cstheme="minorHAnsi"/>
      <w:sz w:val="18"/>
      <w:szCs w:val="20"/>
    </w:rPr>
  </w:style>
  <w:style w:type="paragraph" w:customStyle="1" w:styleId="TableHeading">
    <w:name w:val="Table Heading"/>
    <w:basedOn w:val="TableText"/>
    <w:autoRedefine/>
    <w:uiPriority w:val="99"/>
    <w:qFormat/>
    <w:rsid w:val="003E7FDC"/>
    <w:pPr>
      <w:jc w:val="center"/>
    </w:pPr>
    <w:rPr>
      <w:rFonts w:cs="Times New Roman"/>
      <w:b/>
      <w:color w:val="FFFFFF" w:themeColor="background1"/>
      <w:szCs w:val="24"/>
      <w:lang w:val="en-US"/>
    </w:rPr>
  </w:style>
  <w:style w:type="paragraph" w:customStyle="1" w:styleId="Footnote">
    <w:name w:val="Footnote"/>
    <w:basedOn w:val="FootnoteText"/>
    <w:link w:val="FootnoteChar"/>
    <w:autoRedefine/>
    <w:qFormat/>
    <w:rsid w:val="003E7FDC"/>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3E7FDC"/>
    <w:pPr>
      <w:spacing w:after="0"/>
    </w:pPr>
    <w:rPr>
      <w:szCs w:val="20"/>
    </w:rPr>
  </w:style>
  <w:style w:type="character" w:customStyle="1" w:styleId="FootnoteTextChar">
    <w:name w:val="Footnote Text Char"/>
    <w:basedOn w:val="DefaultParagraphFont"/>
    <w:link w:val="FootnoteText"/>
    <w:uiPriority w:val="99"/>
    <w:semiHidden/>
    <w:rsid w:val="003E7FDC"/>
    <w:rPr>
      <w:rFonts w:eastAsia="Times New Roman" w:cs="Times New Roman"/>
      <w:sz w:val="20"/>
      <w:szCs w:val="20"/>
    </w:rPr>
  </w:style>
  <w:style w:type="paragraph" w:styleId="CommentText">
    <w:name w:val="annotation text"/>
    <w:basedOn w:val="Normal"/>
    <w:link w:val="CommentTextChar"/>
    <w:uiPriority w:val="99"/>
    <w:rsid w:val="003E7FDC"/>
    <w:pPr>
      <w:spacing w:after="240"/>
    </w:pPr>
  </w:style>
  <w:style w:type="character" w:customStyle="1" w:styleId="CommentTextChar">
    <w:name w:val="Comment Text Char"/>
    <w:basedOn w:val="DefaultParagraphFont"/>
    <w:link w:val="CommentText"/>
    <w:uiPriority w:val="99"/>
    <w:rsid w:val="003E7FDC"/>
    <w:rPr>
      <w:rFonts w:eastAsia="Times New Roman" w:cs="Times New Roman"/>
      <w:sz w:val="20"/>
    </w:rPr>
  </w:style>
  <w:style w:type="character" w:styleId="CommentReference">
    <w:name w:val="annotation reference"/>
    <w:uiPriority w:val="99"/>
    <w:rsid w:val="003E7FDC"/>
    <w:rPr>
      <w:rFonts w:cs="Times New Roman"/>
      <w:sz w:val="16"/>
      <w:szCs w:val="16"/>
    </w:rPr>
  </w:style>
  <w:style w:type="paragraph" w:styleId="BalloonText">
    <w:name w:val="Balloon Text"/>
    <w:basedOn w:val="Normal"/>
    <w:link w:val="BalloonTextChar"/>
    <w:uiPriority w:val="99"/>
    <w:semiHidden/>
    <w:unhideWhenUsed/>
    <w:rsid w:val="003E7FD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7FDC"/>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312DA0"/>
    <w:pPr>
      <w:spacing w:after="120"/>
    </w:pPr>
    <w:rPr>
      <w:b/>
      <w:bCs/>
      <w:szCs w:val="20"/>
    </w:rPr>
  </w:style>
  <w:style w:type="character" w:customStyle="1" w:styleId="CommentSubjectChar">
    <w:name w:val="Comment Subject Char"/>
    <w:basedOn w:val="CommentTextChar"/>
    <w:link w:val="CommentSubject"/>
    <w:uiPriority w:val="99"/>
    <w:semiHidden/>
    <w:rsid w:val="00312DA0"/>
    <w:rPr>
      <w:rFonts w:eastAsia="Times New Roman" w:cs="Times New Roman"/>
      <w:b/>
      <w:bCs/>
      <w:sz w:val="20"/>
      <w:szCs w:val="20"/>
    </w:rPr>
  </w:style>
  <w:style w:type="paragraph" w:styleId="Header">
    <w:name w:val="header"/>
    <w:basedOn w:val="Normal"/>
    <w:link w:val="HeaderChar"/>
    <w:uiPriority w:val="99"/>
    <w:unhideWhenUsed/>
    <w:rsid w:val="00D75BD7"/>
    <w:pPr>
      <w:tabs>
        <w:tab w:val="center" w:pos="4680"/>
        <w:tab w:val="right" w:pos="9360"/>
      </w:tabs>
      <w:spacing w:after="0"/>
    </w:pPr>
  </w:style>
  <w:style w:type="character" w:customStyle="1" w:styleId="HeaderChar">
    <w:name w:val="Header Char"/>
    <w:basedOn w:val="DefaultParagraphFont"/>
    <w:link w:val="Header"/>
    <w:uiPriority w:val="99"/>
    <w:rsid w:val="00D75BD7"/>
    <w:rPr>
      <w:rFonts w:eastAsia="Times New Roman" w:cs="Times New Roman"/>
      <w:sz w:val="20"/>
    </w:rPr>
  </w:style>
  <w:style w:type="paragraph" w:styleId="Footer">
    <w:name w:val="footer"/>
    <w:basedOn w:val="Normal"/>
    <w:link w:val="FooterChar"/>
    <w:uiPriority w:val="99"/>
    <w:unhideWhenUsed/>
    <w:rsid w:val="00D75BD7"/>
    <w:pPr>
      <w:tabs>
        <w:tab w:val="center" w:pos="4680"/>
        <w:tab w:val="right" w:pos="9360"/>
      </w:tabs>
      <w:spacing w:after="0"/>
    </w:pPr>
  </w:style>
  <w:style w:type="character" w:customStyle="1" w:styleId="FooterChar">
    <w:name w:val="Footer Char"/>
    <w:basedOn w:val="DefaultParagraphFont"/>
    <w:link w:val="Footer"/>
    <w:uiPriority w:val="99"/>
    <w:rsid w:val="00D75BD7"/>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08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A27B8-0FFA-4327-81B1-579241BFE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935</Words>
  <Characters>5334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6257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 Dawson</dc:creator>
  <cp:lastModifiedBy>Zoe Dawson</cp:lastModifiedBy>
  <cp:revision>3</cp:revision>
  <dcterms:created xsi:type="dcterms:W3CDTF">2015-10-23T13:46:00Z</dcterms:created>
  <dcterms:modified xsi:type="dcterms:W3CDTF">2015-10-23T14:00:00Z</dcterms:modified>
</cp:coreProperties>
</file>