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0FA5" w:rsidRPr="008079E1" w:rsidRDefault="00EA0FA5" w:rsidP="00EA0FA5">
      <w:pPr>
        <w:pStyle w:val="Heading3"/>
        <w:numPr>
          <w:ilvl w:val="2"/>
          <w:numId w:val="2"/>
        </w:numPr>
      </w:pPr>
      <w:bookmarkStart w:id="0" w:name="_Ref325528235"/>
      <w:bookmarkStart w:id="1" w:name="_Ref325528242"/>
      <w:bookmarkStart w:id="2" w:name="_Toc325918693"/>
      <w:bookmarkStart w:id="3" w:name="_Toc333219016"/>
      <w:bookmarkStart w:id="4" w:name="_Toc380062812"/>
      <w:r>
        <w:t>ENERGY STAR Hot Food Holding Cabinets</w:t>
      </w:r>
      <w:bookmarkEnd w:id="0"/>
      <w:bookmarkEnd w:id="1"/>
      <w:bookmarkEnd w:id="2"/>
      <w:bookmarkEnd w:id="3"/>
      <w:bookmarkEnd w:id="4"/>
    </w:p>
    <w:p w:rsidR="00EA0FA5" w:rsidRDefault="00EA0FA5" w:rsidP="00EA0FA5">
      <w:pPr>
        <w:pStyle w:val="Heading6"/>
      </w:pPr>
      <w:r w:rsidRPr="002F371F">
        <w:t xml:space="preserve">Description </w:t>
      </w:r>
    </w:p>
    <w:p w:rsidR="00EA0FA5" w:rsidRDefault="00EA0FA5" w:rsidP="00EA0FA5">
      <w:r>
        <w:t xml:space="preserve">This measure applies to electric ENERGY STAR hot food holding cabinets (HFHC) installed in a commercial kitchen. </w:t>
      </w:r>
    </w:p>
    <w:p w:rsidR="00EA0FA5" w:rsidRDefault="00EA0FA5" w:rsidP="00EA0FA5">
      <w:r>
        <w:t>This measure was developed to be applicable to the following program types:</w:t>
      </w:r>
      <w:r w:rsidRPr="00A65A2C">
        <w:t xml:space="preserve"> TOS.</w:t>
      </w:r>
      <w:r>
        <w:t xml:space="preserve">  If applied to other program types, the measure savings should be verified.</w:t>
      </w:r>
    </w:p>
    <w:p w:rsidR="00EA0FA5" w:rsidRDefault="00EA0FA5" w:rsidP="00EA0FA5">
      <w:pPr>
        <w:pStyle w:val="Heading6"/>
      </w:pPr>
      <w:r w:rsidRPr="002F371F">
        <w:t xml:space="preserve">Definition of Efficient Equipment </w:t>
      </w:r>
    </w:p>
    <w:p w:rsidR="00EA0FA5" w:rsidRPr="00233454" w:rsidRDefault="00EA0FA5" w:rsidP="00EA0FA5">
      <w:r>
        <w:t>To qualify for this measure the installed equipment must be an ENERGY STAR certified HFHC.</w:t>
      </w:r>
    </w:p>
    <w:p w:rsidR="00EA0FA5" w:rsidRDefault="00EA0FA5" w:rsidP="00EA0FA5">
      <w:pPr>
        <w:pStyle w:val="Heading6"/>
      </w:pPr>
      <w:r w:rsidRPr="002F371F">
        <w:t xml:space="preserve">Definition of Baseline Equipment </w:t>
      </w:r>
    </w:p>
    <w:p w:rsidR="00EA0FA5" w:rsidRPr="00233454" w:rsidRDefault="00EA0FA5" w:rsidP="00EA0FA5">
      <w:r>
        <w:t>The baseline equipment is an electric HFHC that’s not ENERGY STAR certified and at end of life.</w:t>
      </w:r>
    </w:p>
    <w:p w:rsidR="00EA0FA5" w:rsidRDefault="00EA0FA5" w:rsidP="00EA0FA5">
      <w:pPr>
        <w:pStyle w:val="Heading6"/>
      </w:pPr>
      <w:r w:rsidRPr="002F371F">
        <w:t xml:space="preserve">Deemed Lifetime of Efficient Equipment </w:t>
      </w:r>
    </w:p>
    <w:p w:rsidR="00EA0FA5" w:rsidRPr="00A85C63" w:rsidRDefault="00EA0FA5" w:rsidP="00EA0FA5">
      <w:r>
        <w:rPr>
          <w:szCs w:val="20"/>
        </w:rPr>
        <w:t xml:space="preserve">The expected measure life is assumed to be </w:t>
      </w:r>
      <w:r>
        <w:t>12 years</w:t>
      </w:r>
      <w:r>
        <w:rPr>
          <w:rStyle w:val="FootnoteReference"/>
        </w:rPr>
        <w:footnoteReference w:id="1"/>
      </w:r>
    </w:p>
    <w:p w:rsidR="00EA0FA5" w:rsidRDefault="00EA0FA5" w:rsidP="00EA0FA5">
      <w:pPr>
        <w:pStyle w:val="Heading6"/>
      </w:pPr>
      <w:r w:rsidRPr="002F371F">
        <w:t xml:space="preserve">Deemed Measure Cost </w:t>
      </w:r>
    </w:p>
    <w:p w:rsidR="00EA0FA5" w:rsidRDefault="00EA0FA5" w:rsidP="00EA0FA5">
      <w:pPr>
        <w:rPr>
          <w:szCs w:val="20"/>
        </w:rPr>
      </w:pPr>
      <w:r>
        <w:rPr>
          <w:szCs w:val="20"/>
        </w:rPr>
        <w:t xml:space="preserve">The incremental capital </w:t>
      </w:r>
      <w:r w:rsidRPr="00E64232">
        <w:rPr>
          <w:rFonts w:cstheme="minorHAnsi"/>
          <w:szCs w:val="20"/>
        </w:rPr>
        <w:t>cost</w:t>
      </w:r>
      <w:r>
        <w:rPr>
          <w:szCs w:val="20"/>
        </w:rPr>
        <w:t xml:space="preserve"> for this measure is</w:t>
      </w:r>
      <w:r>
        <w:rPr>
          <w:rStyle w:val="FootnoteReference"/>
        </w:rPr>
        <w:footnoteReference w:id="2"/>
      </w:r>
    </w:p>
    <w:tbl>
      <w:tblPr>
        <w:tblStyle w:val="TableGrid"/>
        <w:tblW w:w="0" w:type="auto"/>
        <w:jc w:val="center"/>
        <w:tblInd w:w="1008" w:type="dxa"/>
        <w:tblLook w:val="04A0" w:firstRow="1" w:lastRow="0" w:firstColumn="1" w:lastColumn="0" w:noHBand="0" w:noVBand="1"/>
      </w:tblPr>
      <w:tblGrid>
        <w:gridCol w:w="3060"/>
        <w:gridCol w:w="2070"/>
      </w:tblGrid>
      <w:tr w:rsidR="00EA0FA5" w:rsidRPr="00EA0FA5" w:rsidTr="00F85BA9">
        <w:trPr>
          <w:jc w:val="center"/>
        </w:trPr>
        <w:tc>
          <w:tcPr>
            <w:tcW w:w="3060" w:type="dxa"/>
            <w:shd w:val="clear" w:color="auto" w:fill="7F7F7F" w:themeFill="text1" w:themeFillTint="80"/>
          </w:tcPr>
          <w:p w:rsidR="00EA0FA5" w:rsidRPr="00EA0FA5" w:rsidRDefault="00EA0FA5" w:rsidP="00F85BA9">
            <w:pPr>
              <w:pStyle w:val="TableHeading"/>
              <w:rPr>
                <w:rFonts w:asciiTheme="minorHAnsi" w:hAnsiTheme="minorHAnsi"/>
                <w:rPrChange w:id="5" w:author="Samuel Dent" w:date="2015-10-23T09:13:00Z">
                  <w:rPr/>
                </w:rPrChange>
              </w:rPr>
            </w:pPr>
            <w:r w:rsidRPr="00EA0FA5">
              <w:rPr>
                <w:rFonts w:asciiTheme="minorHAnsi" w:hAnsiTheme="minorHAnsi"/>
                <w:rPrChange w:id="6" w:author="Samuel Dent" w:date="2015-10-23T09:13:00Z">
                  <w:rPr/>
                </w:rPrChange>
              </w:rPr>
              <w:t>HFHC Size</w:t>
            </w:r>
          </w:p>
        </w:tc>
        <w:tc>
          <w:tcPr>
            <w:tcW w:w="2070" w:type="dxa"/>
            <w:shd w:val="clear" w:color="auto" w:fill="7F7F7F" w:themeFill="text1" w:themeFillTint="80"/>
          </w:tcPr>
          <w:p w:rsidR="00EA0FA5" w:rsidRPr="00EA0FA5" w:rsidRDefault="00EA0FA5" w:rsidP="00F85BA9">
            <w:pPr>
              <w:pStyle w:val="TableHeading"/>
              <w:rPr>
                <w:rFonts w:asciiTheme="minorHAnsi" w:hAnsiTheme="minorHAnsi"/>
                <w:rPrChange w:id="7" w:author="Samuel Dent" w:date="2015-10-23T09:13:00Z">
                  <w:rPr/>
                </w:rPrChange>
              </w:rPr>
            </w:pPr>
            <w:r w:rsidRPr="00EA0FA5">
              <w:rPr>
                <w:rFonts w:asciiTheme="minorHAnsi" w:hAnsiTheme="minorHAnsi"/>
                <w:rPrChange w:id="8" w:author="Samuel Dent" w:date="2015-10-23T09:13:00Z">
                  <w:rPr/>
                </w:rPrChange>
              </w:rPr>
              <w:t>Incremental Cost</w:t>
            </w:r>
          </w:p>
        </w:tc>
      </w:tr>
      <w:tr w:rsidR="00EA0FA5" w:rsidRPr="00EA0FA5" w:rsidTr="00F85BA9">
        <w:trPr>
          <w:jc w:val="center"/>
        </w:trPr>
        <w:tc>
          <w:tcPr>
            <w:tcW w:w="3060" w:type="dxa"/>
          </w:tcPr>
          <w:p w:rsidR="00EA0FA5" w:rsidRPr="002011E6" w:rsidRDefault="00EA0FA5" w:rsidP="00F85BA9">
            <w:pPr>
              <w:rPr>
                <w:rFonts w:asciiTheme="minorHAnsi" w:hAnsiTheme="minorHAnsi"/>
              </w:rPr>
            </w:pPr>
            <w:r w:rsidRPr="00EA0FA5">
              <w:t>Full Size (20 cubic feet)</w:t>
            </w:r>
          </w:p>
        </w:tc>
        <w:tc>
          <w:tcPr>
            <w:tcW w:w="2070" w:type="dxa"/>
          </w:tcPr>
          <w:p w:rsidR="00EA0FA5" w:rsidRPr="002011E6" w:rsidRDefault="00EA0FA5" w:rsidP="00F85BA9">
            <w:pPr>
              <w:rPr>
                <w:rFonts w:asciiTheme="minorHAnsi" w:hAnsiTheme="minorHAnsi"/>
              </w:rPr>
            </w:pPr>
            <w:r w:rsidRPr="00EA0FA5">
              <w:t>$1200</w:t>
            </w:r>
          </w:p>
        </w:tc>
      </w:tr>
      <w:tr w:rsidR="00EA0FA5" w:rsidRPr="00EA0FA5" w:rsidTr="00F85BA9">
        <w:trPr>
          <w:jc w:val="center"/>
        </w:trPr>
        <w:tc>
          <w:tcPr>
            <w:tcW w:w="3060" w:type="dxa"/>
          </w:tcPr>
          <w:p w:rsidR="00EA0FA5" w:rsidRPr="002011E6" w:rsidRDefault="00EA0FA5" w:rsidP="00F85BA9">
            <w:pPr>
              <w:rPr>
                <w:rFonts w:asciiTheme="minorHAnsi" w:hAnsiTheme="minorHAnsi"/>
              </w:rPr>
            </w:pPr>
            <w:r w:rsidRPr="00EA0FA5">
              <w:t>¾ Size (12 cubic feet)</w:t>
            </w:r>
          </w:p>
        </w:tc>
        <w:tc>
          <w:tcPr>
            <w:tcW w:w="2070" w:type="dxa"/>
          </w:tcPr>
          <w:p w:rsidR="00EA0FA5" w:rsidRPr="002011E6" w:rsidRDefault="00EA0FA5" w:rsidP="00F85BA9">
            <w:pPr>
              <w:rPr>
                <w:rFonts w:asciiTheme="minorHAnsi" w:hAnsiTheme="minorHAnsi"/>
              </w:rPr>
            </w:pPr>
            <w:r w:rsidRPr="00EA0FA5">
              <w:t>$1800</w:t>
            </w:r>
          </w:p>
        </w:tc>
      </w:tr>
      <w:tr w:rsidR="00EA0FA5" w:rsidRPr="00EA0FA5" w:rsidTr="00F85BA9">
        <w:trPr>
          <w:jc w:val="center"/>
        </w:trPr>
        <w:tc>
          <w:tcPr>
            <w:tcW w:w="3060" w:type="dxa"/>
          </w:tcPr>
          <w:p w:rsidR="00EA0FA5" w:rsidRPr="002011E6" w:rsidRDefault="00EA0FA5" w:rsidP="00F85BA9">
            <w:pPr>
              <w:rPr>
                <w:rFonts w:asciiTheme="minorHAnsi" w:hAnsiTheme="minorHAnsi"/>
              </w:rPr>
            </w:pPr>
            <w:r w:rsidRPr="00EA0FA5">
              <w:t>½ Size (8 cubic feet)</w:t>
            </w:r>
          </w:p>
        </w:tc>
        <w:tc>
          <w:tcPr>
            <w:tcW w:w="2070" w:type="dxa"/>
          </w:tcPr>
          <w:p w:rsidR="00EA0FA5" w:rsidRPr="002011E6" w:rsidRDefault="00EA0FA5" w:rsidP="00F85BA9">
            <w:pPr>
              <w:rPr>
                <w:rFonts w:asciiTheme="minorHAnsi" w:hAnsiTheme="minorHAnsi"/>
              </w:rPr>
            </w:pPr>
            <w:r w:rsidRPr="00EA0FA5">
              <w:t>$1500</w:t>
            </w:r>
          </w:p>
        </w:tc>
      </w:tr>
    </w:tbl>
    <w:p w:rsidR="00EA0FA5" w:rsidRPr="00A85C63" w:rsidRDefault="00EA0FA5" w:rsidP="00EA0FA5"/>
    <w:p w:rsidR="00EA0FA5" w:rsidRDefault="00EA0FA5" w:rsidP="00EA0FA5">
      <w:pPr>
        <w:pStyle w:val="Heading6"/>
      </w:pPr>
      <w:r>
        <w:t>Loadshape</w:t>
      </w:r>
    </w:p>
    <w:p w:rsidR="00EA0FA5" w:rsidRDefault="00EA0FA5" w:rsidP="00EA0FA5">
      <w:r w:rsidRPr="00790338">
        <w:t xml:space="preserve">Loadshape C01 - </w:t>
      </w:r>
      <w:r>
        <w:t>Commercial</w:t>
      </w:r>
      <w:r w:rsidRPr="00790338">
        <w:t xml:space="preserve"> Electric Cooking</w:t>
      </w:r>
    </w:p>
    <w:p w:rsidR="00EA0FA5" w:rsidRDefault="00EA0FA5" w:rsidP="00EA0FA5">
      <w:pPr>
        <w:widowControl/>
        <w:spacing w:after="0"/>
        <w:jc w:val="left"/>
      </w:pPr>
      <w:r>
        <w:br w:type="page"/>
      </w:r>
    </w:p>
    <w:p w:rsidR="00EA0FA5" w:rsidRPr="00344D96" w:rsidRDefault="00EA0FA5" w:rsidP="00EA0FA5"/>
    <w:p w:rsidR="00EA0FA5" w:rsidRDefault="00EA0FA5" w:rsidP="00EA0FA5">
      <w:pPr>
        <w:pStyle w:val="Heading6"/>
      </w:pPr>
      <w:r w:rsidRPr="002F371F">
        <w:t>Coincidence Factor</w:t>
      </w:r>
    </w:p>
    <w:p w:rsidR="00EA0FA5" w:rsidRDefault="00EA0FA5" w:rsidP="00EA0FA5">
      <w:r>
        <w:t>Summer Peak Coincidence Factor for measure is provided below for different building type</w:t>
      </w:r>
      <w:r>
        <w:rPr>
          <w:rStyle w:val="FootnoteReference"/>
        </w:rPr>
        <w:footnoteReference w:id="3"/>
      </w:r>
      <w:r>
        <w:t>:</w:t>
      </w:r>
    </w:p>
    <w:tbl>
      <w:tblPr>
        <w:tblW w:w="37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0"/>
        <w:gridCol w:w="1126"/>
      </w:tblGrid>
      <w:tr w:rsidR="00EA0FA5" w:rsidRPr="00E64232" w:rsidTr="00F85BA9">
        <w:trPr>
          <w:trHeight w:hRule="exact" w:val="288"/>
          <w:jc w:val="center"/>
        </w:trPr>
        <w:tc>
          <w:tcPr>
            <w:tcW w:w="2640" w:type="dxa"/>
            <w:shd w:val="clear" w:color="auto" w:fill="7F7F7F" w:themeFill="text1" w:themeFillTint="80"/>
            <w:hideMark/>
          </w:tcPr>
          <w:p w:rsidR="00EA0FA5" w:rsidRPr="00E64232" w:rsidRDefault="00EA0FA5" w:rsidP="00F85BA9">
            <w:pPr>
              <w:pStyle w:val="TableHeading"/>
            </w:pPr>
            <w:r w:rsidRPr="00E64232">
              <w:t>Location</w:t>
            </w:r>
          </w:p>
        </w:tc>
        <w:tc>
          <w:tcPr>
            <w:tcW w:w="1126" w:type="dxa"/>
            <w:shd w:val="clear" w:color="auto" w:fill="7F7F7F" w:themeFill="text1" w:themeFillTint="80"/>
          </w:tcPr>
          <w:p w:rsidR="00EA0FA5" w:rsidRPr="00E64232" w:rsidRDefault="00EA0FA5" w:rsidP="00F85BA9">
            <w:pPr>
              <w:pStyle w:val="TableHeading"/>
            </w:pPr>
            <w:r w:rsidRPr="00E64232">
              <w:t>CF</w:t>
            </w:r>
          </w:p>
          <w:p w:rsidR="00EA0FA5" w:rsidRPr="00E64232" w:rsidRDefault="00EA0FA5" w:rsidP="00F85BA9">
            <w:pPr>
              <w:pStyle w:val="TableHeading"/>
            </w:pPr>
            <w:r w:rsidRPr="00E64232">
              <w:t>CF</w:t>
            </w:r>
          </w:p>
        </w:tc>
      </w:tr>
      <w:tr w:rsidR="00EA0FA5" w:rsidRPr="00E64232" w:rsidTr="00F85BA9">
        <w:trPr>
          <w:trHeight w:hRule="exact" w:val="288"/>
          <w:jc w:val="center"/>
        </w:trPr>
        <w:tc>
          <w:tcPr>
            <w:tcW w:w="2640" w:type="dxa"/>
            <w:tcBorders>
              <w:top w:val="single" w:sz="4" w:space="0" w:color="auto"/>
              <w:left w:val="single" w:sz="4" w:space="0" w:color="auto"/>
              <w:bottom w:val="single" w:sz="4" w:space="0" w:color="auto"/>
              <w:right w:val="single" w:sz="4" w:space="0" w:color="auto"/>
            </w:tcBorders>
            <w:noWrap/>
            <w:vAlign w:val="bottom"/>
          </w:tcPr>
          <w:p w:rsidR="00EA0FA5" w:rsidRPr="00E64232" w:rsidRDefault="00EA0FA5" w:rsidP="00F85BA9">
            <w:r w:rsidRPr="00E64232">
              <w:t>Fast Food Limited Menu</w:t>
            </w:r>
          </w:p>
        </w:tc>
        <w:tc>
          <w:tcPr>
            <w:tcW w:w="1126" w:type="dxa"/>
            <w:tcBorders>
              <w:top w:val="single" w:sz="4" w:space="0" w:color="auto"/>
              <w:left w:val="single" w:sz="4" w:space="0" w:color="auto"/>
              <w:bottom w:val="single" w:sz="4" w:space="0" w:color="auto"/>
              <w:right w:val="single" w:sz="4" w:space="0" w:color="auto"/>
            </w:tcBorders>
          </w:tcPr>
          <w:p w:rsidR="00EA0FA5" w:rsidRPr="00E64232" w:rsidRDefault="00EA0FA5" w:rsidP="00F85BA9">
            <w:pPr>
              <w:ind w:right="43"/>
            </w:pPr>
            <w:r w:rsidRPr="00E64232">
              <w:t>0.32</w:t>
            </w:r>
          </w:p>
        </w:tc>
      </w:tr>
      <w:tr w:rsidR="00EA0FA5" w:rsidRPr="00E64232" w:rsidTr="00F85BA9">
        <w:trPr>
          <w:trHeight w:hRule="exact" w:val="288"/>
          <w:jc w:val="center"/>
        </w:trPr>
        <w:tc>
          <w:tcPr>
            <w:tcW w:w="2640" w:type="dxa"/>
            <w:tcBorders>
              <w:top w:val="single" w:sz="4" w:space="0" w:color="auto"/>
              <w:left w:val="single" w:sz="4" w:space="0" w:color="auto"/>
              <w:bottom w:val="single" w:sz="4" w:space="0" w:color="auto"/>
              <w:right w:val="single" w:sz="4" w:space="0" w:color="auto"/>
            </w:tcBorders>
            <w:noWrap/>
            <w:vAlign w:val="bottom"/>
          </w:tcPr>
          <w:p w:rsidR="00EA0FA5" w:rsidRPr="00E64232" w:rsidRDefault="00EA0FA5" w:rsidP="00F85BA9">
            <w:r w:rsidRPr="00E64232">
              <w:t>Fast Food Expanded Menu</w:t>
            </w:r>
          </w:p>
        </w:tc>
        <w:tc>
          <w:tcPr>
            <w:tcW w:w="1126" w:type="dxa"/>
            <w:tcBorders>
              <w:top w:val="single" w:sz="4" w:space="0" w:color="auto"/>
              <w:left w:val="single" w:sz="4" w:space="0" w:color="auto"/>
              <w:bottom w:val="single" w:sz="4" w:space="0" w:color="auto"/>
              <w:right w:val="single" w:sz="4" w:space="0" w:color="auto"/>
            </w:tcBorders>
          </w:tcPr>
          <w:p w:rsidR="00EA0FA5" w:rsidRPr="00E64232" w:rsidRDefault="00EA0FA5" w:rsidP="00F85BA9">
            <w:r w:rsidRPr="00E64232">
              <w:t>0.41</w:t>
            </w:r>
          </w:p>
        </w:tc>
      </w:tr>
      <w:tr w:rsidR="00EA0FA5" w:rsidRPr="00E64232" w:rsidTr="00F85BA9">
        <w:trPr>
          <w:trHeight w:hRule="exact" w:val="288"/>
          <w:jc w:val="center"/>
        </w:trPr>
        <w:tc>
          <w:tcPr>
            <w:tcW w:w="2640" w:type="dxa"/>
            <w:tcBorders>
              <w:top w:val="single" w:sz="4" w:space="0" w:color="auto"/>
              <w:left w:val="single" w:sz="4" w:space="0" w:color="auto"/>
              <w:bottom w:val="single" w:sz="4" w:space="0" w:color="auto"/>
              <w:right w:val="single" w:sz="4" w:space="0" w:color="auto"/>
            </w:tcBorders>
            <w:noWrap/>
            <w:vAlign w:val="bottom"/>
          </w:tcPr>
          <w:p w:rsidR="00EA0FA5" w:rsidRPr="00E64232" w:rsidRDefault="00EA0FA5" w:rsidP="00F85BA9">
            <w:r w:rsidRPr="00E64232">
              <w:t>Pizza</w:t>
            </w:r>
          </w:p>
        </w:tc>
        <w:tc>
          <w:tcPr>
            <w:tcW w:w="1126" w:type="dxa"/>
            <w:tcBorders>
              <w:top w:val="single" w:sz="4" w:space="0" w:color="auto"/>
              <w:left w:val="single" w:sz="4" w:space="0" w:color="auto"/>
              <w:bottom w:val="single" w:sz="4" w:space="0" w:color="auto"/>
              <w:right w:val="single" w:sz="4" w:space="0" w:color="auto"/>
            </w:tcBorders>
          </w:tcPr>
          <w:p w:rsidR="00EA0FA5" w:rsidRPr="00E64232" w:rsidRDefault="00EA0FA5" w:rsidP="00F85BA9">
            <w:r w:rsidRPr="00E64232">
              <w:t>0.46</w:t>
            </w:r>
          </w:p>
        </w:tc>
      </w:tr>
      <w:tr w:rsidR="00EA0FA5" w:rsidRPr="00E64232" w:rsidTr="00F85BA9">
        <w:trPr>
          <w:trHeight w:hRule="exact" w:val="288"/>
          <w:jc w:val="center"/>
        </w:trPr>
        <w:tc>
          <w:tcPr>
            <w:tcW w:w="2640" w:type="dxa"/>
            <w:tcBorders>
              <w:top w:val="single" w:sz="4" w:space="0" w:color="auto"/>
              <w:left w:val="single" w:sz="4" w:space="0" w:color="auto"/>
              <w:bottom w:val="single" w:sz="4" w:space="0" w:color="auto"/>
              <w:right w:val="single" w:sz="4" w:space="0" w:color="auto"/>
            </w:tcBorders>
            <w:noWrap/>
            <w:vAlign w:val="bottom"/>
          </w:tcPr>
          <w:p w:rsidR="00EA0FA5" w:rsidRPr="00E64232" w:rsidRDefault="00EA0FA5" w:rsidP="00F85BA9">
            <w:r w:rsidRPr="00E64232">
              <w:t>Full Service Limited Menu</w:t>
            </w:r>
          </w:p>
        </w:tc>
        <w:tc>
          <w:tcPr>
            <w:tcW w:w="1126" w:type="dxa"/>
            <w:tcBorders>
              <w:top w:val="single" w:sz="4" w:space="0" w:color="auto"/>
              <w:left w:val="single" w:sz="4" w:space="0" w:color="auto"/>
              <w:bottom w:val="single" w:sz="4" w:space="0" w:color="auto"/>
              <w:right w:val="single" w:sz="4" w:space="0" w:color="auto"/>
            </w:tcBorders>
          </w:tcPr>
          <w:p w:rsidR="00EA0FA5" w:rsidRPr="00E64232" w:rsidRDefault="00EA0FA5" w:rsidP="00F85BA9">
            <w:r w:rsidRPr="00E64232">
              <w:t>0.51</w:t>
            </w:r>
          </w:p>
        </w:tc>
      </w:tr>
      <w:tr w:rsidR="00EA0FA5" w:rsidRPr="00E64232" w:rsidTr="00F85BA9">
        <w:trPr>
          <w:trHeight w:hRule="exact" w:val="288"/>
          <w:jc w:val="center"/>
        </w:trPr>
        <w:tc>
          <w:tcPr>
            <w:tcW w:w="2640" w:type="dxa"/>
            <w:tcBorders>
              <w:top w:val="single" w:sz="4" w:space="0" w:color="auto"/>
              <w:left w:val="single" w:sz="4" w:space="0" w:color="auto"/>
              <w:bottom w:val="single" w:sz="4" w:space="0" w:color="auto"/>
              <w:right w:val="single" w:sz="4" w:space="0" w:color="auto"/>
            </w:tcBorders>
            <w:noWrap/>
            <w:vAlign w:val="bottom"/>
          </w:tcPr>
          <w:p w:rsidR="00EA0FA5" w:rsidRPr="00E64232" w:rsidRDefault="00EA0FA5" w:rsidP="00F85BA9">
            <w:r w:rsidRPr="00E64232">
              <w:t>Full Service Expanded Menu</w:t>
            </w:r>
          </w:p>
        </w:tc>
        <w:tc>
          <w:tcPr>
            <w:tcW w:w="1126" w:type="dxa"/>
            <w:tcBorders>
              <w:top w:val="single" w:sz="4" w:space="0" w:color="auto"/>
              <w:left w:val="single" w:sz="4" w:space="0" w:color="auto"/>
              <w:bottom w:val="single" w:sz="4" w:space="0" w:color="auto"/>
              <w:right w:val="single" w:sz="4" w:space="0" w:color="auto"/>
            </w:tcBorders>
          </w:tcPr>
          <w:p w:rsidR="00EA0FA5" w:rsidRPr="00E64232" w:rsidRDefault="00EA0FA5" w:rsidP="00F85BA9">
            <w:r w:rsidRPr="00E64232">
              <w:t>0.36</w:t>
            </w:r>
          </w:p>
        </w:tc>
      </w:tr>
      <w:tr w:rsidR="00EA0FA5" w:rsidRPr="00E64232" w:rsidTr="00F85BA9">
        <w:trPr>
          <w:trHeight w:hRule="exact" w:val="288"/>
          <w:jc w:val="center"/>
        </w:trPr>
        <w:tc>
          <w:tcPr>
            <w:tcW w:w="2640" w:type="dxa"/>
            <w:tcBorders>
              <w:top w:val="single" w:sz="4" w:space="0" w:color="auto"/>
              <w:left w:val="single" w:sz="4" w:space="0" w:color="auto"/>
              <w:bottom w:val="single" w:sz="4" w:space="0" w:color="auto"/>
              <w:right w:val="single" w:sz="4" w:space="0" w:color="auto"/>
            </w:tcBorders>
            <w:noWrap/>
            <w:vAlign w:val="bottom"/>
          </w:tcPr>
          <w:p w:rsidR="00EA0FA5" w:rsidRPr="00E64232" w:rsidRDefault="00EA0FA5" w:rsidP="00F85BA9">
            <w:r w:rsidRPr="00E64232">
              <w:t>Cafeteria</w:t>
            </w:r>
          </w:p>
        </w:tc>
        <w:tc>
          <w:tcPr>
            <w:tcW w:w="1126" w:type="dxa"/>
            <w:tcBorders>
              <w:top w:val="single" w:sz="4" w:space="0" w:color="auto"/>
              <w:left w:val="single" w:sz="4" w:space="0" w:color="auto"/>
              <w:bottom w:val="single" w:sz="4" w:space="0" w:color="auto"/>
              <w:right w:val="single" w:sz="4" w:space="0" w:color="auto"/>
            </w:tcBorders>
          </w:tcPr>
          <w:p w:rsidR="00EA0FA5" w:rsidRPr="00E64232" w:rsidRDefault="00EA0FA5" w:rsidP="00F85BA9">
            <w:r w:rsidRPr="00E64232">
              <w:t>0.36</w:t>
            </w:r>
          </w:p>
        </w:tc>
      </w:tr>
    </w:tbl>
    <w:p w:rsidR="00EA0FA5" w:rsidRDefault="00EA0FA5" w:rsidP="00EA0FA5"/>
    <w:p w:rsidR="00EA0FA5" w:rsidRPr="002F371F" w:rsidRDefault="00EA0FA5" w:rsidP="00EA0FA5">
      <w:pPr>
        <w:keepNext/>
        <w:pBdr>
          <w:top w:val="double" w:sz="4" w:space="1" w:color="auto"/>
          <w:bottom w:val="double" w:sz="4" w:space="1" w:color="auto"/>
        </w:pBdr>
        <w:jc w:val="center"/>
        <w:rPr>
          <w:rFonts w:cstheme="minorHAnsi"/>
          <w:b/>
          <w:szCs w:val="20"/>
        </w:rPr>
      </w:pPr>
      <w:r w:rsidRPr="002F371F">
        <w:rPr>
          <w:rFonts w:cstheme="minorHAnsi"/>
          <w:b/>
          <w:szCs w:val="20"/>
        </w:rPr>
        <w:t>Algorithm</w:t>
      </w:r>
    </w:p>
    <w:p w:rsidR="00EA0FA5" w:rsidRDefault="00EA0FA5" w:rsidP="00EA0FA5">
      <w:pPr>
        <w:pStyle w:val="Heading6"/>
      </w:pPr>
      <w:r w:rsidRPr="002F371F">
        <w:t xml:space="preserve">Calculation of Savings </w:t>
      </w:r>
    </w:p>
    <w:p w:rsidR="00EA0FA5" w:rsidRDefault="00EA0FA5" w:rsidP="00EA0FA5">
      <w:pPr>
        <w:pStyle w:val="Heading6"/>
      </w:pPr>
      <w:r>
        <w:t xml:space="preserve">Electric </w:t>
      </w:r>
      <w:r w:rsidRPr="002F371F">
        <w:t xml:space="preserve">Energy Savings </w:t>
      </w:r>
    </w:p>
    <w:p w:rsidR="00EA0FA5" w:rsidRDefault="00EA0FA5" w:rsidP="00EA0FA5">
      <w:r>
        <w:t>Custom calculation below, otherwise use deemed values depending on HFHC size</w:t>
      </w:r>
      <w:r>
        <w:rPr>
          <w:rStyle w:val="FootnoteReference"/>
        </w:rPr>
        <w:footnoteReference w:id="4"/>
      </w:r>
    </w:p>
    <w:tbl>
      <w:tblPr>
        <w:tblStyle w:val="TableGrid"/>
        <w:tblW w:w="0" w:type="auto"/>
        <w:jc w:val="center"/>
        <w:tblInd w:w="720" w:type="dxa"/>
        <w:tblLook w:val="04A0" w:firstRow="1" w:lastRow="0" w:firstColumn="1" w:lastColumn="0" w:noHBand="0" w:noVBand="1"/>
      </w:tblPr>
      <w:tblGrid>
        <w:gridCol w:w="1818"/>
        <w:gridCol w:w="1530"/>
      </w:tblGrid>
      <w:tr w:rsidR="00EA0FA5" w:rsidRPr="00EA0FA5" w:rsidTr="00F85BA9">
        <w:trPr>
          <w:jc w:val="center"/>
        </w:trPr>
        <w:tc>
          <w:tcPr>
            <w:tcW w:w="1818" w:type="dxa"/>
            <w:shd w:val="clear" w:color="auto" w:fill="7F7F7F" w:themeFill="text1" w:themeFillTint="80"/>
          </w:tcPr>
          <w:p w:rsidR="00EA0FA5" w:rsidRPr="00EA0FA5" w:rsidRDefault="00EA0FA5" w:rsidP="00F85BA9">
            <w:pPr>
              <w:pStyle w:val="TableHeading"/>
              <w:rPr>
                <w:rFonts w:asciiTheme="minorHAnsi" w:hAnsiTheme="minorHAnsi"/>
                <w:rPrChange w:id="11" w:author="Samuel Dent" w:date="2015-10-23T09:13:00Z">
                  <w:rPr/>
                </w:rPrChange>
              </w:rPr>
            </w:pPr>
            <w:r w:rsidRPr="00EA0FA5">
              <w:rPr>
                <w:rFonts w:asciiTheme="minorHAnsi" w:hAnsiTheme="minorHAnsi"/>
                <w:rPrChange w:id="12" w:author="Samuel Dent" w:date="2015-10-23T09:13:00Z">
                  <w:rPr/>
                </w:rPrChange>
              </w:rPr>
              <w:t>Cabinet Size</w:t>
            </w:r>
          </w:p>
        </w:tc>
        <w:tc>
          <w:tcPr>
            <w:tcW w:w="1530" w:type="dxa"/>
            <w:shd w:val="clear" w:color="auto" w:fill="7F7F7F" w:themeFill="text1" w:themeFillTint="80"/>
          </w:tcPr>
          <w:p w:rsidR="00EA0FA5" w:rsidRPr="00EA0FA5" w:rsidRDefault="00EA0FA5" w:rsidP="00F85BA9">
            <w:pPr>
              <w:pStyle w:val="TableHeading"/>
              <w:rPr>
                <w:rFonts w:asciiTheme="minorHAnsi" w:hAnsiTheme="minorHAnsi"/>
                <w:rPrChange w:id="13" w:author="Samuel Dent" w:date="2015-10-23T09:13:00Z">
                  <w:rPr/>
                </w:rPrChange>
              </w:rPr>
            </w:pPr>
            <w:r w:rsidRPr="00EA0FA5">
              <w:rPr>
                <w:rFonts w:asciiTheme="minorHAnsi" w:hAnsiTheme="minorHAnsi"/>
                <w:rPrChange w:id="14" w:author="Samuel Dent" w:date="2015-10-23T09:13:00Z">
                  <w:rPr/>
                </w:rPrChange>
              </w:rPr>
              <w:t>Savings (kWh)</w:t>
            </w:r>
          </w:p>
        </w:tc>
      </w:tr>
      <w:tr w:rsidR="00EA0FA5" w:rsidRPr="00EA0FA5" w:rsidTr="00F85BA9">
        <w:trPr>
          <w:jc w:val="center"/>
        </w:trPr>
        <w:tc>
          <w:tcPr>
            <w:tcW w:w="1818" w:type="dxa"/>
          </w:tcPr>
          <w:p w:rsidR="00EA0FA5" w:rsidRPr="002011E6" w:rsidRDefault="00EA0FA5" w:rsidP="00F85BA9">
            <w:pPr>
              <w:rPr>
                <w:rFonts w:asciiTheme="minorHAnsi" w:hAnsiTheme="minorHAnsi"/>
              </w:rPr>
            </w:pPr>
            <w:r w:rsidRPr="00EA0FA5">
              <w:t>Full Size HFHC</w:t>
            </w:r>
          </w:p>
        </w:tc>
        <w:tc>
          <w:tcPr>
            <w:tcW w:w="1530" w:type="dxa"/>
          </w:tcPr>
          <w:p w:rsidR="00EA0FA5" w:rsidRPr="002011E6" w:rsidRDefault="00EA0FA5" w:rsidP="00F85BA9">
            <w:pPr>
              <w:rPr>
                <w:rFonts w:asciiTheme="minorHAnsi" w:hAnsiTheme="minorHAnsi"/>
              </w:rPr>
            </w:pPr>
            <w:r w:rsidRPr="00EA0FA5">
              <w:t>9308</w:t>
            </w:r>
          </w:p>
        </w:tc>
      </w:tr>
      <w:tr w:rsidR="00EA0FA5" w:rsidRPr="00EA0FA5" w:rsidTr="00F85BA9">
        <w:trPr>
          <w:jc w:val="center"/>
        </w:trPr>
        <w:tc>
          <w:tcPr>
            <w:tcW w:w="1818" w:type="dxa"/>
          </w:tcPr>
          <w:p w:rsidR="00EA0FA5" w:rsidRPr="002011E6" w:rsidRDefault="00EA0FA5" w:rsidP="00F85BA9">
            <w:pPr>
              <w:rPr>
                <w:rFonts w:asciiTheme="minorHAnsi" w:hAnsiTheme="minorHAnsi"/>
              </w:rPr>
            </w:pPr>
            <w:r w:rsidRPr="00EA0FA5">
              <w:t>¾ Size HFHC</w:t>
            </w:r>
          </w:p>
        </w:tc>
        <w:tc>
          <w:tcPr>
            <w:tcW w:w="1530" w:type="dxa"/>
          </w:tcPr>
          <w:p w:rsidR="00EA0FA5" w:rsidRPr="002011E6" w:rsidRDefault="00EA0FA5" w:rsidP="00F85BA9">
            <w:pPr>
              <w:rPr>
                <w:rFonts w:asciiTheme="minorHAnsi" w:hAnsiTheme="minorHAnsi"/>
              </w:rPr>
            </w:pPr>
            <w:r w:rsidRPr="00EA0FA5">
              <w:t>3942</w:t>
            </w:r>
          </w:p>
        </w:tc>
      </w:tr>
      <w:tr w:rsidR="00EA0FA5" w:rsidRPr="00EA0FA5" w:rsidTr="00F85BA9">
        <w:trPr>
          <w:jc w:val="center"/>
        </w:trPr>
        <w:tc>
          <w:tcPr>
            <w:tcW w:w="1818" w:type="dxa"/>
          </w:tcPr>
          <w:p w:rsidR="00EA0FA5" w:rsidRPr="002011E6" w:rsidRDefault="00EA0FA5" w:rsidP="00F85BA9">
            <w:pPr>
              <w:rPr>
                <w:rFonts w:asciiTheme="minorHAnsi" w:hAnsiTheme="minorHAnsi"/>
              </w:rPr>
            </w:pPr>
            <w:r w:rsidRPr="00EA0FA5">
              <w:t>½ Size HFHC</w:t>
            </w:r>
          </w:p>
        </w:tc>
        <w:tc>
          <w:tcPr>
            <w:tcW w:w="1530" w:type="dxa"/>
          </w:tcPr>
          <w:p w:rsidR="00EA0FA5" w:rsidRPr="002011E6" w:rsidRDefault="00EA0FA5" w:rsidP="00F85BA9">
            <w:pPr>
              <w:rPr>
                <w:rFonts w:asciiTheme="minorHAnsi" w:hAnsiTheme="minorHAnsi"/>
              </w:rPr>
            </w:pPr>
            <w:r w:rsidRPr="00EA0FA5">
              <w:t>2628</w:t>
            </w:r>
          </w:p>
        </w:tc>
      </w:tr>
    </w:tbl>
    <w:p w:rsidR="00EA0FA5" w:rsidRDefault="00EA0FA5" w:rsidP="00EA0FA5"/>
    <w:p w:rsidR="00EA0FA5" w:rsidRDefault="00EA0FA5" w:rsidP="00EA0FA5">
      <w:pPr>
        <w:rPr>
          <w:rFonts w:cs="Calibri"/>
        </w:rPr>
      </w:pPr>
      <w:r w:rsidRPr="002F371F">
        <w:rPr>
          <w:rFonts w:cs="Calibri"/>
        </w:rPr>
        <w:t>Δ</w:t>
      </w:r>
      <w:r>
        <w:rPr>
          <w:rFonts w:cs="Calibri"/>
        </w:rPr>
        <w:t>kWh = HFHC</w:t>
      </w:r>
      <w:r w:rsidRPr="002C4546">
        <w:rPr>
          <w:rFonts w:cs="Calibri"/>
        </w:rPr>
        <w:t>Baseline</w:t>
      </w:r>
      <w:r>
        <w:rPr>
          <w:rFonts w:cs="Calibri"/>
        </w:rPr>
        <w:t>kWh</w:t>
      </w:r>
      <w:r>
        <w:rPr>
          <w:rFonts w:cs="Calibri"/>
          <w:vertAlign w:val="subscript"/>
        </w:rPr>
        <w:t xml:space="preserve"> – </w:t>
      </w:r>
      <w:r>
        <w:rPr>
          <w:rFonts w:cs="Calibri"/>
        </w:rPr>
        <w:t>HFHCENERGYSTARkWh</w:t>
      </w:r>
    </w:p>
    <w:p w:rsidR="00EA0FA5" w:rsidRDefault="00EA0FA5" w:rsidP="00EA0FA5">
      <w:r>
        <w:rPr>
          <w:rFonts w:cs="Calibri"/>
        </w:rPr>
        <w:t xml:space="preserve">Where: </w:t>
      </w:r>
    </w:p>
    <w:p w:rsidR="00EA0FA5" w:rsidRDefault="00EA0FA5" w:rsidP="00EA0FA5">
      <w:pPr>
        <w:ind w:left="720"/>
        <w:rPr>
          <w:rFonts w:cs="Calibri"/>
        </w:rPr>
      </w:pPr>
      <w:r>
        <w:rPr>
          <w:rFonts w:cs="Calibri"/>
        </w:rPr>
        <w:t>HFHC</w:t>
      </w:r>
      <w:r w:rsidRPr="002C4546">
        <w:rPr>
          <w:rFonts w:cs="Calibri"/>
        </w:rPr>
        <w:t>Baseline</w:t>
      </w:r>
      <w:r>
        <w:rPr>
          <w:rFonts w:cs="Calibri"/>
        </w:rPr>
        <w:t xml:space="preserve">kWh = </w:t>
      </w:r>
      <w:r>
        <w:t>PowerBaseline*</w:t>
      </w:r>
      <w:r w:rsidRPr="004E54EC">
        <w:rPr>
          <w:rFonts w:cs="Calibri"/>
        </w:rPr>
        <w:t xml:space="preserve"> </w:t>
      </w:r>
      <w:r w:rsidRPr="002F371F">
        <w:rPr>
          <w:rFonts w:cs="Calibri"/>
        </w:rPr>
        <w:t>HOURSday</w:t>
      </w:r>
      <w:r>
        <w:rPr>
          <w:rFonts w:cs="Calibri"/>
        </w:rPr>
        <w:t xml:space="preserve"> * </w:t>
      </w:r>
      <w:r>
        <w:t>Days/1000</w:t>
      </w:r>
    </w:p>
    <w:p w:rsidR="00EA0FA5" w:rsidRDefault="00EA0FA5" w:rsidP="00EA0FA5">
      <w:pPr>
        <w:ind w:firstLine="720"/>
      </w:pPr>
      <w:r>
        <w:t>PowerBaseline</w:t>
      </w:r>
      <w:r>
        <w:tab/>
        <w:t>= Custom, otherwise</w:t>
      </w:r>
    </w:p>
    <w:tbl>
      <w:tblPr>
        <w:tblStyle w:val="TableGrid"/>
        <w:tblW w:w="0" w:type="auto"/>
        <w:jc w:val="center"/>
        <w:tblInd w:w="720" w:type="dxa"/>
        <w:tblLook w:val="04A0" w:firstRow="1" w:lastRow="0" w:firstColumn="1" w:lastColumn="0" w:noHBand="0" w:noVBand="1"/>
      </w:tblPr>
      <w:tblGrid>
        <w:gridCol w:w="1818"/>
        <w:gridCol w:w="1530"/>
      </w:tblGrid>
      <w:tr w:rsidR="00EA0FA5" w:rsidRPr="00EA0FA5" w:rsidTr="00F85BA9">
        <w:trPr>
          <w:jc w:val="center"/>
        </w:trPr>
        <w:tc>
          <w:tcPr>
            <w:tcW w:w="1818" w:type="dxa"/>
            <w:shd w:val="clear" w:color="auto" w:fill="7F7F7F" w:themeFill="text1" w:themeFillTint="80"/>
          </w:tcPr>
          <w:p w:rsidR="00EA0FA5" w:rsidRPr="00EA0FA5" w:rsidRDefault="00EA0FA5" w:rsidP="00F85BA9">
            <w:pPr>
              <w:pStyle w:val="TableHeading"/>
              <w:rPr>
                <w:rFonts w:asciiTheme="minorHAnsi" w:hAnsiTheme="minorHAnsi"/>
                <w:rPrChange w:id="15" w:author="Samuel Dent" w:date="2015-10-23T09:13:00Z">
                  <w:rPr/>
                </w:rPrChange>
              </w:rPr>
            </w:pPr>
            <w:r w:rsidRPr="00EA0FA5">
              <w:rPr>
                <w:rFonts w:asciiTheme="minorHAnsi" w:hAnsiTheme="minorHAnsi"/>
                <w:rPrChange w:id="16" w:author="Samuel Dent" w:date="2015-10-23T09:13:00Z">
                  <w:rPr/>
                </w:rPrChange>
              </w:rPr>
              <w:t>Cabinet Size</w:t>
            </w:r>
          </w:p>
        </w:tc>
        <w:tc>
          <w:tcPr>
            <w:tcW w:w="1530" w:type="dxa"/>
            <w:shd w:val="clear" w:color="auto" w:fill="7F7F7F" w:themeFill="text1" w:themeFillTint="80"/>
          </w:tcPr>
          <w:p w:rsidR="00EA0FA5" w:rsidRPr="00EA0FA5" w:rsidRDefault="00EA0FA5" w:rsidP="00F85BA9">
            <w:pPr>
              <w:pStyle w:val="TableHeading"/>
              <w:rPr>
                <w:rFonts w:asciiTheme="minorHAnsi" w:hAnsiTheme="minorHAnsi"/>
                <w:rPrChange w:id="17" w:author="Samuel Dent" w:date="2015-10-23T09:13:00Z">
                  <w:rPr/>
                </w:rPrChange>
              </w:rPr>
            </w:pPr>
            <w:r w:rsidRPr="00EA0FA5">
              <w:rPr>
                <w:rFonts w:asciiTheme="minorHAnsi" w:hAnsiTheme="minorHAnsi"/>
                <w:rPrChange w:id="18" w:author="Samuel Dent" w:date="2015-10-23T09:13:00Z">
                  <w:rPr/>
                </w:rPrChange>
              </w:rPr>
              <w:t xml:space="preserve">Power (W) </w:t>
            </w:r>
          </w:p>
        </w:tc>
      </w:tr>
      <w:tr w:rsidR="00EA0FA5" w:rsidRPr="00EA0FA5" w:rsidTr="00F85BA9">
        <w:trPr>
          <w:jc w:val="center"/>
        </w:trPr>
        <w:tc>
          <w:tcPr>
            <w:tcW w:w="1818" w:type="dxa"/>
          </w:tcPr>
          <w:p w:rsidR="00EA0FA5" w:rsidRPr="00EA0FA5" w:rsidRDefault="00EA0FA5" w:rsidP="00F85BA9">
            <w:pPr>
              <w:pStyle w:val="TableText"/>
              <w:rPr>
                <w:rFonts w:asciiTheme="minorHAnsi" w:hAnsiTheme="minorHAnsi" w:cstheme="minorHAnsi"/>
              </w:rPr>
            </w:pPr>
            <w:r w:rsidRPr="00EA0FA5">
              <w:rPr>
                <w:rFonts w:cstheme="minorHAnsi"/>
              </w:rPr>
              <w:t>Full Size HFHC</w:t>
            </w:r>
          </w:p>
        </w:tc>
        <w:tc>
          <w:tcPr>
            <w:tcW w:w="1530" w:type="dxa"/>
          </w:tcPr>
          <w:p w:rsidR="00EA0FA5" w:rsidRPr="00EA0FA5" w:rsidRDefault="00EA0FA5" w:rsidP="00F85BA9">
            <w:pPr>
              <w:pStyle w:val="TableText"/>
              <w:rPr>
                <w:rFonts w:asciiTheme="minorHAnsi" w:hAnsiTheme="minorHAnsi" w:cstheme="minorHAnsi"/>
              </w:rPr>
            </w:pPr>
            <w:r w:rsidRPr="00EA0FA5">
              <w:rPr>
                <w:rFonts w:cstheme="minorHAnsi"/>
              </w:rPr>
              <w:t>2500</w:t>
            </w:r>
          </w:p>
        </w:tc>
      </w:tr>
      <w:tr w:rsidR="00EA0FA5" w:rsidRPr="00EA0FA5" w:rsidTr="00F85BA9">
        <w:trPr>
          <w:jc w:val="center"/>
        </w:trPr>
        <w:tc>
          <w:tcPr>
            <w:tcW w:w="1818" w:type="dxa"/>
          </w:tcPr>
          <w:p w:rsidR="00EA0FA5" w:rsidRPr="00EA0FA5" w:rsidRDefault="00EA0FA5" w:rsidP="00F85BA9">
            <w:pPr>
              <w:pStyle w:val="TableText"/>
              <w:rPr>
                <w:rFonts w:asciiTheme="minorHAnsi" w:hAnsiTheme="minorHAnsi" w:cstheme="minorHAnsi"/>
              </w:rPr>
            </w:pPr>
            <w:r w:rsidRPr="00EA0FA5">
              <w:rPr>
                <w:rFonts w:cstheme="minorHAnsi"/>
              </w:rPr>
              <w:t>¾ Size HFHC</w:t>
            </w:r>
          </w:p>
        </w:tc>
        <w:tc>
          <w:tcPr>
            <w:tcW w:w="1530" w:type="dxa"/>
          </w:tcPr>
          <w:p w:rsidR="00EA0FA5" w:rsidRPr="00EA0FA5" w:rsidRDefault="00EA0FA5" w:rsidP="00F85BA9">
            <w:pPr>
              <w:pStyle w:val="TableText"/>
              <w:rPr>
                <w:rFonts w:asciiTheme="minorHAnsi" w:hAnsiTheme="minorHAnsi" w:cstheme="minorHAnsi"/>
              </w:rPr>
            </w:pPr>
            <w:r w:rsidRPr="00EA0FA5">
              <w:rPr>
                <w:rFonts w:cstheme="minorHAnsi"/>
              </w:rPr>
              <w:t>1200</w:t>
            </w:r>
          </w:p>
        </w:tc>
      </w:tr>
      <w:tr w:rsidR="00EA0FA5" w:rsidRPr="00EA0FA5" w:rsidTr="00F85BA9">
        <w:trPr>
          <w:jc w:val="center"/>
        </w:trPr>
        <w:tc>
          <w:tcPr>
            <w:tcW w:w="1818" w:type="dxa"/>
          </w:tcPr>
          <w:p w:rsidR="00EA0FA5" w:rsidRPr="00EA0FA5" w:rsidRDefault="00EA0FA5" w:rsidP="00F85BA9">
            <w:pPr>
              <w:pStyle w:val="TableText"/>
              <w:rPr>
                <w:rFonts w:asciiTheme="minorHAnsi" w:hAnsiTheme="minorHAnsi" w:cstheme="minorHAnsi"/>
              </w:rPr>
            </w:pPr>
            <w:r w:rsidRPr="00EA0FA5">
              <w:rPr>
                <w:rFonts w:cstheme="minorHAnsi"/>
              </w:rPr>
              <w:t>½ Size HFHC</w:t>
            </w:r>
          </w:p>
        </w:tc>
        <w:tc>
          <w:tcPr>
            <w:tcW w:w="1530" w:type="dxa"/>
          </w:tcPr>
          <w:p w:rsidR="00EA0FA5" w:rsidRPr="00EA0FA5" w:rsidRDefault="00EA0FA5" w:rsidP="00F85BA9">
            <w:pPr>
              <w:pStyle w:val="TableText"/>
              <w:rPr>
                <w:rFonts w:asciiTheme="minorHAnsi" w:hAnsiTheme="minorHAnsi" w:cstheme="minorHAnsi"/>
              </w:rPr>
            </w:pPr>
            <w:r w:rsidRPr="00EA0FA5">
              <w:rPr>
                <w:rFonts w:cstheme="minorHAnsi"/>
              </w:rPr>
              <w:t>800</w:t>
            </w:r>
          </w:p>
        </w:tc>
      </w:tr>
    </w:tbl>
    <w:p w:rsidR="00EA0FA5" w:rsidRDefault="00EA0FA5" w:rsidP="00EA0FA5">
      <w:pPr>
        <w:ind w:firstLine="720"/>
      </w:pPr>
    </w:p>
    <w:p w:rsidR="00EA0FA5" w:rsidRDefault="00EA0FA5" w:rsidP="00EA0FA5">
      <w:pPr>
        <w:ind w:left="720"/>
      </w:pPr>
      <w:r w:rsidRPr="002F371F">
        <w:rPr>
          <w:rFonts w:cs="Calibri"/>
        </w:rPr>
        <w:lastRenderedPageBreak/>
        <w:t>HOURSday</w:t>
      </w:r>
      <w:r>
        <w:t xml:space="preserve"> </w:t>
      </w:r>
      <w:r>
        <w:tab/>
      </w:r>
      <w:r>
        <w:tab/>
        <w:t xml:space="preserve">= Average Daily Operation </w:t>
      </w:r>
    </w:p>
    <w:p w:rsidR="00EA0FA5" w:rsidRDefault="00EA0FA5" w:rsidP="00EA0FA5">
      <w:pPr>
        <w:ind w:left="2160" w:firstLine="720"/>
      </w:pPr>
      <w:r>
        <w:t>= custom or if unknown, use 15 hours</w:t>
      </w:r>
    </w:p>
    <w:p w:rsidR="00EA0FA5" w:rsidRDefault="00EA0FA5" w:rsidP="00EA0FA5">
      <w:pPr>
        <w:ind w:left="720"/>
      </w:pPr>
      <w:r>
        <w:t xml:space="preserve">Days </w:t>
      </w:r>
      <w:r>
        <w:tab/>
      </w:r>
      <w:r>
        <w:tab/>
      </w:r>
      <w:r>
        <w:tab/>
        <w:t xml:space="preserve">= Annual days of operation </w:t>
      </w:r>
    </w:p>
    <w:p w:rsidR="00EA0FA5" w:rsidRDefault="00EA0FA5" w:rsidP="00EA0FA5">
      <w:pPr>
        <w:ind w:left="2160" w:firstLine="720"/>
      </w:pPr>
      <w:r>
        <w:t>= custom or if unknown, use 365.25 days a year</w:t>
      </w:r>
    </w:p>
    <w:p w:rsidR="00EA0FA5" w:rsidRDefault="00EA0FA5" w:rsidP="00EA0FA5">
      <w:pPr>
        <w:ind w:left="720"/>
        <w:rPr>
          <w:rFonts w:cs="Calibri"/>
        </w:rPr>
      </w:pPr>
      <w:r>
        <w:rPr>
          <w:rFonts w:cs="Calibri"/>
        </w:rPr>
        <w:t xml:space="preserve">HFHCENERGYSTARkWh </w:t>
      </w:r>
      <w:r>
        <w:rPr>
          <w:rFonts w:cs="Calibri"/>
        </w:rPr>
        <w:tab/>
        <w:t xml:space="preserve">= </w:t>
      </w:r>
      <w:r>
        <w:t>PowerENERGYSTAR*</w:t>
      </w:r>
      <w:r w:rsidRPr="004E54EC">
        <w:rPr>
          <w:rFonts w:cs="Calibri"/>
        </w:rPr>
        <w:t xml:space="preserve"> </w:t>
      </w:r>
      <w:r w:rsidRPr="002F371F">
        <w:rPr>
          <w:rFonts w:cs="Calibri"/>
        </w:rPr>
        <w:t>HOURSday</w:t>
      </w:r>
      <w:r>
        <w:rPr>
          <w:rFonts w:cs="Calibri"/>
        </w:rPr>
        <w:t xml:space="preserve"> * </w:t>
      </w:r>
      <w:r>
        <w:t>Days/1000</w:t>
      </w:r>
    </w:p>
    <w:p w:rsidR="00EA0FA5" w:rsidRDefault="00EA0FA5" w:rsidP="00EA0FA5">
      <w:pPr>
        <w:ind w:firstLine="720"/>
      </w:pPr>
      <w:r>
        <w:t>PowerENERGYSTAR</w:t>
      </w:r>
      <w:r>
        <w:tab/>
        <w:t>= Custom, otherwise</w:t>
      </w:r>
    </w:p>
    <w:tbl>
      <w:tblPr>
        <w:tblStyle w:val="TableGrid"/>
        <w:tblW w:w="0" w:type="auto"/>
        <w:jc w:val="center"/>
        <w:tblInd w:w="720" w:type="dxa"/>
        <w:tblLook w:val="04A0" w:firstRow="1" w:lastRow="0" w:firstColumn="1" w:lastColumn="0" w:noHBand="0" w:noVBand="1"/>
      </w:tblPr>
      <w:tblGrid>
        <w:gridCol w:w="1818"/>
        <w:gridCol w:w="1530"/>
      </w:tblGrid>
      <w:tr w:rsidR="00EA0FA5" w:rsidRPr="00EA0FA5" w:rsidTr="00F85BA9">
        <w:trPr>
          <w:jc w:val="center"/>
        </w:trPr>
        <w:tc>
          <w:tcPr>
            <w:tcW w:w="1818" w:type="dxa"/>
            <w:shd w:val="clear" w:color="auto" w:fill="7F7F7F" w:themeFill="text1" w:themeFillTint="80"/>
          </w:tcPr>
          <w:p w:rsidR="00EA0FA5" w:rsidRPr="00EA0FA5" w:rsidRDefault="00EA0FA5" w:rsidP="00F85BA9">
            <w:pPr>
              <w:pStyle w:val="TableHeading"/>
              <w:rPr>
                <w:rFonts w:asciiTheme="minorHAnsi" w:hAnsiTheme="minorHAnsi"/>
                <w:rPrChange w:id="19" w:author="Samuel Dent" w:date="2015-10-23T09:12:00Z">
                  <w:rPr/>
                </w:rPrChange>
              </w:rPr>
            </w:pPr>
            <w:r w:rsidRPr="00EA0FA5">
              <w:rPr>
                <w:rFonts w:asciiTheme="minorHAnsi" w:hAnsiTheme="minorHAnsi"/>
                <w:rPrChange w:id="20" w:author="Samuel Dent" w:date="2015-10-23T09:12:00Z">
                  <w:rPr/>
                </w:rPrChange>
              </w:rPr>
              <w:t>Cabinet Size</w:t>
            </w:r>
          </w:p>
        </w:tc>
        <w:tc>
          <w:tcPr>
            <w:tcW w:w="1530" w:type="dxa"/>
            <w:shd w:val="clear" w:color="auto" w:fill="7F7F7F" w:themeFill="text1" w:themeFillTint="80"/>
          </w:tcPr>
          <w:p w:rsidR="00EA0FA5" w:rsidRPr="00EA0FA5" w:rsidRDefault="00EA0FA5" w:rsidP="00F85BA9">
            <w:pPr>
              <w:pStyle w:val="TableHeading"/>
              <w:rPr>
                <w:rFonts w:asciiTheme="minorHAnsi" w:hAnsiTheme="minorHAnsi"/>
                <w:rPrChange w:id="21" w:author="Samuel Dent" w:date="2015-10-23T09:12:00Z">
                  <w:rPr/>
                </w:rPrChange>
              </w:rPr>
            </w:pPr>
            <w:r w:rsidRPr="00EA0FA5">
              <w:rPr>
                <w:rFonts w:asciiTheme="minorHAnsi" w:hAnsiTheme="minorHAnsi"/>
                <w:rPrChange w:id="22" w:author="Samuel Dent" w:date="2015-10-23T09:12:00Z">
                  <w:rPr/>
                </w:rPrChange>
              </w:rPr>
              <w:t>Power (W)</w:t>
            </w:r>
          </w:p>
        </w:tc>
      </w:tr>
      <w:tr w:rsidR="00EA0FA5" w:rsidRPr="00EA0FA5" w:rsidTr="00F85BA9">
        <w:trPr>
          <w:jc w:val="center"/>
        </w:trPr>
        <w:tc>
          <w:tcPr>
            <w:tcW w:w="1818" w:type="dxa"/>
          </w:tcPr>
          <w:p w:rsidR="00EA0FA5" w:rsidRPr="002011E6" w:rsidRDefault="00EA0FA5" w:rsidP="00F85BA9">
            <w:pPr>
              <w:rPr>
                <w:rFonts w:asciiTheme="minorHAnsi" w:hAnsiTheme="minorHAnsi"/>
              </w:rPr>
            </w:pPr>
            <w:r w:rsidRPr="00EA0FA5">
              <w:t>Full Size HFHC</w:t>
            </w:r>
          </w:p>
        </w:tc>
        <w:tc>
          <w:tcPr>
            <w:tcW w:w="1530" w:type="dxa"/>
          </w:tcPr>
          <w:p w:rsidR="00EA0FA5" w:rsidRPr="002011E6" w:rsidRDefault="00EA0FA5" w:rsidP="00F85BA9">
            <w:pPr>
              <w:rPr>
                <w:rFonts w:asciiTheme="minorHAnsi" w:hAnsiTheme="minorHAnsi"/>
              </w:rPr>
            </w:pPr>
            <w:r w:rsidRPr="00EA0FA5">
              <w:t>800</w:t>
            </w:r>
          </w:p>
        </w:tc>
      </w:tr>
      <w:tr w:rsidR="00EA0FA5" w:rsidRPr="00EA0FA5" w:rsidTr="00F85BA9">
        <w:trPr>
          <w:jc w:val="center"/>
        </w:trPr>
        <w:tc>
          <w:tcPr>
            <w:tcW w:w="1818" w:type="dxa"/>
          </w:tcPr>
          <w:p w:rsidR="00EA0FA5" w:rsidRPr="002011E6" w:rsidRDefault="00EA0FA5" w:rsidP="00F85BA9">
            <w:pPr>
              <w:rPr>
                <w:rFonts w:asciiTheme="minorHAnsi" w:hAnsiTheme="minorHAnsi"/>
              </w:rPr>
            </w:pPr>
            <w:r w:rsidRPr="00EA0FA5">
              <w:t>¾ Size HFHC</w:t>
            </w:r>
          </w:p>
        </w:tc>
        <w:tc>
          <w:tcPr>
            <w:tcW w:w="1530" w:type="dxa"/>
          </w:tcPr>
          <w:p w:rsidR="00EA0FA5" w:rsidRPr="002011E6" w:rsidRDefault="00EA0FA5" w:rsidP="00F85BA9">
            <w:pPr>
              <w:rPr>
                <w:rFonts w:asciiTheme="minorHAnsi" w:hAnsiTheme="minorHAnsi"/>
              </w:rPr>
            </w:pPr>
            <w:r w:rsidRPr="00EA0FA5">
              <w:t>480</w:t>
            </w:r>
          </w:p>
        </w:tc>
      </w:tr>
      <w:tr w:rsidR="00EA0FA5" w:rsidRPr="00EA0FA5" w:rsidTr="00F85BA9">
        <w:trPr>
          <w:jc w:val="center"/>
        </w:trPr>
        <w:tc>
          <w:tcPr>
            <w:tcW w:w="1818" w:type="dxa"/>
          </w:tcPr>
          <w:p w:rsidR="00EA0FA5" w:rsidRPr="002011E6" w:rsidRDefault="00EA0FA5" w:rsidP="00F85BA9">
            <w:pPr>
              <w:rPr>
                <w:rFonts w:asciiTheme="minorHAnsi" w:hAnsiTheme="minorHAnsi"/>
              </w:rPr>
            </w:pPr>
            <w:r w:rsidRPr="00EA0FA5">
              <w:t>½ Size HFHC</w:t>
            </w:r>
          </w:p>
        </w:tc>
        <w:tc>
          <w:tcPr>
            <w:tcW w:w="1530" w:type="dxa"/>
          </w:tcPr>
          <w:p w:rsidR="00EA0FA5" w:rsidRPr="002011E6" w:rsidRDefault="00EA0FA5" w:rsidP="00F85BA9">
            <w:pPr>
              <w:rPr>
                <w:rFonts w:asciiTheme="minorHAnsi" w:hAnsiTheme="minorHAnsi"/>
              </w:rPr>
            </w:pPr>
            <w:r w:rsidRPr="00EA0FA5">
              <w:t>320</w:t>
            </w:r>
          </w:p>
        </w:tc>
      </w:tr>
    </w:tbl>
    <w:p w:rsidR="00EA0FA5" w:rsidRDefault="00EA0FA5" w:rsidP="00EA0FA5">
      <w:pPr>
        <w:ind w:firstLine="720"/>
      </w:pPr>
    </w:p>
    <w:p w:rsidR="00EA0FA5" w:rsidRDefault="00EA0FA5" w:rsidP="00EA0FA5">
      <w:pPr>
        <w:ind w:left="720"/>
      </w:pPr>
      <w:r w:rsidRPr="002F371F">
        <w:rPr>
          <w:rFonts w:cs="Calibri"/>
        </w:rPr>
        <w:t>HOURSday</w:t>
      </w:r>
      <w:r>
        <w:t xml:space="preserve"> </w:t>
      </w:r>
      <w:r>
        <w:tab/>
      </w:r>
      <w:r>
        <w:tab/>
        <w:t xml:space="preserve">= Average Daily Operation </w:t>
      </w:r>
    </w:p>
    <w:p w:rsidR="00EA0FA5" w:rsidRDefault="00EA0FA5" w:rsidP="00EA0FA5">
      <w:pPr>
        <w:ind w:left="2160" w:firstLine="720"/>
      </w:pPr>
      <w:r>
        <w:t>= custom or if unknown, use 15 hours</w:t>
      </w:r>
    </w:p>
    <w:p w:rsidR="00EA0FA5" w:rsidRDefault="00EA0FA5" w:rsidP="00EA0FA5">
      <w:pPr>
        <w:ind w:left="720"/>
      </w:pPr>
      <w:r>
        <w:t xml:space="preserve">Days </w:t>
      </w:r>
      <w:r>
        <w:tab/>
      </w:r>
      <w:r>
        <w:tab/>
      </w:r>
      <w:r>
        <w:tab/>
        <w:t xml:space="preserve">= Annual days of operation </w:t>
      </w:r>
    </w:p>
    <w:p w:rsidR="00EA0FA5" w:rsidRDefault="00EA0FA5" w:rsidP="00EA0FA5">
      <w:pPr>
        <w:ind w:left="2160" w:firstLine="720"/>
      </w:pPr>
      <w:r>
        <w:t>= custom or if unknown, use 365.25 days a year</w:t>
      </w:r>
    </w:p>
    <w:p w:rsidR="00EA0FA5" w:rsidRPr="006927DF" w:rsidRDefault="00EA0FA5" w:rsidP="00EA0FA5">
      <w:pPr>
        <w:rPr>
          <w:rFonts w:cs="Calibri"/>
        </w:rPr>
      </w:pPr>
      <w:r>
        <w:rPr>
          <w:noProof/>
        </w:rPr>
        <mc:AlternateContent>
          <mc:Choice Requires="wps">
            <w:drawing>
              <wp:inline distT="0" distB="0" distL="0" distR="0" wp14:anchorId="28F9E241" wp14:editId="15699C8D">
                <wp:extent cx="5943600" cy="3332480"/>
                <wp:effectExtent l="0" t="0" r="19050" b="20320"/>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332480"/>
                        </a:xfrm>
                        <a:prstGeom prst="rect">
                          <a:avLst/>
                        </a:prstGeom>
                        <a:solidFill>
                          <a:srgbClr val="FFFFFF"/>
                        </a:solidFill>
                        <a:ln w="9525">
                          <a:solidFill>
                            <a:srgbClr val="000000"/>
                          </a:solidFill>
                          <a:miter lim="800000"/>
                          <a:headEnd/>
                          <a:tailEnd/>
                        </a:ln>
                      </wps:spPr>
                      <wps:txbx>
                        <w:txbxContent>
                          <w:p w:rsidR="00EA0FA5" w:rsidRDefault="00EA0FA5" w:rsidP="00EA0FA5">
                            <w:pPr>
                              <w:rPr>
                                <w:rFonts w:cs="Calibri"/>
                              </w:rPr>
                            </w:pPr>
                            <w:r>
                              <w:rPr>
                                <w:rFonts w:cs="Calibri"/>
                              </w:rPr>
                              <w:t>For example, if a full size HFHC is installed the measure would save:</w:t>
                            </w:r>
                          </w:p>
                          <w:p w:rsidR="00EA0FA5" w:rsidRDefault="00EA0FA5" w:rsidP="00EA0FA5">
                            <w:pPr>
                              <w:ind w:left="720"/>
                              <w:rPr>
                                <w:rFonts w:cs="Calibri"/>
                              </w:rPr>
                            </w:pPr>
                            <w:r w:rsidRPr="002F371F">
                              <w:rPr>
                                <w:rFonts w:cs="Calibri"/>
                              </w:rPr>
                              <w:t>Δ</w:t>
                            </w:r>
                            <w:r>
                              <w:rPr>
                                <w:rFonts w:cs="Calibri"/>
                              </w:rPr>
                              <w:t xml:space="preserve">kWh </w:t>
                            </w:r>
                            <w:r>
                              <w:rPr>
                                <w:rFonts w:cs="Calibri"/>
                              </w:rPr>
                              <w:tab/>
                              <w:t>= (</w:t>
                            </w:r>
                            <w:r>
                              <w:t>PowerBaseline*</w:t>
                            </w:r>
                            <w:r w:rsidRPr="004E54EC">
                              <w:rPr>
                                <w:rFonts w:cs="Calibri"/>
                              </w:rPr>
                              <w:t xml:space="preserve"> </w:t>
                            </w:r>
                            <w:r w:rsidRPr="002F371F">
                              <w:rPr>
                                <w:rFonts w:cs="Calibri"/>
                              </w:rPr>
                              <w:t>HOURSday</w:t>
                            </w:r>
                            <w:r>
                              <w:rPr>
                                <w:rFonts w:cs="Calibri"/>
                              </w:rPr>
                              <w:t xml:space="preserve"> * </w:t>
                            </w:r>
                            <w:r>
                              <w:t>Days)/1000</w:t>
                            </w:r>
                            <w:r>
                              <w:rPr>
                                <w:rFonts w:cs="Calibri"/>
                                <w:vertAlign w:val="subscript"/>
                              </w:rPr>
                              <w:t xml:space="preserve"> </w:t>
                            </w:r>
                            <w:r w:rsidRPr="006927DF">
                              <w:rPr>
                                <w:rFonts w:cs="Calibri"/>
                              </w:rPr>
                              <w:t>– (</w:t>
                            </w:r>
                            <w:r>
                              <w:t>PowerENERGYSTAR*</w:t>
                            </w:r>
                            <w:r w:rsidRPr="004E54EC">
                              <w:rPr>
                                <w:rFonts w:cs="Calibri"/>
                              </w:rPr>
                              <w:t xml:space="preserve"> </w:t>
                            </w:r>
                            <w:r w:rsidRPr="002F371F">
                              <w:rPr>
                                <w:rFonts w:cs="Calibri"/>
                              </w:rPr>
                              <w:t>HOURSday</w:t>
                            </w:r>
                            <w:r>
                              <w:rPr>
                                <w:rFonts w:cs="Calibri"/>
                              </w:rPr>
                              <w:t xml:space="preserve"> * </w:t>
                            </w:r>
                            <w:r>
                              <w:t>Days)/1000</w:t>
                            </w:r>
                          </w:p>
                          <w:p w:rsidR="00EA0FA5" w:rsidRDefault="00EA0FA5" w:rsidP="00EA0FA5">
                            <w:pPr>
                              <w:rPr>
                                <w:rFonts w:cs="Calibri"/>
                              </w:rPr>
                            </w:pPr>
                            <w:r>
                              <w:rPr>
                                <w:rFonts w:cs="Calibri"/>
                              </w:rPr>
                              <w:tab/>
                            </w:r>
                            <w:r>
                              <w:rPr>
                                <w:rFonts w:cs="Calibri"/>
                              </w:rPr>
                              <w:tab/>
                              <w:t>= (2500*15*365.25)/1000 – (800*15*365.25)/1000</w:t>
                            </w:r>
                          </w:p>
                          <w:p w:rsidR="00EA0FA5" w:rsidRPr="006927DF" w:rsidRDefault="00EA0FA5" w:rsidP="00EA0FA5">
                            <w:pPr>
                              <w:ind w:left="720" w:firstLine="720"/>
                              <w:rPr>
                                <w:rFonts w:cs="Calibri"/>
                              </w:rPr>
                            </w:pPr>
                            <w:r>
                              <w:rPr>
                                <w:rFonts w:cs="Calibri"/>
                              </w:rPr>
                              <w:t>= 9,314 kWh</w:t>
                            </w:r>
                          </w:p>
                        </w:txbxContent>
                      </wps:txbx>
                      <wps:bodyPr rot="0" vert="horz" wrap="square" lIns="91440" tIns="45720" rIns="91440" bIns="45720" anchor="t" anchorCtr="0">
                        <a:spAutoFit/>
                      </wps:bodyPr>
                    </wps:wsp>
                  </a:graphicData>
                </a:graphic>
              </wp:inline>
            </w:drawing>
          </mc:Choice>
          <mc:Fallback>
            <w:pict>
              <v:shapetype id="_x0000_t202" coordsize="21600,21600" o:spt="202" path="m,l,21600r21600,l21600,xe">
                <v:stroke joinstyle="miter"/>
                <v:path gradientshapeok="t" o:connecttype="rect"/>
              </v:shapetype>
              <v:shape id="Text Box 17" o:spid="_x0000_s1026" type="#_x0000_t202" style="width:468pt;height:26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">
                <v:textbox style="mso-fit-shape-to-text:t">
                  <w:txbxContent>
                    <w:p w:rsidR="00EA0FA5" w:rsidRDefault="00EA0FA5" w:rsidP="00EA0FA5">
                      <w:pPr>
                        <w:rPr>
                          <w:rFonts w:cs="Calibri"/>
                        </w:rPr>
                      </w:pPr>
                      <w:r>
                        <w:rPr>
                          <w:rFonts w:cs="Calibri"/>
                        </w:rPr>
                        <w:t>For example, if a full size HFHC is installed the measure would save:</w:t>
                      </w:r>
                    </w:p>
                    <w:p w:rsidR="00EA0FA5" w:rsidRDefault="00EA0FA5" w:rsidP="00EA0FA5">
                      <w:pPr>
                        <w:ind w:left="720"/>
                        <w:rPr>
                          <w:rFonts w:cs="Calibri"/>
                        </w:rPr>
                      </w:pPr>
                      <w:proofErr w:type="spellStart"/>
                      <w:r w:rsidRPr="002F371F">
                        <w:rPr>
                          <w:rFonts w:cs="Calibri"/>
                        </w:rPr>
                        <w:t>Δ</w:t>
                      </w:r>
                      <w:r>
                        <w:rPr>
                          <w:rFonts w:cs="Calibri"/>
                        </w:rPr>
                        <w:t>kWh</w:t>
                      </w:r>
                      <w:proofErr w:type="spellEnd"/>
                      <w:r>
                        <w:rPr>
                          <w:rFonts w:cs="Calibri"/>
                        </w:rPr>
                        <w:t xml:space="preserve"> </w:t>
                      </w:r>
                      <w:r>
                        <w:rPr>
                          <w:rFonts w:cs="Calibri"/>
                        </w:rPr>
                        <w:tab/>
                        <w:t>= (</w:t>
                      </w:r>
                      <w:proofErr w:type="spellStart"/>
                      <w:r>
                        <w:t>PowerBaseline</w:t>
                      </w:r>
                      <w:proofErr w:type="spellEnd"/>
                      <w:r>
                        <w:t>*</w:t>
                      </w:r>
                      <w:r w:rsidRPr="004E54EC">
                        <w:rPr>
                          <w:rFonts w:cs="Calibri"/>
                        </w:rPr>
                        <w:t xml:space="preserve"> </w:t>
                      </w:r>
                      <w:proofErr w:type="spellStart"/>
                      <w:r w:rsidRPr="002F371F">
                        <w:rPr>
                          <w:rFonts w:cs="Calibri"/>
                        </w:rPr>
                        <w:t>HOURSday</w:t>
                      </w:r>
                      <w:proofErr w:type="spellEnd"/>
                      <w:r>
                        <w:rPr>
                          <w:rFonts w:cs="Calibri"/>
                        </w:rPr>
                        <w:t xml:space="preserve"> * </w:t>
                      </w:r>
                      <w:r>
                        <w:t>Days)/1000</w:t>
                      </w:r>
                      <w:r>
                        <w:rPr>
                          <w:rFonts w:cs="Calibri"/>
                          <w:vertAlign w:val="subscript"/>
                        </w:rPr>
                        <w:t xml:space="preserve"> </w:t>
                      </w:r>
                      <w:r w:rsidRPr="006927DF">
                        <w:rPr>
                          <w:rFonts w:cs="Calibri"/>
                        </w:rPr>
                        <w:t>– (</w:t>
                      </w:r>
                      <w:proofErr w:type="spellStart"/>
                      <w:r>
                        <w:t>PowerENERGYSTAR</w:t>
                      </w:r>
                      <w:proofErr w:type="spellEnd"/>
                      <w:r>
                        <w:t>*</w:t>
                      </w:r>
                      <w:r w:rsidRPr="004E54EC">
                        <w:rPr>
                          <w:rFonts w:cs="Calibri"/>
                        </w:rPr>
                        <w:t xml:space="preserve"> </w:t>
                      </w:r>
                      <w:proofErr w:type="spellStart"/>
                      <w:r w:rsidRPr="002F371F">
                        <w:rPr>
                          <w:rFonts w:cs="Calibri"/>
                        </w:rPr>
                        <w:t>HOURSday</w:t>
                      </w:r>
                      <w:proofErr w:type="spellEnd"/>
                      <w:r>
                        <w:rPr>
                          <w:rFonts w:cs="Calibri"/>
                        </w:rPr>
                        <w:t xml:space="preserve"> * </w:t>
                      </w:r>
                      <w:r>
                        <w:t>Days)/1000</w:t>
                      </w:r>
                    </w:p>
                    <w:p w:rsidR="00EA0FA5" w:rsidRDefault="00EA0FA5" w:rsidP="00EA0FA5">
                      <w:pPr>
                        <w:rPr>
                          <w:rFonts w:cs="Calibri"/>
                        </w:rPr>
                      </w:pPr>
                      <w:r>
                        <w:rPr>
                          <w:rFonts w:cs="Calibri"/>
                        </w:rPr>
                        <w:tab/>
                      </w:r>
                      <w:r>
                        <w:rPr>
                          <w:rFonts w:cs="Calibri"/>
                        </w:rPr>
                        <w:tab/>
                        <w:t>= (2500*15*365.25)/1000 – (800*15*365.25)/1000</w:t>
                      </w:r>
                    </w:p>
                    <w:p w:rsidR="00EA0FA5" w:rsidRPr="006927DF" w:rsidRDefault="00EA0FA5" w:rsidP="00EA0FA5">
                      <w:pPr>
                        <w:ind w:left="720" w:firstLine="720"/>
                        <w:rPr>
                          <w:rFonts w:cs="Calibri"/>
                        </w:rPr>
                      </w:pPr>
                      <w:r>
                        <w:rPr>
                          <w:rFonts w:cs="Calibri"/>
                        </w:rPr>
                        <w:t>= 9,314 kWh</w:t>
                      </w:r>
                    </w:p>
                  </w:txbxContent>
                </v:textbox>
                <w10:anchorlock/>
              </v:shape>
            </w:pict>
          </mc:Fallback>
        </mc:AlternateContent>
      </w:r>
    </w:p>
    <w:p w:rsidR="00EA0FA5" w:rsidRDefault="00EA0FA5" w:rsidP="00EA0FA5">
      <w:pPr>
        <w:pStyle w:val="Heading6"/>
      </w:pPr>
      <w:r w:rsidRPr="00933056">
        <w:t>Summer Coincident Peak Demand Savings</w:t>
      </w:r>
      <w:r>
        <w:t xml:space="preserve"> </w:t>
      </w:r>
    </w:p>
    <w:p w:rsidR="00EA0FA5" w:rsidRDefault="00EA0FA5" w:rsidP="00EA0FA5">
      <w:pPr>
        <w:ind w:left="720"/>
        <w:rPr>
          <w:rFonts w:cs="Calibri"/>
        </w:rPr>
      </w:pPr>
      <w:r w:rsidRPr="002F371F">
        <w:t>Δ</w:t>
      </w:r>
      <w:r>
        <w:t xml:space="preserve">kW </w:t>
      </w:r>
      <w:r>
        <w:tab/>
      </w:r>
      <w:r>
        <w:tab/>
        <w:t xml:space="preserve">= </w:t>
      </w:r>
      <w:r w:rsidRPr="002F371F">
        <w:rPr>
          <w:rFonts w:cs="Calibri"/>
        </w:rPr>
        <w:t>Δ</w:t>
      </w:r>
      <w:r>
        <w:rPr>
          <w:rFonts w:cs="Calibri"/>
        </w:rPr>
        <w:t>kWh/Hours * CF</w:t>
      </w:r>
    </w:p>
    <w:p w:rsidR="00EA0FA5" w:rsidRDefault="00EA0FA5" w:rsidP="00EA0FA5">
      <w:pPr>
        <w:ind w:left="720"/>
      </w:pPr>
      <w:r>
        <w:t>Where:  Hours = Hoursday *Days</w:t>
      </w:r>
    </w:p>
    <w:p w:rsidR="00EA0FA5" w:rsidRDefault="00EA0FA5" w:rsidP="00EA0FA5">
      <w:pPr>
        <w:ind w:left="720"/>
        <w:rPr>
          <w:rFonts w:cs="Calibri"/>
        </w:rPr>
      </w:pPr>
      <w:r>
        <w:rPr>
          <w:noProof/>
        </w:rPr>
        <mc:AlternateContent>
          <mc:Choice Requires="wps">
            <w:drawing>
              <wp:inline distT="0" distB="0" distL="0" distR="0" wp14:anchorId="5A8701AD" wp14:editId="08582EB4">
                <wp:extent cx="5543550" cy="1330325"/>
                <wp:effectExtent l="0" t="0" r="19050" b="19685"/>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3550" cy="1330325"/>
                        </a:xfrm>
                        <a:prstGeom prst="rect">
                          <a:avLst/>
                        </a:prstGeom>
                        <a:solidFill>
                          <a:srgbClr val="FFFFFF"/>
                        </a:solidFill>
                        <a:ln w="9525">
                          <a:solidFill>
                            <a:srgbClr val="000000"/>
                          </a:solidFill>
                          <a:miter lim="800000"/>
                          <a:headEnd/>
                          <a:tailEnd/>
                        </a:ln>
                      </wps:spPr>
                      <wps:txbx>
                        <w:txbxContent>
                          <w:p w:rsidR="00EA0FA5" w:rsidRDefault="00EA0FA5" w:rsidP="00EA0FA5">
                            <w:pPr>
                              <w:rPr>
                                <w:rFonts w:cs="Calibri"/>
                              </w:rPr>
                            </w:pPr>
                            <w:r>
                              <w:rPr>
                                <w:rFonts w:cs="Calibri"/>
                              </w:rPr>
                              <w:t>For example, if a full size HFHC is installed in a cafeteria the measure would save:</w:t>
                            </w:r>
                          </w:p>
                          <w:p w:rsidR="00EA0FA5" w:rsidRPr="00DD5E39" w:rsidRDefault="00EA0FA5" w:rsidP="00EA0FA5">
                            <w:pPr>
                              <w:ind w:left="720"/>
                            </w:pPr>
                            <w:r>
                              <w:tab/>
                            </w:r>
                            <w:r w:rsidRPr="00DD5E39">
                              <w:tab/>
                              <w:t>=</w:t>
                            </w:r>
                            <w:r>
                              <w:t xml:space="preserve"> 9,314 kWh / (15*365.25)* .36</w:t>
                            </w:r>
                          </w:p>
                          <w:p w:rsidR="00EA0FA5" w:rsidRPr="00DD5E39" w:rsidRDefault="00EA0FA5" w:rsidP="00EA0FA5">
                            <w:pPr>
                              <w:ind w:left="720"/>
                            </w:pPr>
                            <w:r>
                              <w:tab/>
                            </w:r>
                            <w:r>
                              <w:tab/>
                              <w:t>=0 .61 kW</w:t>
                            </w:r>
                          </w:p>
                        </w:txbxContent>
                      </wps:txbx>
                      <wps:bodyPr rot="0" vert="horz" wrap="square" lIns="91440" tIns="45720" rIns="91440" bIns="45720" anchor="t" anchorCtr="0">
                        <a:spAutoFit/>
                      </wps:bodyPr>
                    </wps:wsp>
                  </a:graphicData>
                </a:graphic>
              </wp:inline>
            </w:drawing>
          </mc:Choice>
          <mc:Fallback>
            <w:pict>
              <v:shape id="Text Box 22" o:spid="_x0000_s1027" type="#_x0000_t202" style="width:436.5pt;height:104.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">
                <v:textbox style="mso-fit-shape-to-text:t">
                  <w:txbxContent>
                    <w:p w:rsidR="00EA0FA5" w:rsidRDefault="00EA0FA5" w:rsidP="00EA0FA5">
                      <w:pPr>
                        <w:rPr>
                          <w:rFonts w:cs="Calibri"/>
                        </w:rPr>
                      </w:pPr>
                      <w:r>
                        <w:rPr>
                          <w:rFonts w:cs="Calibri"/>
                        </w:rPr>
                        <w:t>For example, if a full size HFHC is installed in a cafeteria the measure would save:</w:t>
                      </w:r>
                    </w:p>
                    <w:p w:rsidR="00EA0FA5" w:rsidRPr="00DD5E39" w:rsidRDefault="00EA0FA5" w:rsidP="00EA0FA5">
                      <w:pPr>
                        <w:ind w:left="720"/>
                      </w:pPr>
                      <w:r>
                        <w:tab/>
                      </w:r>
                      <w:r w:rsidRPr="00DD5E39">
                        <w:tab/>
                        <w:t>=</w:t>
                      </w:r>
                      <w:r>
                        <w:t xml:space="preserve"> 9,314 kWh / (15*365.25)* .36</w:t>
                      </w:r>
                    </w:p>
                    <w:p w:rsidR="00EA0FA5" w:rsidRPr="00DD5E39" w:rsidRDefault="00EA0FA5" w:rsidP="00EA0FA5">
                      <w:pPr>
                        <w:ind w:left="720"/>
                      </w:pPr>
                      <w:r>
                        <w:tab/>
                      </w:r>
                      <w:r>
                        <w:tab/>
                        <w:t>=0 .61 kW</w:t>
                      </w:r>
                    </w:p>
                  </w:txbxContent>
                </v:textbox>
                <w10:anchorlock/>
              </v:shape>
            </w:pict>
          </mc:Fallback>
        </mc:AlternateContent>
      </w:r>
    </w:p>
    <w:p w:rsidR="00EA0FA5" w:rsidRDefault="00EA0FA5" w:rsidP="00EA0FA5">
      <w:pPr>
        <w:pStyle w:val="Heading6"/>
      </w:pPr>
      <w:r>
        <w:lastRenderedPageBreak/>
        <w:t>Natural Gas Energy Savings</w:t>
      </w:r>
    </w:p>
    <w:p w:rsidR="00EA0FA5" w:rsidRPr="00DC26B8" w:rsidRDefault="00EA0FA5" w:rsidP="00EA0FA5">
      <w:r>
        <w:t>N/A</w:t>
      </w:r>
    </w:p>
    <w:p w:rsidR="00EA0FA5" w:rsidRDefault="00EA0FA5" w:rsidP="00EA0FA5">
      <w:pPr>
        <w:pStyle w:val="Heading6"/>
      </w:pPr>
      <w:r w:rsidRPr="002F371F">
        <w:t xml:space="preserve">Water Impact Descriptions and Calculation  </w:t>
      </w:r>
    </w:p>
    <w:p w:rsidR="00EA0FA5" w:rsidRPr="00423D6F" w:rsidRDefault="00EA0FA5" w:rsidP="00EA0FA5">
      <w:r>
        <w:t>N/A</w:t>
      </w:r>
    </w:p>
    <w:p w:rsidR="00EA0FA5" w:rsidRDefault="00EA0FA5" w:rsidP="00EA0FA5">
      <w:pPr>
        <w:pStyle w:val="Heading6"/>
      </w:pPr>
      <w:r w:rsidRPr="002F371F">
        <w:t xml:space="preserve">Deemed O&amp;M Cost Adjustment Calculation </w:t>
      </w:r>
    </w:p>
    <w:p w:rsidR="00EA0FA5" w:rsidRPr="00423D6F" w:rsidRDefault="00EA0FA5" w:rsidP="00EA0FA5">
      <w:r>
        <w:t>N/A</w:t>
      </w:r>
    </w:p>
    <w:p w:rsidR="00EA0FA5" w:rsidRPr="002F371F" w:rsidRDefault="00EA0FA5" w:rsidP="00EA0FA5">
      <w:pPr>
        <w:pStyle w:val="Heading6"/>
      </w:pPr>
      <w:r>
        <w:t xml:space="preserve">Measure Code: </w:t>
      </w:r>
      <w:r w:rsidRPr="00E96141">
        <w:t>CI-FSE-ESHH-V0</w:t>
      </w:r>
      <w:del w:id="23" w:author="Samuel Dent" w:date="2015-10-23T09:14:00Z">
        <w:r w:rsidRPr="00E96141" w:rsidDel="002011E6">
          <w:delText>1</w:delText>
        </w:r>
      </w:del>
      <w:ins w:id="24" w:author="Samuel Dent" w:date="2015-10-23T09:14:00Z">
        <w:r w:rsidR="002011E6">
          <w:t>2</w:t>
        </w:r>
      </w:ins>
      <w:r w:rsidRPr="00E96141">
        <w:t>-</w:t>
      </w:r>
      <w:r>
        <w:t>1</w:t>
      </w:r>
      <w:del w:id="25" w:author="Samuel Dent" w:date="2015-10-23T09:14:00Z">
        <w:r w:rsidDel="002011E6">
          <w:delText>2</w:delText>
        </w:r>
      </w:del>
      <w:ins w:id="26" w:author="Samuel Dent" w:date="2015-10-23T09:14:00Z">
        <w:r w:rsidR="002011E6">
          <w:t>6</w:t>
        </w:r>
      </w:ins>
      <w:bookmarkStart w:id="27" w:name="_GoBack"/>
      <w:bookmarkEnd w:id="27"/>
      <w:r>
        <w:t>0601</w:t>
      </w:r>
    </w:p>
    <w:p w:rsidR="00EA0FA5" w:rsidRDefault="00EA0FA5" w:rsidP="00EA0FA5">
      <w:pPr>
        <w:widowControl/>
        <w:spacing w:after="0"/>
        <w:jc w:val="left"/>
        <w:rPr>
          <w:rFonts w:cstheme="minorHAnsi"/>
          <w:highlight w:val="lightGray"/>
        </w:rPr>
        <w:sectPr w:rsidR="00EA0FA5" w:rsidSect="00EA0FA5">
          <w:headerReference w:type="even" r:id="rId8"/>
          <w:headerReference w:type="default" r:id="rId9"/>
          <w:headerReference w:type="first" r:id="rId10"/>
          <w:pgSz w:w="12240" w:h="15840" w:code="1"/>
          <w:pgMar w:top="1440" w:right="1440" w:bottom="1440" w:left="1440" w:header="720" w:footer="720" w:gutter="0"/>
          <w:cols w:space="720"/>
          <w:docGrid w:linePitch="272"/>
        </w:sectPr>
      </w:pPr>
      <w:r>
        <w:rPr>
          <w:rFonts w:cstheme="minorHAnsi"/>
          <w:highlight w:val="lightGray"/>
        </w:rPr>
        <w:br w:type="page"/>
      </w:r>
    </w:p>
    <w:p w:rsidR="00D5281E" w:rsidRDefault="00D5281E"/>
    <w:sectPr w:rsidR="00D5281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0FA5" w:rsidRDefault="00EA0FA5" w:rsidP="00EA0FA5">
      <w:pPr>
        <w:spacing w:after="0"/>
      </w:pPr>
      <w:r>
        <w:separator/>
      </w:r>
    </w:p>
  </w:endnote>
  <w:endnote w:type="continuationSeparator" w:id="0">
    <w:p w:rsidR="00EA0FA5" w:rsidRDefault="00EA0FA5" w:rsidP="00EA0FA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0FA5" w:rsidRDefault="00EA0FA5" w:rsidP="00EA0FA5">
      <w:pPr>
        <w:spacing w:after="0"/>
      </w:pPr>
      <w:r>
        <w:separator/>
      </w:r>
    </w:p>
  </w:footnote>
  <w:footnote w:type="continuationSeparator" w:id="0">
    <w:p w:rsidR="00EA0FA5" w:rsidRDefault="00EA0FA5" w:rsidP="00EA0FA5">
      <w:pPr>
        <w:spacing w:after="0"/>
      </w:pPr>
      <w:r>
        <w:continuationSeparator/>
      </w:r>
    </w:p>
  </w:footnote>
  <w:footnote w:id="1">
    <w:p w:rsidR="00EA0FA5" w:rsidRPr="00F903F5" w:rsidRDefault="00EA0FA5" w:rsidP="00EA0FA5">
      <w:pPr>
        <w:spacing w:after="0"/>
        <w:jc w:val="left"/>
      </w:pPr>
      <w:r w:rsidRPr="00521764">
        <w:rPr>
          <w:rStyle w:val="FootnoteReference"/>
        </w:rPr>
        <w:footnoteRef/>
      </w:r>
      <w:r w:rsidRPr="00521764">
        <w:rPr>
          <w:vertAlign w:val="superscript"/>
        </w:rPr>
        <w:t xml:space="preserve"> </w:t>
      </w:r>
      <w:r w:rsidRPr="00F40C2E">
        <w:t xml:space="preserve">Lifetime from ENERGY STAR </w:t>
      </w:r>
      <w:r>
        <w:t>HFHC</w:t>
      </w:r>
      <w:r w:rsidRPr="00F40C2E">
        <w:t xml:space="preserve"> which cites reference as “FSTC research on available models, 2009” http://www.energystar.gov/index.cfm?fuseaction=find_a_product.showProductGroup&amp;pgw_code=COG</w:t>
      </w:r>
    </w:p>
  </w:footnote>
  <w:footnote w:id="2">
    <w:p w:rsidR="00EA0FA5" w:rsidRPr="00F903F5" w:rsidRDefault="00EA0FA5" w:rsidP="00EA0FA5">
      <w:pPr>
        <w:spacing w:after="0"/>
        <w:jc w:val="left"/>
      </w:pPr>
      <w:r w:rsidRPr="00521764">
        <w:rPr>
          <w:rStyle w:val="FootnoteReference"/>
        </w:rPr>
        <w:footnoteRef/>
      </w:r>
      <w:r w:rsidRPr="00521764">
        <w:rPr>
          <w:vertAlign w:val="superscript"/>
        </w:rPr>
        <w:t xml:space="preserve"> </w:t>
      </w:r>
      <w:r w:rsidRPr="00F40C2E">
        <w:t>Measure cost from ENERGY STAR which cites reference as “EPA research on available models using AutoQuotes, 2010” http://www.energystar.gov/index.cfm?fuseaction=find_a_product.showProductGroup&amp;pgw_code=COG</w:t>
      </w:r>
    </w:p>
  </w:footnote>
  <w:footnote w:id="3">
    <w:p w:rsidR="00EA0FA5" w:rsidRPr="00521764" w:rsidRDefault="00EA0FA5" w:rsidP="00EA0FA5">
      <w:pPr>
        <w:spacing w:after="0"/>
        <w:jc w:val="left"/>
        <w:rPr>
          <w:rFonts w:cstheme="minorHAnsi"/>
          <w:sz w:val="18"/>
          <w:szCs w:val="18"/>
        </w:rPr>
      </w:pPr>
      <w:r w:rsidRPr="00521764">
        <w:rPr>
          <w:rStyle w:val="FootnoteReference"/>
          <w:rFonts w:cstheme="minorHAnsi"/>
          <w:sz w:val="18"/>
          <w:szCs w:val="18"/>
        </w:rPr>
        <w:footnoteRef/>
      </w:r>
      <w:ins w:id="9" w:author="Samuel Dent" w:date="2015-10-23T09:12:00Z">
        <w:r>
          <w:rPr>
            <w:rStyle w:val="FootnoteChar"/>
            <w:szCs w:val="18"/>
          </w:rPr>
          <w:t xml:space="preserve">Values taken from </w:t>
        </w:r>
        <w:r w:rsidRPr="009C362B">
          <w:rPr>
            <w:rStyle w:val="FootnoteChar"/>
            <w:szCs w:val="18"/>
          </w:rPr>
          <w:t xml:space="preserve">Minnesota Technical Reference Manual, </w:t>
        </w:r>
        <w:r>
          <w:rPr>
            <w:rStyle w:val="FootnoteChar"/>
            <w:szCs w:val="18"/>
          </w:rPr>
          <w:t>‘Electric Oven and Range’ measure</w:t>
        </w:r>
        <w:r w:rsidRPr="009C362B">
          <w:rPr>
            <w:rStyle w:val="FootnoteChar"/>
            <w:szCs w:val="18"/>
          </w:rPr>
          <w:t xml:space="preserve"> </w:t>
        </w:r>
        <w:r>
          <w:rPr>
            <w:rStyle w:val="FootnoteChar"/>
            <w:szCs w:val="18"/>
          </w:rPr>
          <w:t>and is based upon “</w:t>
        </w:r>
        <w:r w:rsidRPr="006745A6">
          <w:rPr>
            <w:rStyle w:val="FootnoteChar"/>
            <w:szCs w:val="18"/>
          </w:rPr>
          <w:t>Project on Restaurant Energy Performance-End-Use Monitoring and Analysis</w:t>
        </w:r>
        <w:r>
          <w:rPr>
            <w:rStyle w:val="FootnoteChar"/>
            <w:szCs w:val="18"/>
          </w:rPr>
          <w:t>”</w:t>
        </w:r>
        <w:r w:rsidRPr="006745A6">
          <w:rPr>
            <w:rStyle w:val="FootnoteChar"/>
            <w:szCs w:val="18"/>
          </w:rPr>
          <w:t>, Appendixes I and II, Claar, et. al.,  May 1985</w:t>
        </w:r>
      </w:ins>
      <w:del w:id="10" w:author="Samuel Dent" w:date="2015-10-23T09:12:00Z">
        <w:r w:rsidRPr="00521764" w:rsidDel="00EA0FA5">
          <w:rPr>
            <w:rFonts w:cstheme="minorHAnsi"/>
            <w:sz w:val="18"/>
            <w:szCs w:val="18"/>
          </w:rPr>
          <w:delText xml:space="preserve">Minnesota 2012 Technical Reference Manual, </w:delText>
        </w:r>
        <w:r w:rsidDel="00EA0FA5">
          <w:fldChar w:fldCharType="begin"/>
        </w:r>
        <w:r w:rsidDel="00EA0FA5">
          <w:delInstrText xml:space="preserve"> HYPERLINK "http://neep.org/uploads/EMV%20Forum/EMV%20Studies/measure_life_GDS%5b1%5d.pdf" \t "_blank" \o "ElectricFoodService_v03.2.xls" </w:delInstrText>
        </w:r>
        <w:r w:rsidDel="00EA0FA5">
          <w:fldChar w:fldCharType="separate"/>
        </w:r>
        <w:r w:rsidRPr="00521764" w:rsidDel="00EA0FA5">
          <w:rPr>
            <w:rStyle w:val="Hyperlink"/>
            <w:rFonts w:cstheme="minorHAnsi"/>
            <w:sz w:val="18"/>
            <w:szCs w:val="18"/>
          </w:rPr>
          <w:delText>Electric Food Service_v03.2.xls</w:delText>
        </w:r>
        <w:r w:rsidDel="00EA0FA5">
          <w:rPr>
            <w:rStyle w:val="Hyperlink"/>
            <w:rFonts w:cstheme="minorHAnsi"/>
            <w:sz w:val="18"/>
            <w:szCs w:val="18"/>
          </w:rPr>
          <w:fldChar w:fldCharType="end"/>
        </w:r>
        <w:r w:rsidRPr="00521764" w:rsidDel="00EA0FA5">
          <w:rPr>
            <w:rFonts w:cstheme="minorHAnsi"/>
            <w:sz w:val="18"/>
            <w:szCs w:val="18"/>
          </w:rPr>
          <w:delText>, http://mn.gov/commerce/energy/topics/conservation/Design-Resources/Deemed-Savings.jspech</w:delText>
        </w:r>
      </w:del>
    </w:p>
  </w:footnote>
  <w:footnote w:id="4">
    <w:p w:rsidR="00EA0FA5" w:rsidRPr="00DE0E19" w:rsidRDefault="00EA0FA5" w:rsidP="00EA0FA5">
      <w:pPr>
        <w:pStyle w:val="FootnoteText"/>
        <w:jc w:val="left"/>
        <w:rPr>
          <w:rStyle w:val="FootnoteChar"/>
        </w:rPr>
      </w:pPr>
      <w:r w:rsidRPr="00521764">
        <w:rPr>
          <w:rStyle w:val="FootnoteReference"/>
          <w:sz w:val="18"/>
          <w:szCs w:val="18"/>
        </w:rPr>
        <w:footnoteRef/>
      </w:r>
      <w:r w:rsidRPr="00521764">
        <w:rPr>
          <w:sz w:val="18"/>
          <w:szCs w:val="18"/>
        </w:rPr>
        <w:t xml:space="preserve"> </w:t>
      </w:r>
      <w:r w:rsidRPr="00757497">
        <w:rPr>
          <w:rStyle w:val="FootnoteChar"/>
          <w:szCs w:val="18"/>
        </w:rPr>
        <w:t>Algorithms and assumptions derived from ENERGY STAR Commercial Kitchen Equipment Savings Calculator.http://www.energystar.gov/index.cfm?fuseaction=find_a_product.showProductGroup&amp;pgw_code=COG</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0FA5" w:rsidRDefault="00EA0FA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0FA5" w:rsidRPr="00B304F0" w:rsidRDefault="00EA0FA5" w:rsidP="00950A89">
    <w:pPr>
      <w:pStyle w:val="Header"/>
      <w:pBdr>
        <w:bottom w:val="single" w:sz="4" w:space="1" w:color="auto"/>
      </w:pBdr>
      <w:spacing w:after="0"/>
      <w:jc w:val="left"/>
      <w:rPr>
        <w:sz w:val="22"/>
      </w:rPr>
    </w:pPr>
    <w:r w:rsidRPr="00B304F0">
      <w:rPr>
        <w:sz w:val="22"/>
      </w:rPr>
      <w:t xml:space="preserve">Illinois Statewide Technical Reference Manual - </w:t>
    </w:r>
    <w:r w:rsidRPr="00B304F0">
      <w:rPr>
        <w:sz w:val="22"/>
      </w:rPr>
      <w:fldChar w:fldCharType="begin"/>
    </w:r>
    <w:r w:rsidRPr="00B304F0">
      <w:rPr>
        <w:sz w:val="22"/>
      </w:rPr>
      <w:instrText xml:space="preserve"> REF _Ref325528235 \w \h </w:instrText>
    </w:r>
    <w:r>
      <w:rPr>
        <w:sz w:val="22"/>
      </w:rPr>
      <w:instrText xml:space="preserve"> \* MERGEFORMAT </w:instrText>
    </w:r>
    <w:r w:rsidRPr="00B304F0">
      <w:rPr>
        <w:sz w:val="22"/>
      </w:rPr>
    </w:r>
    <w:r w:rsidRPr="00B304F0">
      <w:rPr>
        <w:sz w:val="22"/>
      </w:rPr>
      <w:fldChar w:fldCharType="separate"/>
    </w:r>
    <w:r>
      <w:rPr>
        <w:sz w:val="22"/>
      </w:rPr>
      <w:t>4.2.9</w:t>
    </w:r>
    <w:r w:rsidRPr="00B304F0">
      <w:rPr>
        <w:sz w:val="22"/>
      </w:rPr>
      <w:fldChar w:fldCharType="end"/>
    </w:r>
    <w:r w:rsidRPr="00B304F0">
      <w:rPr>
        <w:sz w:val="22"/>
      </w:rPr>
      <w:t xml:space="preserve"> </w:t>
    </w:r>
    <w:r w:rsidRPr="00B304F0">
      <w:rPr>
        <w:sz w:val="22"/>
      </w:rPr>
      <w:fldChar w:fldCharType="begin"/>
    </w:r>
    <w:r w:rsidRPr="00B304F0">
      <w:rPr>
        <w:sz w:val="22"/>
      </w:rPr>
      <w:instrText xml:space="preserve"> REF _Ref325528242 \h </w:instrText>
    </w:r>
    <w:r>
      <w:rPr>
        <w:sz w:val="22"/>
      </w:rPr>
      <w:instrText xml:space="preserve"> \* MERGEFORMAT </w:instrText>
    </w:r>
    <w:r w:rsidRPr="00B304F0">
      <w:rPr>
        <w:sz w:val="22"/>
      </w:rPr>
    </w:r>
    <w:r w:rsidRPr="00B304F0">
      <w:rPr>
        <w:sz w:val="22"/>
      </w:rPr>
      <w:fldChar w:fldCharType="separate"/>
    </w:r>
    <w:r w:rsidRPr="00294832">
      <w:rPr>
        <w:sz w:val="22"/>
      </w:rPr>
      <w:t>ENERGY STAR Hot Food Holding Cabinets</w:t>
    </w:r>
    <w:r w:rsidRPr="00B304F0">
      <w:rPr>
        <w:sz w:val="22"/>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0FA5" w:rsidRDefault="00EA0FA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C7D85"/>
    <w:multiLevelType w:val="multilevel"/>
    <w:tmpl w:val="B15CABA4"/>
    <w:lvl w:ilvl="0">
      <w:start w:val="1"/>
      <w:numFmt w:val="decimal"/>
      <w:pStyle w:val="Heading1"/>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
    <w:nsid w:val="7DD828CF"/>
    <w:multiLevelType w:val="multilevel"/>
    <w:tmpl w:val="7CC28C64"/>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0FA5"/>
    <w:rsid w:val="002011E6"/>
    <w:rsid w:val="00D5281E"/>
    <w:rsid w:val="00EA0F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0FA5"/>
    <w:pPr>
      <w:widowControl w:val="0"/>
      <w:spacing w:after="24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EA0FA5"/>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EA0FA5"/>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EA0FA5"/>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EA0FA5"/>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EA0FA5"/>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9"/>
    <w:qFormat/>
    <w:rsid w:val="00EA0FA5"/>
    <w:pPr>
      <w:keepNext/>
      <w:keepLines/>
      <w:tabs>
        <w:tab w:val="left" w:pos="5040"/>
      </w:tabs>
      <w:spacing w:before="200" w:line="276" w:lineRule="auto"/>
      <w:jc w:val="left"/>
      <w:outlineLvl w:val="5"/>
    </w:pPr>
    <w:rPr>
      <w:rFonts w:eastAsiaTheme="majorEastAsia"/>
      <w:b/>
      <w:smallCaps/>
      <w:sz w:val="22"/>
      <w:szCs w:val="18"/>
    </w:rPr>
  </w:style>
  <w:style w:type="paragraph" w:styleId="Heading7">
    <w:name w:val="heading 7"/>
    <w:basedOn w:val="Normal"/>
    <w:next w:val="Normal"/>
    <w:link w:val="Heading7Char"/>
    <w:uiPriority w:val="99"/>
    <w:qFormat/>
    <w:rsid w:val="00EA0FA5"/>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EA0FA5"/>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EA0FA5"/>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A0FA5"/>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EA0FA5"/>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EA0FA5"/>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EA0FA5"/>
    <w:rPr>
      <w:rFonts w:ascii="Calibri" w:eastAsiaTheme="minorEastAsia" w:hAnsi="Calibri" w:cs="Arial"/>
      <w:bCs/>
      <w:i/>
      <w:noProof/>
    </w:rPr>
  </w:style>
  <w:style w:type="character" w:customStyle="1" w:styleId="Heading5Char">
    <w:name w:val="Heading 5 Char"/>
    <w:basedOn w:val="DefaultParagraphFont"/>
    <w:link w:val="Heading5"/>
    <w:uiPriority w:val="99"/>
    <w:rsid w:val="00EA0FA5"/>
    <w:rPr>
      <w:rFonts w:ascii="Calibri" w:eastAsia="Times New Roman" w:hAnsi="Calibri" w:cs="Times New Roman"/>
      <w:sz w:val="20"/>
    </w:rPr>
  </w:style>
  <w:style w:type="character" w:customStyle="1" w:styleId="Heading6Char">
    <w:name w:val="Heading 6 Char"/>
    <w:basedOn w:val="DefaultParagraphFont"/>
    <w:link w:val="Heading6"/>
    <w:uiPriority w:val="99"/>
    <w:rsid w:val="00EA0FA5"/>
    <w:rPr>
      <w:rFonts w:eastAsiaTheme="majorEastAsia" w:cs="Times New Roman"/>
      <w:b/>
      <w:smallCaps/>
      <w:szCs w:val="18"/>
    </w:rPr>
  </w:style>
  <w:style w:type="character" w:customStyle="1" w:styleId="Heading7Char">
    <w:name w:val="Heading 7 Char"/>
    <w:basedOn w:val="DefaultParagraphFont"/>
    <w:link w:val="Heading7"/>
    <w:uiPriority w:val="99"/>
    <w:rsid w:val="00EA0FA5"/>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EA0FA5"/>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EA0FA5"/>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EA0FA5"/>
    <w:rPr>
      <w:rFonts w:ascii="Calibri" w:eastAsiaTheme="minorEastAsia" w:hAnsi="Calibri" w:cs="Times New Roman"/>
      <w:bCs/>
      <w:sz w:val="24"/>
      <w:szCs w:val="24"/>
    </w:rPr>
  </w:style>
  <w:style w:type="paragraph" w:styleId="Header">
    <w:name w:val="header"/>
    <w:basedOn w:val="Normal"/>
    <w:link w:val="HeaderChar"/>
    <w:uiPriority w:val="99"/>
    <w:rsid w:val="00EA0FA5"/>
    <w:pPr>
      <w:tabs>
        <w:tab w:val="center" w:pos="4320"/>
        <w:tab w:val="right" w:pos="8640"/>
      </w:tabs>
    </w:pPr>
  </w:style>
  <w:style w:type="character" w:customStyle="1" w:styleId="HeaderChar">
    <w:name w:val="Header Char"/>
    <w:basedOn w:val="DefaultParagraphFont"/>
    <w:link w:val="Header"/>
    <w:uiPriority w:val="99"/>
    <w:rsid w:val="00EA0FA5"/>
    <w:rPr>
      <w:rFonts w:eastAsia="Times New Roman" w:cs="Times New Roman"/>
      <w:sz w:val="20"/>
    </w:rPr>
  </w:style>
  <w:style w:type="table" w:styleId="TableGrid">
    <w:name w:val="Table Grid"/>
    <w:basedOn w:val="TableNormal"/>
    <w:uiPriority w:val="59"/>
    <w:rsid w:val="00EA0FA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Footnote Text1 Char,Footnote Text Char Ch,Footnote Text Char Ch Char Char Char,Footnote Text Char Ch Char Char,Footnote Text1 Char Char Char,Footnote Text Char Ch Char,ft Char,ft"/>
    <w:basedOn w:val="Normal"/>
    <w:link w:val="FootnoteTextChar"/>
    <w:uiPriority w:val="99"/>
    <w:qFormat/>
    <w:rsid w:val="00EA0FA5"/>
    <w:pPr>
      <w:spacing w:after="0"/>
    </w:p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
    <w:basedOn w:val="DefaultParagraphFont"/>
    <w:link w:val="FootnoteText"/>
    <w:uiPriority w:val="99"/>
    <w:rsid w:val="00EA0FA5"/>
    <w:rPr>
      <w:rFonts w:eastAsia="Times New Roman" w:cs="Times New Roman"/>
      <w:sz w:val="20"/>
    </w:rPr>
  </w:style>
  <w:style w:type="character" w:styleId="FootnoteReference">
    <w:name w:val="footnote reference"/>
    <w:uiPriority w:val="99"/>
    <w:qFormat/>
    <w:rsid w:val="00EA0FA5"/>
    <w:rPr>
      <w:rFonts w:ascii="Arial" w:hAnsi="Arial" w:cs="Times New Roman"/>
      <w:sz w:val="20"/>
      <w:vertAlign w:val="superscript"/>
    </w:rPr>
  </w:style>
  <w:style w:type="character" w:styleId="Hyperlink">
    <w:name w:val="Hyperlink"/>
    <w:uiPriority w:val="99"/>
    <w:rsid w:val="00EA0FA5"/>
    <w:rPr>
      <w:rFonts w:cs="Times New Roman"/>
      <w:color w:val="0000FF"/>
      <w:u w:val="single"/>
    </w:rPr>
  </w:style>
  <w:style w:type="paragraph" w:customStyle="1" w:styleId="TableText">
    <w:name w:val="Table Text"/>
    <w:basedOn w:val="Normal"/>
    <w:autoRedefine/>
    <w:qFormat/>
    <w:rsid w:val="00EA0FA5"/>
    <w:pPr>
      <w:spacing w:after="0"/>
      <w:jc w:val="left"/>
    </w:pPr>
    <w:rPr>
      <w:rFonts w:cs="Arial"/>
      <w:noProof/>
      <w:szCs w:val="18"/>
      <w:lang w:val="en"/>
    </w:rPr>
  </w:style>
  <w:style w:type="character" w:customStyle="1" w:styleId="FootnoteChar">
    <w:name w:val="Footnote Char"/>
    <w:basedOn w:val="DefaultParagraphFont"/>
    <w:link w:val="Footnote"/>
    <w:rsid w:val="00EA0FA5"/>
    <w:rPr>
      <w:rFonts w:eastAsiaTheme="minorEastAsia" w:cstheme="minorHAnsi"/>
      <w:sz w:val="18"/>
      <w:szCs w:val="20"/>
    </w:rPr>
  </w:style>
  <w:style w:type="paragraph" w:customStyle="1" w:styleId="TableHeading">
    <w:name w:val="Table Heading"/>
    <w:basedOn w:val="TableText"/>
    <w:autoRedefine/>
    <w:uiPriority w:val="99"/>
    <w:qFormat/>
    <w:rsid w:val="00EA0FA5"/>
    <w:rPr>
      <w:rFonts w:ascii="Calibri" w:hAnsi="Calibri" w:cs="Times New Roman"/>
      <w:b/>
      <w:color w:val="FFFFFF" w:themeColor="background1"/>
      <w:szCs w:val="24"/>
      <w:lang w:val="en-US"/>
    </w:rPr>
  </w:style>
  <w:style w:type="paragraph" w:customStyle="1" w:styleId="Footnote">
    <w:name w:val="Footnote"/>
    <w:basedOn w:val="FootnoteText"/>
    <w:link w:val="FootnoteChar"/>
    <w:autoRedefine/>
    <w:qFormat/>
    <w:rsid w:val="00EA0FA5"/>
    <w:pPr>
      <w:jc w:val="left"/>
    </w:pPr>
    <w:rPr>
      <w:rFonts w:eastAsiaTheme="minorEastAsia" w:cstheme="minorHAnsi"/>
      <w:sz w:val="18"/>
      <w:szCs w:val="20"/>
    </w:rPr>
  </w:style>
  <w:style w:type="paragraph" w:styleId="BalloonText">
    <w:name w:val="Balloon Text"/>
    <w:basedOn w:val="Normal"/>
    <w:link w:val="BalloonTextChar"/>
    <w:uiPriority w:val="99"/>
    <w:semiHidden/>
    <w:unhideWhenUsed/>
    <w:rsid w:val="00EA0FA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0FA5"/>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0FA5"/>
    <w:pPr>
      <w:widowControl w:val="0"/>
      <w:spacing w:after="24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EA0FA5"/>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EA0FA5"/>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EA0FA5"/>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EA0FA5"/>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EA0FA5"/>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9"/>
    <w:qFormat/>
    <w:rsid w:val="00EA0FA5"/>
    <w:pPr>
      <w:keepNext/>
      <w:keepLines/>
      <w:tabs>
        <w:tab w:val="left" w:pos="5040"/>
      </w:tabs>
      <w:spacing w:before="200" w:line="276" w:lineRule="auto"/>
      <w:jc w:val="left"/>
      <w:outlineLvl w:val="5"/>
    </w:pPr>
    <w:rPr>
      <w:rFonts w:eastAsiaTheme="majorEastAsia"/>
      <w:b/>
      <w:smallCaps/>
      <w:sz w:val="22"/>
      <w:szCs w:val="18"/>
    </w:rPr>
  </w:style>
  <w:style w:type="paragraph" w:styleId="Heading7">
    <w:name w:val="heading 7"/>
    <w:basedOn w:val="Normal"/>
    <w:next w:val="Normal"/>
    <w:link w:val="Heading7Char"/>
    <w:uiPriority w:val="99"/>
    <w:qFormat/>
    <w:rsid w:val="00EA0FA5"/>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EA0FA5"/>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EA0FA5"/>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A0FA5"/>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EA0FA5"/>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EA0FA5"/>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EA0FA5"/>
    <w:rPr>
      <w:rFonts w:ascii="Calibri" w:eastAsiaTheme="minorEastAsia" w:hAnsi="Calibri" w:cs="Arial"/>
      <w:bCs/>
      <w:i/>
      <w:noProof/>
    </w:rPr>
  </w:style>
  <w:style w:type="character" w:customStyle="1" w:styleId="Heading5Char">
    <w:name w:val="Heading 5 Char"/>
    <w:basedOn w:val="DefaultParagraphFont"/>
    <w:link w:val="Heading5"/>
    <w:uiPriority w:val="99"/>
    <w:rsid w:val="00EA0FA5"/>
    <w:rPr>
      <w:rFonts w:ascii="Calibri" w:eastAsia="Times New Roman" w:hAnsi="Calibri" w:cs="Times New Roman"/>
      <w:sz w:val="20"/>
    </w:rPr>
  </w:style>
  <w:style w:type="character" w:customStyle="1" w:styleId="Heading6Char">
    <w:name w:val="Heading 6 Char"/>
    <w:basedOn w:val="DefaultParagraphFont"/>
    <w:link w:val="Heading6"/>
    <w:uiPriority w:val="99"/>
    <w:rsid w:val="00EA0FA5"/>
    <w:rPr>
      <w:rFonts w:eastAsiaTheme="majorEastAsia" w:cs="Times New Roman"/>
      <w:b/>
      <w:smallCaps/>
      <w:szCs w:val="18"/>
    </w:rPr>
  </w:style>
  <w:style w:type="character" w:customStyle="1" w:styleId="Heading7Char">
    <w:name w:val="Heading 7 Char"/>
    <w:basedOn w:val="DefaultParagraphFont"/>
    <w:link w:val="Heading7"/>
    <w:uiPriority w:val="99"/>
    <w:rsid w:val="00EA0FA5"/>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EA0FA5"/>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EA0FA5"/>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EA0FA5"/>
    <w:rPr>
      <w:rFonts w:ascii="Calibri" w:eastAsiaTheme="minorEastAsia" w:hAnsi="Calibri" w:cs="Times New Roman"/>
      <w:bCs/>
      <w:sz w:val="24"/>
      <w:szCs w:val="24"/>
    </w:rPr>
  </w:style>
  <w:style w:type="paragraph" w:styleId="Header">
    <w:name w:val="header"/>
    <w:basedOn w:val="Normal"/>
    <w:link w:val="HeaderChar"/>
    <w:uiPriority w:val="99"/>
    <w:rsid w:val="00EA0FA5"/>
    <w:pPr>
      <w:tabs>
        <w:tab w:val="center" w:pos="4320"/>
        <w:tab w:val="right" w:pos="8640"/>
      </w:tabs>
    </w:pPr>
  </w:style>
  <w:style w:type="character" w:customStyle="1" w:styleId="HeaderChar">
    <w:name w:val="Header Char"/>
    <w:basedOn w:val="DefaultParagraphFont"/>
    <w:link w:val="Header"/>
    <w:uiPriority w:val="99"/>
    <w:rsid w:val="00EA0FA5"/>
    <w:rPr>
      <w:rFonts w:eastAsia="Times New Roman" w:cs="Times New Roman"/>
      <w:sz w:val="20"/>
    </w:rPr>
  </w:style>
  <w:style w:type="table" w:styleId="TableGrid">
    <w:name w:val="Table Grid"/>
    <w:basedOn w:val="TableNormal"/>
    <w:uiPriority w:val="59"/>
    <w:rsid w:val="00EA0FA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Footnote Text1 Char,Footnote Text Char Ch,Footnote Text Char Ch Char Char Char,Footnote Text Char Ch Char Char,Footnote Text1 Char Char Char,Footnote Text Char Ch Char,ft Char,ft"/>
    <w:basedOn w:val="Normal"/>
    <w:link w:val="FootnoteTextChar"/>
    <w:uiPriority w:val="99"/>
    <w:qFormat/>
    <w:rsid w:val="00EA0FA5"/>
    <w:pPr>
      <w:spacing w:after="0"/>
    </w:p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
    <w:basedOn w:val="DefaultParagraphFont"/>
    <w:link w:val="FootnoteText"/>
    <w:uiPriority w:val="99"/>
    <w:rsid w:val="00EA0FA5"/>
    <w:rPr>
      <w:rFonts w:eastAsia="Times New Roman" w:cs="Times New Roman"/>
      <w:sz w:val="20"/>
    </w:rPr>
  </w:style>
  <w:style w:type="character" w:styleId="FootnoteReference">
    <w:name w:val="footnote reference"/>
    <w:uiPriority w:val="99"/>
    <w:qFormat/>
    <w:rsid w:val="00EA0FA5"/>
    <w:rPr>
      <w:rFonts w:ascii="Arial" w:hAnsi="Arial" w:cs="Times New Roman"/>
      <w:sz w:val="20"/>
      <w:vertAlign w:val="superscript"/>
    </w:rPr>
  </w:style>
  <w:style w:type="character" w:styleId="Hyperlink">
    <w:name w:val="Hyperlink"/>
    <w:uiPriority w:val="99"/>
    <w:rsid w:val="00EA0FA5"/>
    <w:rPr>
      <w:rFonts w:cs="Times New Roman"/>
      <w:color w:val="0000FF"/>
      <w:u w:val="single"/>
    </w:rPr>
  </w:style>
  <w:style w:type="paragraph" w:customStyle="1" w:styleId="TableText">
    <w:name w:val="Table Text"/>
    <w:basedOn w:val="Normal"/>
    <w:autoRedefine/>
    <w:qFormat/>
    <w:rsid w:val="00EA0FA5"/>
    <w:pPr>
      <w:spacing w:after="0"/>
      <w:jc w:val="left"/>
    </w:pPr>
    <w:rPr>
      <w:rFonts w:cs="Arial"/>
      <w:noProof/>
      <w:szCs w:val="18"/>
      <w:lang w:val="en"/>
    </w:rPr>
  </w:style>
  <w:style w:type="character" w:customStyle="1" w:styleId="FootnoteChar">
    <w:name w:val="Footnote Char"/>
    <w:basedOn w:val="DefaultParagraphFont"/>
    <w:link w:val="Footnote"/>
    <w:rsid w:val="00EA0FA5"/>
    <w:rPr>
      <w:rFonts w:eastAsiaTheme="minorEastAsia" w:cstheme="minorHAnsi"/>
      <w:sz w:val="18"/>
      <w:szCs w:val="20"/>
    </w:rPr>
  </w:style>
  <w:style w:type="paragraph" w:customStyle="1" w:styleId="TableHeading">
    <w:name w:val="Table Heading"/>
    <w:basedOn w:val="TableText"/>
    <w:autoRedefine/>
    <w:uiPriority w:val="99"/>
    <w:qFormat/>
    <w:rsid w:val="00EA0FA5"/>
    <w:rPr>
      <w:rFonts w:ascii="Calibri" w:hAnsi="Calibri" w:cs="Times New Roman"/>
      <w:b/>
      <w:color w:val="FFFFFF" w:themeColor="background1"/>
      <w:szCs w:val="24"/>
      <w:lang w:val="en-US"/>
    </w:rPr>
  </w:style>
  <w:style w:type="paragraph" w:customStyle="1" w:styleId="Footnote">
    <w:name w:val="Footnote"/>
    <w:basedOn w:val="FootnoteText"/>
    <w:link w:val="FootnoteChar"/>
    <w:autoRedefine/>
    <w:qFormat/>
    <w:rsid w:val="00EA0FA5"/>
    <w:pPr>
      <w:jc w:val="left"/>
    </w:pPr>
    <w:rPr>
      <w:rFonts w:eastAsiaTheme="minorEastAsia" w:cstheme="minorHAnsi"/>
      <w:sz w:val="18"/>
      <w:szCs w:val="20"/>
    </w:rPr>
  </w:style>
  <w:style w:type="paragraph" w:styleId="BalloonText">
    <w:name w:val="Balloon Text"/>
    <w:basedOn w:val="Normal"/>
    <w:link w:val="BalloonTextChar"/>
    <w:uiPriority w:val="99"/>
    <w:semiHidden/>
    <w:unhideWhenUsed/>
    <w:rsid w:val="00EA0FA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0FA5"/>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B1D5ECEB</Template>
  <TotalTime>1</TotalTime>
  <Pages>5</Pages>
  <Words>357</Words>
  <Characters>2039</Characters>
  <Application>Microsoft Office Word</Application>
  <DocSecurity>0</DocSecurity>
  <Lines>16</Lines>
  <Paragraphs>4</Paragraphs>
  <ScaleCrop>false</ScaleCrop>
  <Company>VEIC</Company>
  <LinksUpToDate>false</LinksUpToDate>
  <CharactersWithSpaces>2392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 Dent</dc:creator>
  <cp:lastModifiedBy>Samuel Dent</cp:lastModifiedBy>
  <cp:revision>2</cp:revision>
  <dcterms:created xsi:type="dcterms:W3CDTF">2015-10-23T13:12:00Z</dcterms:created>
  <dcterms:modified xsi:type="dcterms:W3CDTF">2015-10-23T13:14:00Z</dcterms:modified>
</cp:coreProperties>
</file>