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773" w:rsidRDefault="00A61773">
      <w:pPr>
        <w:pStyle w:val="Heading3"/>
        <w:numPr>
          <w:ilvl w:val="2"/>
          <w:numId w:val="6"/>
        </w:numPr>
        <w:pPrChange w:id="0" w:author="Samuel Dent" w:date="2015-10-08T09:18:00Z">
          <w:pPr>
            <w:pStyle w:val="Heading3"/>
            <w:numPr>
              <w:numId w:val="7"/>
            </w:numPr>
            <w:tabs>
              <w:tab w:val="num" w:pos="360"/>
              <w:tab w:val="num" w:pos="2160"/>
            </w:tabs>
            <w:ind w:left="2160"/>
          </w:pPr>
        </w:pPrChange>
      </w:pPr>
      <w:bookmarkStart w:id="1" w:name="_Ref406677058"/>
      <w:bookmarkStart w:id="2" w:name="_Toc411593495"/>
      <w:r>
        <w:t>LED Bulbs and Fixtures</w:t>
      </w:r>
      <w:bookmarkEnd w:id="1"/>
      <w:bookmarkEnd w:id="2"/>
      <w:r>
        <w:t xml:space="preserve"> </w:t>
      </w:r>
    </w:p>
    <w:p w:rsidR="00A61773" w:rsidRDefault="00A61773" w:rsidP="00A61773">
      <w:pPr>
        <w:pStyle w:val="Heading6"/>
      </w:pPr>
      <w:r>
        <w:t xml:space="preserve">Description </w:t>
      </w:r>
    </w:p>
    <w:p w:rsidR="00A61773" w:rsidRDefault="00A61773" w:rsidP="00A61773">
      <w:r>
        <w:t xml:space="preserve">This characterization provides savings assumptions for a variety of LED lamps including Omnidirectional (e.g. A-Type lamps), Decorative (e.g. Globes and Torpedoes) and Directional (PAR Lamps, Reflectors, MR16), and fixtures including refrigerated case, recessed and outdoor/garage fixtures. </w:t>
      </w:r>
    </w:p>
    <w:p w:rsidR="00A61773" w:rsidRDefault="00A61773" w:rsidP="00A61773">
      <w:r>
        <w:rPr>
          <w:rFonts w:cstheme="minorHAnsi"/>
        </w:rPr>
        <w:t>If the implementation strategy does not allow for the installation location to be known, a deemed split of 96% Commercial and 4% Residential should be used</w:t>
      </w:r>
      <w:r>
        <w:rPr>
          <w:rStyle w:val="FootnoteReference"/>
          <w:rFonts w:eastAsiaTheme="minorEastAsia"/>
        </w:rPr>
        <w:footnoteReference w:id="1"/>
      </w:r>
      <w:r>
        <w:rPr>
          <w:rFonts w:cstheme="minorHAnsi"/>
        </w:rPr>
        <w:t>.</w:t>
      </w:r>
    </w:p>
    <w:p w:rsidR="00A61773" w:rsidRDefault="00A61773" w:rsidP="00A61773">
      <w:pPr>
        <w:widowControl/>
        <w:jc w:val="left"/>
        <w:rPr>
          <w:rFonts w:cs="Calibri"/>
          <w:szCs w:val="20"/>
        </w:rPr>
      </w:pPr>
      <w:r>
        <w:rPr>
          <w:rFonts w:cs="Calibri"/>
          <w:szCs w:val="20"/>
        </w:rPr>
        <w:t xml:space="preserve">This measure was developed to be applicable to the following program types:  TOS, NC, RF.  </w:t>
      </w:r>
    </w:p>
    <w:p w:rsidR="00A61773" w:rsidRDefault="00A61773" w:rsidP="00A61773">
      <w:pPr>
        <w:widowControl/>
        <w:jc w:val="left"/>
        <w:rPr>
          <w:rFonts w:cs="Calibri"/>
          <w:szCs w:val="20"/>
        </w:rPr>
      </w:pPr>
      <w:r>
        <w:rPr>
          <w:rFonts w:cs="Calibri"/>
          <w:szCs w:val="20"/>
        </w:rPr>
        <w:t>If applied to other program types, the measure savings should be verified.</w:t>
      </w:r>
    </w:p>
    <w:p w:rsidR="00A61773" w:rsidRDefault="00A61773" w:rsidP="00A61773">
      <w:pPr>
        <w:pStyle w:val="Heading6"/>
      </w:pPr>
      <w:r>
        <w:t xml:space="preserve">Definition of Efficient Equipment </w:t>
      </w:r>
    </w:p>
    <w:p w:rsidR="00A61773" w:rsidRDefault="00A61773" w:rsidP="00A61773">
      <w:r>
        <w:t>In order for this characterization to apply, new lamps must be Energy Star labeled.  Lamps and fixtures should be found in the reference tables below.  Fixtures must be Energy Star labeled or on the Design Lights Consortium qualifying fixture list.</w:t>
      </w:r>
    </w:p>
    <w:p w:rsidR="00A61773" w:rsidRDefault="00A61773" w:rsidP="00A61773">
      <w:pPr>
        <w:pStyle w:val="Heading6"/>
      </w:pPr>
      <w:r>
        <w:t xml:space="preserve">Definition of Baseline Equipment </w:t>
      </w:r>
    </w:p>
    <w:p w:rsidR="00A61773" w:rsidRDefault="00A61773" w:rsidP="00A61773">
      <w:pPr>
        <w:rPr>
          <w:b/>
          <w:iCs/>
        </w:rPr>
      </w:pPr>
      <w:r>
        <w:t xml:space="preserve">Refer to the baseline tables.  In 2012, Federal legislation stemming from the Energy Independence and Security Act of 2007 (EIAS) required all general-purpose light bulbs between 40 watts and 100 watts to have ~30% increased efficiency, essentially phasing out standard incandescent technology.  In 2012, the 100 w lamp standards apply; in 2013 the 75 w lamp standards will apply, followed by restrictions on the 60 w and 40 w lamps in 2014.  </w:t>
      </w:r>
    </w:p>
    <w:p w:rsidR="00A61773" w:rsidRDefault="00A61773" w:rsidP="00A61773">
      <w:pPr>
        <w:pStyle w:val="Heading6"/>
        <w:rPr>
          <w:iCs/>
        </w:rPr>
      </w:pPr>
      <w:r>
        <w:t xml:space="preserve">Deemed Lifetime of Efficient Equipment </w:t>
      </w:r>
    </w:p>
    <w:p w:rsidR="00A61773" w:rsidRDefault="00A61773" w:rsidP="00A61773">
      <w:pPr>
        <w:rPr>
          <w:b/>
          <w:iCs/>
        </w:rPr>
      </w:pPr>
      <w:r>
        <w:t>Lifetime is the life of the product, at the reported operating hours (lamp life in hours divided by operating hours per year – see reference table "LED component Costs and Lifetime."  The analysis period is the same as the lifetime, capped at 15 years.  (15 years from GDS Measure Life Report, June 2007).</w:t>
      </w:r>
    </w:p>
    <w:p w:rsidR="00A61773" w:rsidRDefault="00A61773" w:rsidP="00A61773">
      <w:pPr>
        <w:pStyle w:val="Heading6"/>
        <w:rPr>
          <w:iCs/>
        </w:rPr>
      </w:pPr>
      <w:r>
        <w:t xml:space="preserve">Deemed Measure Cost </w:t>
      </w:r>
    </w:p>
    <w:p w:rsidR="00A61773" w:rsidRDefault="00A61773" w:rsidP="00A61773">
      <w:pPr>
        <w:rPr>
          <w:b/>
          <w:iCs/>
        </w:rPr>
      </w:pPr>
      <w:r>
        <w:t>Wherever possible, actual incremental costs should be used. Refer to reference table “LED component Cost &amp; Lifetime” for defaults.</w:t>
      </w:r>
    </w:p>
    <w:p w:rsidR="00A61773" w:rsidRDefault="00A61773" w:rsidP="00A61773">
      <w:pPr>
        <w:pStyle w:val="Heading6"/>
        <w:rPr>
          <w:iCs/>
        </w:rPr>
      </w:pPr>
      <w:proofErr w:type="spellStart"/>
      <w:r>
        <w:t>Loadshape</w:t>
      </w:r>
      <w:proofErr w:type="spellEnd"/>
    </w:p>
    <w:tbl>
      <w:tblPr>
        <w:tblW w:w="8120" w:type="dxa"/>
        <w:tblInd w:w="93" w:type="dxa"/>
        <w:tblLook w:val="04A0" w:firstRow="1" w:lastRow="0" w:firstColumn="1" w:lastColumn="0" w:noHBand="0" w:noVBand="1"/>
      </w:tblPr>
      <w:tblGrid>
        <w:gridCol w:w="8120"/>
      </w:tblGrid>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C06 - Commercial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C07 - Grocery/Conv. Store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C08 - Hospital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C09 - Office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C10 - Restaurant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C11 - Retail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C12 - Warehouse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lastRenderedPageBreak/>
              <w:t>Loadshape</w:t>
            </w:r>
            <w:proofErr w:type="spellEnd"/>
            <w:r>
              <w:rPr>
                <w:rFonts w:cs="Calibri"/>
                <w:color w:val="000000"/>
                <w:szCs w:val="20"/>
              </w:rPr>
              <w:t xml:space="preserve"> C13 - K-12 School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C14 - </w:t>
            </w:r>
            <w:proofErr w:type="spellStart"/>
            <w:r>
              <w:rPr>
                <w:rFonts w:cs="Calibri"/>
                <w:color w:val="000000"/>
                <w:szCs w:val="20"/>
              </w:rPr>
              <w:t>Indust</w:t>
            </w:r>
            <w:proofErr w:type="spellEnd"/>
            <w:r>
              <w:rPr>
                <w:rFonts w:cs="Calibri"/>
                <w:color w:val="000000"/>
                <w:szCs w:val="20"/>
              </w:rPr>
              <w:t>. 1-shift (8/5) (e.g., comp. air, lights)</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C15 - </w:t>
            </w:r>
            <w:proofErr w:type="spellStart"/>
            <w:r>
              <w:rPr>
                <w:rFonts w:cs="Calibri"/>
                <w:color w:val="000000"/>
                <w:szCs w:val="20"/>
              </w:rPr>
              <w:t>Indust</w:t>
            </w:r>
            <w:proofErr w:type="spellEnd"/>
            <w:r>
              <w:rPr>
                <w:rFonts w:cs="Calibri"/>
                <w:color w:val="000000"/>
                <w:szCs w:val="20"/>
              </w:rPr>
              <w:t>. 2-shift (16/5) (e.g., comp. air, lights)</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C16 - </w:t>
            </w:r>
            <w:proofErr w:type="spellStart"/>
            <w:r>
              <w:rPr>
                <w:rFonts w:cs="Calibri"/>
                <w:color w:val="000000"/>
                <w:szCs w:val="20"/>
              </w:rPr>
              <w:t>Indust</w:t>
            </w:r>
            <w:proofErr w:type="spellEnd"/>
            <w:r>
              <w:rPr>
                <w:rFonts w:cs="Calibri"/>
                <w:color w:val="000000"/>
                <w:szCs w:val="20"/>
              </w:rPr>
              <w:t>. 3-shift (24/5) (e.g., comp. air, lights)</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C17 - </w:t>
            </w:r>
            <w:proofErr w:type="spellStart"/>
            <w:r>
              <w:rPr>
                <w:rFonts w:cs="Calibri"/>
                <w:color w:val="000000"/>
                <w:szCs w:val="20"/>
              </w:rPr>
              <w:t>Indust</w:t>
            </w:r>
            <w:proofErr w:type="spellEnd"/>
            <w:r>
              <w:rPr>
                <w:rFonts w:cs="Calibri"/>
                <w:color w:val="000000"/>
                <w:szCs w:val="20"/>
              </w:rPr>
              <w:t>. 4-shift (24/7) (e.g., comp. air, lights)</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C18 - Industrial Indoor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C19 - Industrial Outdoor Lighting</w:t>
            </w:r>
          </w:p>
        </w:tc>
      </w:tr>
      <w:tr w:rsidR="00A61773" w:rsidTr="00C81356">
        <w:trPr>
          <w:trHeight w:val="300"/>
        </w:trPr>
        <w:tc>
          <w:tcPr>
            <w:tcW w:w="8120" w:type="dxa"/>
            <w:noWrap/>
            <w:vAlign w:val="center"/>
            <w:hideMark/>
          </w:tcPr>
          <w:p w:rsidR="00A61773" w:rsidRDefault="00A61773" w:rsidP="00C81356">
            <w:pPr>
              <w:widowControl/>
              <w:spacing w:line="276" w:lineRule="auto"/>
              <w:jc w:val="left"/>
              <w:rPr>
                <w:rFonts w:cs="Calibri"/>
                <w:color w:val="000000"/>
                <w:szCs w:val="20"/>
              </w:rPr>
            </w:pPr>
            <w:proofErr w:type="spellStart"/>
            <w:r>
              <w:rPr>
                <w:rFonts w:cs="Calibri"/>
                <w:color w:val="000000"/>
                <w:szCs w:val="20"/>
              </w:rPr>
              <w:t>Loadshape</w:t>
            </w:r>
            <w:proofErr w:type="spellEnd"/>
            <w:r>
              <w:rPr>
                <w:rFonts w:cs="Calibri"/>
                <w:color w:val="000000"/>
                <w:szCs w:val="20"/>
              </w:rPr>
              <w:t xml:space="preserve"> C20 - Commercial Outdoor Lighting</w:t>
            </w:r>
          </w:p>
        </w:tc>
      </w:tr>
    </w:tbl>
    <w:p w:rsidR="00A61773" w:rsidRDefault="00A61773" w:rsidP="00A61773">
      <w:pPr>
        <w:pStyle w:val="Heading6"/>
      </w:pPr>
      <w:r>
        <w:t xml:space="preserve">Coincidence Factor </w:t>
      </w:r>
    </w:p>
    <w:p w:rsidR="00A61773" w:rsidRDefault="00A61773" w:rsidP="00A61773">
      <w:r>
        <w:t>The summer peak coincidence factor for this measure is dependent on the location type. Values are provided for each building type in the reference section below.</w:t>
      </w:r>
    </w:p>
    <w:p w:rsidR="00A61773" w:rsidRDefault="00A61773" w:rsidP="00A61773">
      <w:pPr>
        <w:rPr>
          <w:b/>
          <w:iCs/>
        </w:rPr>
      </w:pPr>
    </w:p>
    <w:p w:rsidR="00A61773" w:rsidRDefault="00A61773" w:rsidP="00A61773">
      <w:pPr>
        <w:keepNext/>
        <w:pBdr>
          <w:top w:val="double" w:sz="4" w:space="1" w:color="auto"/>
          <w:bottom w:val="double" w:sz="4" w:space="1" w:color="auto"/>
        </w:pBdr>
        <w:jc w:val="center"/>
        <w:rPr>
          <w:rFonts w:cstheme="minorHAnsi"/>
          <w:b/>
          <w:szCs w:val="20"/>
        </w:rPr>
      </w:pPr>
      <w:r>
        <w:rPr>
          <w:rFonts w:cstheme="minorHAnsi"/>
          <w:b/>
          <w:szCs w:val="20"/>
        </w:rPr>
        <w:t>Algorithm</w:t>
      </w:r>
    </w:p>
    <w:p w:rsidR="00A61773" w:rsidRDefault="00A61773" w:rsidP="00A61773">
      <w:pPr>
        <w:pStyle w:val="Heading6"/>
      </w:pPr>
      <w:r>
        <w:t>Calculation of Savings</w:t>
      </w:r>
    </w:p>
    <w:p w:rsidR="00A61773" w:rsidRDefault="00A61773" w:rsidP="00A61773">
      <w:pPr>
        <w:pStyle w:val="Heading6"/>
      </w:pPr>
      <w:r>
        <w:t xml:space="preserve">Electric Energy Savings </w:t>
      </w:r>
    </w:p>
    <w:p w:rsidR="00A61773" w:rsidRDefault="00A61773" w:rsidP="00A61773">
      <w:pPr>
        <w:ind w:left="1440" w:firstLine="720"/>
        <w:rPr>
          <w:noProof/>
        </w:rPr>
      </w:pPr>
      <w:r>
        <w:rPr>
          <w:noProof/>
        </w:rPr>
        <w:t>ΔkWh  = ((Watts</w:t>
      </w:r>
      <w:r>
        <w:rPr>
          <w:noProof/>
          <w:vertAlign w:val="subscript"/>
        </w:rPr>
        <w:t>base</w:t>
      </w:r>
      <w:r>
        <w:rPr>
          <w:noProof/>
        </w:rPr>
        <w:t>-Watts</w:t>
      </w:r>
      <w:r>
        <w:rPr>
          <w:noProof/>
          <w:vertAlign w:val="subscript"/>
        </w:rPr>
        <w:t>EE</w:t>
      </w:r>
      <w:r>
        <w:rPr>
          <w:noProof/>
        </w:rPr>
        <w:t>)/1000)  * Hours *WHF</w:t>
      </w:r>
      <w:r>
        <w:rPr>
          <w:noProof/>
          <w:vertAlign w:val="subscript"/>
        </w:rPr>
        <w:t>e</w:t>
      </w:r>
      <w:r>
        <w:rPr>
          <w:noProof/>
        </w:rPr>
        <w:t xml:space="preserve">*ISR </w:t>
      </w:r>
    </w:p>
    <w:p w:rsidR="00A61773" w:rsidRDefault="00A61773" w:rsidP="00A61773">
      <w:pPr>
        <w:rPr>
          <w:noProof/>
        </w:rPr>
      </w:pPr>
      <w:r>
        <w:rPr>
          <w:noProof/>
        </w:rPr>
        <w:t>Where:</w:t>
      </w:r>
    </w:p>
    <w:p w:rsidR="00A61773" w:rsidRDefault="00A61773" w:rsidP="00A61773">
      <w:pPr>
        <w:ind w:left="2160" w:hanging="1440"/>
        <w:rPr>
          <w:noProof/>
        </w:rPr>
      </w:pPr>
      <w:r>
        <w:rPr>
          <w:noProof/>
        </w:rPr>
        <w:t>Watts</w:t>
      </w:r>
      <w:r>
        <w:rPr>
          <w:noProof/>
          <w:vertAlign w:val="subscript"/>
        </w:rPr>
        <w:t>base</w:t>
      </w:r>
      <w:r>
        <w:rPr>
          <w:noProof/>
        </w:rPr>
        <w:t xml:space="preserve"> </w:t>
      </w:r>
      <w:r>
        <w:rPr>
          <w:noProof/>
        </w:rPr>
        <w:tab/>
        <w:t>= Input wattage of the existing or baseline system. Reference  the “</w:t>
      </w:r>
      <w:r>
        <w:t>LED New and Baseline Assumptions</w:t>
      </w:r>
      <w:r>
        <w:rPr>
          <w:noProof/>
        </w:rPr>
        <w:t>” table for default values.</w:t>
      </w:r>
    </w:p>
    <w:p w:rsidR="00A61773" w:rsidRDefault="00A61773" w:rsidP="00A61773">
      <w:pPr>
        <w:ind w:left="2160" w:hanging="1440"/>
        <w:rPr>
          <w:noProof/>
        </w:rPr>
      </w:pPr>
      <w:r>
        <w:rPr>
          <w:noProof/>
        </w:rPr>
        <w:t>Watts</w:t>
      </w:r>
      <w:r>
        <w:rPr>
          <w:noProof/>
          <w:vertAlign w:val="subscript"/>
        </w:rPr>
        <w:t>EE</w:t>
      </w:r>
      <w:r>
        <w:rPr>
          <w:noProof/>
        </w:rPr>
        <w:tab/>
        <w:t xml:space="preserve">= </w:t>
      </w:r>
      <w:r w:rsidRPr="00E432E0">
        <w:rPr>
          <w:rFonts w:cstheme="minorHAnsi"/>
          <w:noProof/>
        </w:rPr>
        <w:t>Actual wattage of LED purchased / installed. If unknown, use default provided below:</w:t>
      </w:r>
      <w:r>
        <w:rPr>
          <w:rFonts w:cstheme="minorHAnsi"/>
          <w:noProof/>
        </w:rPr>
        <w:t xml:space="preserve"> </w:t>
      </w:r>
    </w:p>
    <w:p w:rsidR="00A61773" w:rsidRDefault="00A61773" w:rsidP="00A61773">
      <w:pPr>
        <w:ind w:left="2160" w:hanging="1440"/>
        <w:rPr>
          <w:noProof/>
        </w:rPr>
      </w:pPr>
    </w:p>
    <w:p w:rsidR="00A61773" w:rsidRDefault="00A61773" w:rsidP="00A61773">
      <w:pPr>
        <w:ind w:left="2160" w:hanging="1440"/>
        <w:rPr>
          <w:noProof/>
        </w:rPr>
      </w:pPr>
      <w:r>
        <w:rPr>
          <w:noProof/>
        </w:rPr>
        <w:tab/>
        <w:t>For ENERGY STAR rated lamps the following lumen equivalence tables should be used:</w:t>
      </w:r>
    </w:p>
    <w:p w:rsidR="00A61773" w:rsidRDefault="00A61773" w:rsidP="00A61773">
      <w:pPr>
        <w:ind w:left="2160" w:hanging="1440"/>
        <w:rPr>
          <w:noProof/>
        </w:rPr>
      </w:pPr>
    </w:p>
    <w:p w:rsidR="00A61773" w:rsidRDefault="00A61773" w:rsidP="00A61773">
      <w:pPr>
        <w:widowControl/>
        <w:spacing w:after="200" w:line="276" w:lineRule="auto"/>
        <w:jc w:val="left"/>
        <w:rPr>
          <w:b/>
          <w:noProof/>
        </w:rPr>
      </w:pPr>
      <w:r>
        <w:rPr>
          <w:b/>
          <w:noProof/>
        </w:rPr>
        <w:br w:type="page"/>
      </w:r>
    </w:p>
    <w:p w:rsidR="00A61773" w:rsidRPr="006512F3" w:rsidRDefault="00A61773" w:rsidP="00A61773">
      <w:pPr>
        <w:jc w:val="center"/>
        <w:rPr>
          <w:b/>
          <w:noProof/>
        </w:rPr>
      </w:pPr>
      <w:r w:rsidRPr="006512F3">
        <w:rPr>
          <w:b/>
          <w:noProof/>
        </w:rPr>
        <w:lastRenderedPageBreak/>
        <w:t>Omnidirectional Lamps - ENERGY STAR Minimum Luminous Efficacy = 50Lm/W for &lt;10W lamps and 55Lm/W for &gt;=10W lamps.</w:t>
      </w:r>
    </w:p>
    <w:tbl>
      <w:tblPr>
        <w:tblW w:w="9158" w:type="dxa"/>
        <w:jc w:val="center"/>
        <w:tblInd w:w="93" w:type="dxa"/>
        <w:tblLook w:val="04A0" w:firstRow="1" w:lastRow="0" w:firstColumn="1" w:lastColumn="0" w:noHBand="0" w:noVBand="1"/>
      </w:tblPr>
      <w:tblGrid>
        <w:gridCol w:w="1030"/>
        <w:gridCol w:w="1064"/>
        <w:gridCol w:w="1153"/>
        <w:gridCol w:w="1173"/>
        <w:gridCol w:w="1231"/>
        <w:gridCol w:w="1057"/>
        <w:gridCol w:w="1336"/>
        <w:gridCol w:w="1114"/>
      </w:tblGrid>
      <w:tr w:rsidR="00A61773" w:rsidTr="00C81356">
        <w:trPr>
          <w:trHeight w:val="1275"/>
          <w:jc w:val="center"/>
        </w:trPr>
        <w:tc>
          <w:tcPr>
            <w:tcW w:w="1030"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rFonts w:eastAsiaTheme="minorHAnsi"/>
                <w:b/>
                <w:bCs/>
                <w:color w:val="FFFFFF"/>
                <w:szCs w:val="20"/>
              </w:rPr>
              <w:t>Minimum Lumens</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rFonts w:eastAsiaTheme="minorHAnsi"/>
                <w:b/>
                <w:bCs/>
                <w:color w:val="FFFFFF"/>
                <w:szCs w:val="20"/>
              </w:rPr>
              <w:t>Maximum Lumens</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Lumens used to calculate LED Wattage</w:t>
            </w:r>
            <w:r>
              <w:rPr>
                <w:b/>
                <w:bCs/>
                <w:color w:val="FFFFFF"/>
                <w:szCs w:val="20"/>
              </w:rPr>
              <w:br/>
              <w:t>(midpoint)</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LED Wattage</w:t>
            </w:r>
            <w:r>
              <w:rPr>
                <w:rStyle w:val="FootnoteReference"/>
                <w:b/>
                <w:bCs/>
                <w:color w:val="FFFFFF"/>
                <w:szCs w:val="20"/>
              </w:rPr>
              <w:footnoteReference w:id="2"/>
            </w:r>
            <w:r>
              <w:rPr>
                <w:b/>
                <w:bCs/>
                <w:color w:val="FFFFFF"/>
                <w:szCs w:val="20"/>
              </w:rPr>
              <w:br/>
              <w:t>(</w:t>
            </w:r>
            <w:proofErr w:type="spellStart"/>
            <w:r>
              <w:rPr>
                <w:b/>
                <w:bCs/>
                <w:color w:val="FFFFFF"/>
                <w:szCs w:val="20"/>
              </w:rPr>
              <w:t>WattsEE</w:t>
            </w:r>
            <w:proofErr w:type="spellEnd"/>
            <w:r>
              <w:rPr>
                <w:b/>
                <w:bCs/>
                <w:color w:val="FFFFFF"/>
                <w:szCs w:val="20"/>
              </w:rPr>
              <w:t>)</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rFonts w:eastAsiaTheme="minorHAnsi"/>
                <w:b/>
                <w:bCs/>
                <w:color w:val="FFFFFF"/>
                <w:szCs w:val="20"/>
              </w:rPr>
              <w:t>Baseline 2014-2019</w:t>
            </w:r>
            <w:r>
              <w:rPr>
                <w:rFonts w:eastAsiaTheme="minorHAnsi"/>
                <w:b/>
                <w:bCs/>
                <w:color w:val="FFFFFF"/>
                <w:szCs w:val="20"/>
              </w:rPr>
              <w:br/>
              <w:t>(</w:t>
            </w:r>
            <w:proofErr w:type="spellStart"/>
            <w:r>
              <w:rPr>
                <w:rFonts w:eastAsiaTheme="minorHAnsi"/>
                <w:b/>
                <w:bCs/>
                <w:color w:val="FFFFFF"/>
                <w:szCs w:val="20"/>
              </w:rPr>
              <w:t>WattsBase</w:t>
            </w:r>
            <w:proofErr w:type="spellEnd"/>
            <w:r>
              <w:rPr>
                <w:rFonts w:eastAsiaTheme="minorHAnsi"/>
                <w:b/>
                <w:bCs/>
                <w:color w:val="FFFFFF"/>
                <w:szCs w:val="20"/>
              </w:rPr>
              <w:t>)</w:t>
            </w:r>
          </w:p>
        </w:tc>
        <w:tc>
          <w:tcPr>
            <w:tcW w:w="1057"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Delta Watts 2014-2019</w:t>
            </w:r>
            <w:r>
              <w:rPr>
                <w:b/>
                <w:bCs/>
                <w:color w:val="FFFFFF"/>
                <w:szCs w:val="20"/>
              </w:rPr>
              <w:br/>
              <w:t>(</w:t>
            </w:r>
            <w:proofErr w:type="spellStart"/>
            <w:r>
              <w:rPr>
                <w:b/>
                <w:bCs/>
                <w:color w:val="FFFFFF"/>
                <w:szCs w:val="20"/>
              </w:rPr>
              <w:t>WattsEE</w:t>
            </w:r>
            <w:proofErr w:type="spellEnd"/>
            <w:r>
              <w:rPr>
                <w:b/>
                <w:bCs/>
                <w:color w:val="FFFFFF"/>
                <w:szCs w:val="20"/>
              </w:rPr>
              <w:t>)</w:t>
            </w:r>
          </w:p>
        </w:tc>
        <w:tc>
          <w:tcPr>
            <w:tcW w:w="1336"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rFonts w:eastAsiaTheme="minorHAnsi"/>
                <w:b/>
                <w:bCs/>
                <w:color w:val="FFFFFF"/>
                <w:szCs w:val="20"/>
              </w:rPr>
              <w:t>Baseline Post EISA 2020 requirement</w:t>
            </w:r>
            <w:r>
              <w:rPr>
                <w:rStyle w:val="FootnoteReference"/>
                <w:rFonts w:eastAsiaTheme="minorHAnsi"/>
                <w:b/>
                <w:bCs/>
                <w:color w:val="FFFFFF"/>
                <w:szCs w:val="20"/>
              </w:rPr>
              <w:footnoteReference w:id="3"/>
            </w:r>
            <w:r>
              <w:rPr>
                <w:rFonts w:eastAsiaTheme="minorHAnsi"/>
                <w:b/>
                <w:bCs/>
                <w:color w:val="FFFFFF"/>
                <w:szCs w:val="20"/>
              </w:rPr>
              <w:t xml:space="preserve"> </w:t>
            </w:r>
            <w:r>
              <w:rPr>
                <w:rFonts w:eastAsiaTheme="minorHAnsi"/>
                <w:b/>
                <w:bCs/>
                <w:color w:val="FFFFFF"/>
                <w:szCs w:val="20"/>
              </w:rPr>
              <w:br/>
              <w:t>(</w:t>
            </w:r>
            <w:proofErr w:type="spellStart"/>
            <w:r>
              <w:rPr>
                <w:rFonts w:eastAsiaTheme="minorHAnsi"/>
                <w:b/>
                <w:bCs/>
                <w:color w:val="FFFFFF"/>
                <w:szCs w:val="20"/>
              </w:rPr>
              <w:t>WattsBase</w:t>
            </w:r>
            <w:proofErr w:type="spellEnd"/>
            <w:r>
              <w:rPr>
                <w:rFonts w:eastAsiaTheme="minorHAnsi"/>
                <w:b/>
                <w:bCs/>
                <w:color w:val="FFFFFF"/>
                <w:szCs w:val="20"/>
              </w:rPr>
              <w:t>)</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Delta Watts Post 2020</w:t>
            </w:r>
            <w:r>
              <w:rPr>
                <w:b/>
                <w:bCs/>
                <w:color w:val="FFFFFF"/>
                <w:szCs w:val="20"/>
              </w:rPr>
              <w:br/>
              <w:t>(</w:t>
            </w:r>
            <w:proofErr w:type="spellStart"/>
            <w:r>
              <w:rPr>
                <w:b/>
                <w:bCs/>
                <w:color w:val="FFFFFF"/>
                <w:szCs w:val="20"/>
              </w:rPr>
              <w:t>WattsEE</w:t>
            </w:r>
            <w:proofErr w:type="spellEnd"/>
            <w:r>
              <w:rPr>
                <w:b/>
                <w:bCs/>
                <w:color w:val="FFFFFF"/>
                <w:szCs w:val="20"/>
              </w:rPr>
              <w:t>)</w:t>
            </w:r>
          </w:p>
        </w:tc>
      </w:tr>
      <w:tr w:rsidR="00A61773" w:rsidTr="00C81356">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jc w:val="left"/>
              <w:rPr>
                <w:b/>
                <w:bCs/>
                <w:color w:val="FFFFFF"/>
                <w:szCs w:val="20"/>
              </w:rPr>
            </w:pPr>
          </w:p>
        </w:tc>
      </w:tr>
      <w:tr w:rsidR="00A61773" w:rsidTr="00C81356">
        <w:trPr>
          <w:trHeight w:val="364"/>
          <w:jc w:val="center"/>
        </w:trPr>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c>
          <w:tcPr>
            <w:tcW w:w="0" w:type="auto"/>
            <w:vMerge/>
            <w:tcBorders>
              <w:top w:val="single" w:sz="4" w:space="0" w:color="auto"/>
              <w:left w:val="single" w:sz="4" w:space="0" w:color="auto"/>
              <w:bottom w:val="single" w:sz="4" w:space="0" w:color="auto"/>
              <w:right w:val="single" w:sz="4" w:space="0" w:color="auto"/>
            </w:tcBorders>
            <w:hideMark/>
          </w:tcPr>
          <w:p w:rsidR="00A61773" w:rsidRDefault="00A61773" w:rsidP="00C81356">
            <w:pPr>
              <w:widowControl/>
              <w:jc w:val="left"/>
              <w:rPr>
                <w:b/>
                <w:bCs/>
                <w:color w:val="FFFFFF"/>
                <w:szCs w:val="20"/>
              </w:rPr>
            </w:pPr>
          </w:p>
        </w:tc>
      </w:tr>
      <w:tr w:rsidR="00A61773" w:rsidTr="00C81356">
        <w:trPr>
          <w:trHeight w:val="300"/>
          <w:jc w:val="center"/>
        </w:trPr>
        <w:tc>
          <w:tcPr>
            <w:tcW w:w="1030" w:type="dxa"/>
            <w:tcBorders>
              <w:top w:val="single" w:sz="4" w:space="0" w:color="auto"/>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5280</w:t>
            </w:r>
          </w:p>
        </w:tc>
        <w:tc>
          <w:tcPr>
            <w:tcW w:w="1064"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6209</w:t>
            </w:r>
          </w:p>
        </w:tc>
        <w:tc>
          <w:tcPr>
            <w:tcW w:w="1153"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5745</w:t>
            </w:r>
          </w:p>
        </w:tc>
        <w:tc>
          <w:tcPr>
            <w:tcW w:w="1173"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104.4</w:t>
            </w:r>
          </w:p>
        </w:tc>
        <w:tc>
          <w:tcPr>
            <w:tcW w:w="1231"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300.0</w:t>
            </w:r>
          </w:p>
        </w:tc>
        <w:tc>
          <w:tcPr>
            <w:tcW w:w="1057"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195.6</w:t>
            </w:r>
          </w:p>
        </w:tc>
        <w:tc>
          <w:tcPr>
            <w:tcW w:w="1336"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300.0</w:t>
            </w:r>
          </w:p>
        </w:tc>
        <w:tc>
          <w:tcPr>
            <w:tcW w:w="1114" w:type="dxa"/>
            <w:tcBorders>
              <w:top w:val="single" w:sz="4" w:space="0" w:color="auto"/>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195.6</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3000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5279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4140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75.3</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200.0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124.7</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200.0</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124.7</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2601</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2999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2800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50.9</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150.0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99.1</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150.0</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99.1</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1490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2600</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2045</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37.2</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72.0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34.8</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45.4</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8.3</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1050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1489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1270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23.1</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53.0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29.9</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28.2</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5.1</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750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1049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900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16.4</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43.0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26.6</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20.0</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3.6</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310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749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530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9.6</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29.0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19.4</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11.8</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2.1</w:t>
            </w:r>
          </w:p>
        </w:tc>
      </w:tr>
      <w:tr w:rsidR="00A61773" w:rsidTr="00C81356">
        <w:trPr>
          <w:trHeight w:val="300"/>
          <w:jc w:val="center"/>
        </w:trPr>
        <w:tc>
          <w:tcPr>
            <w:tcW w:w="1030" w:type="dxa"/>
            <w:tcBorders>
              <w:top w:val="nil"/>
              <w:left w:val="single" w:sz="4" w:space="0" w:color="auto"/>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250</w:t>
            </w:r>
          </w:p>
        </w:tc>
        <w:tc>
          <w:tcPr>
            <w:tcW w:w="106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309</w:t>
            </w:r>
          </w:p>
        </w:tc>
        <w:tc>
          <w:tcPr>
            <w:tcW w:w="115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280</w:t>
            </w:r>
          </w:p>
        </w:tc>
        <w:tc>
          <w:tcPr>
            <w:tcW w:w="1173"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5.6</w:t>
            </w:r>
          </w:p>
        </w:tc>
        <w:tc>
          <w:tcPr>
            <w:tcW w:w="1231"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25.0</w:t>
            </w:r>
          </w:p>
        </w:tc>
        <w:tc>
          <w:tcPr>
            <w:tcW w:w="1057"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19.4</w:t>
            </w:r>
          </w:p>
        </w:tc>
        <w:tc>
          <w:tcPr>
            <w:tcW w:w="1336"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rFonts w:eastAsiaTheme="minorHAnsi"/>
                <w:color w:val="000000"/>
                <w:szCs w:val="20"/>
              </w:rPr>
              <w:t>25.0</w:t>
            </w:r>
          </w:p>
        </w:tc>
        <w:tc>
          <w:tcPr>
            <w:tcW w:w="1114" w:type="dxa"/>
            <w:tcBorders>
              <w:top w:val="nil"/>
              <w:left w:val="nil"/>
              <w:bottom w:val="single" w:sz="4" w:space="0" w:color="auto"/>
              <w:right w:val="single" w:sz="4" w:space="0" w:color="auto"/>
            </w:tcBorders>
            <w:vAlign w:val="center"/>
            <w:hideMark/>
          </w:tcPr>
          <w:p w:rsidR="00A61773" w:rsidRDefault="00A61773" w:rsidP="00C81356">
            <w:pPr>
              <w:widowControl/>
              <w:spacing w:line="276" w:lineRule="auto"/>
              <w:jc w:val="center"/>
              <w:rPr>
                <w:color w:val="000000"/>
                <w:szCs w:val="20"/>
              </w:rPr>
            </w:pPr>
            <w:r>
              <w:rPr>
                <w:color w:val="000000"/>
                <w:szCs w:val="20"/>
              </w:rPr>
              <w:t>19.4</w:t>
            </w:r>
          </w:p>
        </w:tc>
      </w:tr>
    </w:tbl>
    <w:p w:rsidR="00A61773" w:rsidRDefault="00A61773" w:rsidP="00A61773">
      <w:pPr>
        <w:ind w:left="2880" w:hanging="1440"/>
        <w:rPr>
          <w:noProof/>
        </w:rPr>
      </w:pPr>
    </w:p>
    <w:p w:rsidR="00A61773" w:rsidRDefault="00A61773" w:rsidP="00A61773">
      <w:pPr>
        <w:ind w:left="2880" w:hanging="1440"/>
        <w:rPr>
          <w:noProof/>
        </w:rPr>
      </w:pPr>
      <w:r w:rsidRPr="006512F3">
        <w:rPr>
          <w:b/>
          <w:noProof/>
        </w:rPr>
        <w:t>Decorative Lamps - ENERGY STAR Minimum Luminous Efficacy = 40Lm/W for all lamps</w:t>
      </w:r>
    </w:p>
    <w:tbl>
      <w:tblPr>
        <w:tblW w:w="459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00"/>
        <w:gridCol w:w="1240"/>
        <w:gridCol w:w="966"/>
        <w:gridCol w:w="1002"/>
      </w:tblGrid>
      <w:tr w:rsidR="00A61773" w:rsidTr="00C81356">
        <w:trPr>
          <w:trHeight w:val="1275"/>
          <w:jc w:val="center"/>
        </w:trPr>
        <w:tc>
          <w:tcPr>
            <w:tcW w:w="14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C81356">
            <w:pPr>
              <w:pStyle w:val="TableHeading"/>
            </w:pPr>
            <w:r>
              <w:t>Nominal wattage of lamp to be replaced</w:t>
            </w:r>
          </w:p>
          <w:p w:rsidR="00A61773" w:rsidRDefault="00A61773" w:rsidP="00C81356">
            <w:pPr>
              <w:pStyle w:val="TableHeading"/>
            </w:pPr>
            <w:r>
              <w:t>(Watts</w:t>
            </w:r>
            <w:r>
              <w:rPr>
                <w:vertAlign w:val="subscript"/>
              </w:rPr>
              <w:t>base</w:t>
            </w:r>
            <w:r>
              <w:t>)</w:t>
            </w:r>
          </w:p>
        </w:tc>
        <w:tc>
          <w:tcPr>
            <w:tcW w:w="12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C81356">
            <w:pPr>
              <w:pStyle w:val="TableHeading"/>
            </w:pPr>
            <w:r>
              <w:t>Minimum initial light output of LED lamp (lumens)</w:t>
            </w:r>
          </w:p>
        </w:tc>
        <w:tc>
          <w:tcPr>
            <w:tcW w:w="95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C81356">
            <w:pPr>
              <w:pStyle w:val="TableHeading"/>
            </w:pPr>
            <w:r>
              <w:t>LED Wattage</w:t>
            </w:r>
          </w:p>
          <w:p w:rsidR="00A61773" w:rsidRDefault="00A61773" w:rsidP="00C81356">
            <w:pPr>
              <w:pStyle w:val="TableHeading"/>
            </w:pPr>
            <w:r>
              <w:t>(Watts</w:t>
            </w:r>
            <w:r>
              <w:rPr>
                <w:vertAlign w:val="subscript"/>
              </w:rPr>
              <w:t>EE</w:t>
            </w:r>
            <w:r>
              <w:t>)</w:t>
            </w:r>
          </w:p>
        </w:tc>
        <w:tc>
          <w:tcPr>
            <w:tcW w:w="100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Default="00A61773" w:rsidP="00C81356">
            <w:pPr>
              <w:pStyle w:val="TableHeading"/>
            </w:pPr>
            <w:r>
              <w:t>Delta Watts</w:t>
            </w:r>
          </w:p>
        </w:tc>
      </w:tr>
      <w:tr w:rsidR="00A61773" w:rsidTr="00C81356">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70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8.25</w:t>
            </w:r>
          </w:p>
        </w:tc>
      </w:tr>
      <w:tr w:rsidR="00A61773" w:rsidTr="00C81356">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90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2.25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12.75</w:t>
            </w:r>
          </w:p>
        </w:tc>
      </w:tr>
      <w:tr w:rsidR="00A61773" w:rsidTr="00C81356">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25</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150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3.75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21.25</w:t>
            </w:r>
          </w:p>
        </w:tc>
      </w:tr>
      <w:tr w:rsidR="00A61773" w:rsidTr="00C81356">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40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300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7.5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32.5</w:t>
            </w:r>
          </w:p>
        </w:tc>
      </w:tr>
      <w:tr w:rsidR="00A61773" w:rsidTr="00C81356">
        <w:trPr>
          <w:trHeight w:val="255"/>
          <w:jc w:val="center"/>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60</w:t>
            </w:r>
          </w:p>
        </w:tc>
        <w:tc>
          <w:tcPr>
            <w:tcW w:w="12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500</w:t>
            </w:r>
          </w:p>
        </w:tc>
        <w:tc>
          <w:tcPr>
            <w:tcW w:w="9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12.5</w:t>
            </w:r>
          </w:p>
        </w:tc>
        <w:tc>
          <w:tcPr>
            <w:tcW w:w="100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A61773" w:rsidRDefault="00A61773" w:rsidP="00C81356">
            <w:pPr>
              <w:spacing w:line="276" w:lineRule="auto"/>
              <w:jc w:val="center"/>
            </w:pPr>
            <w:r>
              <w:t>47.5</w:t>
            </w:r>
          </w:p>
        </w:tc>
      </w:tr>
    </w:tbl>
    <w:p w:rsidR="00A61773" w:rsidRDefault="00A61773" w:rsidP="00A61773">
      <w:pPr>
        <w:ind w:left="2430"/>
        <w:rPr>
          <w:noProof/>
        </w:rPr>
      </w:pPr>
      <w:r>
        <w:rPr>
          <w:noProof/>
        </w:rPr>
        <w:t>Decorative lamps are exempt from EISA regulations.</w:t>
      </w:r>
    </w:p>
    <w:p w:rsidR="00A61773" w:rsidRDefault="00A61773" w:rsidP="00A61773">
      <w:pPr>
        <w:widowControl/>
        <w:spacing w:after="200" w:line="276" w:lineRule="auto"/>
        <w:jc w:val="left"/>
        <w:rPr>
          <w:noProof/>
        </w:rPr>
      </w:pPr>
      <w:r>
        <w:rPr>
          <w:noProof/>
        </w:rPr>
        <w:br w:type="page"/>
      </w:r>
    </w:p>
    <w:p w:rsidR="00A61773" w:rsidRDefault="00A61773" w:rsidP="00A61773">
      <w:pPr>
        <w:ind w:left="1440"/>
        <w:rPr>
          <w:noProof/>
        </w:rPr>
      </w:pPr>
      <w:r w:rsidRPr="006512F3">
        <w:rPr>
          <w:b/>
          <w:noProof/>
        </w:rPr>
        <w:lastRenderedPageBreak/>
        <w:t xml:space="preserve">Directional Lamps - </w:t>
      </w:r>
      <w:r w:rsidRPr="00D52685">
        <w:rPr>
          <w:noProof/>
        </w:rPr>
        <w:t>ENERGY STAR Minimum Luminous Efficacy = 40Lm/W for lamp</w:t>
      </w:r>
      <w:r>
        <w:rPr>
          <w:noProof/>
        </w:rPr>
        <w:t>s with rated wattages less than 20W</w:t>
      </w:r>
      <w:r w:rsidRPr="00D52685">
        <w:rPr>
          <w:noProof/>
        </w:rPr>
        <w:t xml:space="preserve">and </w:t>
      </w:r>
      <w:r>
        <w:rPr>
          <w:noProof/>
        </w:rPr>
        <w:t>50</w:t>
      </w:r>
      <w:r w:rsidRPr="00D52685">
        <w:rPr>
          <w:noProof/>
        </w:rPr>
        <w:t xml:space="preserve"> Lm/W for lamp</w:t>
      </w:r>
      <w:r>
        <w:rPr>
          <w:noProof/>
        </w:rPr>
        <w:t>s with rated wattages &gt;= 20 watts</w:t>
      </w:r>
      <w:r>
        <w:rPr>
          <w:rStyle w:val="FootnoteReference"/>
          <w:noProof/>
        </w:rPr>
        <w:footnoteReference w:id="4"/>
      </w:r>
      <w:r w:rsidRPr="00D52685">
        <w:rPr>
          <w:noProof/>
        </w:rPr>
        <w:t>.</w:t>
      </w:r>
    </w:p>
    <w:p w:rsidR="00A61773" w:rsidRDefault="00A61773" w:rsidP="00A61773">
      <w:pPr>
        <w:ind w:left="1440"/>
        <w:rPr>
          <w:noProof/>
        </w:rPr>
      </w:pPr>
      <w:r>
        <w:rPr>
          <w:noProof/>
        </w:rPr>
        <w:t>For Directional R, BR, and ER lamp types</w:t>
      </w:r>
      <w:r>
        <w:rPr>
          <w:rStyle w:val="FootnoteReference"/>
          <w:noProof/>
        </w:rPr>
        <w:footnoteReference w:id="5"/>
      </w:r>
      <w:r>
        <w:rPr>
          <w:noProof/>
        </w:rPr>
        <w:t>:</w:t>
      </w:r>
    </w:p>
    <w:tbl>
      <w:tblPr>
        <w:tblW w:w="7880" w:type="dxa"/>
        <w:jc w:val="center"/>
        <w:tblInd w:w="93" w:type="dxa"/>
        <w:tblLook w:val="04A0" w:firstRow="1" w:lastRow="0" w:firstColumn="1" w:lastColumn="0" w:noHBand="0" w:noVBand="1"/>
      </w:tblPr>
      <w:tblGrid>
        <w:gridCol w:w="1653"/>
        <w:gridCol w:w="958"/>
        <w:gridCol w:w="958"/>
        <w:gridCol w:w="969"/>
        <w:gridCol w:w="1416"/>
        <w:gridCol w:w="966"/>
        <w:gridCol w:w="960"/>
      </w:tblGrid>
      <w:tr w:rsidR="00A61773" w:rsidRPr="00EE3637" w:rsidTr="00C81356">
        <w:trPr>
          <w:trHeight w:val="1080"/>
          <w:jc w:val="center"/>
        </w:trPr>
        <w:tc>
          <w:tcPr>
            <w:tcW w:w="166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szCs w:val="20"/>
              </w:rPr>
              <w:t>Bulb Type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szCs w:val="20"/>
              </w:rPr>
              <w:t>Lower Lumen Range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szCs w:val="20"/>
              </w:rPr>
              <w:t>Upper Lumen Range</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proofErr w:type="spellStart"/>
            <w:r w:rsidRPr="00EE3637">
              <w:rPr>
                <w:rFonts w:ascii="Calibri" w:hAnsi="Calibri"/>
                <w:b/>
                <w:bCs/>
                <w:color w:val="FFFFFF"/>
                <w:szCs w:val="20"/>
              </w:rPr>
              <w:t>Watts</w:t>
            </w:r>
            <w:r w:rsidRPr="00EE3637">
              <w:rPr>
                <w:rFonts w:ascii="Calibri" w:hAnsi="Calibri"/>
                <w:b/>
                <w:bCs/>
                <w:color w:val="FFFFFF"/>
                <w:szCs w:val="20"/>
                <w:vertAlign w:val="subscript"/>
              </w:rPr>
              <w:t>Base</w:t>
            </w:r>
            <w:proofErr w:type="spellEnd"/>
          </w:p>
        </w:tc>
        <w:tc>
          <w:tcPr>
            <w:tcW w:w="1420" w:type="dxa"/>
            <w:tcBorders>
              <w:top w:val="single" w:sz="4" w:space="0" w:color="auto"/>
              <w:left w:val="nil"/>
              <w:bottom w:val="nil"/>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szCs w:val="20"/>
              </w:rPr>
              <w:t>Lumens used to calculate LED Wattage (midpoint)</w:t>
            </w:r>
          </w:p>
        </w:tc>
        <w:tc>
          <w:tcPr>
            <w:tcW w:w="960" w:type="dxa"/>
            <w:tcBorders>
              <w:top w:val="single" w:sz="4" w:space="0" w:color="auto"/>
              <w:left w:val="nil"/>
              <w:bottom w:val="nil"/>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szCs w:val="20"/>
              </w:rPr>
              <w:t>LED Wattage (</w:t>
            </w:r>
            <w:proofErr w:type="spellStart"/>
            <w:r w:rsidRPr="00EE3637">
              <w:rPr>
                <w:rFonts w:ascii="Calibri" w:hAnsi="Calibri"/>
                <w:b/>
                <w:bCs/>
                <w:color w:val="FFFFFF"/>
                <w:szCs w:val="20"/>
              </w:rPr>
              <w:t>Watts</w:t>
            </w:r>
            <w:r w:rsidRPr="00EE3637">
              <w:rPr>
                <w:rFonts w:ascii="Calibri" w:hAnsi="Calibri"/>
                <w:b/>
                <w:bCs/>
                <w:color w:val="FFFFFF"/>
                <w:szCs w:val="20"/>
                <w:vertAlign w:val="subscript"/>
              </w:rPr>
              <w:t>EE</w:t>
            </w:r>
            <w:proofErr w:type="spellEnd"/>
            <w:r w:rsidRPr="00EE3637">
              <w:rPr>
                <w:rFonts w:ascii="Calibri" w:hAnsi="Calibri"/>
                <w:b/>
                <w:bCs/>
                <w:color w:val="FFFFFF"/>
                <w:szCs w:val="20"/>
              </w:rPr>
              <w:t>)</w:t>
            </w:r>
          </w:p>
        </w:tc>
        <w:tc>
          <w:tcPr>
            <w:tcW w:w="960" w:type="dxa"/>
            <w:tcBorders>
              <w:top w:val="single" w:sz="4" w:space="0" w:color="auto"/>
              <w:left w:val="nil"/>
              <w:bottom w:val="single" w:sz="4" w:space="0" w:color="auto"/>
              <w:right w:val="single" w:sz="4" w:space="0" w:color="auto"/>
            </w:tcBorders>
            <w:shd w:val="clear" w:color="000000" w:fill="808080"/>
            <w:vAlign w:val="center"/>
            <w:hideMark/>
          </w:tcPr>
          <w:p w:rsidR="00A61773" w:rsidRPr="00EE3637" w:rsidRDefault="00A61773" w:rsidP="00C81356">
            <w:pPr>
              <w:widowControl/>
              <w:spacing w:after="0"/>
              <w:jc w:val="center"/>
              <w:rPr>
                <w:rFonts w:ascii="Calibri" w:hAnsi="Calibri"/>
                <w:b/>
                <w:bCs/>
                <w:color w:val="FFFFFF"/>
                <w:szCs w:val="20"/>
              </w:rPr>
            </w:pPr>
            <w:r w:rsidRPr="00EE3637">
              <w:rPr>
                <w:rFonts w:ascii="Calibri" w:hAnsi="Calibri"/>
                <w:b/>
                <w:bCs/>
                <w:color w:val="FFFFFF" w:themeColor="background1"/>
                <w:szCs w:val="20"/>
              </w:rPr>
              <w:t>Delta Watts</w:t>
            </w:r>
          </w:p>
        </w:tc>
      </w:tr>
      <w:tr w:rsidR="00A61773" w:rsidRPr="00EE3637" w:rsidTr="00C81356">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R, ER, BR with medium screw bases w/ diameter &gt;2.25" (*see exceptions below)</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420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472</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446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473</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524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714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620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35</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715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937</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826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44</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938</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1259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75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1099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53</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1260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1399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90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1330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63</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1739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100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1570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69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1740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2174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120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1957</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81</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2175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2624</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2400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48</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102</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2625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2999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175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2812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119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3000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200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3750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125</w:t>
            </w:r>
          </w:p>
        </w:tc>
      </w:tr>
      <w:tr w:rsidR="00A61773" w:rsidRPr="00EE3637" w:rsidTr="00C81356">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*R, BR, and ER with medium screw bases w/ diameter &lt;=2.25"</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575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36</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1199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925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23</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42</w:t>
            </w:r>
          </w:p>
        </w:tc>
      </w:tr>
      <w:tr w:rsidR="00A61773" w:rsidRPr="00EE3637" w:rsidTr="00C81356">
        <w:trPr>
          <w:trHeight w:val="39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*ER30, BR30, BR40, or ER40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12</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33</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50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575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36</w:t>
            </w:r>
          </w:p>
        </w:tc>
      </w:tr>
      <w:tr w:rsidR="00A61773" w:rsidRPr="00EE3637" w:rsidTr="00C81356">
        <w:trPr>
          <w:trHeight w:val="510"/>
          <w:jc w:val="center"/>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*BR30, BR40, or ER40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1419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65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1035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44</w:t>
            </w:r>
          </w:p>
        </w:tc>
      </w:tr>
      <w:tr w:rsidR="00A61773" w:rsidRPr="00EE3637" w:rsidTr="00C81356">
        <w:trPr>
          <w:trHeight w:val="300"/>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*R20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449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425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29</w:t>
            </w:r>
          </w:p>
        </w:tc>
      </w:tr>
      <w:tr w:rsidR="00A61773" w:rsidRPr="00EE3637" w:rsidTr="00C81356">
        <w:trPr>
          <w:trHeight w:val="300"/>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719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45</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585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30</w:t>
            </w:r>
          </w:p>
        </w:tc>
      </w:tr>
      <w:tr w:rsidR="00A61773" w:rsidRPr="00EE3637" w:rsidTr="00C81356">
        <w:trPr>
          <w:trHeight w:val="555"/>
          <w:jc w:val="center"/>
        </w:trPr>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b/>
                <w:bCs/>
                <w:color w:val="000000"/>
                <w:szCs w:val="20"/>
              </w:rPr>
            </w:pPr>
            <w:r w:rsidRPr="00EE3637">
              <w:rPr>
                <w:rFonts w:ascii="Calibri" w:hAnsi="Calibri"/>
                <w:b/>
                <w:bCs/>
                <w:color w:val="000000"/>
                <w:szCs w:val="20"/>
              </w:rPr>
              <w:t>*All reflector lamps below lumen ranges specified above</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200</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20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14</w:t>
            </w:r>
          </w:p>
        </w:tc>
      </w:tr>
      <w:tr w:rsidR="00A61773" w:rsidRPr="00EE3637" w:rsidTr="00C81356">
        <w:trPr>
          <w:trHeight w:val="555"/>
          <w:jc w:val="center"/>
        </w:trPr>
        <w:tc>
          <w:tcPr>
            <w:tcW w:w="1660" w:type="dxa"/>
            <w:vMerge/>
            <w:tcBorders>
              <w:top w:val="nil"/>
              <w:left w:val="single" w:sz="4" w:space="0" w:color="auto"/>
              <w:bottom w:val="single" w:sz="4" w:space="0" w:color="auto"/>
              <w:right w:val="single" w:sz="4" w:space="0" w:color="auto"/>
            </w:tcBorders>
            <w:vAlign w:val="center"/>
            <w:hideMark/>
          </w:tcPr>
          <w:p w:rsidR="00A61773" w:rsidRPr="00EE3637" w:rsidRDefault="00A61773" w:rsidP="00C81356">
            <w:pPr>
              <w:widowControl/>
              <w:spacing w:after="0"/>
              <w:jc w:val="left"/>
              <w:rPr>
                <w:rFonts w:ascii="Calibri" w:hAnsi="Calibri"/>
                <w:b/>
                <w:bCs/>
                <w:color w:val="000000"/>
                <w:szCs w:val="20"/>
              </w:rPr>
            </w:pP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300</w:t>
            </w:r>
          </w:p>
        </w:tc>
        <w:tc>
          <w:tcPr>
            <w:tcW w:w="96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footnoteReference w:customMarkFollows="1" w:id="6"/>
              <w:t>399</w:t>
            </w:r>
          </w:p>
        </w:tc>
        <w:tc>
          <w:tcPr>
            <w:tcW w:w="960" w:type="dxa"/>
            <w:tcBorders>
              <w:top w:val="nil"/>
              <w:left w:val="nil"/>
              <w:bottom w:val="single" w:sz="4" w:space="0" w:color="auto"/>
              <w:right w:val="single" w:sz="4" w:space="0" w:color="auto"/>
            </w:tcBorders>
            <w:shd w:val="clear" w:color="auto" w:fill="auto"/>
            <w:vAlign w:val="center"/>
            <w:hideMark/>
          </w:tcPr>
          <w:p w:rsidR="00A61773" w:rsidRPr="00EE3637" w:rsidRDefault="00A61773" w:rsidP="00C81356">
            <w:pPr>
              <w:widowControl/>
              <w:spacing w:after="0"/>
              <w:jc w:val="center"/>
              <w:rPr>
                <w:rFonts w:ascii="Calibri" w:hAnsi="Calibri"/>
                <w:color w:val="000000"/>
                <w:szCs w:val="20"/>
              </w:rPr>
            </w:pPr>
            <w:r w:rsidRPr="00EE3637">
              <w:rPr>
                <w:rFonts w:ascii="Calibri" w:hAnsi="Calibri"/>
                <w:color w:val="000000"/>
                <w:szCs w:val="20"/>
              </w:rPr>
              <w:t>30</w:t>
            </w:r>
          </w:p>
        </w:tc>
        <w:tc>
          <w:tcPr>
            <w:tcW w:w="1420" w:type="dxa"/>
            <w:tcBorders>
              <w:top w:val="nil"/>
              <w:left w:val="nil"/>
              <w:bottom w:val="single" w:sz="4" w:space="0" w:color="auto"/>
              <w:right w:val="single" w:sz="4" w:space="0" w:color="auto"/>
            </w:tcBorders>
            <w:shd w:val="clear" w:color="auto" w:fill="auto"/>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350</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9</w:t>
            </w:r>
          </w:p>
        </w:tc>
        <w:tc>
          <w:tcPr>
            <w:tcW w:w="960" w:type="dxa"/>
            <w:tcBorders>
              <w:top w:val="nil"/>
              <w:left w:val="nil"/>
              <w:bottom w:val="single" w:sz="4" w:space="0" w:color="auto"/>
              <w:right w:val="single" w:sz="4" w:space="0" w:color="auto"/>
            </w:tcBorders>
            <w:shd w:val="clear" w:color="auto" w:fill="auto"/>
            <w:noWrap/>
            <w:vAlign w:val="center"/>
            <w:hideMark/>
          </w:tcPr>
          <w:p w:rsidR="00A61773" w:rsidRPr="009C362B" w:rsidRDefault="00A61773" w:rsidP="00C81356">
            <w:pPr>
              <w:widowControl/>
              <w:spacing w:after="0"/>
              <w:jc w:val="center"/>
              <w:rPr>
                <w:rFonts w:ascii="Calibri" w:hAnsi="Calibri"/>
                <w:color w:val="000000"/>
                <w:szCs w:val="20"/>
              </w:rPr>
            </w:pPr>
            <w:r w:rsidRPr="009C362B">
              <w:rPr>
                <w:rFonts w:ascii="Calibri" w:hAnsi="Calibri"/>
                <w:color w:val="000000"/>
                <w:szCs w:val="20"/>
              </w:rPr>
              <w:t>21</w:t>
            </w:r>
          </w:p>
        </w:tc>
      </w:tr>
    </w:tbl>
    <w:p w:rsidR="00A61773" w:rsidRPr="006512F3" w:rsidRDefault="00A61773" w:rsidP="00A61773">
      <w:pPr>
        <w:ind w:left="1440"/>
        <w:rPr>
          <w:b/>
          <w:noProof/>
        </w:rPr>
      </w:pPr>
    </w:p>
    <w:p w:rsidR="00A61773" w:rsidRDefault="00A61773" w:rsidP="00A61773">
      <w:pPr>
        <w:ind w:left="2430"/>
        <w:rPr>
          <w:noProof/>
        </w:rPr>
      </w:pPr>
      <w:r>
        <w:rPr>
          <w:noProof/>
        </w:rPr>
        <w:t>Directional lamps are exempt from EISA regulations.</w:t>
      </w:r>
    </w:p>
    <w:p w:rsidR="00A61773" w:rsidRDefault="00A61773" w:rsidP="00A61773">
      <w:pPr>
        <w:ind w:left="2160" w:hanging="1440"/>
        <w:rPr>
          <w:noProof/>
        </w:rPr>
      </w:pPr>
    </w:p>
    <w:p w:rsidR="00A61773" w:rsidRDefault="00A61773" w:rsidP="00A61773">
      <w:pPr>
        <w:ind w:left="2160" w:hanging="1440"/>
        <w:rPr>
          <w:noProof/>
        </w:rPr>
      </w:pPr>
    </w:p>
    <w:p w:rsidR="00A61773" w:rsidRDefault="00A61773" w:rsidP="00A61773">
      <w:pPr>
        <w:ind w:firstLine="720"/>
        <w:rPr>
          <w:noProof/>
        </w:rPr>
      </w:pPr>
      <w:r>
        <w:rPr>
          <w:noProof/>
        </w:rPr>
        <w:t>For PAR, MR, and MRX Lamps Types:</w:t>
      </w:r>
    </w:p>
    <w:p w:rsidR="00A61773" w:rsidRDefault="00A61773" w:rsidP="00A61773">
      <w:pPr>
        <w:ind w:left="720"/>
        <w:rPr>
          <w:ins w:id="3" w:author="Samuel Dent" w:date="2015-10-08T09:18:00Z"/>
          <w:noProof/>
          <w:szCs w:val="20"/>
        </w:rPr>
      </w:pPr>
      <w:r>
        <w:rPr>
          <w:noProof/>
        </w:rPr>
        <w:lastRenderedPageBreak/>
        <w:t>For these highly focused directional lamp types, it is necessary to have Center Beam Candle Power (CBCP) and beam angle measurements to accurately estimate the equivalent baseline wattage.  The formula below is based on the Energy Star Center Beam Candle Power tool.</w:t>
      </w:r>
      <w:r>
        <w:rPr>
          <w:rStyle w:val="FootnoteReference"/>
          <w:noProof/>
        </w:rPr>
        <w:footnoteReference w:id="7"/>
      </w:r>
      <w:r>
        <w:rPr>
          <w:noProof/>
        </w:rPr>
        <w:t xml:space="preserve"> </w:t>
      </w:r>
      <w:r>
        <w:rPr>
          <w:noProof/>
          <w:szCs w:val="20"/>
        </w:rPr>
        <w:t>If CBCP and beam angle information are not available</w:t>
      </w:r>
      <w:ins w:id="4" w:author="Samuel Dent" w:date="2015-10-08T09:17:00Z">
        <w:r w:rsidRPr="00A61773">
          <w:rPr>
            <w:noProof/>
            <w:szCs w:val="20"/>
          </w:rPr>
          <w:t xml:space="preserve"> </w:t>
        </w:r>
        <w:r>
          <w:rPr>
            <w:noProof/>
            <w:szCs w:val="20"/>
          </w:rPr>
          <w:t>or if the equation below returns a negative value (or undefined), use the manufacturer’s recommended baseline wattage equivalent.</w:t>
        </w:r>
        <w:r>
          <w:rPr>
            <w:rStyle w:val="FootnoteReference"/>
            <w:noProof/>
            <w:szCs w:val="20"/>
          </w:rPr>
          <w:footnoteReference w:id="8"/>
        </w:r>
      </w:ins>
    </w:p>
    <w:p w:rsidR="00A61773" w:rsidRDefault="00A61773" w:rsidP="00A61773">
      <w:pPr>
        <w:ind w:left="720"/>
        <w:rPr>
          <w:ins w:id="7" w:author="Samuel Dent" w:date="2015-10-08T09:18:00Z"/>
          <w:noProof/>
          <w:szCs w:val="20"/>
        </w:rPr>
      </w:pPr>
    </w:p>
    <w:p w:rsidR="00A61773" w:rsidRPr="00022158" w:rsidDel="00A61773" w:rsidRDefault="00A61773" w:rsidP="00A61773">
      <w:pPr>
        <w:ind w:left="720"/>
        <w:rPr>
          <w:del w:id="8" w:author="Samuel Dent" w:date="2015-10-08T09:17:00Z"/>
          <w:noProof/>
          <w:szCs w:val="20"/>
        </w:rPr>
      </w:pPr>
      <w:del w:id="9" w:author="Samuel Dent" w:date="2015-10-08T09:17:00Z">
        <w:r w:rsidDel="00A61773">
          <w:rPr>
            <w:noProof/>
            <w:szCs w:val="20"/>
          </w:rPr>
          <w:delText>, refer to the R, BR, and ER lumen based method above.</w:delText>
        </w:r>
      </w:del>
    </w:p>
    <w:p w:rsidR="00A61773" w:rsidRPr="009C362B" w:rsidRDefault="00A61773" w:rsidP="00A61773">
      <w:pPr>
        <w:ind w:left="720"/>
        <w:rPr>
          <w:noProof/>
          <w:sz w:val="17"/>
          <w:szCs w:val="17"/>
        </w:rPr>
      </w:pPr>
      <m:oMathPara>
        <m:oMathParaPr>
          <m:jc m:val="left"/>
        </m:oMathParaPr>
        <m:oMath>
          <m:r>
            <m:rPr>
              <m:sty m:val="p"/>
            </m:rPr>
            <w:rPr>
              <w:rFonts w:ascii="Cambria Math" w:hAnsi="Cambria Math"/>
              <w:noProof/>
              <w:sz w:val="17"/>
              <w:szCs w:val="17"/>
            </w:rPr>
            <m:t>Wattsbase</m:t>
          </m:r>
          <m:r>
            <w:rPr>
              <w:rFonts w:ascii="Cambria Math" w:hAnsi="Cambria Math"/>
              <w:noProof/>
              <w:sz w:val="17"/>
              <w:szCs w:val="17"/>
            </w:rPr>
            <m:t>=</m:t>
          </m:r>
        </m:oMath>
      </m:oMathPara>
    </w:p>
    <w:p w:rsidR="00A61773" w:rsidRPr="009C362B" w:rsidRDefault="00A61773" w:rsidP="00A61773">
      <w:pPr>
        <w:rPr>
          <w:noProof/>
          <w:sz w:val="17"/>
          <w:szCs w:val="17"/>
        </w:rPr>
      </w:pPr>
      <m:oMathPara>
        <m:oMath>
          <m:r>
            <w:rPr>
              <w:rFonts w:ascii="Cambria Math" w:hAnsi="Cambria Math"/>
              <w:noProof/>
              <w:sz w:val="17"/>
              <w:szCs w:val="17"/>
            </w:rPr>
            <m:t>375.1-4.355</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 xml:space="preserve">- </m:t>
          </m:r>
          <m:rad>
            <m:radPr>
              <m:degHide m:val="1"/>
              <m:ctrlPr>
                <w:rPr>
                  <w:rFonts w:ascii="Cambria Math" w:hAnsi="Cambria Math"/>
                  <w:i/>
                  <w:noProof/>
                  <w:sz w:val="17"/>
                  <w:szCs w:val="17"/>
                </w:rPr>
              </m:ctrlPr>
            </m:radPr>
            <m:deg/>
            <m:e>
              <m:r>
                <w:rPr>
                  <w:rFonts w:ascii="Cambria Math" w:hAnsi="Cambria Math"/>
                  <w:noProof/>
                  <w:sz w:val="17"/>
                  <w:szCs w:val="17"/>
                </w:rPr>
                <m:t>227,800-937.9</m:t>
              </m:r>
              <m:d>
                <m:dPr>
                  <m:ctrlPr>
                    <w:rPr>
                      <w:rFonts w:ascii="Cambria Math" w:hAnsi="Cambria Math"/>
                      <w:i/>
                      <w:noProof/>
                      <w:sz w:val="17"/>
                      <w:szCs w:val="17"/>
                    </w:rPr>
                  </m:ctrlPr>
                </m:dPr>
                <m:e>
                  <m:r>
                    <w:rPr>
                      <w:rFonts w:ascii="Cambria Math" w:hAnsi="Cambria Math"/>
                      <w:noProof/>
                      <w:sz w:val="17"/>
                      <w:szCs w:val="17"/>
                    </w:rPr>
                    <m:t>D</m:t>
                  </m:r>
                </m:e>
              </m:d>
              <m:r>
                <w:rPr>
                  <w:rFonts w:ascii="Cambria Math" w:hAnsi="Cambria Math"/>
                  <w:noProof/>
                  <w:sz w:val="17"/>
                  <w:szCs w:val="17"/>
                </w:rPr>
                <m:t>-0.9903</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D</m:t>
                      </m:r>
                    </m:e>
                    <m:sup>
                      <m:r>
                        <w:rPr>
                          <w:rFonts w:ascii="Cambria Math" w:hAnsi="Cambria Math"/>
                          <w:noProof/>
                          <w:sz w:val="17"/>
                          <w:szCs w:val="17"/>
                        </w:rPr>
                        <m:t>2</m:t>
                      </m:r>
                    </m:sup>
                  </m:sSup>
                </m:e>
              </m:d>
              <m:r>
                <w:rPr>
                  <w:rFonts w:ascii="Cambria Math" w:hAnsi="Cambria Math"/>
                  <w:noProof/>
                  <w:sz w:val="17"/>
                  <w:szCs w:val="17"/>
                </w:rPr>
                <m:t>-1479</m:t>
              </m:r>
              <m:d>
                <m:dPr>
                  <m:ctrlPr>
                    <w:rPr>
                      <w:rFonts w:ascii="Cambria Math" w:hAnsi="Cambria Math"/>
                      <w:i/>
                      <w:noProof/>
                      <w:sz w:val="17"/>
                      <w:szCs w:val="17"/>
                    </w:rPr>
                  </m:ctrlPr>
                </m:dPr>
                <m:e>
                  <m:r>
                    <w:rPr>
                      <w:rFonts w:ascii="Cambria Math" w:hAnsi="Cambria Math"/>
                      <w:noProof/>
                      <w:sz w:val="17"/>
                      <w:szCs w:val="17"/>
                    </w:rPr>
                    <m:t>BA</m:t>
                  </m:r>
                </m:e>
              </m:d>
              <m:r>
                <w:rPr>
                  <w:rFonts w:ascii="Cambria Math" w:hAnsi="Cambria Math"/>
                  <w:noProof/>
                  <w:sz w:val="17"/>
                  <w:szCs w:val="17"/>
                </w:rPr>
                <m:t>-12.02</m:t>
              </m:r>
              <m:d>
                <m:dPr>
                  <m:ctrlPr>
                    <w:rPr>
                      <w:rFonts w:ascii="Cambria Math" w:hAnsi="Cambria Math"/>
                      <w:i/>
                      <w:noProof/>
                      <w:sz w:val="17"/>
                      <w:szCs w:val="17"/>
                    </w:rPr>
                  </m:ctrlPr>
                </m:dPr>
                <m:e>
                  <m:r>
                    <w:rPr>
                      <w:rFonts w:ascii="Cambria Math" w:hAnsi="Cambria Math"/>
                      <w:noProof/>
                      <w:sz w:val="17"/>
                      <w:szCs w:val="17"/>
                    </w:rPr>
                    <m:t>D*BA</m:t>
                  </m:r>
                </m:e>
              </m:d>
              <m:r>
                <w:rPr>
                  <w:rFonts w:ascii="Cambria Math" w:hAnsi="Cambria Math"/>
                  <w:noProof/>
                  <w:sz w:val="17"/>
                  <w:szCs w:val="17"/>
                </w:rPr>
                <m:t>+14.69</m:t>
              </m:r>
              <m:d>
                <m:dPr>
                  <m:ctrlPr>
                    <w:rPr>
                      <w:rFonts w:ascii="Cambria Math" w:hAnsi="Cambria Math"/>
                      <w:i/>
                      <w:noProof/>
                      <w:sz w:val="17"/>
                      <w:szCs w:val="17"/>
                    </w:rPr>
                  </m:ctrlPr>
                </m:dPr>
                <m:e>
                  <m:sSup>
                    <m:sSupPr>
                      <m:ctrlPr>
                        <w:rPr>
                          <w:rFonts w:ascii="Cambria Math" w:hAnsi="Cambria Math"/>
                          <w:i/>
                          <w:noProof/>
                          <w:sz w:val="17"/>
                          <w:szCs w:val="17"/>
                        </w:rPr>
                      </m:ctrlPr>
                    </m:sSupPr>
                    <m:e>
                      <m:r>
                        <w:rPr>
                          <w:rFonts w:ascii="Cambria Math" w:hAnsi="Cambria Math"/>
                          <w:noProof/>
                          <w:sz w:val="17"/>
                          <w:szCs w:val="17"/>
                        </w:rPr>
                        <m:t>BA</m:t>
                      </m:r>
                    </m:e>
                    <m:sup>
                      <m:r>
                        <w:rPr>
                          <w:rFonts w:ascii="Cambria Math" w:hAnsi="Cambria Math"/>
                          <w:noProof/>
                          <w:sz w:val="17"/>
                          <w:szCs w:val="17"/>
                        </w:rPr>
                        <m:t>2</m:t>
                      </m:r>
                    </m:sup>
                  </m:sSup>
                </m:e>
              </m:d>
              <m:r>
                <w:rPr>
                  <w:rFonts w:ascii="Cambria Math" w:hAnsi="Cambria Math"/>
                  <w:noProof/>
                  <w:sz w:val="17"/>
                  <w:szCs w:val="17"/>
                </w:rPr>
                <m:t>-16,720*</m:t>
              </m:r>
              <m:r>
                <m:rPr>
                  <m:sty m:val="p"/>
                </m:rPr>
                <w:rPr>
                  <w:rFonts w:ascii="Cambria Math" w:hAnsi="Cambria Math"/>
                  <w:noProof/>
                  <w:sz w:val="17"/>
                  <w:szCs w:val="17"/>
                </w:rPr>
                <m:t>ln⁡</m:t>
              </m:r>
              <m:r>
                <w:rPr>
                  <w:rFonts w:ascii="Cambria Math" w:hAnsi="Cambria Math"/>
                  <w:noProof/>
                  <w:sz w:val="17"/>
                  <w:szCs w:val="17"/>
                </w:rPr>
                <m:t>(CBCP)</m:t>
              </m:r>
            </m:e>
          </m:rad>
        </m:oMath>
      </m:oMathPara>
    </w:p>
    <w:p w:rsidR="00A61773" w:rsidRDefault="00A61773" w:rsidP="00A61773">
      <w:pPr>
        <w:ind w:left="1440"/>
        <w:rPr>
          <w:noProof/>
          <w:szCs w:val="20"/>
        </w:rPr>
      </w:pPr>
      <w:r>
        <w:rPr>
          <w:noProof/>
          <w:szCs w:val="20"/>
        </w:rPr>
        <w:t>Where:</w:t>
      </w:r>
    </w:p>
    <w:p w:rsidR="00A61773" w:rsidRDefault="00A61773" w:rsidP="00A61773">
      <w:pPr>
        <w:ind w:left="1440"/>
        <w:rPr>
          <w:noProof/>
          <w:szCs w:val="20"/>
        </w:rPr>
      </w:pPr>
      <w:r>
        <w:rPr>
          <w:noProof/>
          <w:szCs w:val="20"/>
        </w:rPr>
        <w:tab/>
        <w:t xml:space="preserve">D </w:t>
      </w:r>
      <w:r>
        <w:rPr>
          <w:noProof/>
          <w:szCs w:val="20"/>
        </w:rPr>
        <w:tab/>
      </w:r>
      <w:r>
        <w:rPr>
          <w:noProof/>
          <w:szCs w:val="20"/>
        </w:rPr>
        <w:tab/>
        <w:t>= Bulb diameter (e.g.  for PAR20 D = 20)</w:t>
      </w:r>
    </w:p>
    <w:p w:rsidR="00A61773" w:rsidRDefault="00A61773" w:rsidP="00A61773">
      <w:pPr>
        <w:ind w:left="1440"/>
        <w:rPr>
          <w:noProof/>
          <w:szCs w:val="20"/>
        </w:rPr>
      </w:pPr>
      <w:r>
        <w:rPr>
          <w:noProof/>
          <w:szCs w:val="20"/>
        </w:rPr>
        <w:tab/>
        <w:t>BA</w:t>
      </w:r>
      <w:r>
        <w:rPr>
          <w:noProof/>
          <w:szCs w:val="20"/>
        </w:rPr>
        <w:tab/>
      </w:r>
      <w:r>
        <w:rPr>
          <w:noProof/>
          <w:szCs w:val="20"/>
        </w:rPr>
        <w:tab/>
        <w:t>= Beam angle</w:t>
      </w:r>
    </w:p>
    <w:p w:rsidR="00A61773" w:rsidRDefault="00A61773" w:rsidP="00A61773">
      <w:pPr>
        <w:ind w:left="1440"/>
        <w:rPr>
          <w:noProof/>
          <w:szCs w:val="20"/>
        </w:rPr>
      </w:pPr>
      <w:r>
        <w:rPr>
          <w:noProof/>
          <w:szCs w:val="20"/>
        </w:rPr>
        <w:tab/>
        <w:t>CBCP</w:t>
      </w:r>
      <w:r>
        <w:rPr>
          <w:noProof/>
          <w:szCs w:val="20"/>
        </w:rPr>
        <w:tab/>
      </w:r>
      <w:r>
        <w:rPr>
          <w:noProof/>
          <w:szCs w:val="20"/>
        </w:rPr>
        <w:tab/>
        <w:t>= Center beam candle power</w:t>
      </w:r>
    </w:p>
    <w:p w:rsidR="00A61773" w:rsidRDefault="00A61773" w:rsidP="00A61773">
      <w:pPr>
        <w:rPr>
          <w:noProof/>
          <w:szCs w:val="20"/>
        </w:rPr>
      </w:pPr>
      <w:r>
        <w:rPr>
          <w:noProof/>
          <w:szCs w:val="20"/>
        </w:rPr>
        <w:t>The result of the equation above should be rounded DOWN to the nearest wattage established by Energy Star:</w:t>
      </w:r>
    </w:p>
    <w:tbl>
      <w:tblPr>
        <w:tblW w:w="7030"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4490"/>
      </w:tblGrid>
      <w:tr w:rsidR="00A61773" w:rsidRPr="00022158" w:rsidTr="00C81356">
        <w:trPr>
          <w:trHeight w:val="510"/>
          <w:jc w:val="center"/>
        </w:trPr>
        <w:tc>
          <w:tcPr>
            <w:tcW w:w="2540" w:type="dxa"/>
            <w:shd w:val="clear" w:color="000000" w:fill="808080"/>
            <w:vAlign w:val="center"/>
            <w:hideMark/>
          </w:tcPr>
          <w:p w:rsidR="00A61773" w:rsidRPr="00022158" w:rsidRDefault="00A61773"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Diameter</w:t>
            </w:r>
          </w:p>
        </w:tc>
        <w:tc>
          <w:tcPr>
            <w:tcW w:w="4490" w:type="dxa"/>
            <w:shd w:val="clear" w:color="000000" w:fill="808080"/>
            <w:vAlign w:val="center"/>
            <w:hideMark/>
          </w:tcPr>
          <w:p w:rsidR="00A61773" w:rsidRPr="00022158" w:rsidRDefault="00A61773" w:rsidP="00C81356">
            <w:pPr>
              <w:widowControl/>
              <w:spacing w:after="0"/>
              <w:jc w:val="center"/>
              <w:rPr>
                <w:rFonts w:ascii="Calibri" w:hAnsi="Calibri" w:cs="Calibri"/>
                <w:b/>
                <w:bCs/>
                <w:color w:val="FFFFFF"/>
                <w:szCs w:val="20"/>
              </w:rPr>
            </w:pPr>
            <w:r w:rsidRPr="00022158">
              <w:rPr>
                <w:rFonts w:ascii="Calibri" w:hAnsi="Calibri" w:cs="Calibri"/>
                <w:b/>
                <w:bCs/>
                <w:color w:val="FFFFFF"/>
                <w:szCs w:val="20"/>
              </w:rPr>
              <w:t>Permitted Wattages</w:t>
            </w:r>
          </w:p>
        </w:tc>
      </w:tr>
      <w:tr w:rsidR="00A61773" w:rsidRPr="00022158" w:rsidTr="00C81356">
        <w:trPr>
          <w:trHeight w:val="332"/>
          <w:jc w:val="center"/>
        </w:trPr>
        <w:tc>
          <w:tcPr>
            <w:tcW w:w="2540" w:type="dxa"/>
            <w:shd w:val="clear" w:color="auto" w:fill="auto"/>
            <w:vAlign w:val="center"/>
            <w:hideMark/>
          </w:tcPr>
          <w:p w:rsidR="00A61773" w:rsidRPr="00022158" w:rsidRDefault="00A61773" w:rsidP="00C81356">
            <w:pPr>
              <w:widowControl/>
              <w:spacing w:after="0"/>
              <w:jc w:val="center"/>
              <w:rPr>
                <w:rFonts w:ascii="Calibri" w:hAnsi="Calibri" w:cs="Calibri"/>
                <w:color w:val="000000"/>
                <w:szCs w:val="20"/>
              </w:rPr>
            </w:pPr>
            <w:r w:rsidRPr="00022158">
              <w:rPr>
                <w:rFonts w:ascii="Calibri" w:hAnsi="Calibri" w:cs="Calibri"/>
                <w:color w:val="000000"/>
                <w:szCs w:val="20"/>
              </w:rPr>
              <w:t>16</w:t>
            </w:r>
          </w:p>
        </w:tc>
        <w:tc>
          <w:tcPr>
            <w:tcW w:w="4490" w:type="dxa"/>
            <w:shd w:val="clear" w:color="auto" w:fill="auto"/>
            <w:vAlign w:val="center"/>
            <w:hideMark/>
          </w:tcPr>
          <w:p w:rsidR="00A61773" w:rsidRPr="00022158" w:rsidRDefault="00A61773" w:rsidP="00C81356">
            <w:pPr>
              <w:widowControl/>
              <w:spacing w:after="0"/>
              <w:jc w:val="left"/>
              <w:rPr>
                <w:rFonts w:ascii="Calibri" w:hAnsi="Calibri" w:cs="Calibri"/>
                <w:color w:val="000000"/>
                <w:szCs w:val="20"/>
              </w:rPr>
            </w:pPr>
            <w:r w:rsidRPr="00022158">
              <w:rPr>
                <w:rFonts w:ascii="Calibri" w:hAnsi="Calibri" w:cs="Calibri"/>
                <w:color w:val="000000"/>
                <w:szCs w:val="20"/>
              </w:rPr>
              <w:t>20, 35, 40, 45, 50, 60, 75</w:t>
            </w:r>
          </w:p>
        </w:tc>
      </w:tr>
      <w:tr w:rsidR="00A61773" w:rsidRPr="00022158" w:rsidTr="00C81356">
        <w:trPr>
          <w:trHeight w:val="315"/>
          <w:jc w:val="center"/>
        </w:trPr>
        <w:tc>
          <w:tcPr>
            <w:tcW w:w="2540" w:type="dxa"/>
            <w:shd w:val="clear" w:color="auto" w:fill="auto"/>
            <w:vAlign w:val="center"/>
            <w:hideMark/>
          </w:tcPr>
          <w:p w:rsidR="00A61773" w:rsidRPr="00022158" w:rsidRDefault="00A61773" w:rsidP="00C81356">
            <w:pPr>
              <w:widowControl/>
              <w:spacing w:after="0"/>
              <w:jc w:val="center"/>
              <w:rPr>
                <w:rFonts w:ascii="Calibri" w:hAnsi="Calibri" w:cs="Calibri"/>
                <w:color w:val="000000"/>
                <w:szCs w:val="20"/>
              </w:rPr>
            </w:pPr>
            <w:r w:rsidRPr="00022158">
              <w:rPr>
                <w:rFonts w:ascii="Calibri" w:hAnsi="Calibri" w:cs="Calibri"/>
                <w:color w:val="000000"/>
                <w:szCs w:val="20"/>
              </w:rPr>
              <w:t>20</w:t>
            </w:r>
          </w:p>
        </w:tc>
        <w:tc>
          <w:tcPr>
            <w:tcW w:w="4490" w:type="dxa"/>
            <w:shd w:val="clear" w:color="auto" w:fill="auto"/>
            <w:vAlign w:val="center"/>
            <w:hideMark/>
          </w:tcPr>
          <w:p w:rsidR="00A61773" w:rsidRPr="00022158" w:rsidRDefault="00A61773" w:rsidP="00C81356">
            <w:pPr>
              <w:widowControl/>
              <w:spacing w:after="0"/>
              <w:jc w:val="left"/>
              <w:rPr>
                <w:rFonts w:ascii="Calibri" w:hAnsi="Calibri" w:cs="Calibri"/>
                <w:color w:val="000000"/>
                <w:szCs w:val="20"/>
              </w:rPr>
            </w:pPr>
            <w:r w:rsidRPr="00022158">
              <w:rPr>
                <w:rFonts w:ascii="Calibri" w:hAnsi="Calibri" w:cs="Calibri"/>
                <w:color w:val="000000"/>
                <w:szCs w:val="20"/>
              </w:rPr>
              <w:t>50</w:t>
            </w:r>
          </w:p>
        </w:tc>
      </w:tr>
      <w:tr w:rsidR="00A61773" w:rsidRPr="00022158" w:rsidTr="00C81356">
        <w:trPr>
          <w:trHeight w:val="304"/>
          <w:jc w:val="center"/>
        </w:trPr>
        <w:tc>
          <w:tcPr>
            <w:tcW w:w="2540" w:type="dxa"/>
            <w:shd w:val="clear" w:color="auto" w:fill="auto"/>
            <w:vAlign w:val="center"/>
            <w:hideMark/>
          </w:tcPr>
          <w:p w:rsidR="00A61773" w:rsidRPr="00022158" w:rsidRDefault="00A61773" w:rsidP="00C81356">
            <w:pPr>
              <w:widowControl/>
              <w:spacing w:after="0"/>
              <w:jc w:val="center"/>
              <w:rPr>
                <w:rFonts w:ascii="Calibri" w:hAnsi="Calibri" w:cs="Calibri"/>
                <w:color w:val="000000"/>
                <w:szCs w:val="20"/>
              </w:rPr>
            </w:pPr>
            <w:r w:rsidRPr="00022158">
              <w:rPr>
                <w:rFonts w:ascii="Calibri" w:hAnsi="Calibri" w:cs="Calibri"/>
                <w:color w:val="000000"/>
                <w:szCs w:val="20"/>
              </w:rPr>
              <w:t>30S</w:t>
            </w:r>
          </w:p>
        </w:tc>
        <w:tc>
          <w:tcPr>
            <w:tcW w:w="4490" w:type="dxa"/>
            <w:shd w:val="clear" w:color="auto" w:fill="auto"/>
            <w:vAlign w:val="center"/>
            <w:hideMark/>
          </w:tcPr>
          <w:p w:rsidR="00A61773" w:rsidRPr="00022158" w:rsidRDefault="00A61773" w:rsidP="00C81356">
            <w:pPr>
              <w:widowControl/>
              <w:spacing w:after="0"/>
              <w:jc w:val="left"/>
              <w:rPr>
                <w:rFonts w:ascii="Calibri" w:hAnsi="Calibri" w:cs="Calibri"/>
                <w:color w:val="000000"/>
                <w:szCs w:val="20"/>
              </w:rPr>
            </w:pPr>
            <w:r w:rsidRPr="00022158">
              <w:rPr>
                <w:rFonts w:ascii="Calibri" w:hAnsi="Calibri" w:cs="Calibri"/>
                <w:color w:val="000000"/>
                <w:szCs w:val="20"/>
              </w:rPr>
              <w:t>40, 45, 50, 60, 75</w:t>
            </w:r>
          </w:p>
        </w:tc>
      </w:tr>
      <w:tr w:rsidR="00A61773" w:rsidRPr="00022158" w:rsidTr="00C81356">
        <w:trPr>
          <w:trHeight w:val="315"/>
          <w:jc w:val="center"/>
        </w:trPr>
        <w:tc>
          <w:tcPr>
            <w:tcW w:w="2540" w:type="dxa"/>
            <w:shd w:val="clear" w:color="auto" w:fill="auto"/>
            <w:vAlign w:val="center"/>
            <w:hideMark/>
          </w:tcPr>
          <w:p w:rsidR="00A61773" w:rsidRPr="00022158" w:rsidRDefault="00A61773" w:rsidP="00C81356">
            <w:pPr>
              <w:widowControl/>
              <w:spacing w:after="0"/>
              <w:jc w:val="center"/>
              <w:rPr>
                <w:rFonts w:ascii="Calibri" w:hAnsi="Calibri" w:cs="Calibri"/>
                <w:color w:val="000000"/>
                <w:szCs w:val="20"/>
              </w:rPr>
            </w:pPr>
            <w:r w:rsidRPr="00022158">
              <w:rPr>
                <w:rFonts w:ascii="Calibri" w:hAnsi="Calibri" w:cs="Calibri"/>
                <w:color w:val="000000"/>
                <w:szCs w:val="20"/>
              </w:rPr>
              <w:t>30L</w:t>
            </w:r>
          </w:p>
        </w:tc>
        <w:tc>
          <w:tcPr>
            <w:tcW w:w="4490" w:type="dxa"/>
            <w:shd w:val="clear" w:color="auto" w:fill="auto"/>
            <w:vAlign w:val="center"/>
            <w:hideMark/>
          </w:tcPr>
          <w:p w:rsidR="00A61773" w:rsidRPr="00022158" w:rsidRDefault="00A61773" w:rsidP="00C81356">
            <w:pPr>
              <w:widowControl/>
              <w:spacing w:after="0"/>
              <w:jc w:val="left"/>
              <w:rPr>
                <w:rFonts w:ascii="Calibri" w:hAnsi="Calibri" w:cs="Calibri"/>
                <w:color w:val="000000"/>
                <w:szCs w:val="20"/>
              </w:rPr>
            </w:pPr>
            <w:r w:rsidRPr="00022158">
              <w:rPr>
                <w:rFonts w:ascii="Calibri" w:hAnsi="Calibri" w:cs="Calibri"/>
                <w:color w:val="000000"/>
                <w:szCs w:val="20"/>
              </w:rPr>
              <w:t>50, 75</w:t>
            </w:r>
          </w:p>
        </w:tc>
      </w:tr>
      <w:tr w:rsidR="00A61773" w:rsidRPr="00022158" w:rsidTr="00C81356">
        <w:trPr>
          <w:trHeight w:val="340"/>
          <w:jc w:val="center"/>
        </w:trPr>
        <w:tc>
          <w:tcPr>
            <w:tcW w:w="2540" w:type="dxa"/>
            <w:shd w:val="clear" w:color="auto" w:fill="auto"/>
            <w:vAlign w:val="center"/>
            <w:hideMark/>
          </w:tcPr>
          <w:p w:rsidR="00A61773" w:rsidRPr="00022158" w:rsidRDefault="00A61773" w:rsidP="00C81356">
            <w:pPr>
              <w:widowControl/>
              <w:spacing w:after="0"/>
              <w:jc w:val="center"/>
              <w:rPr>
                <w:rFonts w:ascii="Calibri" w:hAnsi="Calibri" w:cs="Calibri"/>
                <w:color w:val="000000"/>
                <w:szCs w:val="20"/>
              </w:rPr>
            </w:pPr>
            <w:r w:rsidRPr="00022158">
              <w:rPr>
                <w:rFonts w:ascii="Calibri" w:hAnsi="Calibri" w:cs="Calibri"/>
                <w:color w:val="000000"/>
                <w:szCs w:val="20"/>
              </w:rPr>
              <w:t>38</w:t>
            </w:r>
          </w:p>
        </w:tc>
        <w:tc>
          <w:tcPr>
            <w:tcW w:w="4490" w:type="dxa"/>
            <w:shd w:val="clear" w:color="auto" w:fill="auto"/>
            <w:vAlign w:val="center"/>
            <w:hideMark/>
          </w:tcPr>
          <w:p w:rsidR="00A61773" w:rsidRPr="00022158" w:rsidRDefault="00A61773" w:rsidP="00C81356">
            <w:pPr>
              <w:widowControl/>
              <w:spacing w:after="0"/>
              <w:jc w:val="left"/>
              <w:rPr>
                <w:rFonts w:ascii="Calibri" w:hAnsi="Calibri" w:cs="Calibri"/>
                <w:color w:val="000000"/>
                <w:szCs w:val="20"/>
              </w:rPr>
            </w:pPr>
            <w:r w:rsidRPr="00022158">
              <w:rPr>
                <w:rFonts w:ascii="Calibri" w:hAnsi="Calibri" w:cs="Calibri"/>
                <w:color w:val="000000"/>
                <w:szCs w:val="20"/>
              </w:rPr>
              <w:t>40, 45, 50, 55, 60, 65, 75, 85, 90, 100, 120, 150, 250</w:t>
            </w:r>
          </w:p>
        </w:tc>
      </w:tr>
    </w:tbl>
    <w:p w:rsidR="00A61773" w:rsidRDefault="00A61773" w:rsidP="00A61773">
      <w:pPr>
        <w:rPr>
          <w:noProof/>
          <w:szCs w:val="20"/>
        </w:rPr>
      </w:pPr>
    </w:p>
    <w:p w:rsidR="00A61773" w:rsidRDefault="00A61773" w:rsidP="00A61773">
      <w:pPr>
        <w:ind w:left="2160" w:hanging="1440"/>
        <w:rPr>
          <w:noProof/>
        </w:rPr>
      </w:pPr>
      <w:r>
        <w:rPr>
          <w:noProof/>
        </w:rPr>
        <w:t>Hours</w:t>
      </w:r>
      <w:r>
        <w:rPr>
          <w:noProof/>
        </w:rPr>
        <w:tab/>
        <w:t>= Average hours of use per year are provided in the Reference Table in Section 4.5,</w:t>
      </w:r>
      <w:r>
        <w:rPr>
          <w:rFonts w:cstheme="minorHAnsi"/>
          <w:b/>
          <w:bCs/>
          <w:szCs w:val="20"/>
        </w:rPr>
        <w:t xml:space="preserve"> </w:t>
      </w:r>
      <w:r>
        <w:rPr>
          <w:noProof/>
        </w:rPr>
        <w:t xml:space="preserve">Screw based bulb annual operating hours, </w:t>
      </w:r>
      <w:r>
        <w:rPr>
          <w:rFonts w:cstheme="minorHAnsi"/>
          <w:noProof/>
        </w:rPr>
        <w:t>for each building type</w:t>
      </w:r>
      <w:r>
        <w:rPr>
          <w:noProof/>
        </w:rPr>
        <w:t xml:space="preserve">.  If unknown, use the Miscellaneous value. </w:t>
      </w:r>
    </w:p>
    <w:p w:rsidR="00A61773" w:rsidRDefault="00A61773" w:rsidP="00A61773">
      <w:pPr>
        <w:ind w:left="2160" w:hanging="1440"/>
        <w:jc w:val="left"/>
        <w:rPr>
          <w:szCs w:val="20"/>
        </w:rPr>
      </w:pPr>
      <w:r>
        <w:rPr>
          <w:noProof/>
        </w:rPr>
        <w:t>WHFe</w:t>
      </w:r>
      <w:r>
        <w:rPr>
          <w:noProof/>
        </w:rPr>
        <w:tab/>
      </w:r>
      <w:r>
        <w:t>= Waste heat factor for energy to account for cooling energy savings from efficient lighting are provided below for each building type</w:t>
      </w:r>
      <w:r>
        <w:rPr>
          <w:noProof/>
        </w:rPr>
        <w:t xml:space="preserve"> in the Referecne Table in Section 4.5</w:t>
      </w:r>
      <w:r>
        <w:t xml:space="preserve">.  If unknown, use the </w:t>
      </w:r>
      <w:proofErr w:type="gramStart"/>
      <w:r>
        <w:t>Miscellaneous</w:t>
      </w:r>
      <w:proofErr w:type="gramEnd"/>
      <w:r>
        <w:t xml:space="preserve"> value. </w:t>
      </w:r>
    </w:p>
    <w:p w:rsidR="00A61773" w:rsidRDefault="00A61773" w:rsidP="00A61773">
      <w:pPr>
        <w:ind w:firstLine="720"/>
      </w:pPr>
      <w:r>
        <w:t>ISR</w:t>
      </w:r>
      <w:r>
        <w:rPr>
          <w:szCs w:val="20"/>
        </w:rPr>
        <w:tab/>
      </w:r>
      <w:r>
        <w:rPr>
          <w:szCs w:val="20"/>
        </w:rPr>
        <w:tab/>
        <w:t xml:space="preserve">= </w:t>
      </w:r>
      <w:r>
        <w:t xml:space="preserve">In Service Rate -the percentage of units rebated that actually get installed. </w:t>
      </w:r>
    </w:p>
    <w:p w:rsidR="00A61773" w:rsidRDefault="00A61773" w:rsidP="00A61773">
      <w:pPr>
        <w:ind w:left="2160"/>
        <w:rPr>
          <w:rFonts w:cstheme="minorHAnsi"/>
          <w:noProof/>
        </w:rPr>
      </w:pPr>
      <w:r>
        <w:rPr>
          <w:rFonts w:cstheme="minorHAnsi"/>
          <w:noProof/>
        </w:rPr>
        <w:t>=100%</w:t>
      </w:r>
      <w:r>
        <w:rPr>
          <w:rStyle w:val="FootnoteReference"/>
          <w:rFonts w:eastAsiaTheme="majorEastAsia"/>
        </w:rPr>
        <w:footnoteReference w:id="9"/>
      </w:r>
      <w:r>
        <w:rPr>
          <w:rFonts w:cstheme="minorHAnsi"/>
          <w:noProof/>
        </w:rPr>
        <w:t xml:space="preserve"> if application form completed with sign off that equipment is not placed into storage. If sign off form not completed assume the following 3 year ISR assumptions:</w:t>
      </w:r>
    </w:p>
    <w:p w:rsidR="00A61773" w:rsidRDefault="00A61773" w:rsidP="00A61773">
      <w:pPr>
        <w:ind w:left="2160"/>
        <w:rPr>
          <w:rFonts w:cstheme="minorHAnsi"/>
          <w:noProof/>
        </w:rPr>
      </w:pPr>
    </w:p>
    <w:p w:rsidR="00A61773" w:rsidRDefault="00A61773" w:rsidP="00A61773">
      <w:pPr>
        <w:ind w:left="2160"/>
        <w:rPr>
          <w:rFonts w:cstheme="minorHAnsi"/>
          <w:noProof/>
        </w:rPr>
      </w:pPr>
    </w:p>
    <w:p w:rsidR="00A61773" w:rsidRDefault="00A61773" w:rsidP="00A61773">
      <w:pPr>
        <w:ind w:left="2160"/>
        <w:rPr>
          <w:rFonts w:cstheme="minorHAnsi"/>
          <w:noProof/>
        </w:rPr>
      </w:pPr>
    </w:p>
    <w:p w:rsidR="00A61773" w:rsidRDefault="00A61773" w:rsidP="00A61773">
      <w:pPr>
        <w:ind w:left="2160"/>
        <w:rPr>
          <w:rFonts w:cstheme="minorHAnsi"/>
          <w:noProof/>
        </w:rPr>
      </w:pPr>
    </w:p>
    <w:tbl>
      <w:tblPr>
        <w:tblStyle w:val="TableGrid"/>
        <w:tblW w:w="0" w:type="auto"/>
        <w:jc w:val="center"/>
        <w:tblInd w:w="2988" w:type="dxa"/>
        <w:tblLook w:val="04A0" w:firstRow="1" w:lastRow="0" w:firstColumn="1" w:lastColumn="0" w:noHBand="0" w:noVBand="1"/>
      </w:tblPr>
      <w:tblGrid>
        <w:gridCol w:w="1428"/>
        <w:gridCol w:w="1235"/>
        <w:gridCol w:w="1235"/>
        <w:gridCol w:w="1167"/>
      </w:tblGrid>
      <w:tr w:rsidR="00A61773" w:rsidRPr="00E52196" w:rsidTr="00C81356">
        <w:trPr>
          <w:tblHeader/>
          <w:jc w:val="center"/>
        </w:trPr>
        <w:tc>
          <w:tcPr>
            <w:tcW w:w="142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C81356">
            <w:pPr>
              <w:jc w:val="center"/>
              <w:rPr>
                <w:rFonts w:asciiTheme="minorHAnsi" w:hAnsiTheme="minorHAnsi"/>
                <w:b/>
                <w:color w:val="FFFFFF" w:themeColor="background1"/>
                <w:szCs w:val="22"/>
              </w:rPr>
            </w:pPr>
            <w:r w:rsidRPr="00E52196">
              <w:rPr>
                <w:rFonts w:asciiTheme="minorHAnsi" w:hAnsiTheme="minorHAnsi"/>
                <w:b/>
                <w:color w:val="FFFFFF" w:themeColor="background1"/>
              </w:rPr>
              <w:lastRenderedPageBreak/>
              <w:t>Weighted Average 1st year In Service Rate (ISR)</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C81356">
            <w:pPr>
              <w:jc w:val="center"/>
              <w:rPr>
                <w:rFonts w:asciiTheme="minorHAnsi" w:hAnsiTheme="minorHAnsi"/>
                <w:b/>
                <w:color w:val="FFFFFF" w:themeColor="background1"/>
                <w:szCs w:val="22"/>
              </w:rPr>
            </w:pPr>
            <w:r w:rsidRPr="00E52196">
              <w:rPr>
                <w:rFonts w:asciiTheme="minorHAnsi" w:hAnsiTheme="minorHAnsi"/>
                <w:b/>
                <w:color w:val="FFFFFF" w:themeColor="background1"/>
              </w:rPr>
              <w:t>2nd year Installations</w:t>
            </w:r>
          </w:p>
        </w:tc>
        <w:tc>
          <w:tcPr>
            <w:tcW w:w="123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C81356">
            <w:pPr>
              <w:jc w:val="center"/>
              <w:rPr>
                <w:rFonts w:asciiTheme="minorHAnsi" w:hAnsiTheme="minorHAnsi"/>
                <w:b/>
                <w:color w:val="FFFFFF" w:themeColor="background1"/>
                <w:szCs w:val="22"/>
              </w:rPr>
            </w:pPr>
            <w:r w:rsidRPr="00E52196">
              <w:rPr>
                <w:rFonts w:asciiTheme="minorHAnsi" w:hAnsiTheme="minorHAnsi"/>
                <w:b/>
                <w:color w:val="FFFFFF" w:themeColor="background1"/>
              </w:rPr>
              <w:t>3rd year Installations</w:t>
            </w:r>
          </w:p>
        </w:tc>
        <w:tc>
          <w:tcPr>
            <w:tcW w:w="116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E52196" w:rsidRDefault="00A61773" w:rsidP="00C81356">
            <w:pPr>
              <w:jc w:val="center"/>
              <w:rPr>
                <w:rFonts w:asciiTheme="minorHAnsi" w:hAnsiTheme="minorHAnsi"/>
                <w:b/>
                <w:color w:val="FFFFFF" w:themeColor="background1"/>
                <w:szCs w:val="22"/>
              </w:rPr>
            </w:pPr>
            <w:r w:rsidRPr="00E52196">
              <w:rPr>
                <w:rFonts w:asciiTheme="minorHAnsi" w:hAnsiTheme="minorHAnsi"/>
                <w:b/>
                <w:color w:val="FFFFFF" w:themeColor="background1"/>
              </w:rPr>
              <w:t>Final Lifetime In Service Rate</w:t>
            </w:r>
          </w:p>
        </w:tc>
      </w:tr>
      <w:tr w:rsidR="00A61773" w:rsidRPr="00E52196" w:rsidTr="00C81356">
        <w:trPr>
          <w:trHeight w:val="467"/>
          <w:jc w:val="center"/>
        </w:trPr>
        <w:tc>
          <w:tcPr>
            <w:tcW w:w="1428" w:type="dxa"/>
            <w:tcBorders>
              <w:top w:val="single" w:sz="4" w:space="0" w:color="auto"/>
              <w:left w:val="single" w:sz="4" w:space="0" w:color="auto"/>
              <w:bottom w:val="single" w:sz="4" w:space="0" w:color="auto"/>
              <w:right w:val="single" w:sz="4" w:space="0" w:color="auto"/>
            </w:tcBorders>
            <w:vAlign w:val="center"/>
            <w:hideMark/>
          </w:tcPr>
          <w:p w:rsidR="00A61773" w:rsidRPr="007B649A" w:rsidRDefault="00A61773" w:rsidP="00C81356">
            <w:pPr>
              <w:jc w:val="center"/>
              <w:rPr>
                <w:rFonts w:asciiTheme="minorHAnsi" w:hAnsiTheme="minorHAnsi"/>
                <w:szCs w:val="22"/>
              </w:rPr>
            </w:pPr>
            <w:r w:rsidRPr="007B649A">
              <w:t>95.7%</w:t>
            </w:r>
            <w:r w:rsidRPr="009C362B">
              <w:rPr>
                <w:rStyle w:val="FootnoteReference"/>
                <w:rFonts w:asciiTheme="minorHAnsi" w:hAnsiTheme="minorHAnsi"/>
              </w:rPr>
              <w:footnoteReference w:id="10"/>
            </w:r>
          </w:p>
        </w:tc>
        <w:tc>
          <w:tcPr>
            <w:tcW w:w="1235"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C81356">
            <w:pPr>
              <w:jc w:val="center"/>
              <w:rPr>
                <w:rFonts w:asciiTheme="minorHAnsi" w:hAnsiTheme="minorHAnsi"/>
                <w:szCs w:val="22"/>
              </w:rPr>
            </w:pPr>
            <w:r>
              <w:rPr>
                <w:rFonts w:asciiTheme="minorHAnsi" w:hAnsiTheme="minorHAnsi"/>
              </w:rPr>
              <w:t>1.2</w:t>
            </w:r>
            <w:r w:rsidRPr="00E52196">
              <w:rPr>
                <w:rFonts w:asciiTheme="minorHAnsi" w:hAnsiTheme="minorHAnsi"/>
              </w:rPr>
              <w:t>%</w:t>
            </w:r>
          </w:p>
        </w:tc>
        <w:tc>
          <w:tcPr>
            <w:tcW w:w="1235"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C81356">
            <w:pPr>
              <w:jc w:val="center"/>
              <w:rPr>
                <w:rFonts w:asciiTheme="minorHAnsi" w:hAnsiTheme="minorHAnsi"/>
                <w:szCs w:val="22"/>
              </w:rPr>
            </w:pPr>
            <w:r>
              <w:rPr>
                <w:rFonts w:asciiTheme="minorHAnsi" w:hAnsiTheme="minorHAnsi"/>
              </w:rPr>
              <w:t>1.1</w:t>
            </w:r>
            <w:r w:rsidRPr="00E52196">
              <w:rPr>
                <w:rFonts w:asciiTheme="minorHAnsi" w:hAnsiTheme="minorHAnsi"/>
              </w:rPr>
              <w:t>%</w:t>
            </w:r>
          </w:p>
        </w:tc>
        <w:tc>
          <w:tcPr>
            <w:tcW w:w="1167" w:type="dxa"/>
            <w:tcBorders>
              <w:top w:val="single" w:sz="4" w:space="0" w:color="auto"/>
              <w:left w:val="single" w:sz="4" w:space="0" w:color="auto"/>
              <w:bottom w:val="single" w:sz="4" w:space="0" w:color="auto"/>
              <w:right w:val="single" w:sz="4" w:space="0" w:color="auto"/>
            </w:tcBorders>
            <w:vAlign w:val="center"/>
            <w:hideMark/>
          </w:tcPr>
          <w:p w:rsidR="00A61773" w:rsidRPr="00E52196" w:rsidRDefault="00A61773" w:rsidP="00C81356">
            <w:pPr>
              <w:jc w:val="center"/>
              <w:rPr>
                <w:rFonts w:asciiTheme="minorHAnsi" w:hAnsiTheme="minorHAnsi"/>
                <w:szCs w:val="22"/>
              </w:rPr>
            </w:pPr>
            <w:r w:rsidRPr="00E52196">
              <w:rPr>
                <w:rFonts w:asciiTheme="minorHAnsi" w:hAnsiTheme="minorHAnsi"/>
              </w:rPr>
              <w:t>98.0%</w:t>
            </w:r>
            <w:r w:rsidRPr="000C2BD8">
              <w:rPr>
                <w:rFonts w:eastAsiaTheme="majorEastAsia"/>
                <w:vertAlign w:val="superscript"/>
              </w:rPr>
              <w:footnoteReference w:id="11"/>
            </w:r>
          </w:p>
        </w:tc>
      </w:tr>
    </w:tbl>
    <w:p w:rsidR="00A61773" w:rsidRDefault="00A61773" w:rsidP="00A61773">
      <w:pPr>
        <w:ind w:left="2160"/>
      </w:pPr>
    </w:p>
    <w:p w:rsidR="00A61773" w:rsidRDefault="00A61773" w:rsidP="00A61773">
      <w:pPr>
        <w:pStyle w:val="Heading6"/>
      </w:pPr>
      <w:r>
        <w:t>Heating Penalty</w:t>
      </w:r>
    </w:p>
    <w:p w:rsidR="00A61773" w:rsidRDefault="00A61773" w:rsidP="00A61773">
      <w:pPr>
        <w:rPr>
          <w:rFonts w:cstheme="minorHAnsi"/>
          <w:noProof/>
        </w:rPr>
      </w:pPr>
      <w:r>
        <w:rPr>
          <w:rFonts w:cstheme="minorHAnsi"/>
          <w:noProof/>
        </w:rPr>
        <w:t>If electrically heated building:</w:t>
      </w:r>
    </w:p>
    <w:p w:rsidR="00A61773" w:rsidRDefault="00A61773" w:rsidP="00A61773">
      <w:pPr>
        <w:ind w:left="720" w:firstLine="720"/>
        <w:rPr>
          <w:noProof/>
        </w:rPr>
      </w:pPr>
      <w:r>
        <w:rPr>
          <w:noProof/>
        </w:rPr>
        <w:t>ΔkWh</w:t>
      </w:r>
      <w:r>
        <w:rPr>
          <w:noProof/>
          <w:vertAlign w:val="subscript"/>
        </w:rPr>
        <w:t>heatpenalty</w:t>
      </w:r>
      <w:r>
        <w:rPr>
          <w:rStyle w:val="FootnoteReference"/>
          <w:rFonts w:eastAsiaTheme="majorEastAsia" w:cstheme="minorHAnsi"/>
        </w:rPr>
        <w:footnoteReference w:id="12"/>
      </w:r>
      <w:r>
        <w:rPr>
          <w:noProof/>
        </w:rPr>
        <w:t xml:space="preserve">  = (((WattsBase-WattsEE)/1000) * ISR * Hours * -IFkWh</w:t>
      </w:r>
      <w:r>
        <w:rPr>
          <w:noProof/>
        </w:rPr>
        <w:tab/>
      </w:r>
    </w:p>
    <w:p w:rsidR="00A61773" w:rsidRDefault="00A61773" w:rsidP="00A61773">
      <w:pPr>
        <w:rPr>
          <w:noProof/>
          <w:lang w:val="nl-NL"/>
        </w:rPr>
      </w:pPr>
      <w:r>
        <w:rPr>
          <w:noProof/>
          <w:lang w:val="nl-NL"/>
        </w:rPr>
        <w:t>Where:</w:t>
      </w:r>
    </w:p>
    <w:p w:rsidR="00A61773" w:rsidRDefault="00A61773" w:rsidP="00A61773">
      <w:pPr>
        <w:ind w:left="2160" w:hanging="1440"/>
        <w:rPr>
          <w:noProof/>
          <w:lang w:val="nl-NL"/>
        </w:rPr>
      </w:pPr>
      <w:r>
        <w:rPr>
          <w:noProof/>
          <w:lang w:val="nl-NL"/>
        </w:rPr>
        <w:t>IFkWh</w:t>
      </w:r>
      <w:r>
        <w:rPr>
          <w:noProof/>
          <w:lang w:val="nl-NL"/>
        </w:rPr>
        <w:tab/>
        <w:t xml:space="preserve">= Lighting-HVAC Interation Factor for electric heating impacts; this factor represents the increased electric space heating requirements due to the reduction of waste heat rejected by the efficent lighting. </w:t>
      </w:r>
      <w:r>
        <w:t>Values are</w:t>
      </w:r>
      <w:r>
        <w:rPr>
          <w:noProof/>
        </w:rPr>
        <w:t xml:space="preserve"> provided in the Reference Table in Section 4.5</w:t>
      </w:r>
      <w:r>
        <w:t xml:space="preserve">.  If unknown, use the </w:t>
      </w:r>
      <w:proofErr w:type="gramStart"/>
      <w:r>
        <w:t>Miscellaneous</w:t>
      </w:r>
      <w:proofErr w:type="gramEnd"/>
      <w:r>
        <w:t xml:space="preserve"> value.</w:t>
      </w:r>
    </w:p>
    <w:p w:rsidR="00A61773" w:rsidRDefault="00A61773" w:rsidP="00A61773">
      <w:pPr>
        <w:rPr>
          <w:rFonts w:cstheme="minorHAnsi"/>
        </w:rPr>
      </w:pPr>
      <w:r>
        <w:rPr>
          <w:noProof/>
        </w:rPr>
        <mc:AlternateContent>
          <mc:Choice Requires="wps">
            <w:drawing>
              <wp:inline distT="0" distB="0" distL="0" distR="0" wp14:anchorId="4A45867F" wp14:editId="68458D93">
                <wp:extent cx="5695950" cy="1129665"/>
                <wp:effectExtent l="0" t="0" r="19050" b="22225"/>
                <wp:docPr id="482"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29030"/>
                        </a:xfrm>
                        <a:prstGeom prst="rect">
                          <a:avLst/>
                        </a:prstGeom>
                        <a:solidFill>
                          <a:srgbClr val="FFFFFF"/>
                        </a:solidFill>
                        <a:ln w="9525">
                          <a:solidFill>
                            <a:srgbClr val="000000"/>
                          </a:solidFill>
                          <a:miter lim="800000"/>
                          <a:headEnd/>
                          <a:tailEnd/>
                        </a:ln>
                      </wps:spPr>
                      <wps:txbx>
                        <w:txbxContent>
                          <w:p w:rsidR="00A61773" w:rsidRDefault="00A61773" w:rsidP="00A61773">
                            <w:r>
                              <w:t xml:space="preserve">For example, </w:t>
                            </w:r>
                            <w:r>
                              <w:rPr>
                                <w:rFonts w:cstheme="minorHAnsi"/>
                              </w:rPr>
                              <w:t xml:space="preserve">For example, a 9W LED lamp, 450 lumens, is installed in a heat pump heated office in 2014 </w:t>
                            </w:r>
                            <w:r>
                              <w:t>and sign off form provided:</w:t>
                            </w:r>
                          </w:p>
                          <w:p w:rsidR="00A61773" w:rsidRDefault="00A61773" w:rsidP="00A61773">
                            <w:pPr>
                              <w:ind w:left="720"/>
                              <w:rPr>
                                <w:noProof/>
                              </w:rPr>
                            </w:pPr>
                            <w:r>
                              <w:rPr>
                                <w:noProof/>
                              </w:rPr>
                              <w:t>ΔkWh</w:t>
                            </w:r>
                            <w:r>
                              <w:rPr>
                                <w:noProof/>
                                <w:vertAlign w:val="subscript"/>
                              </w:rPr>
                              <w:t>heatpenalty</w:t>
                            </w:r>
                            <w:r>
                              <w:rPr>
                                <w:noProof/>
                              </w:rPr>
                              <w:tab/>
                              <w:t xml:space="preserve">= </w:t>
                            </w:r>
                            <w:r>
                              <w:rPr>
                                <w:rFonts w:cstheme="minorHAnsi"/>
                                <w:noProof/>
                              </w:rPr>
                              <w:t>((29-9/1000)*1.0*3088</w:t>
                            </w:r>
                            <w:r>
                              <w:rPr>
                                <w:noProof/>
                              </w:rPr>
                              <w:t>* -0.151</w:t>
                            </w:r>
                          </w:p>
                          <w:p w:rsidR="00A61773" w:rsidRDefault="00A61773" w:rsidP="00A61773">
                            <w:pPr>
                              <w:ind w:left="720"/>
                            </w:pPr>
                            <w:r>
                              <w:tab/>
                            </w:r>
                            <w:r>
                              <w:tab/>
                            </w:r>
                            <w:r>
                              <w:tab/>
                              <w:t>= - 9.3 kWh</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482" o:spid="_x0000_s1026" type="#_x0000_t202" style="width:448.5pt;height: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">
                <v:textbox style="mso-fit-shape-to-text:t">
                  <w:txbxContent>
                    <w:p w:rsidR="00A61773" w:rsidRDefault="00A61773" w:rsidP="00A61773">
                      <w:r>
                        <w:t xml:space="preserve">For example, </w:t>
                      </w:r>
                      <w:r>
                        <w:rPr>
                          <w:rFonts w:cstheme="minorHAnsi"/>
                        </w:rPr>
                        <w:t xml:space="preserve">For example, a 9W LED lamp, 450 lumens, is installed in a heat pump heated office in 2014 </w:t>
                      </w:r>
                      <w:r>
                        <w:t>and sign off form provided:</w:t>
                      </w:r>
                    </w:p>
                    <w:p w:rsidR="00A61773" w:rsidRDefault="00A61773" w:rsidP="00A61773">
                      <w:pPr>
                        <w:ind w:left="720"/>
                        <w:rPr>
                          <w:noProof/>
                        </w:rPr>
                      </w:pPr>
                      <w:r>
                        <w:rPr>
                          <w:noProof/>
                        </w:rPr>
                        <w:t>ΔkWh</w:t>
                      </w:r>
                      <w:r>
                        <w:rPr>
                          <w:noProof/>
                          <w:vertAlign w:val="subscript"/>
                        </w:rPr>
                        <w:t>heatpenalty</w:t>
                      </w:r>
                      <w:r>
                        <w:rPr>
                          <w:noProof/>
                        </w:rPr>
                        <w:tab/>
                        <w:t xml:space="preserve">= </w:t>
                      </w:r>
                      <w:r>
                        <w:rPr>
                          <w:rFonts w:cstheme="minorHAnsi"/>
                          <w:noProof/>
                        </w:rPr>
                        <w:t>((29-9/1000)*1.0*3088</w:t>
                      </w:r>
                      <w:r>
                        <w:rPr>
                          <w:noProof/>
                        </w:rPr>
                        <w:t>* -0.151</w:t>
                      </w:r>
                    </w:p>
                    <w:p w:rsidR="00A61773" w:rsidRDefault="00A61773" w:rsidP="00A61773">
                      <w:pPr>
                        <w:ind w:left="720"/>
                      </w:pPr>
                      <w:r>
                        <w:tab/>
                      </w:r>
                      <w:r>
                        <w:tab/>
                      </w:r>
                      <w:r>
                        <w:tab/>
                        <w:t>= - 9.3 kWh</w:t>
                      </w:r>
                    </w:p>
                  </w:txbxContent>
                </v:textbox>
                <w10:anchorlock/>
              </v:shape>
            </w:pict>
          </mc:Fallback>
        </mc:AlternateContent>
      </w:r>
    </w:p>
    <w:p w:rsidR="00A61773" w:rsidRDefault="00A61773" w:rsidP="00A61773">
      <w:pPr>
        <w:pStyle w:val="Heading6"/>
      </w:pPr>
      <w:r>
        <w:t>Deferred Installs</w:t>
      </w:r>
    </w:p>
    <w:p w:rsidR="00A61773" w:rsidRDefault="00A61773" w:rsidP="00A61773">
      <w:r>
        <w:t xml:space="preserve">As presented above, if a sign off form is not completed the characterization assumes that a percentage of bulbs purchased are not installed until Year 2 and Year 3 (see ISR assumption above). The Illinois Technical Advisory Committee has determined the following methodology for calculating the savings of </w:t>
      </w:r>
      <w:proofErr w:type="gramStart"/>
      <w:r>
        <w:t>these future</w:t>
      </w:r>
      <w:proofErr w:type="gramEnd"/>
      <w:r>
        <w:t xml:space="preserve"> installs.</w:t>
      </w:r>
    </w:p>
    <w:p w:rsidR="00A61773" w:rsidRDefault="00A61773" w:rsidP="00A61773">
      <w:pPr>
        <w:ind w:left="3600" w:hanging="2880"/>
      </w:pPr>
      <w:r>
        <w:t>Year 1 (Purchase Year) installs:</w:t>
      </w:r>
      <w:r>
        <w:tab/>
        <w:t>Characterized using assumptions provided above or evaluated assumptions if available.</w:t>
      </w:r>
    </w:p>
    <w:p w:rsidR="00A61773" w:rsidRDefault="00A61773" w:rsidP="00A61773">
      <w:pPr>
        <w:ind w:left="3600" w:hanging="2880"/>
      </w:pPr>
      <w:r>
        <w:t xml:space="preserve">Year 2 and 3 installs: </w:t>
      </w:r>
      <w:r>
        <w:tab/>
        <w:t xml:space="preserve">Characterized using delta watts assumption and hours of use from the Install Year i.e. the actual deemed (or evaluated if available) assumptions active in Year 2 and 3 should be applied. </w:t>
      </w:r>
    </w:p>
    <w:p w:rsidR="00A61773" w:rsidRDefault="00A61773" w:rsidP="00A61773">
      <w:pPr>
        <w:ind w:left="3600"/>
      </w:pPr>
      <w:r>
        <w:t>The NTG factor for the Purchase Year should be applied.</w:t>
      </w:r>
    </w:p>
    <w:p w:rsidR="00A61773" w:rsidRDefault="00A61773" w:rsidP="00A61773">
      <w:pPr>
        <w:rPr>
          <w:rFonts w:cstheme="minorHAnsi"/>
        </w:rPr>
      </w:pPr>
    </w:p>
    <w:p w:rsidR="00A61773" w:rsidRDefault="00A61773" w:rsidP="00A61773">
      <w:pPr>
        <w:pStyle w:val="Heading6"/>
      </w:pPr>
      <w:r>
        <w:lastRenderedPageBreak/>
        <w:t xml:space="preserve">Summer Coincident Peak Demand Savings </w:t>
      </w:r>
    </w:p>
    <w:p w:rsidR="00A61773" w:rsidRDefault="00A61773" w:rsidP="00A61773">
      <w:pPr>
        <w:ind w:left="1440"/>
        <w:rPr>
          <w:noProof/>
        </w:rPr>
      </w:pPr>
      <w:r>
        <w:rPr>
          <w:noProof/>
        </w:rPr>
        <w:t>ΔkW  =( (Watts</w:t>
      </w:r>
      <w:r>
        <w:rPr>
          <w:noProof/>
          <w:vertAlign w:val="subscript"/>
        </w:rPr>
        <w:t>base</w:t>
      </w:r>
      <w:r>
        <w:rPr>
          <w:noProof/>
        </w:rPr>
        <w:t>-Watts</w:t>
      </w:r>
      <w:r>
        <w:rPr>
          <w:noProof/>
          <w:vertAlign w:val="subscript"/>
        </w:rPr>
        <w:t>EE</w:t>
      </w:r>
      <w:r>
        <w:rPr>
          <w:noProof/>
        </w:rPr>
        <w:t>)/1000) * ISR * WHF</w:t>
      </w:r>
      <w:r>
        <w:rPr>
          <w:noProof/>
          <w:vertAlign w:val="subscript"/>
        </w:rPr>
        <w:t xml:space="preserve">d </w:t>
      </w:r>
      <w:r>
        <w:rPr>
          <w:noProof/>
        </w:rPr>
        <w:t xml:space="preserve">* CF </w:t>
      </w:r>
    </w:p>
    <w:p w:rsidR="00A61773" w:rsidRDefault="00A61773" w:rsidP="00A61773">
      <w:pPr>
        <w:rPr>
          <w:noProof/>
          <w:lang w:val="nl-NL"/>
        </w:rPr>
      </w:pPr>
      <w:r>
        <w:rPr>
          <w:noProof/>
          <w:lang w:val="nl-NL"/>
        </w:rPr>
        <w:t>Where:</w:t>
      </w:r>
    </w:p>
    <w:p w:rsidR="00A61773" w:rsidRDefault="00A61773" w:rsidP="00A61773">
      <w:pPr>
        <w:ind w:left="2160" w:hanging="1440"/>
        <w:jc w:val="left"/>
        <w:rPr>
          <w:noProof/>
        </w:rPr>
      </w:pPr>
      <w:r>
        <w:rPr>
          <w:noProof/>
        </w:rPr>
        <w:t>WHFd</w:t>
      </w:r>
      <w:r>
        <w:rPr>
          <w:noProof/>
        </w:rPr>
        <w:tab/>
        <w:t>= Waste Heat Factor for Demand to account for cooling savings from efficient lighting in cooled buildings is provided in Referecne Table in Section 4.5</w:t>
      </w:r>
      <w:r>
        <w:t xml:space="preserve">.  If unknown, use the </w:t>
      </w:r>
      <w:proofErr w:type="gramStart"/>
      <w:r>
        <w:t>Miscellaneous</w:t>
      </w:r>
      <w:proofErr w:type="gramEnd"/>
      <w:r>
        <w:t xml:space="preserve"> value.</w:t>
      </w:r>
      <w:r>
        <w:rPr>
          <w:noProof/>
        </w:rPr>
        <w:t xml:space="preserve"> </w:t>
      </w:r>
    </w:p>
    <w:p w:rsidR="00A61773" w:rsidRDefault="00A61773" w:rsidP="00A61773">
      <w:pPr>
        <w:ind w:left="2160" w:hanging="1440"/>
      </w:pPr>
      <w:r>
        <w:rPr>
          <w:noProof/>
        </w:rPr>
        <w:t xml:space="preserve">CF </w:t>
      </w:r>
      <w:r>
        <w:rPr>
          <w:noProof/>
        </w:rPr>
        <w:tab/>
        <w:t>= Summer Peak Coincidence Factor for measure is provided in the Referecne Table in Section 4.5</w:t>
      </w:r>
      <w:r>
        <w:t xml:space="preserve">.  If unknown, use the </w:t>
      </w:r>
      <w:proofErr w:type="gramStart"/>
      <w:r>
        <w:t>Miscellaneous</w:t>
      </w:r>
      <w:proofErr w:type="gramEnd"/>
      <w:r>
        <w:t xml:space="preserve"> value.</w:t>
      </w:r>
    </w:p>
    <w:p w:rsidR="00A61773" w:rsidRDefault="00A61773" w:rsidP="00A61773">
      <w:r>
        <w:rPr>
          <w:noProof/>
        </w:rPr>
        <mc:AlternateContent>
          <mc:Choice Requires="wps">
            <w:drawing>
              <wp:inline distT="0" distB="0" distL="0" distR="0" wp14:anchorId="4F3F6744" wp14:editId="4E697B3C">
                <wp:extent cx="5695950" cy="903768"/>
                <wp:effectExtent l="0" t="0" r="19050" b="10795"/>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903768"/>
                        </a:xfrm>
                        <a:prstGeom prst="rect">
                          <a:avLst/>
                        </a:prstGeom>
                        <a:solidFill>
                          <a:srgbClr val="FFFFFF"/>
                        </a:solidFill>
                        <a:ln w="9525">
                          <a:solidFill>
                            <a:srgbClr val="000000"/>
                          </a:solidFill>
                          <a:miter lim="800000"/>
                          <a:headEnd/>
                          <a:tailEnd/>
                        </a:ln>
                      </wps:spPr>
                      <wps:txbx>
                        <w:txbxContent>
                          <w:p w:rsidR="00A61773" w:rsidRDefault="00A61773" w:rsidP="00A61773">
                            <w:r>
                              <w:t xml:space="preserve">For example, </w:t>
                            </w:r>
                            <w:r>
                              <w:rPr>
                                <w:rFonts w:cstheme="minorHAnsi"/>
                              </w:rPr>
                              <w:t xml:space="preserve">For example, a 9W LED lamp, 450 lumens, is installed in an office in 2014 </w:t>
                            </w:r>
                            <w:r>
                              <w:t>and sign off form provided:</w:t>
                            </w:r>
                          </w:p>
                          <w:p w:rsidR="00A61773" w:rsidRDefault="00A61773" w:rsidP="00A61773">
                            <w:pPr>
                              <w:ind w:left="1440"/>
                              <w:rPr>
                                <w:rFonts w:cstheme="minorHAnsi"/>
                              </w:rPr>
                            </w:pPr>
                            <w:r>
                              <w:rPr>
                                <w:noProof/>
                              </w:rPr>
                              <w:t xml:space="preserve">ΔkW  </w:t>
                            </w:r>
                            <w:r>
                              <w:rPr>
                                <w:noProof/>
                              </w:rPr>
                              <w:tab/>
                              <w:t xml:space="preserve">= </w:t>
                            </w:r>
                            <w:r>
                              <w:rPr>
                                <w:rFonts w:cstheme="minorHAnsi"/>
                                <w:noProof/>
                              </w:rPr>
                              <w:t>((29-9/1000)* 1.0*1.3*0.66</w:t>
                            </w:r>
                          </w:p>
                          <w:p w:rsidR="00A61773" w:rsidRDefault="00A61773" w:rsidP="00A61773">
                            <w:pPr>
                              <w:ind w:left="720"/>
                            </w:pPr>
                            <w:r>
                              <w:tab/>
                            </w:r>
                            <w:r>
                              <w:tab/>
                              <w:t>= 0.002 kW</w:t>
                            </w:r>
                          </w:p>
                        </w:txbxContent>
                      </wps:txbx>
                      <wps:bodyPr rot="0" vert="horz" wrap="square" lIns="91440" tIns="45720" rIns="91440" bIns="45720" anchor="t" anchorCtr="0">
                        <a:noAutofit/>
                      </wps:bodyPr>
                    </wps:wsp>
                  </a:graphicData>
                </a:graphic>
              </wp:inline>
            </w:drawing>
          </mc:Choice>
          <mc:Fallback>
            <w:pict>
              <v:shape id="Text Box 311" o:spid="_x0000_s1027" type="#_x0000_t202" style="width:448.5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">
                <v:textbox>
                  <w:txbxContent>
                    <w:p w:rsidR="00A61773" w:rsidRDefault="00A61773" w:rsidP="00A61773">
                      <w:r>
                        <w:t xml:space="preserve">For example, </w:t>
                      </w:r>
                      <w:r>
                        <w:rPr>
                          <w:rFonts w:cstheme="minorHAnsi"/>
                        </w:rPr>
                        <w:t xml:space="preserve">For example, a 9W LED lamp, 450 lumens, is installed in an office in 2014 </w:t>
                      </w:r>
                      <w:r>
                        <w:t>and sign off form provided:</w:t>
                      </w:r>
                    </w:p>
                    <w:p w:rsidR="00A61773" w:rsidRDefault="00A61773" w:rsidP="00A61773">
                      <w:pPr>
                        <w:ind w:left="1440"/>
                        <w:rPr>
                          <w:rFonts w:cstheme="minorHAnsi"/>
                        </w:rPr>
                      </w:pPr>
                      <w:r>
                        <w:rPr>
                          <w:noProof/>
                        </w:rPr>
                        <w:t xml:space="preserve">ΔkW  </w:t>
                      </w:r>
                      <w:r>
                        <w:rPr>
                          <w:noProof/>
                        </w:rPr>
                        <w:tab/>
                        <w:t xml:space="preserve">= </w:t>
                      </w:r>
                      <w:r>
                        <w:rPr>
                          <w:rFonts w:cstheme="minorHAnsi"/>
                          <w:noProof/>
                        </w:rPr>
                        <w:t>((29-9/1000)* 1.0*1.3*0.66</w:t>
                      </w:r>
                    </w:p>
                    <w:p w:rsidR="00A61773" w:rsidRDefault="00A61773" w:rsidP="00A61773">
                      <w:pPr>
                        <w:ind w:left="720"/>
                      </w:pPr>
                      <w:r>
                        <w:tab/>
                      </w:r>
                      <w:r>
                        <w:tab/>
                        <w:t>= 0.002 kW</w:t>
                      </w:r>
                    </w:p>
                  </w:txbxContent>
                </v:textbox>
                <w10:anchorlock/>
              </v:shape>
            </w:pict>
          </mc:Fallback>
        </mc:AlternateContent>
      </w:r>
    </w:p>
    <w:p w:rsidR="00A61773" w:rsidRDefault="00A61773" w:rsidP="00A61773">
      <w:pPr>
        <w:pStyle w:val="Heading6"/>
      </w:pPr>
      <w:r>
        <w:t>Natural Gas Energy Savings</w:t>
      </w:r>
    </w:p>
    <w:p w:rsidR="00A61773" w:rsidRDefault="00A61773" w:rsidP="00A61773">
      <w:pPr>
        <w:rPr>
          <w:rFonts w:cstheme="minorHAnsi"/>
          <w:noProof/>
        </w:rPr>
      </w:pPr>
      <w:r>
        <w:rPr>
          <w:rFonts w:cstheme="minorHAnsi"/>
          <w:noProof/>
        </w:rPr>
        <w:t>Heating Penalty if fossil fuel heated building (or if heating fuel is unknown):</w:t>
      </w:r>
    </w:p>
    <w:p w:rsidR="00A61773" w:rsidRDefault="00A61773" w:rsidP="00A61773">
      <w:pPr>
        <w:ind w:left="1440"/>
      </w:pPr>
      <w:proofErr w:type="spellStart"/>
      <w:r>
        <w:t>ΔTherms</w:t>
      </w:r>
      <w:proofErr w:type="spellEnd"/>
      <w:r>
        <w:t xml:space="preserve"> </w:t>
      </w:r>
      <w:r>
        <w:rPr>
          <w:rFonts w:cstheme="minorHAnsi"/>
          <w:noProof/>
        </w:rPr>
        <w:t xml:space="preserve">= (((WattsBase-WattsEE)/1000) * ISR * Hours </w:t>
      </w:r>
      <w:r>
        <w:t xml:space="preserve">* - </w:t>
      </w:r>
      <w:proofErr w:type="spellStart"/>
      <w:r>
        <w:t>IFTherms</w:t>
      </w:r>
      <w:proofErr w:type="spellEnd"/>
      <w:r>
        <w:t xml:space="preserve"> </w:t>
      </w:r>
    </w:p>
    <w:p w:rsidR="00A61773" w:rsidRDefault="00A61773" w:rsidP="00A61773">
      <w:r>
        <w:t>Where:</w:t>
      </w:r>
    </w:p>
    <w:p w:rsidR="00A61773" w:rsidRDefault="00A61773" w:rsidP="00A61773">
      <w:pPr>
        <w:ind w:left="2160" w:hanging="1440"/>
      </w:pPr>
      <w:proofErr w:type="spellStart"/>
      <w:r>
        <w:t>IFTherms</w:t>
      </w:r>
      <w:proofErr w:type="spellEnd"/>
      <w:r>
        <w:t xml:space="preserve"> </w:t>
      </w:r>
      <w:r>
        <w:tab/>
        <w:t>= Lighting-HVAC Integration Factor for gas heating impacts; this factor represents the increased gas space heating requirements due to the reduction of waste heat rejected by the efficient lighting.  Values are</w:t>
      </w:r>
      <w:r>
        <w:rPr>
          <w:noProof/>
        </w:rPr>
        <w:t xml:space="preserve"> provided in the Referecne Table in Section 4.5</w:t>
      </w:r>
      <w:r>
        <w:t xml:space="preserve">.  If unknown, use the </w:t>
      </w:r>
      <w:proofErr w:type="gramStart"/>
      <w:r>
        <w:t>Miscellaneous</w:t>
      </w:r>
      <w:proofErr w:type="gramEnd"/>
      <w:r>
        <w:t xml:space="preserve"> value.</w:t>
      </w:r>
    </w:p>
    <w:p w:rsidR="00A61773" w:rsidRDefault="00A61773" w:rsidP="00A61773">
      <w:r>
        <w:rPr>
          <w:noProof/>
        </w:rPr>
        <mc:AlternateContent>
          <mc:Choice Requires="wps">
            <w:drawing>
              <wp:inline distT="0" distB="0" distL="0" distR="0" wp14:anchorId="3F86958E" wp14:editId="2924310B">
                <wp:extent cx="5695950" cy="1129665"/>
                <wp:effectExtent l="0" t="0" r="19050" b="22225"/>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77925"/>
                        </a:xfrm>
                        <a:prstGeom prst="rect">
                          <a:avLst/>
                        </a:prstGeom>
                        <a:solidFill>
                          <a:srgbClr val="FFFFFF"/>
                        </a:solidFill>
                        <a:ln w="9525">
                          <a:solidFill>
                            <a:srgbClr val="000000"/>
                          </a:solidFill>
                          <a:miter lim="800000"/>
                          <a:headEnd/>
                          <a:tailEnd/>
                        </a:ln>
                      </wps:spPr>
                      <wps:txbx>
                        <w:txbxContent>
                          <w:p w:rsidR="00A61773" w:rsidRDefault="00A61773" w:rsidP="00A61773">
                            <w:r>
                              <w:t xml:space="preserve">For example, </w:t>
                            </w:r>
                            <w:r>
                              <w:rPr>
                                <w:rFonts w:cstheme="minorHAnsi"/>
                              </w:rPr>
                              <w:t xml:space="preserve">For example, a 9W LED lamp, 450 lumens, is installed in an office in 2014 </w:t>
                            </w:r>
                            <w:r>
                              <w:t>and sign off form provided:</w:t>
                            </w:r>
                          </w:p>
                          <w:p w:rsidR="00A61773" w:rsidRDefault="00A61773" w:rsidP="00A61773">
                            <w:pPr>
                              <w:ind w:left="720"/>
                              <w:rPr>
                                <w:noProof/>
                              </w:rPr>
                            </w:pPr>
                            <w:r>
                              <w:rPr>
                                <w:noProof/>
                              </w:rPr>
                              <w:t xml:space="preserve">ΔTherms  </w:t>
                            </w:r>
                            <w:r>
                              <w:rPr>
                                <w:noProof/>
                              </w:rPr>
                              <w:tab/>
                              <w:t xml:space="preserve">= </w:t>
                            </w:r>
                            <w:r>
                              <w:rPr>
                                <w:rFonts w:cstheme="minorHAnsi"/>
                                <w:noProof/>
                              </w:rPr>
                              <w:t>((29-9/1000)*1.0*3088</w:t>
                            </w:r>
                            <w:r>
                              <w:rPr>
                                <w:noProof/>
                              </w:rPr>
                              <w:t>* -0.016</w:t>
                            </w:r>
                          </w:p>
                          <w:p w:rsidR="00A61773" w:rsidRDefault="00A61773" w:rsidP="00A61773">
                            <w:pPr>
                              <w:ind w:left="720"/>
                            </w:pPr>
                            <w:r>
                              <w:tab/>
                            </w:r>
                            <w:r>
                              <w:tab/>
                            </w:r>
                            <w:r>
                              <w:tab/>
                              <w:t>= - 0.99 therms</w:t>
                            </w:r>
                          </w:p>
                        </w:txbxContent>
                      </wps:txbx>
                      <wps:bodyPr rot="0" vert="horz" wrap="square" lIns="91440" tIns="45720" rIns="91440" bIns="45720" anchor="t" anchorCtr="0">
                        <a:spAutoFit/>
                      </wps:bodyPr>
                    </wps:wsp>
                  </a:graphicData>
                </a:graphic>
              </wp:inline>
            </w:drawing>
          </mc:Choice>
          <mc:Fallback>
            <w:pict>
              <v:shape id="Text Box 312" o:spid="_x0000_s1028" type="#_x0000_t202" style="width:448.5pt;height:8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">
                <v:textbox style="mso-fit-shape-to-text:t">
                  <w:txbxContent>
                    <w:p w:rsidR="00A61773" w:rsidRDefault="00A61773" w:rsidP="00A61773">
                      <w:r>
                        <w:t xml:space="preserve">For example, </w:t>
                      </w:r>
                      <w:r>
                        <w:rPr>
                          <w:rFonts w:cstheme="minorHAnsi"/>
                        </w:rPr>
                        <w:t xml:space="preserve">For example, a 9W LED lamp, 450 lumens, is installed in an office in 2014 </w:t>
                      </w:r>
                      <w:r>
                        <w:t>and sign off form provided:</w:t>
                      </w:r>
                    </w:p>
                    <w:p w:rsidR="00A61773" w:rsidRDefault="00A61773" w:rsidP="00A61773">
                      <w:pPr>
                        <w:ind w:left="720"/>
                        <w:rPr>
                          <w:noProof/>
                        </w:rPr>
                      </w:pPr>
                      <w:r>
                        <w:rPr>
                          <w:noProof/>
                        </w:rPr>
                        <w:t xml:space="preserve">ΔTherms  </w:t>
                      </w:r>
                      <w:r>
                        <w:rPr>
                          <w:noProof/>
                        </w:rPr>
                        <w:tab/>
                        <w:t xml:space="preserve">= </w:t>
                      </w:r>
                      <w:r>
                        <w:rPr>
                          <w:rFonts w:cstheme="minorHAnsi"/>
                          <w:noProof/>
                        </w:rPr>
                        <w:t>((29-9/1000)*1.0*3088</w:t>
                      </w:r>
                      <w:r>
                        <w:rPr>
                          <w:noProof/>
                        </w:rPr>
                        <w:t>* -0.016</w:t>
                      </w:r>
                    </w:p>
                    <w:p w:rsidR="00A61773" w:rsidRDefault="00A61773" w:rsidP="00A61773">
                      <w:pPr>
                        <w:ind w:left="720"/>
                      </w:pPr>
                      <w:r>
                        <w:tab/>
                      </w:r>
                      <w:r>
                        <w:tab/>
                      </w:r>
                      <w:r>
                        <w:tab/>
                        <w:t>= - 0.99 therms</w:t>
                      </w:r>
                    </w:p>
                  </w:txbxContent>
                </v:textbox>
                <w10:anchorlock/>
              </v:shape>
            </w:pict>
          </mc:Fallback>
        </mc:AlternateContent>
      </w:r>
    </w:p>
    <w:p w:rsidR="00A61773" w:rsidRDefault="00A61773" w:rsidP="00A61773">
      <w:pPr>
        <w:pStyle w:val="Heading6"/>
      </w:pPr>
      <w:r>
        <w:t xml:space="preserve">Water Impact Descriptions and Calculation  </w:t>
      </w:r>
    </w:p>
    <w:p w:rsidR="00A61773" w:rsidRDefault="00A61773" w:rsidP="00A61773">
      <w:pPr>
        <w:rPr>
          <w:iCs/>
        </w:rPr>
      </w:pPr>
      <w:r>
        <w:t>N/A</w:t>
      </w:r>
    </w:p>
    <w:p w:rsidR="00A61773" w:rsidRDefault="00A61773" w:rsidP="00A61773">
      <w:pPr>
        <w:pStyle w:val="Heading6"/>
        <w:rPr>
          <w:iCs/>
        </w:rPr>
      </w:pPr>
      <w:r>
        <w:t xml:space="preserve">Deemed O&amp;M Cost Adjustment Calculation </w:t>
      </w:r>
    </w:p>
    <w:p w:rsidR="00A61773" w:rsidRDefault="00A61773" w:rsidP="00A61773">
      <w:r>
        <w:t>For all measures except Standard Omnidirectional lamps (which have an EISA baseline shift) the individual component lifetimes and costs are provided in the reference table section below</w:t>
      </w:r>
      <w:r>
        <w:rPr>
          <w:rStyle w:val="FootnoteReference"/>
        </w:rPr>
        <w:footnoteReference w:id="13"/>
      </w:r>
      <w:r>
        <w:t xml:space="preserve">. </w:t>
      </w:r>
    </w:p>
    <w:p w:rsidR="00A61773" w:rsidRDefault="00A61773" w:rsidP="00A61773">
      <w:r>
        <w:t xml:space="preserve">In order to account for the falling EISA Qualified bulb replacement cost provided above, an equivalent annual </w:t>
      </w:r>
      <w:proofErr w:type="spellStart"/>
      <w:r>
        <w:t>levelized</w:t>
      </w:r>
      <w:proofErr w:type="spellEnd"/>
      <w:r>
        <w:t xml:space="preserve"> baseline replacement cost over the lifetime of the LED bulb (assumed to be 25,000/4576 =5.5 years) is calculated (see “C&amp;I </w:t>
      </w:r>
      <w:proofErr w:type="spellStart"/>
      <w:r>
        <w:t>OmniDirectional</w:t>
      </w:r>
      <w:proofErr w:type="spellEnd"/>
      <w:r>
        <w:t xml:space="preserve"> LED O&amp;M Calc.xls”). The key assumptions used in this calculation are documented below</w:t>
      </w:r>
      <w:r>
        <w:rPr>
          <w:vertAlign w:val="superscript"/>
        </w:rPr>
        <w:footnoteReference w:id="14"/>
      </w:r>
      <w:r>
        <w:t>:</w:t>
      </w:r>
      <w:r>
        <w:rPr>
          <w:b/>
        </w:rPr>
        <w:t> </w:t>
      </w:r>
    </w:p>
    <w:tbl>
      <w:tblPr>
        <w:tblStyle w:val="TableGrid1"/>
        <w:tblW w:w="6872" w:type="dxa"/>
        <w:jc w:val="center"/>
        <w:tblLook w:val="04A0" w:firstRow="1" w:lastRow="0" w:firstColumn="1" w:lastColumn="0" w:noHBand="0" w:noVBand="1"/>
      </w:tblPr>
      <w:tblGrid>
        <w:gridCol w:w="2068"/>
        <w:gridCol w:w="1308"/>
        <w:gridCol w:w="1748"/>
        <w:gridCol w:w="1748"/>
      </w:tblGrid>
      <w:tr w:rsidR="00A61773" w:rsidRPr="005F666B" w:rsidTr="00C81356">
        <w:trPr>
          <w:trHeight w:val="300"/>
          <w:tblHeader/>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A61773" w:rsidRPr="005F666B" w:rsidRDefault="00A61773" w:rsidP="00C81356">
            <w:pPr>
              <w:jc w:val="center"/>
              <w:rPr>
                <w:rFonts w:asciiTheme="minorHAnsi" w:hAnsiTheme="minorHAnsi"/>
                <w:b/>
                <w:color w:val="FFFFFF" w:themeColor="background1"/>
              </w:rPr>
            </w:pP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5F666B" w:rsidRDefault="00A61773" w:rsidP="00C81356">
            <w:pPr>
              <w:jc w:val="center"/>
              <w:rPr>
                <w:rFonts w:asciiTheme="minorHAnsi" w:hAnsiTheme="minorHAnsi"/>
                <w:b/>
                <w:color w:val="FFFFFF" w:themeColor="background1"/>
              </w:rPr>
            </w:pPr>
            <w:proofErr w:type="spellStart"/>
            <w:r w:rsidRPr="005F666B">
              <w:rPr>
                <w:rFonts w:asciiTheme="minorHAnsi" w:hAnsiTheme="minorHAnsi"/>
                <w:b/>
                <w:color w:val="FFFFFF" w:themeColor="background1"/>
              </w:rPr>
              <w:t>Std</w:t>
            </w:r>
            <w:proofErr w:type="spellEnd"/>
            <w:r w:rsidRPr="005F666B">
              <w:rPr>
                <w:rFonts w:asciiTheme="minorHAnsi" w:hAnsiTheme="minorHAnsi"/>
                <w:b/>
                <w:color w:val="FFFFFF" w:themeColor="background1"/>
              </w:rPr>
              <w:t xml:space="preserve">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A61773" w:rsidRPr="005F666B" w:rsidRDefault="00A61773" w:rsidP="00C81356">
            <w:pPr>
              <w:jc w:val="center"/>
              <w:rPr>
                <w:rFonts w:asciiTheme="minorHAnsi" w:hAnsiTheme="minorHAnsi"/>
                <w:b/>
                <w:color w:val="FFFFFF" w:themeColor="background1"/>
              </w:rPr>
            </w:pPr>
            <w:r w:rsidRPr="005F666B">
              <w:rPr>
                <w:rFonts w:asciiTheme="minorHAnsi" w:hAnsiTheme="minorHAnsi"/>
                <w:b/>
                <w:color w:val="FFFFFF" w:themeColor="background1"/>
              </w:rPr>
              <w:t>EISA Compliant Halogen</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A61773" w:rsidRPr="005F666B" w:rsidRDefault="00A61773" w:rsidP="00C81356">
            <w:pPr>
              <w:jc w:val="center"/>
              <w:rPr>
                <w:rFonts w:asciiTheme="minorHAnsi" w:hAnsiTheme="minorHAnsi"/>
                <w:b/>
                <w:color w:val="FFFFFF" w:themeColor="background1"/>
              </w:rPr>
            </w:pPr>
            <w:r w:rsidRPr="005F666B">
              <w:rPr>
                <w:rFonts w:asciiTheme="minorHAnsi" w:hAnsiTheme="minorHAnsi"/>
                <w:b/>
                <w:color w:val="FFFFFF" w:themeColor="background1"/>
              </w:rPr>
              <w:t>CFL</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$1.25</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$0.90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$0.80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$0.70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$0.60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$0.60</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N/A</w:t>
            </w:r>
          </w:p>
        </w:tc>
      </w:tr>
      <w:tr w:rsidR="00A61773" w:rsidRPr="005F666B" w:rsidTr="00C81356">
        <w:trPr>
          <w:trHeight w:val="300"/>
          <w:jc w:val="center"/>
        </w:trPr>
        <w:tc>
          <w:tcPr>
            <w:tcW w:w="206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hideMark/>
          </w:tcPr>
          <w:p w:rsidR="00A61773" w:rsidRPr="005F666B" w:rsidRDefault="00A61773" w:rsidP="00C81356">
            <w:pPr>
              <w:rPr>
                <w:rFonts w:asciiTheme="minorHAnsi" w:hAnsiTheme="minorHAnsi"/>
              </w:rPr>
            </w:pPr>
            <w:r w:rsidRPr="005F666B">
              <w:rPr>
                <w:rFonts w:asciiTheme="minorHAnsi" w:hAnsiTheme="minorHAnsi"/>
              </w:rPr>
              <w:t>N/A</w:t>
            </w:r>
          </w:p>
        </w:tc>
        <w:tc>
          <w:tcPr>
            <w:tcW w:w="1748" w:type="dxa"/>
            <w:tcBorders>
              <w:top w:val="single" w:sz="4" w:space="0" w:color="auto"/>
              <w:left w:val="single" w:sz="4" w:space="0" w:color="auto"/>
              <w:bottom w:val="single" w:sz="4" w:space="0" w:color="auto"/>
              <w:right w:val="single" w:sz="4" w:space="0" w:color="auto"/>
            </w:tcBorders>
            <w:hideMark/>
          </w:tcPr>
          <w:p w:rsidR="00A61773" w:rsidRPr="005F666B" w:rsidRDefault="00A61773" w:rsidP="00C81356">
            <w:pPr>
              <w:rPr>
                <w:rFonts w:asciiTheme="minorHAnsi" w:hAnsiTheme="minorHAnsi"/>
              </w:rPr>
            </w:pPr>
            <w:r w:rsidRPr="005F666B">
              <w:rPr>
                <w:rFonts w:asciiTheme="minorHAnsi" w:hAnsiTheme="minorHAnsi"/>
              </w:rPr>
              <w:t>$2.50</w:t>
            </w:r>
          </w:p>
        </w:tc>
      </w:tr>
    </w:tbl>
    <w:p w:rsidR="00A61773" w:rsidRDefault="00A61773" w:rsidP="00A61773">
      <w:pPr>
        <w:rPr>
          <w:rFonts w:cstheme="minorHAnsi"/>
        </w:rPr>
      </w:pPr>
    </w:p>
    <w:p w:rsidR="00A61773" w:rsidRDefault="00A61773" w:rsidP="00A61773">
      <w:pPr>
        <w:rPr>
          <w:rFonts w:cstheme="minorHAnsi"/>
        </w:rPr>
      </w:pPr>
      <w:r>
        <w:rPr>
          <w:rFonts w:cstheme="minorHAnsi"/>
        </w:rPr>
        <w:t xml:space="preserve">The NPV for replacement lamps and annual </w:t>
      </w:r>
      <w:proofErr w:type="spellStart"/>
      <w:r>
        <w:rPr>
          <w:rFonts w:cstheme="minorHAnsi"/>
        </w:rPr>
        <w:t>levelized</w:t>
      </w:r>
      <w:proofErr w:type="spellEnd"/>
      <w:r>
        <w:rPr>
          <w:rFonts w:cstheme="minorHAnsi"/>
        </w:rPr>
        <w:t xml:space="preserve"> replacement costs using the statewide real discount rate of 5.23% are presented below:</w:t>
      </w: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250"/>
        <w:gridCol w:w="1170"/>
        <w:gridCol w:w="1170"/>
        <w:gridCol w:w="1170"/>
        <w:gridCol w:w="1170"/>
        <w:gridCol w:w="1170"/>
        <w:gridCol w:w="1170"/>
      </w:tblGrid>
      <w:tr w:rsidR="00A61773" w:rsidTr="00C81356">
        <w:trPr>
          <w:trHeight w:val="300"/>
        </w:trPr>
        <w:tc>
          <w:tcPr>
            <w:tcW w:w="1260" w:type="dxa"/>
            <w:vMerge w:val="restart"/>
            <w:shd w:val="clear" w:color="auto" w:fill="7F7F7F"/>
            <w:hideMark/>
          </w:tcPr>
          <w:p w:rsidR="00A61773" w:rsidRDefault="00A61773" w:rsidP="00C81356">
            <w:pPr>
              <w:widowControl/>
              <w:spacing w:line="276" w:lineRule="auto"/>
              <w:jc w:val="center"/>
              <w:rPr>
                <w:b/>
                <w:bCs/>
                <w:color w:val="FFFFFF"/>
                <w:szCs w:val="20"/>
              </w:rPr>
            </w:pPr>
            <w:r>
              <w:rPr>
                <w:b/>
                <w:bCs/>
                <w:color w:val="FFFFFF"/>
                <w:szCs w:val="20"/>
              </w:rPr>
              <w:t>Location</w:t>
            </w:r>
          </w:p>
        </w:tc>
        <w:tc>
          <w:tcPr>
            <w:tcW w:w="2250" w:type="dxa"/>
            <w:vMerge w:val="restart"/>
            <w:shd w:val="clear" w:color="auto" w:fill="7F7F7F"/>
            <w:hideMark/>
          </w:tcPr>
          <w:p w:rsidR="00A61773" w:rsidRDefault="00A61773" w:rsidP="00C81356">
            <w:pPr>
              <w:widowControl/>
              <w:spacing w:line="276" w:lineRule="auto"/>
              <w:jc w:val="center"/>
              <w:rPr>
                <w:b/>
                <w:bCs/>
                <w:color w:val="FFFFFF"/>
                <w:szCs w:val="20"/>
              </w:rPr>
            </w:pPr>
            <w:r>
              <w:rPr>
                <w:b/>
                <w:bCs/>
                <w:color w:val="FFFFFF"/>
                <w:szCs w:val="20"/>
              </w:rPr>
              <w:t>Lumen Level</w:t>
            </w:r>
          </w:p>
        </w:tc>
        <w:tc>
          <w:tcPr>
            <w:tcW w:w="3510" w:type="dxa"/>
            <w:gridSpan w:val="3"/>
            <w:shd w:val="clear" w:color="auto" w:fill="7F7F7F"/>
            <w:hideMark/>
          </w:tcPr>
          <w:p w:rsidR="00A61773" w:rsidRDefault="00A61773" w:rsidP="00C81356">
            <w:pPr>
              <w:widowControl/>
              <w:spacing w:line="276" w:lineRule="auto"/>
              <w:jc w:val="center"/>
              <w:rPr>
                <w:b/>
                <w:bCs/>
                <w:color w:val="FFFFFF"/>
                <w:szCs w:val="20"/>
              </w:rPr>
            </w:pPr>
            <w:r>
              <w:rPr>
                <w:b/>
                <w:bCs/>
                <w:color w:val="FFFFFF"/>
                <w:szCs w:val="20"/>
              </w:rPr>
              <w:t>NPV of replacement costs for period</w:t>
            </w:r>
          </w:p>
        </w:tc>
        <w:tc>
          <w:tcPr>
            <w:tcW w:w="3510" w:type="dxa"/>
            <w:gridSpan w:val="3"/>
            <w:shd w:val="clear" w:color="auto" w:fill="7F7F7F"/>
            <w:hideMark/>
          </w:tcPr>
          <w:p w:rsidR="00A61773" w:rsidRDefault="00A61773" w:rsidP="00C81356">
            <w:pPr>
              <w:widowControl/>
              <w:spacing w:line="276" w:lineRule="auto"/>
              <w:jc w:val="center"/>
              <w:rPr>
                <w:b/>
                <w:bCs/>
                <w:color w:val="FFFFFF"/>
                <w:szCs w:val="20"/>
              </w:rPr>
            </w:pPr>
            <w:proofErr w:type="spellStart"/>
            <w:r>
              <w:rPr>
                <w:b/>
                <w:bCs/>
                <w:color w:val="FFFFFF"/>
                <w:szCs w:val="20"/>
              </w:rPr>
              <w:t>Levelized</w:t>
            </w:r>
            <w:proofErr w:type="spellEnd"/>
            <w:r>
              <w:rPr>
                <w:b/>
                <w:bCs/>
                <w:color w:val="FFFFFF"/>
                <w:szCs w:val="20"/>
              </w:rPr>
              <w:t xml:space="preserve"> annual replacement cost savings</w:t>
            </w:r>
          </w:p>
        </w:tc>
      </w:tr>
      <w:tr w:rsidR="00A61773" w:rsidTr="00C81356">
        <w:trPr>
          <w:trHeight w:val="780"/>
        </w:trPr>
        <w:tc>
          <w:tcPr>
            <w:tcW w:w="1260" w:type="dxa"/>
            <w:vMerge/>
            <w:vAlign w:val="center"/>
            <w:hideMark/>
          </w:tcPr>
          <w:p w:rsidR="00A61773" w:rsidRDefault="00A61773" w:rsidP="00C81356">
            <w:pPr>
              <w:widowControl/>
              <w:jc w:val="left"/>
              <w:rPr>
                <w:b/>
                <w:bCs/>
                <w:color w:val="FFFFFF"/>
                <w:szCs w:val="20"/>
              </w:rPr>
            </w:pPr>
          </w:p>
        </w:tc>
        <w:tc>
          <w:tcPr>
            <w:tcW w:w="2250" w:type="dxa"/>
            <w:vMerge/>
            <w:vAlign w:val="center"/>
            <w:hideMark/>
          </w:tcPr>
          <w:p w:rsidR="00A61773" w:rsidRDefault="00A61773" w:rsidP="00C81356">
            <w:pPr>
              <w:widowControl/>
              <w:jc w:val="left"/>
              <w:rPr>
                <w:b/>
                <w:bCs/>
                <w:color w:val="FFFFFF"/>
                <w:szCs w:val="20"/>
              </w:rPr>
            </w:pP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2014 - May 2015</w:t>
            </w: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2015 - May 2016</w:t>
            </w: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2016 - May 2017</w:t>
            </w: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2014 - May 2015</w:t>
            </w: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2015 - May 2016</w:t>
            </w:r>
          </w:p>
        </w:tc>
        <w:tc>
          <w:tcPr>
            <w:tcW w:w="1170" w:type="dxa"/>
            <w:shd w:val="clear" w:color="auto" w:fill="7F7F7F"/>
            <w:vAlign w:val="center"/>
            <w:hideMark/>
          </w:tcPr>
          <w:p w:rsidR="00A61773" w:rsidRDefault="00A61773" w:rsidP="00C81356">
            <w:pPr>
              <w:widowControl/>
              <w:spacing w:line="276" w:lineRule="auto"/>
              <w:jc w:val="center"/>
              <w:rPr>
                <w:b/>
                <w:bCs/>
                <w:color w:val="FFFFFF"/>
                <w:szCs w:val="20"/>
              </w:rPr>
            </w:pPr>
            <w:r>
              <w:rPr>
                <w:b/>
                <w:bCs/>
                <w:color w:val="FFFFFF"/>
                <w:szCs w:val="20"/>
              </w:rPr>
              <w:t>June 2016 - May 2017</w:t>
            </w:r>
          </w:p>
        </w:tc>
      </w:tr>
      <w:tr w:rsidR="00A61773" w:rsidTr="00C81356">
        <w:trPr>
          <w:trHeight w:val="510"/>
        </w:trPr>
        <w:tc>
          <w:tcPr>
            <w:tcW w:w="1260" w:type="dxa"/>
            <w:vMerge w:val="restart"/>
            <w:vAlign w:val="center"/>
            <w:hideMark/>
          </w:tcPr>
          <w:p w:rsidR="00A61773" w:rsidRDefault="00A61773" w:rsidP="00C81356">
            <w:pPr>
              <w:widowControl/>
              <w:spacing w:line="276" w:lineRule="auto"/>
              <w:jc w:val="center"/>
              <w:rPr>
                <w:color w:val="000000"/>
                <w:szCs w:val="20"/>
              </w:rPr>
            </w:pPr>
            <w:r>
              <w:rPr>
                <w:color w:val="000000"/>
                <w:szCs w:val="20"/>
              </w:rPr>
              <w:t>Commercial</w:t>
            </w:r>
          </w:p>
        </w:tc>
        <w:tc>
          <w:tcPr>
            <w:tcW w:w="2250" w:type="dxa"/>
            <w:shd w:val="clear" w:color="auto" w:fill="FFFFFF"/>
            <w:vAlign w:val="center"/>
            <w:hideMark/>
          </w:tcPr>
          <w:p w:rsidR="00A61773" w:rsidRDefault="00A61773" w:rsidP="00C81356">
            <w:pPr>
              <w:widowControl/>
              <w:spacing w:line="276" w:lineRule="auto"/>
              <w:jc w:val="left"/>
              <w:rPr>
                <w:color w:val="000000"/>
                <w:szCs w:val="20"/>
              </w:rPr>
            </w:pPr>
            <w:r>
              <w:rPr>
                <w:color w:val="000000"/>
                <w:szCs w:val="20"/>
              </w:rPr>
              <w:t>Lumens &lt;310 or &gt;2600 (EISA exempt)</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$6.94</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$6.94</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$6.94</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$1.49</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$1.49</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$1.49</w:t>
            </w:r>
          </w:p>
        </w:tc>
      </w:tr>
      <w:tr w:rsidR="00A61773" w:rsidTr="00C81356">
        <w:trPr>
          <w:trHeight w:val="315"/>
        </w:trPr>
        <w:tc>
          <w:tcPr>
            <w:tcW w:w="1260" w:type="dxa"/>
            <w:vMerge/>
            <w:vAlign w:val="center"/>
            <w:hideMark/>
          </w:tcPr>
          <w:p w:rsidR="00A61773" w:rsidRDefault="00A61773" w:rsidP="00C81356">
            <w:pPr>
              <w:widowControl/>
              <w:jc w:val="left"/>
              <w:rPr>
                <w:color w:val="000000"/>
                <w:szCs w:val="20"/>
              </w:rPr>
            </w:pPr>
          </w:p>
        </w:tc>
        <w:tc>
          <w:tcPr>
            <w:tcW w:w="2250" w:type="dxa"/>
            <w:shd w:val="clear" w:color="auto" w:fill="FFFFFF"/>
            <w:vAlign w:val="center"/>
            <w:hideMark/>
          </w:tcPr>
          <w:p w:rsidR="00A61773" w:rsidRDefault="00A61773" w:rsidP="00C81356">
            <w:pPr>
              <w:widowControl/>
              <w:spacing w:line="276" w:lineRule="auto"/>
              <w:jc w:val="left"/>
              <w:rPr>
                <w:color w:val="000000"/>
                <w:szCs w:val="20"/>
              </w:rPr>
            </w:pPr>
            <w:r>
              <w:rPr>
                <w:color w:val="000000"/>
                <w:szCs w:val="20"/>
              </w:rPr>
              <w:t>Lumens ≥ 310 and ≤ 2600 (EISA compliant)</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$16.86</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$13.90</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$11.51</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$3.63</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$2.99</w:t>
            </w:r>
          </w:p>
        </w:tc>
        <w:tc>
          <w:tcPr>
            <w:tcW w:w="1170" w:type="dxa"/>
            <w:shd w:val="clear" w:color="auto" w:fill="FFFFFF"/>
            <w:noWrap/>
            <w:vAlign w:val="center"/>
            <w:hideMark/>
          </w:tcPr>
          <w:p w:rsidR="00A61773" w:rsidRDefault="00A61773" w:rsidP="00C81356">
            <w:pPr>
              <w:widowControl/>
              <w:spacing w:line="276" w:lineRule="auto"/>
              <w:jc w:val="center"/>
              <w:rPr>
                <w:color w:val="000000"/>
                <w:szCs w:val="20"/>
              </w:rPr>
            </w:pPr>
            <w:r>
              <w:rPr>
                <w:color w:val="000000"/>
                <w:szCs w:val="20"/>
              </w:rPr>
              <w:t>$2.48</w:t>
            </w:r>
          </w:p>
        </w:tc>
      </w:tr>
      <w:tr w:rsidR="00A61773" w:rsidTr="00C81356">
        <w:trPr>
          <w:trHeight w:val="315"/>
        </w:trPr>
        <w:tc>
          <w:tcPr>
            <w:tcW w:w="1260" w:type="dxa"/>
            <w:vMerge w:val="restart"/>
            <w:hideMark/>
          </w:tcPr>
          <w:p w:rsidR="00A61773" w:rsidRDefault="00A61773" w:rsidP="00C81356">
            <w:pPr>
              <w:widowControl/>
              <w:spacing w:line="276" w:lineRule="auto"/>
              <w:jc w:val="left"/>
              <w:rPr>
                <w:color w:val="000000"/>
                <w:szCs w:val="20"/>
              </w:rPr>
            </w:pPr>
            <w:r>
              <w:rPr>
                <w:rFonts w:ascii="Calibri" w:hAnsi="Calibri"/>
                <w:color w:val="000000"/>
                <w:szCs w:val="20"/>
              </w:rPr>
              <w:t>Multi Family Common Areas</w:t>
            </w:r>
          </w:p>
        </w:tc>
        <w:tc>
          <w:tcPr>
            <w:tcW w:w="2250" w:type="dxa"/>
            <w:shd w:val="clear" w:color="auto" w:fill="FFFFFF"/>
            <w:hideMark/>
          </w:tcPr>
          <w:p w:rsidR="00A61773" w:rsidRDefault="00A61773" w:rsidP="00C81356">
            <w:pPr>
              <w:widowControl/>
              <w:spacing w:line="276" w:lineRule="auto"/>
              <w:jc w:val="left"/>
              <w:rPr>
                <w:color w:val="000000"/>
                <w:szCs w:val="20"/>
              </w:rPr>
            </w:pPr>
            <w:r>
              <w:rPr>
                <w:rFonts w:ascii="Calibri" w:hAnsi="Calibri"/>
                <w:color w:val="000000"/>
                <w:szCs w:val="20"/>
              </w:rPr>
              <w:t>Lumens &lt;310 or &gt;2600 (non-EISA compliant)</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$7.13</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$7.13</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$7.13</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$1.93</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$1.93</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$1.93</w:t>
            </w:r>
          </w:p>
        </w:tc>
      </w:tr>
      <w:tr w:rsidR="00A61773" w:rsidTr="00C81356">
        <w:trPr>
          <w:trHeight w:val="315"/>
        </w:trPr>
        <w:tc>
          <w:tcPr>
            <w:tcW w:w="1260" w:type="dxa"/>
            <w:vMerge/>
            <w:hideMark/>
          </w:tcPr>
          <w:p w:rsidR="00A61773" w:rsidRDefault="00A61773" w:rsidP="00C81356">
            <w:pPr>
              <w:widowControl/>
              <w:jc w:val="left"/>
              <w:rPr>
                <w:color w:val="000000"/>
                <w:szCs w:val="20"/>
              </w:rPr>
            </w:pPr>
          </w:p>
        </w:tc>
        <w:tc>
          <w:tcPr>
            <w:tcW w:w="2250" w:type="dxa"/>
            <w:shd w:val="clear" w:color="auto" w:fill="FFFFFF"/>
            <w:hideMark/>
          </w:tcPr>
          <w:p w:rsidR="00A61773" w:rsidRDefault="00A61773" w:rsidP="00C81356">
            <w:pPr>
              <w:widowControl/>
              <w:spacing w:line="276" w:lineRule="auto"/>
              <w:jc w:val="left"/>
              <w:rPr>
                <w:color w:val="000000"/>
                <w:szCs w:val="20"/>
              </w:rPr>
            </w:pPr>
            <w:r>
              <w:rPr>
                <w:rFonts w:ascii="Calibri" w:hAnsi="Calibri"/>
                <w:color w:val="000000"/>
                <w:szCs w:val="20"/>
              </w:rPr>
              <w:t>Lumens ≥ 310 and ≤ 2600 (EISA compliant)</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$18.75</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$15.57</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$13.79</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$5.09</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$4.22</w:t>
            </w:r>
          </w:p>
        </w:tc>
        <w:tc>
          <w:tcPr>
            <w:tcW w:w="1170" w:type="dxa"/>
            <w:shd w:val="clear" w:color="auto" w:fill="FFFFFF"/>
            <w:noWrap/>
            <w:hideMark/>
          </w:tcPr>
          <w:p w:rsidR="00A61773" w:rsidRDefault="00A61773" w:rsidP="00C81356">
            <w:pPr>
              <w:widowControl/>
              <w:spacing w:line="276" w:lineRule="auto"/>
              <w:jc w:val="center"/>
              <w:rPr>
                <w:color w:val="000000"/>
                <w:szCs w:val="20"/>
              </w:rPr>
            </w:pPr>
            <w:r>
              <w:rPr>
                <w:rFonts w:ascii="Calibri" w:hAnsi="Calibri"/>
                <w:color w:val="000000"/>
                <w:szCs w:val="20"/>
              </w:rPr>
              <w:t>$3.74</w:t>
            </w:r>
          </w:p>
        </w:tc>
      </w:tr>
    </w:tbl>
    <w:p w:rsidR="00A61773" w:rsidRDefault="00A61773" w:rsidP="00A61773">
      <w:pPr>
        <w:spacing w:before="120"/>
        <w:rPr>
          <w:b/>
        </w:rPr>
      </w:pPr>
      <w:r>
        <w:t>For halogen bulbs, we assume the same replacement cycle as incandescent bulbs.</w:t>
      </w:r>
      <w:r>
        <w:rPr>
          <w:rStyle w:val="FootnoteReference"/>
        </w:rPr>
        <w:footnoteReference w:id="15"/>
      </w:r>
      <w:r>
        <w:t xml:space="preserve"> The replacement cycle is based on the miscellaneous hours of use. Both incandescent and halogen lamps are assumed to last for 1,000 hours before needing replacement and CFLs after 10,000 hours.</w:t>
      </w:r>
    </w:p>
    <w:p w:rsidR="00A61773" w:rsidRDefault="00A61773" w:rsidP="00A61773">
      <w:pPr>
        <w:widowControl/>
        <w:jc w:val="left"/>
        <w:rPr>
          <w:iCs/>
        </w:rPr>
        <w:sectPr w:rsidR="00A61773" w:rsidSect="00B64B6A">
          <w:headerReference w:type="default" r:id="rId8"/>
          <w:pgSz w:w="12240" w:h="15840"/>
          <w:pgMar w:top="1440" w:right="1440" w:bottom="1440" w:left="1440" w:header="720" w:footer="720" w:gutter="0"/>
          <w:cols w:space="720"/>
        </w:sectPr>
      </w:pPr>
    </w:p>
    <w:p w:rsidR="00A61773" w:rsidRDefault="00A61773" w:rsidP="00A61773">
      <w:pPr>
        <w:rPr>
          <w:b/>
          <w:szCs w:val="20"/>
        </w:rPr>
      </w:pPr>
      <w:r>
        <w:lastRenderedPageBreak/>
        <w:t>LED New and Baseline Assumptions</w:t>
      </w:r>
      <w:r>
        <w:rPr>
          <w:rStyle w:val="FootnoteReference"/>
        </w:rPr>
        <w:footnoteReference w:id="16"/>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910"/>
        <w:gridCol w:w="2344"/>
        <w:gridCol w:w="1140"/>
        <w:gridCol w:w="1813"/>
        <w:gridCol w:w="1002"/>
        <w:gridCol w:w="1297"/>
        <w:gridCol w:w="1222"/>
        <w:gridCol w:w="1030"/>
      </w:tblGrid>
      <w:tr w:rsidR="00A61773" w:rsidTr="00C81356">
        <w:trPr>
          <w:trHeight w:val="1290"/>
          <w:tblHeader/>
        </w:trPr>
        <w:tc>
          <w:tcPr>
            <w:tcW w:w="968" w:type="pct"/>
            <w:shd w:val="clear" w:color="auto" w:fill="7F7F7F" w:themeFill="text1" w:themeFillTint="80"/>
            <w:vAlign w:val="center"/>
            <w:hideMark/>
          </w:tcPr>
          <w:p w:rsidR="00A61773" w:rsidRDefault="00A61773" w:rsidP="00C81356">
            <w:pPr>
              <w:pStyle w:val="TableHeading"/>
            </w:pPr>
            <w:r>
              <w:t>LED Measure Description</w:t>
            </w:r>
          </w:p>
        </w:tc>
        <w:tc>
          <w:tcPr>
            <w:tcW w:w="341" w:type="pct"/>
            <w:shd w:val="clear" w:color="auto" w:fill="7F7F7F" w:themeFill="text1" w:themeFillTint="80"/>
            <w:vAlign w:val="center"/>
            <w:hideMark/>
          </w:tcPr>
          <w:p w:rsidR="00A61773" w:rsidRDefault="00A61773" w:rsidP="00C81356">
            <w:pPr>
              <w:pStyle w:val="TableHeading"/>
            </w:pPr>
            <w:r>
              <w:t>WattsEE</w:t>
            </w:r>
          </w:p>
        </w:tc>
        <w:tc>
          <w:tcPr>
            <w:tcW w:w="879" w:type="pct"/>
            <w:shd w:val="clear" w:color="auto" w:fill="7F7F7F" w:themeFill="text1" w:themeFillTint="80"/>
            <w:vAlign w:val="center"/>
            <w:hideMark/>
          </w:tcPr>
          <w:p w:rsidR="00A61773" w:rsidRDefault="00A61773" w:rsidP="00C81356">
            <w:pPr>
              <w:pStyle w:val="TableHeading"/>
            </w:pPr>
            <w:r>
              <w:t>Baseline Description</w:t>
            </w:r>
          </w:p>
        </w:tc>
        <w:tc>
          <w:tcPr>
            <w:tcW w:w="427" w:type="pct"/>
            <w:shd w:val="clear" w:color="auto" w:fill="7F7F7F" w:themeFill="text1" w:themeFillTint="80"/>
            <w:vAlign w:val="center"/>
            <w:hideMark/>
          </w:tcPr>
          <w:p w:rsidR="00A61773" w:rsidRDefault="00A61773" w:rsidP="00C81356">
            <w:pPr>
              <w:pStyle w:val="TableHeading"/>
            </w:pPr>
            <w:r>
              <w:t>WattsBASE</w:t>
            </w:r>
          </w:p>
        </w:tc>
        <w:tc>
          <w:tcPr>
            <w:tcW w:w="679" w:type="pct"/>
            <w:shd w:val="clear" w:color="auto" w:fill="7F7F7F" w:themeFill="text1" w:themeFillTint="80"/>
            <w:vAlign w:val="center"/>
            <w:hideMark/>
          </w:tcPr>
          <w:p w:rsidR="00A61773" w:rsidRDefault="00A61773" w:rsidP="00C81356">
            <w:pPr>
              <w:pStyle w:val="TableHeading"/>
            </w:pPr>
            <w:r>
              <w:t>Basis for Watt Assumptions</w:t>
            </w:r>
          </w:p>
        </w:tc>
        <w:tc>
          <w:tcPr>
            <w:tcW w:w="376" w:type="pct"/>
            <w:shd w:val="clear" w:color="auto" w:fill="7F7F7F" w:themeFill="text1" w:themeFillTint="80"/>
            <w:vAlign w:val="center"/>
            <w:hideMark/>
          </w:tcPr>
          <w:p w:rsidR="00A61773" w:rsidRDefault="00A61773" w:rsidP="00C81356">
            <w:pPr>
              <w:pStyle w:val="TableHeading"/>
            </w:pPr>
            <w:r>
              <w:t>LED Lamp Cost</w:t>
            </w:r>
          </w:p>
        </w:tc>
        <w:tc>
          <w:tcPr>
            <w:tcW w:w="486" w:type="pct"/>
            <w:shd w:val="clear" w:color="auto" w:fill="7F7F7F" w:themeFill="text1" w:themeFillTint="80"/>
            <w:vAlign w:val="center"/>
            <w:hideMark/>
          </w:tcPr>
          <w:p w:rsidR="00A61773" w:rsidRDefault="00A61773" w:rsidP="00C81356">
            <w:pPr>
              <w:pStyle w:val="TableHeading"/>
            </w:pPr>
            <w:r>
              <w:t>Baseline Cost (EISA 2012-2014, EISA 2020)</w:t>
            </w:r>
          </w:p>
        </w:tc>
        <w:tc>
          <w:tcPr>
            <w:tcW w:w="458" w:type="pct"/>
            <w:shd w:val="clear" w:color="auto" w:fill="7F7F7F" w:themeFill="text1" w:themeFillTint="80"/>
            <w:vAlign w:val="center"/>
            <w:hideMark/>
          </w:tcPr>
          <w:p w:rsidR="00A61773" w:rsidRDefault="00A61773" w:rsidP="00C81356">
            <w:pPr>
              <w:pStyle w:val="TableHeading"/>
            </w:pPr>
            <w:r>
              <w:t>Incremental Cost</w:t>
            </w:r>
            <w:r>
              <w:br/>
              <w:t>(EISA 2012-2014, EISA 2020)</w:t>
            </w:r>
          </w:p>
        </w:tc>
        <w:tc>
          <w:tcPr>
            <w:tcW w:w="386" w:type="pct"/>
            <w:shd w:val="clear" w:color="auto" w:fill="7F7F7F" w:themeFill="text1" w:themeFillTint="80"/>
            <w:vAlign w:val="center"/>
            <w:hideMark/>
          </w:tcPr>
          <w:p w:rsidR="00A61773" w:rsidRDefault="00A61773" w:rsidP="00C81356">
            <w:pPr>
              <w:pStyle w:val="TableHeading"/>
            </w:pPr>
            <w:r>
              <w:t>LED Minimum Lamp Life (hrs)</w:t>
            </w:r>
          </w:p>
        </w:tc>
      </w:tr>
      <w:tr w:rsidR="00A61773" w:rsidTr="00C81356">
        <w:trPr>
          <w:trHeight w:val="765"/>
        </w:trPr>
        <w:tc>
          <w:tcPr>
            <w:tcW w:w="968" w:type="pct"/>
            <w:hideMark/>
          </w:tcPr>
          <w:p w:rsidR="00A61773" w:rsidRDefault="00A61773" w:rsidP="00C81356">
            <w:pPr>
              <w:spacing w:line="276" w:lineRule="auto"/>
              <w:jc w:val="left"/>
            </w:pPr>
            <w:r>
              <w:t>LED Screw and Pin-based Bulbs, Omnidirectional, &lt; 10W</w:t>
            </w:r>
          </w:p>
        </w:tc>
        <w:tc>
          <w:tcPr>
            <w:tcW w:w="2327" w:type="pct"/>
            <w:gridSpan w:val="4"/>
            <w:vMerge w:val="restart"/>
            <w:hideMark/>
          </w:tcPr>
          <w:p w:rsidR="00A61773" w:rsidRDefault="00A61773" w:rsidP="00C81356">
            <w:pPr>
              <w:spacing w:line="276" w:lineRule="auto"/>
              <w:jc w:val="center"/>
              <w:rPr>
                <w:szCs w:val="16"/>
              </w:rPr>
            </w:pPr>
            <w:r>
              <w:t>See tables above</w:t>
            </w:r>
          </w:p>
        </w:tc>
        <w:tc>
          <w:tcPr>
            <w:tcW w:w="376" w:type="pct"/>
            <w:noWrap/>
            <w:hideMark/>
          </w:tcPr>
          <w:p w:rsidR="00A61773" w:rsidRDefault="00A61773" w:rsidP="00C81356">
            <w:pPr>
              <w:spacing w:line="276" w:lineRule="auto"/>
              <w:jc w:val="center"/>
              <w:rPr>
                <w:szCs w:val="16"/>
              </w:rPr>
            </w:pPr>
            <w:r>
              <w:t>$30.00</w:t>
            </w:r>
          </w:p>
        </w:tc>
        <w:tc>
          <w:tcPr>
            <w:tcW w:w="486" w:type="pct"/>
            <w:hideMark/>
          </w:tcPr>
          <w:p w:rsidR="00A61773" w:rsidRDefault="00A61773" w:rsidP="00C81356">
            <w:pPr>
              <w:spacing w:line="276" w:lineRule="auto"/>
              <w:jc w:val="center"/>
              <w:rPr>
                <w:szCs w:val="16"/>
              </w:rPr>
            </w:pPr>
            <w:r>
              <w:t>$0.34 ($1.25, $2.50)</w:t>
            </w:r>
          </w:p>
        </w:tc>
        <w:tc>
          <w:tcPr>
            <w:tcW w:w="458" w:type="pct"/>
            <w:hideMark/>
          </w:tcPr>
          <w:p w:rsidR="00A61773" w:rsidRDefault="00A61773" w:rsidP="00C81356">
            <w:pPr>
              <w:spacing w:line="276" w:lineRule="auto"/>
              <w:jc w:val="center"/>
              <w:rPr>
                <w:szCs w:val="16"/>
              </w:rPr>
            </w:pPr>
            <w:r>
              <w:t>$29.66 ($28.75, $27.50)</w:t>
            </w:r>
          </w:p>
        </w:tc>
        <w:tc>
          <w:tcPr>
            <w:tcW w:w="386" w:type="pct"/>
            <w:hideMark/>
          </w:tcPr>
          <w:p w:rsidR="00A61773" w:rsidRDefault="00A61773" w:rsidP="00C81356">
            <w:pPr>
              <w:spacing w:line="276" w:lineRule="auto"/>
              <w:jc w:val="center"/>
              <w:rPr>
                <w:szCs w:val="16"/>
              </w:rPr>
            </w:pPr>
            <w:r>
              <w:t>25,000</w:t>
            </w:r>
          </w:p>
        </w:tc>
      </w:tr>
      <w:tr w:rsidR="00A61773" w:rsidTr="00C81356">
        <w:trPr>
          <w:trHeight w:val="765"/>
        </w:trPr>
        <w:tc>
          <w:tcPr>
            <w:tcW w:w="968" w:type="pct"/>
            <w:hideMark/>
          </w:tcPr>
          <w:p w:rsidR="00A61773" w:rsidRDefault="00A61773" w:rsidP="00C81356">
            <w:pPr>
              <w:spacing w:line="276" w:lineRule="auto"/>
              <w:jc w:val="left"/>
            </w:pPr>
            <w:r>
              <w:t>LED Screw and Pin-based Bulbs, Omnidirectional, &gt;= 10W</w:t>
            </w:r>
          </w:p>
        </w:tc>
        <w:tc>
          <w:tcPr>
            <w:tcW w:w="2327" w:type="pct"/>
            <w:gridSpan w:val="4"/>
            <w:vMerge/>
            <w:hideMark/>
          </w:tcPr>
          <w:p w:rsidR="00A61773" w:rsidRDefault="00A61773" w:rsidP="00C81356">
            <w:pPr>
              <w:widowControl/>
              <w:jc w:val="center"/>
            </w:pPr>
          </w:p>
        </w:tc>
        <w:tc>
          <w:tcPr>
            <w:tcW w:w="376" w:type="pct"/>
            <w:noWrap/>
            <w:hideMark/>
          </w:tcPr>
          <w:p w:rsidR="00A61773" w:rsidRDefault="00A61773" w:rsidP="00C81356">
            <w:pPr>
              <w:spacing w:line="276" w:lineRule="auto"/>
              <w:jc w:val="center"/>
              <w:rPr>
                <w:szCs w:val="16"/>
              </w:rPr>
            </w:pPr>
            <w:r>
              <w:t>$40.00</w:t>
            </w:r>
          </w:p>
        </w:tc>
        <w:tc>
          <w:tcPr>
            <w:tcW w:w="486" w:type="pct"/>
            <w:hideMark/>
          </w:tcPr>
          <w:p w:rsidR="00A61773" w:rsidRDefault="00A61773" w:rsidP="00C81356">
            <w:pPr>
              <w:spacing w:line="276" w:lineRule="auto"/>
              <w:jc w:val="center"/>
              <w:rPr>
                <w:szCs w:val="16"/>
              </w:rPr>
            </w:pPr>
            <w:r>
              <w:t>$0.34 ($1.25, $2.50)</w:t>
            </w:r>
          </w:p>
        </w:tc>
        <w:tc>
          <w:tcPr>
            <w:tcW w:w="458" w:type="pct"/>
            <w:hideMark/>
          </w:tcPr>
          <w:p w:rsidR="00A61773" w:rsidRDefault="00A61773" w:rsidP="00C81356">
            <w:pPr>
              <w:spacing w:line="276" w:lineRule="auto"/>
              <w:jc w:val="center"/>
              <w:rPr>
                <w:szCs w:val="16"/>
              </w:rPr>
            </w:pPr>
            <w:r>
              <w:t>$39.66 ($38.75, $37.50)</w:t>
            </w:r>
          </w:p>
        </w:tc>
        <w:tc>
          <w:tcPr>
            <w:tcW w:w="386" w:type="pct"/>
            <w:hideMark/>
          </w:tcPr>
          <w:p w:rsidR="00A61773" w:rsidRDefault="00A61773" w:rsidP="00C81356">
            <w:pPr>
              <w:spacing w:line="276" w:lineRule="auto"/>
              <w:jc w:val="center"/>
              <w:rPr>
                <w:szCs w:val="16"/>
              </w:rPr>
            </w:pPr>
            <w:r>
              <w:t>25,000</w:t>
            </w:r>
          </w:p>
        </w:tc>
      </w:tr>
      <w:tr w:rsidR="00A61773" w:rsidTr="00C81356">
        <w:trPr>
          <w:trHeight w:val="315"/>
        </w:trPr>
        <w:tc>
          <w:tcPr>
            <w:tcW w:w="968" w:type="pct"/>
            <w:hideMark/>
          </w:tcPr>
          <w:p w:rsidR="00A61773" w:rsidRDefault="00A61773" w:rsidP="00C81356">
            <w:pPr>
              <w:spacing w:line="276" w:lineRule="auto"/>
              <w:jc w:val="left"/>
            </w:pPr>
            <w:r>
              <w:t>LED Screw and Pin-based Bulbs, Decorative</w:t>
            </w:r>
          </w:p>
        </w:tc>
        <w:tc>
          <w:tcPr>
            <w:tcW w:w="2327" w:type="pct"/>
            <w:gridSpan w:val="4"/>
            <w:vMerge/>
            <w:hideMark/>
          </w:tcPr>
          <w:p w:rsidR="00A61773" w:rsidRDefault="00A61773" w:rsidP="00C81356">
            <w:pPr>
              <w:widowControl/>
              <w:jc w:val="center"/>
            </w:pPr>
          </w:p>
        </w:tc>
        <w:tc>
          <w:tcPr>
            <w:tcW w:w="376" w:type="pct"/>
            <w:noWrap/>
            <w:hideMark/>
          </w:tcPr>
          <w:p w:rsidR="00A61773" w:rsidRDefault="00A61773" w:rsidP="00C81356">
            <w:pPr>
              <w:spacing w:line="276" w:lineRule="auto"/>
              <w:jc w:val="center"/>
              <w:rPr>
                <w:szCs w:val="16"/>
              </w:rPr>
            </w:pPr>
            <w:r>
              <w:t>$30.00</w:t>
            </w:r>
          </w:p>
        </w:tc>
        <w:tc>
          <w:tcPr>
            <w:tcW w:w="486" w:type="pct"/>
            <w:hideMark/>
          </w:tcPr>
          <w:p w:rsidR="00A61773" w:rsidRDefault="00A61773" w:rsidP="00C81356">
            <w:pPr>
              <w:spacing w:line="276" w:lineRule="auto"/>
              <w:jc w:val="center"/>
              <w:rPr>
                <w:szCs w:val="16"/>
              </w:rPr>
            </w:pPr>
            <w:r>
              <w:t>$1.00</w:t>
            </w:r>
          </w:p>
        </w:tc>
        <w:tc>
          <w:tcPr>
            <w:tcW w:w="458" w:type="pct"/>
            <w:noWrap/>
            <w:hideMark/>
          </w:tcPr>
          <w:p w:rsidR="00A61773" w:rsidRDefault="00A61773" w:rsidP="00C81356">
            <w:pPr>
              <w:spacing w:line="276" w:lineRule="auto"/>
              <w:jc w:val="center"/>
              <w:rPr>
                <w:szCs w:val="16"/>
              </w:rPr>
            </w:pPr>
            <w:r>
              <w:t>$29.00</w:t>
            </w:r>
          </w:p>
        </w:tc>
        <w:tc>
          <w:tcPr>
            <w:tcW w:w="386" w:type="pct"/>
            <w:hideMark/>
          </w:tcPr>
          <w:p w:rsidR="00A61773" w:rsidRDefault="00A61773" w:rsidP="00C81356">
            <w:pPr>
              <w:spacing w:line="276" w:lineRule="auto"/>
              <w:jc w:val="center"/>
              <w:rPr>
                <w:szCs w:val="16"/>
              </w:rPr>
            </w:pPr>
            <w:r>
              <w:t>25,000</w:t>
            </w:r>
          </w:p>
        </w:tc>
      </w:tr>
      <w:tr w:rsidR="00A61773" w:rsidTr="00C81356">
        <w:trPr>
          <w:trHeight w:val="510"/>
        </w:trPr>
        <w:tc>
          <w:tcPr>
            <w:tcW w:w="968" w:type="pct"/>
            <w:hideMark/>
          </w:tcPr>
          <w:p w:rsidR="00A61773" w:rsidRDefault="00A61773" w:rsidP="00C81356">
            <w:pPr>
              <w:spacing w:line="276" w:lineRule="auto"/>
              <w:jc w:val="left"/>
            </w:pPr>
            <w:r>
              <w:t>LED Screw-based Bulbs, Directional, &lt; 15W</w:t>
            </w:r>
          </w:p>
        </w:tc>
        <w:tc>
          <w:tcPr>
            <w:tcW w:w="2327" w:type="pct"/>
            <w:gridSpan w:val="4"/>
            <w:vMerge/>
            <w:hideMark/>
          </w:tcPr>
          <w:p w:rsidR="00A61773" w:rsidRDefault="00A61773" w:rsidP="00C81356">
            <w:pPr>
              <w:widowControl/>
              <w:jc w:val="center"/>
            </w:pPr>
          </w:p>
        </w:tc>
        <w:tc>
          <w:tcPr>
            <w:tcW w:w="376" w:type="pct"/>
            <w:noWrap/>
            <w:hideMark/>
          </w:tcPr>
          <w:p w:rsidR="00A61773" w:rsidRDefault="00A61773" w:rsidP="00C81356">
            <w:pPr>
              <w:spacing w:line="276" w:lineRule="auto"/>
              <w:jc w:val="center"/>
              <w:rPr>
                <w:szCs w:val="16"/>
              </w:rPr>
            </w:pPr>
            <w:r>
              <w:t>$45.00</w:t>
            </w:r>
          </w:p>
        </w:tc>
        <w:tc>
          <w:tcPr>
            <w:tcW w:w="486" w:type="pct"/>
            <w:hideMark/>
          </w:tcPr>
          <w:p w:rsidR="00A61773" w:rsidRDefault="00A61773" w:rsidP="00C81356">
            <w:pPr>
              <w:spacing w:line="276" w:lineRule="auto"/>
              <w:jc w:val="center"/>
              <w:rPr>
                <w:szCs w:val="16"/>
              </w:rPr>
            </w:pPr>
            <w:r>
              <w:t>$5.00</w:t>
            </w:r>
          </w:p>
        </w:tc>
        <w:tc>
          <w:tcPr>
            <w:tcW w:w="458" w:type="pct"/>
            <w:noWrap/>
            <w:hideMark/>
          </w:tcPr>
          <w:p w:rsidR="00A61773" w:rsidRDefault="00A61773" w:rsidP="00C81356">
            <w:pPr>
              <w:spacing w:line="276" w:lineRule="auto"/>
              <w:jc w:val="center"/>
              <w:rPr>
                <w:szCs w:val="16"/>
              </w:rPr>
            </w:pPr>
            <w:r>
              <w:t>$40.00</w:t>
            </w:r>
          </w:p>
        </w:tc>
        <w:tc>
          <w:tcPr>
            <w:tcW w:w="386" w:type="pct"/>
            <w:hideMark/>
          </w:tcPr>
          <w:p w:rsidR="00A61773" w:rsidRDefault="00A61773" w:rsidP="00C81356">
            <w:pPr>
              <w:spacing w:line="276" w:lineRule="auto"/>
              <w:jc w:val="center"/>
              <w:rPr>
                <w:szCs w:val="16"/>
              </w:rPr>
            </w:pPr>
            <w:r>
              <w:t>35,000</w:t>
            </w:r>
          </w:p>
        </w:tc>
      </w:tr>
      <w:tr w:rsidR="00A61773" w:rsidTr="00C81356">
        <w:trPr>
          <w:trHeight w:val="510"/>
        </w:trPr>
        <w:tc>
          <w:tcPr>
            <w:tcW w:w="968" w:type="pct"/>
            <w:hideMark/>
          </w:tcPr>
          <w:p w:rsidR="00A61773" w:rsidRDefault="00A61773" w:rsidP="00C81356">
            <w:pPr>
              <w:spacing w:line="276" w:lineRule="auto"/>
              <w:jc w:val="left"/>
            </w:pPr>
            <w:r>
              <w:t>LED Screw-based Bulbs, Directional, &gt;=  15W</w:t>
            </w:r>
          </w:p>
        </w:tc>
        <w:tc>
          <w:tcPr>
            <w:tcW w:w="2327" w:type="pct"/>
            <w:gridSpan w:val="4"/>
            <w:vMerge/>
            <w:hideMark/>
          </w:tcPr>
          <w:p w:rsidR="00A61773" w:rsidRDefault="00A61773" w:rsidP="00C81356">
            <w:pPr>
              <w:widowControl/>
              <w:jc w:val="center"/>
            </w:pPr>
          </w:p>
        </w:tc>
        <w:tc>
          <w:tcPr>
            <w:tcW w:w="376" w:type="pct"/>
            <w:noWrap/>
            <w:hideMark/>
          </w:tcPr>
          <w:p w:rsidR="00A61773" w:rsidRDefault="00A61773" w:rsidP="00C81356">
            <w:pPr>
              <w:spacing w:line="276" w:lineRule="auto"/>
              <w:jc w:val="center"/>
              <w:rPr>
                <w:szCs w:val="16"/>
              </w:rPr>
            </w:pPr>
            <w:r>
              <w:t>$55.00</w:t>
            </w:r>
          </w:p>
        </w:tc>
        <w:tc>
          <w:tcPr>
            <w:tcW w:w="486" w:type="pct"/>
            <w:hideMark/>
          </w:tcPr>
          <w:p w:rsidR="00A61773" w:rsidRDefault="00A61773" w:rsidP="00C81356">
            <w:pPr>
              <w:spacing w:line="276" w:lineRule="auto"/>
              <w:jc w:val="center"/>
              <w:rPr>
                <w:szCs w:val="16"/>
              </w:rPr>
            </w:pPr>
            <w:r>
              <w:t>$5.00</w:t>
            </w:r>
          </w:p>
        </w:tc>
        <w:tc>
          <w:tcPr>
            <w:tcW w:w="458" w:type="pct"/>
            <w:noWrap/>
            <w:hideMark/>
          </w:tcPr>
          <w:p w:rsidR="00A61773" w:rsidRDefault="00A61773" w:rsidP="00C81356">
            <w:pPr>
              <w:spacing w:line="276" w:lineRule="auto"/>
              <w:jc w:val="center"/>
              <w:rPr>
                <w:szCs w:val="16"/>
              </w:rPr>
            </w:pPr>
            <w:r>
              <w:t>$50.00</w:t>
            </w:r>
          </w:p>
        </w:tc>
        <w:tc>
          <w:tcPr>
            <w:tcW w:w="386" w:type="pct"/>
            <w:hideMark/>
          </w:tcPr>
          <w:p w:rsidR="00A61773" w:rsidRDefault="00A61773" w:rsidP="00C81356">
            <w:pPr>
              <w:spacing w:line="276" w:lineRule="auto"/>
              <w:jc w:val="center"/>
              <w:rPr>
                <w:szCs w:val="16"/>
              </w:rPr>
            </w:pPr>
            <w:r>
              <w:t>35,000</w:t>
            </w:r>
          </w:p>
        </w:tc>
      </w:tr>
      <w:tr w:rsidR="00A61773" w:rsidTr="00C81356">
        <w:trPr>
          <w:trHeight w:val="510"/>
        </w:trPr>
        <w:tc>
          <w:tcPr>
            <w:tcW w:w="968" w:type="pct"/>
            <w:vAlign w:val="center"/>
            <w:hideMark/>
          </w:tcPr>
          <w:p w:rsidR="00A61773" w:rsidRDefault="00A61773" w:rsidP="00C81356">
            <w:pPr>
              <w:spacing w:line="276" w:lineRule="auto"/>
              <w:jc w:val="left"/>
            </w:pPr>
            <w:r>
              <w:t xml:space="preserve">LED Recessed, Surface, Pendant </w:t>
            </w:r>
            <w:proofErr w:type="spellStart"/>
            <w:r>
              <w:t>Downlights</w:t>
            </w:r>
            <w:proofErr w:type="spellEnd"/>
          </w:p>
        </w:tc>
        <w:tc>
          <w:tcPr>
            <w:tcW w:w="341" w:type="pct"/>
            <w:noWrap/>
            <w:vAlign w:val="center"/>
            <w:hideMark/>
          </w:tcPr>
          <w:p w:rsidR="00A61773" w:rsidRDefault="00A61773" w:rsidP="00C81356">
            <w:pPr>
              <w:spacing w:line="276" w:lineRule="auto"/>
              <w:jc w:val="center"/>
              <w:rPr>
                <w:szCs w:val="16"/>
              </w:rPr>
            </w:pPr>
            <w:r>
              <w:t>17.6</w:t>
            </w:r>
          </w:p>
        </w:tc>
        <w:tc>
          <w:tcPr>
            <w:tcW w:w="879" w:type="pct"/>
            <w:vAlign w:val="center"/>
            <w:hideMark/>
          </w:tcPr>
          <w:p w:rsidR="00A61773" w:rsidRDefault="00A61773" w:rsidP="00C81356">
            <w:pPr>
              <w:spacing w:line="276" w:lineRule="auto"/>
              <w:jc w:val="center"/>
              <w:rPr>
                <w:szCs w:val="16"/>
              </w:rPr>
            </w:pPr>
            <w:r>
              <w:t xml:space="preserve">Baseline LED Recessed, Surface, Pendant </w:t>
            </w:r>
            <w:proofErr w:type="spellStart"/>
            <w:r>
              <w:t>Downlights</w:t>
            </w:r>
            <w:proofErr w:type="spellEnd"/>
          </w:p>
        </w:tc>
        <w:tc>
          <w:tcPr>
            <w:tcW w:w="427" w:type="pct"/>
            <w:noWrap/>
            <w:vAlign w:val="center"/>
            <w:hideMark/>
          </w:tcPr>
          <w:p w:rsidR="00A61773" w:rsidRDefault="00A61773" w:rsidP="00C81356">
            <w:pPr>
              <w:spacing w:line="276" w:lineRule="auto"/>
              <w:jc w:val="center"/>
              <w:rPr>
                <w:szCs w:val="16"/>
              </w:rPr>
            </w:pPr>
            <w:r>
              <w:t>54.3</w:t>
            </w:r>
          </w:p>
        </w:tc>
        <w:tc>
          <w:tcPr>
            <w:tcW w:w="679" w:type="pct"/>
            <w:vAlign w:val="center"/>
            <w:hideMark/>
          </w:tcPr>
          <w:p w:rsidR="00A61773" w:rsidRDefault="00A61773" w:rsidP="00C81356">
            <w:pPr>
              <w:spacing w:line="276" w:lineRule="auto"/>
              <w:jc w:val="center"/>
              <w:rPr>
                <w:szCs w:val="16"/>
              </w:rPr>
            </w:pPr>
            <w:r>
              <w:t>2008-2010 EVT Historical Data of 947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Track Lighting</w:t>
            </w:r>
          </w:p>
        </w:tc>
        <w:tc>
          <w:tcPr>
            <w:tcW w:w="341" w:type="pct"/>
            <w:noWrap/>
            <w:vAlign w:val="center"/>
            <w:hideMark/>
          </w:tcPr>
          <w:p w:rsidR="00A61773" w:rsidRDefault="00A61773" w:rsidP="00C81356">
            <w:pPr>
              <w:spacing w:line="276" w:lineRule="auto"/>
              <w:jc w:val="center"/>
              <w:rPr>
                <w:szCs w:val="16"/>
              </w:rPr>
            </w:pPr>
            <w:r>
              <w:t>12.2</w:t>
            </w:r>
          </w:p>
        </w:tc>
        <w:tc>
          <w:tcPr>
            <w:tcW w:w="879" w:type="pct"/>
            <w:vAlign w:val="center"/>
            <w:hideMark/>
          </w:tcPr>
          <w:p w:rsidR="00A61773" w:rsidRDefault="00A61773" w:rsidP="00C81356">
            <w:pPr>
              <w:spacing w:line="276" w:lineRule="auto"/>
              <w:jc w:val="center"/>
              <w:rPr>
                <w:szCs w:val="16"/>
              </w:rPr>
            </w:pPr>
            <w:r>
              <w:t>Baseline LED Track Lighting</w:t>
            </w:r>
          </w:p>
        </w:tc>
        <w:tc>
          <w:tcPr>
            <w:tcW w:w="427" w:type="pct"/>
            <w:noWrap/>
            <w:vAlign w:val="center"/>
            <w:hideMark/>
          </w:tcPr>
          <w:p w:rsidR="00A61773" w:rsidRDefault="00A61773" w:rsidP="00C81356">
            <w:pPr>
              <w:spacing w:line="276" w:lineRule="auto"/>
              <w:jc w:val="center"/>
              <w:rPr>
                <w:szCs w:val="16"/>
              </w:rPr>
            </w:pPr>
            <w:r>
              <w:t>60.4</w:t>
            </w:r>
          </w:p>
        </w:tc>
        <w:tc>
          <w:tcPr>
            <w:tcW w:w="679" w:type="pct"/>
            <w:vAlign w:val="center"/>
            <w:hideMark/>
          </w:tcPr>
          <w:p w:rsidR="00A61773" w:rsidRDefault="00A61773" w:rsidP="00C81356">
            <w:pPr>
              <w:spacing w:line="276" w:lineRule="auto"/>
              <w:jc w:val="center"/>
              <w:rPr>
                <w:szCs w:val="16"/>
              </w:rPr>
            </w:pPr>
            <w:r>
              <w:t>2008-2010 EVT Historical Data of 242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$100.00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Wall-Wash Fixtures</w:t>
            </w:r>
          </w:p>
        </w:tc>
        <w:tc>
          <w:tcPr>
            <w:tcW w:w="341" w:type="pct"/>
            <w:noWrap/>
            <w:vAlign w:val="center"/>
            <w:hideMark/>
          </w:tcPr>
          <w:p w:rsidR="00A61773" w:rsidRDefault="00A61773" w:rsidP="00C81356">
            <w:pPr>
              <w:spacing w:line="276" w:lineRule="auto"/>
              <w:jc w:val="center"/>
              <w:rPr>
                <w:szCs w:val="16"/>
              </w:rPr>
            </w:pPr>
            <w:r>
              <w:t>8.3</w:t>
            </w:r>
          </w:p>
        </w:tc>
        <w:tc>
          <w:tcPr>
            <w:tcW w:w="879" w:type="pct"/>
            <w:vAlign w:val="center"/>
            <w:hideMark/>
          </w:tcPr>
          <w:p w:rsidR="00A61773" w:rsidRDefault="00A61773" w:rsidP="00C81356">
            <w:pPr>
              <w:spacing w:line="276" w:lineRule="auto"/>
              <w:jc w:val="center"/>
              <w:rPr>
                <w:szCs w:val="16"/>
              </w:rPr>
            </w:pPr>
            <w:r>
              <w:t>Baseline LED Wall-Wash Fixtures</w:t>
            </w:r>
          </w:p>
        </w:tc>
        <w:tc>
          <w:tcPr>
            <w:tcW w:w="427" w:type="pct"/>
            <w:noWrap/>
            <w:vAlign w:val="center"/>
            <w:hideMark/>
          </w:tcPr>
          <w:p w:rsidR="00A61773" w:rsidRDefault="00A61773" w:rsidP="00C81356">
            <w:pPr>
              <w:spacing w:line="276" w:lineRule="auto"/>
              <w:jc w:val="center"/>
              <w:rPr>
                <w:szCs w:val="16"/>
              </w:rPr>
            </w:pPr>
            <w:r>
              <w:t>17.7</w:t>
            </w:r>
          </w:p>
        </w:tc>
        <w:tc>
          <w:tcPr>
            <w:tcW w:w="679" w:type="pct"/>
            <w:vAlign w:val="center"/>
            <w:hideMark/>
          </w:tcPr>
          <w:p w:rsidR="00A61773" w:rsidRDefault="00A61773" w:rsidP="00C81356">
            <w:pPr>
              <w:spacing w:line="276" w:lineRule="auto"/>
              <w:jc w:val="center"/>
              <w:rPr>
                <w:szCs w:val="16"/>
              </w:rPr>
            </w:pPr>
            <w:r>
              <w:t xml:space="preserve">2008-2010 EVT Historical Data of </w:t>
            </w:r>
            <w:r>
              <w:lastRenderedPageBreak/>
              <w:t>220 Measures</w:t>
            </w:r>
          </w:p>
        </w:tc>
        <w:tc>
          <w:tcPr>
            <w:tcW w:w="376" w:type="pct"/>
            <w:shd w:val="clear" w:color="auto" w:fill="D9D9D9"/>
            <w:noWrap/>
            <w:vAlign w:val="center"/>
            <w:hideMark/>
          </w:tcPr>
          <w:p w:rsidR="00A61773" w:rsidRDefault="00A61773" w:rsidP="00C81356">
            <w:pPr>
              <w:spacing w:line="276" w:lineRule="auto"/>
              <w:jc w:val="center"/>
              <w:rPr>
                <w:szCs w:val="16"/>
              </w:rPr>
            </w:pPr>
            <w:r>
              <w:lastRenderedPageBreak/>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$80.00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lastRenderedPageBreak/>
              <w:t>LED Portable Desk/Task Light Fixtures</w:t>
            </w:r>
          </w:p>
        </w:tc>
        <w:tc>
          <w:tcPr>
            <w:tcW w:w="341" w:type="pct"/>
            <w:noWrap/>
            <w:vAlign w:val="center"/>
            <w:hideMark/>
          </w:tcPr>
          <w:p w:rsidR="00A61773" w:rsidRDefault="00A61773" w:rsidP="00C81356">
            <w:pPr>
              <w:spacing w:line="276" w:lineRule="auto"/>
              <w:jc w:val="center"/>
              <w:rPr>
                <w:szCs w:val="16"/>
              </w:rPr>
            </w:pPr>
            <w:r>
              <w:t>7.1</w:t>
            </w:r>
          </w:p>
        </w:tc>
        <w:tc>
          <w:tcPr>
            <w:tcW w:w="879" w:type="pct"/>
            <w:vAlign w:val="center"/>
            <w:hideMark/>
          </w:tcPr>
          <w:p w:rsidR="00A61773" w:rsidRDefault="00A61773" w:rsidP="00C81356">
            <w:pPr>
              <w:spacing w:line="276" w:lineRule="auto"/>
              <w:jc w:val="center"/>
              <w:rPr>
                <w:szCs w:val="16"/>
              </w:rPr>
            </w:pPr>
            <w:r>
              <w:t>Baseline LED Portable Desk/Task Light Fixtures</w:t>
            </w:r>
          </w:p>
        </w:tc>
        <w:tc>
          <w:tcPr>
            <w:tcW w:w="427" w:type="pct"/>
            <w:noWrap/>
            <w:vAlign w:val="center"/>
            <w:hideMark/>
          </w:tcPr>
          <w:p w:rsidR="00A61773" w:rsidRDefault="00A61773" w:rsidP="00C81356">
            <w:pPr>
              <w:spacing w:line="276" w:lineRule="auto"/>
              <w:jc w:val="center"/>
              <w:rPr>
                <w:szCs w:val="16"/>
              </w:rPr>
            </w:pPr>
            <w:r>
              <w:t>36.2</w:t>
            </w:r>
          </w:p>
        </w:tc>
        <w:tc>
          <w:tcPr>
            <w:tcW w:w="679" w:type="pct"/>
            <w:vAlign w:val="center"/>
            <w:hideMark/>
          </w:tcPr>
          <w:p w:rsidR="00A61773" w:rsidRDefault="00A61773" w:rsidP="00C81356">
            <w:pPr>
              <w:spacing w:line="276" w:lineRule="auto"/>
              <w:jc w:val="center"/>
              <w:rPr>
                <w:szCs w:val="16"/>
              </w:rPr>
            </w:pPr>
            <w:r>
              <w:t>2008-2010 EVT Historical Data of 21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 xml:space="preserve">LED </w:t>
            </w:r>
            <w:proofErr w:type="spellStart"/>
            <w:r>
              <w:t>Undercabinet</w:t>
            </w:r>
            <w:proofErr w:type="spellEnd"/>
            <w:r>
              <w:t xml:space="preserve"> Shelf-Mounted Task Light Fixtures (per foot)</w:t>
            </w:r>
          </w:p>
        </w:tc>
        <w:tc>
          <w:tcPr>
            <w:tcW w:w="341" w:type="pct"/>
            <w:noWrap/>
            <w:vAlign w:val="center"/>
            <w:hideMark/>
          </w:tcPr>
          <w:p w:rsidR="00A61773" w:rsidRDefault="00A61773" w:rsidP="00C81356">
            <w:pPr>
              <w:spacing w:line="276" w:lineRule="auto"/>
              <w:jc w:val="center"/>
              <w:rPr>
                <w:szCs w:val="16"/>
              </w:rPr>
            </w:pPr>
            <w:r>
              <w:t>7.1</w:t>
            </w:r>
          </w:p>
        </w:tc>
        <w:tc>
          <w:tcPr>
            <w:tcW w:w="879" w:type="pct"/>
            <w:vAlign w:val="center"/>
            <w:hideMark/>
          </w:tcPr>
          <w:p w:rsidR="00A61773" w:rsidRDefault="00A61773" w:rsidP="00C81356">
            <w:pPr>
              <w:spacing w:line="276" w:lineRule="auto"/>
              <w:jc w:val="center"/>
              <w:rPr>
                <w:szCs w:val="16"/>
              </w:rPr>
            </w:pPr>
            <w:r>
              <w:t xml:space="preserve">Baseline LED </w:t>
            </w:r>
            <w:proofErr w:type="spellStart"/>
            <w:r>
              <w:t>Undercabinet</w:t>
            </w:r>
            <w:proofErr w:type="spellEnd"/>
            <w:r>
              <w:t xml:space="preserve"> Shelf-Mounted Task Light Fixtures</w:t>
            </w:r>
          </w:p>
        </w:tc>
        <w:tc>
          <w:tcPr>
            <w:tcW w:w="427" w:type="pct"/>
            <w:noWrap/>
            <w:vAlign w:val="center"/>
            <w:hideMark/>
          </w:tcPr>
          <w:p w:rsidR="00A61773" w:rsidRDefault="00A61773" w:rsidP="00C81356">
            <w:pPr>
              <w:spacing w:line="276" w:lineRule="auto"/>
              <w:jc w:val="center"/>
              <w:rPr>
                <w:szCs w:val="16"/>
              </w:rPr>
            </w:pPr>
            <w:r>
              <w:t>36.2</w:t>
            </w:r>
          </w:p>
        </w:tc>
        <w:tc>
          <w:tcPr>
            <w:tcW w:w="679" w:type="pct"/>
            <w:vAlign w:val="center"/>
            <w:hideMark/>
          </w:tcPr>
          <w:p w:rsidR="00A61773" w:rsidRDefault="00A61773" w:rsidP="00C81356">
            <w:pPr>
              <w:spacing w:line="276" w:lineRule="auto"/>
              <w:jc w:val="center"/>
              <w:rPr>
                <w:szCs w:val="16"/>
              </w:rPr>
            </w:pPr>
            <w:r>
              <w:t>2008-2010 EVT Historical Data of 21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Refrigerated Case Light, Horizontal or Vertical (per foot of light bar)</w:t>
            </w:r>
          </w:p>
        </w:tc>
        <w:tc>
          <w:tcPr>
            <w:tcW w:w="341" w:type="pct"/>
            <w:noWrap/>
            <w:vAlign w:val="center"/>
            <w:hideMark/>
          </w:tcPr>
          <w:p w:rsidR="00A61773" w:rsidRDefault="00A61773" w:rsidP="00C81356">
            <w:pPr>
              <w:spacing w:line="276" w:lineRule="auto"/>
              <w:jc w:val="center"/>
              <w:rPr>
                <w:szCs w:val="16"/>
              </w:rPr>
            </w:pPr>
            <w:r>
              <w:t>7.6</w:t>
            </w:r>
          </w:p>
        </w:tc>
        <w:tc>
          <w:tcPr>
            <w:tcW w:w="879" w:type="pct"/>
            <w:vAlign w:val="center"/>
            <w:hideMark/>
          </w:tcPr>
          <w:p w:rsidR="00A61773" w:rsidRDefault="00A61773" w:rsidP="00C81356">
            <w:pPr>
              <w:spacing w:line="276" w:lineRule="auto"/>
              <w:jc w:val="center"/>
              <w:rPr>
                <w:szCs w:val="16"/>
              </w:rPr>
            </w:pPr>
            <w:r>
              <w:t>Baseline LED Refrigerated Case Light, Horizontal or Vertical (per foot of light bar)</w:t>
            </w:r>
          </w:p>
        </w:tc>
        <w:tc>
          <w:tcPr>
            <w:tcW w:w="427" w:type="pct"/>
            <w:noWrap/>
            <w:vAlign w:val="center"/>
            <w:hideMark/>
          </w:tcPr>
          <w:p w:rsidR="00A61773" w:rsidRDefault="00A61773" w:rsidP="00C81356">
            <w:pPr>
              <w:spacing w:line="276" w:lineRule="auto"/>
              <w:jc w:val="center"/>
              <w:rPr>
                <w:szCs w:val="16"/>
              </w:rPr>
            </w:pPr>
            <w:r>
              <w:t>15.2</w:t>
            </w:r>
          </w:p>
        </w:tc>
        <w:tc>
          <w:tcPr>
            <w:tcW w:w="679" w:type="pct"/>
            <w:vAlign w:val="center"/>
            <w:hideMark/>
          </w:tcPr>
          <w:p w:rsidR="00A61773" w:rsidRDefault="00A61773" w:rsidP="00C81356">
            <w:pPr>
              <w:spacing w:line="276" w:lineRule="auto"/>
              <w:jc w:val="center"/>
              <w:rPr>
                <w:szCs w:val="16"/>
              </w:rPr>
            </w:pPr>
            <w:r>
              <w:t>PG&amp;E Refrigerated Case Study</w:t>
            </w:r>
            <w:r>
              <w:rPr>
                <w:rStyle w:val="FootnoteReference"/>
              </w:rPr>
              <w:footnoteReference w:id="17"/>
            </w:r>
            <w:r>
              <w:t xml:space="preserve"> normalized to per foot of light bar.</w:t>
            </w:r>
          </w:p>
        </w:tc>
        <w:tc>
          <w:tcPr>
            <w:tcW w:w="376" w:type="pct"/>
            <w:shd w:val="clear" w:color="auto" w:fill="D9D9D9"/>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$50.00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Freezer Case Light, Horizontal or Vertical (per foot)</w:t>
            </w:r>
          </w:p>
        </w:tc>
        <w:tc>
          <w:tcPr>
            <w:tcW w:w="341" w:type="pct"/>
            <w:noWrap/>
            <w:vAlign w:val="center"/>
            <w:hideMark/>
          </w:tcPr>
          <w:p w:rsidR="00A61773" w:rsidRDefault="00A61773" w:rsidP="00C81356">
            <w:pPr>
              <w:spacing w:line="276" w:lineRule="auto"/>
              <w:jc w:val="center"/>
              <w:rPr>
                <w:szCs w:val="16"/>
              </w:rPr>
            </w:pPr>
            <w:r>
              <w:t>7.7</w:t>
            </w:r>
          </w:p>
        </w:tc>
        <w:tc>
          <w:tcPr>
            <w:tcW w:w="879" w:type="pct"/>
            <w:vAlign w:val="center"/>
            <w:hideMark/>
          </w:tcPr>
          <w:p w:rsidR="00A61773" w:rsidRDefault="00A61773" w:rsidP="00C81356">
            <w:pPr>
              <w:spacing w:line="276" w:lineRule="auto"/>
              <w:jc w:val="center"/>
              <w:rPr>
                <w:szCs w:val="16"/>
              </w:rPr>
            </w:pPr>
            <w:r>
              <w:t>Baseline LED Freezer Case Light, Horizontal or Vertical (per foot)</w:t>
            </w:r>
          </w:p>
        </w:tc>
        <w:tc>
          <w:tcPr>
            <w:tcW w:w="427" w:type="pct"/>
            <w:noWrap/>
            <w:vAlign w:val="center"/>
            <w:hideMark/>
          </w:tcPr>
          <w:p w:rsidR="00A61773" w:rsidRDefault="00A61773" w:rsidP="00C81356">
            <w:pPr>
              <w:spacing w:line="276" w:lineRule="auto"/>
              <w:jc w:val="center"/>
              <w:rPr>
                <w:szCs w:val="16"/>
              </w:rPr>
            </w:pPr>
            <w:r>
              <w:t>18.7</w:t>
            </w:r>
          </w:p>
        </w:tc>
        <w:tc>
          <w:tcPr>
            <w:tcW w:w="679" w:type="pct"/>
            <w:vAlign w:val="center"/>
            <w:hideMark/>
          </w:tcPr>
          <w:p w:rsidR="00A61773" w:rsidRDefault="00A61773" w:rsidP="00C81356">
            <w:pPr>
              <w:spacing w:line="276" w:lineRule="auto"/>
              <w:jc w:val="center"/>
              <w:rPr>
                <w:szCs w:val="16"/>
              </w:rPr>
            </w:pPr>
            <w:r>
              <w:t>PG&amp;E Refrigerated Case Study normalized to per foot.</w:t>
            </w:r>
          </w:p>
        </w:tc>
        <w:tc>
          <w:tcPr>
            <w:tcW w:w="376" w:type="pct"/>
            <w:shd w:val="clear" w:color="auto" w:fill="D9D9D9"/>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$50.00</w:t>
            </w:r>
          </w:p>
        </w:tc>
        <w:tc>
          <w:tcPr>
            <w:tcW w:w="386" w:type="pct"/>
            <w:vAlign w:val="center"/>
          </w:tcPr>
          <w:p w:rsidR="00A61773" w:rsidRDefault="00A61773" w:rsidP="00C81356">
            <w:pPr>
              <w:spacing w:line="276" w:lineRule="auto"/>
              <w:jc w:val="center"/>
            </w:pPr>
          </w:p>
        </w:tc>
      </w:tr>
      <w:tr w:rsidR="00A61773" w:rsidTr="00C81356">
        <w:trPr>
          <w:trHeight w:val="1020"/>
        </w:trPr>
        <w:tc>
          <w:tcPr>
            <w:tcW w:w="968" w:type="pct"/>
            <w:vAlign w:val="center"/>
            <w:hideMark/>
          </w:tcPr>
          <w:p w:rsidR="00A61773" w:rsidRDefault="00A61773" w:rsidP="00C81356">
            <w:pPr>
              <w:spacing w:line="276" w:lineRule="auto"/>
              <w:jc w:val="left"/>
            </w:pPr>
            <w:r>
              <w:t>LED Display Case Light Fixture (per foot)</w:t>
            </w:r>
          </w:p>
        </w:tc>
        <w:tc>
          <w:tcPr>
            <w:tcW w:w="341" w:type="pct"/>
            <w:noWrap/>
            <w:vAlign w:val="center"/>
            <w:hideMark/>
          </w:tcPr>
          <w:p w:rsidR="00A61773" w:rsidRDefault="00A61773" w:rsidP="00C81356">
            <w:pPr>
              <w:spacing w:line="276" w:lineRule="auto"/>
              <w:jc w:val="center"/>
              <w:rPr>
                <w:szCs w:val="16"/>
              </w:rPr>
            </w:pPr>
            <w:r>
              <w:t>7.1</w:t>
            </w:r>
          </w:p>
        </w:tc>
        <w:tc>
          <w:tcPr>
            <w:tcW w:w="879" w:type="pct"/>
            <w:vAlign w:val="center"/>
            <w:hideMark/>
          </w:tcPr>
          <w:p w:rsidR="00A61773" w:rsidRDefault="00A61773" w:rsidP="00C81356">
            <w:pPr>
              <w:spacing w:line="276" w:lineRule="auto"/>
              <w:jc w:val="center"/>
              <w:rPr>
                <w:szCs w:val="16"/>
              </w:rPr>
            </w:pPr>
            <w:r>
              <w:t>Baseline LED Display Case Light Fixture</w:t>
            </w:r>
          </w:p>
        </w:tc>
        <w:tc>
          <w:tcPr>
            <w:tcW w:w="427" w:type="pct"/>
            <w:noWrap/>
            <w:vAlign w:val="center"/>
            <w:hideMark/>
          </w:tcPr>
          <w:p w:rsidR="00A61773" w:rsidRDefault="00A61773" w:rsidP="00C81356">
            <w:pPr>
              <w:spacing w:line="276" w:lineRule="auto"/>
              <w:jc w:val="center"/>
              <w:rPr>
                <w:szCs w:val="16"/>
              </w:rPr>
            </w:pPr>
            <w:r>
              <w:t>36.2</w:t>
            </w:r>
          </w:p>
        </w:tc>
        <w:tc>
          <w:tcPr>
            <w:tcW w:w="679" w:type="pct"/>
            <w:vAlign w:val="center"/>
            <w:hideMark/>
          </w:tcPr>
          <w:p w:rsidR="00A61773" w:rsidRDefault="00A61773" w:rsidP="00C81356">
            <w:pPr>
              <w:spacing w:line="276" w:lineRule="auto"/>
              <w:jc w:val="center"/>
              <w:rPr>
                <w:szCs w:val="16"/>
              </w:rPr>
            </w:pPr>
            <w:r>
              <w:t xml:space="preserve">Modeled after LED </w:t>
            </w:r>
            <w:proofErr w:type="spellStart"/>
            <w:r>
              <w:t>Undercabinet</w:t>
            </w:r>
            <w:proofErr w:type="spellEnd"/>
            <w:r>
              <w:t xml:space="preserve"> Shelf-Mounted Task Light Fixtures (per foot)</w:t>
            </w:r>
          </w:p>
        </w:tc>
        <w:tc>
          <w:tcPr>
            <w:tcW w:w="376" w:type="pct"/>
            <w:shd w:val="clear" w:color="auto" w:fill="D9D9D9"/>
            <w:noWrap/>
            <w:vAlign w:val="center"/>
            <w:hideMark/>
          </w:tcPr>
          <w:p w:rsidR="00A61773" w:rsidRDefault="00A61773" w:rsidP="00C81356">
            <w:pPr>
              <w:spacing w:line="276" w:lineRule="auto"/>
              <w:jc w:val="center"/>
              <w:rPr>
                <w:szCs w:val="16"/>
              </w:rPr>
            </w:pPr>
            <w:r>
              <w:t>35,000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lastRenderedPageBreak/>
              <w:t>LED 2x2 Recessed Light Fixture</w:t>
            </w:r>
          </w:p>
        </w:tc>
        <w:tc>
          <w:tcPr>
            <w:tcW w:w="341" w:type="pct"/>
            <w:noWrap/>
            <w:vAlign w:val="center"/>
            <w:hideMark/>
          </w:tcPr>
          <w:p w:rsidR="00A61773" w:rsidRDefault="00A61773" w:rsidP="00C81356">
            <w:pPr>
              <w:spacing w:line="276" w:lineRule="auto"/>
              <w:jc w:val="center"/>
              <w:rPr>
                <w:szCs w:val="16"/>
              </w:rPr>
            </w:pPr>
            <w:r>
              <w:t>44.9</w:t>
            </w:r>
          </w:p>
        </w:tc>
        <w:tc>
          <w:tcPr>
            <w:tcW w:w="879" w:type="pct"/>
            <w:vAlign w:val="center"/>
            <w:hideMark/>
          </w:tcPr>
          <w:p w:rsidR="00A61773" w:rsidRDefault="00A61773" w:rsidP="00C81356">
            <w:pPr>
              <w:spacing w:line="276" w:lineRule="auto"/>
              <w:jc w:val="center"/>
              <w:rPr>
                <w:szCs w:val="16"/>
              </w:rPr>
            </w:pPr>
            <w:r>
              <w:t xml:space="preserve">T8 U-Tube 2L-FB32 w/ </w:t>
            </w:r>
            <w:proofErr w:type="spellStart"/>
            <w:r>
              <w:t>Elec</w:t>
            </w:r>
            <w:proofErr w:type="spellEnd"/>
            <w:r>
              <w:t xml:space="preserve"> - 2'</w:t>
            </w:r>
          </w:p>
        </w:tc>
        <w:tc>
          <w:tcPr>
            <w:tcW w:w="427" w:type="pct"/>
            <w:noWrap/>
            <w:vAlign w:val="center"/>
            <w:hideMark/>
          </w:tcPr>
          <w:p w:rsidR="00A61773" w:rsidRDefault="00A61773" w:rsidP="00C81356">
            <w:pPr>
              <w:spacing w:line="276" w:lineRule="auto"/>
              <w:jc w:val="center"/>
              <w:rPr>
                <w:szCs w:val="16"/>
              </w:rPr>
            </w:pPr>
            <w:r>
              <w:t>61.0</w:t>
            </w:r>
          </w:p>
        </w:tc>
        <w:tc>
          <w:tcPr>
            <w:tcW w:w="679" w:type="pct"/>
            <w:vAlign w:val="center"/>
            <w:hideMark/>
          </w:tcPr>
          <w:p w:rsidR="00A61773" w:rsidRDefault="00A61773" w:rsidP="00C81356">
            <w:pPr>
              <w:spacing w:line="276" w:lineRule="auto"/>
              <w:jc w:val="center"/>
              <w:rPr>
                <w:szCs w:val="16"/>
              </w:rPr>
            </w:pPr>
            <w:r>
              <w:t>Based on average watts of DLC qualified products as of 11/21/11</w:t>
            </w:r>
          </w:p>
        </w:tc>
        <w:tc>
          <w:tcPr>
            <w:tcW w:w="376" w:type="pct"/>
            <w:shd w:val="clear" w:color="auto" w:fill="D9D9D9"/>
            <w:noWrap/>
            <w:vAlign w:val="center"/>
            <w:hideMark/>
          </w:tcPr>
          <w:p w:rsidR="00A61773" w:rsidRDefault="00A61773" w:rsidP="00C81356">
            <w:pPr>
              <w:spacing w:line="276" w:lineRule="auto"/>
              <w:jc w:val="center"/>
              <w:rPr>
                <w:szCs w:val="16"/>
              </w:rPr>
            </w:pPr>
            <w:r>
              <w:t>35,000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$75.00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2x4 Recessed Light Fixture</w:t>
            </w:r>
          </w:p>
        </w:tc>
        <w:tc>
          <w:tcPr>
            <w:tcW w:w="341" w:type="pct"/>
            <w:noWrap/>
            <w:vAlign w:val="center"/>
            <w:hideMark/>
          </w:tcPr>
          <w:p w:rsidR="00A61773" w:rsidRDefault="00A61773" w:rsidP="00C81356">
            <w:pPr>
              <w:spacing w:line="276" w:lineRule="auto"/>
              <w:jc w:val="center"/>
              <w:rPr>
                <w:szCs w:val="16"/>
              </w:rPr>
            </w:pPr>
            <w:r>
              <w:t>53.6</w:t>
            </w:r>
          </w:p>
        </w:tc>
        <w:tc>
          <w:tcPr>
            <w:tcW w:w="879" w:type="pct"/>
            <w:vAlign w:val="center"/>
            <w:hideMark/>
          </w:tcPr>
          <w:p w:rsidR="00A61773" w:rsidRDefault="00A61773" w:rsidP="00C81356">
            <w:pPr>
              <w:spacing w:line="276" w:lineRule="auto"/>
              <w:jc w:val="center"/>
              <w:rPr>
                <w:szCs w:val="16"/>
              </w:rPr>
            </w:pPr>
            <w:r>
              <w:t xml:space="preserve">T8 3L-F32 w/ </w:t>
            </w:r>
            <w:proofErr w:type="spellStart"/>
            <w:r>
              <w:t>Elec</w:t>
            </w:r>
            <w:proofErr w:type="spellEnd"/>
            <w:r>
              <w:t xml:space="preserve"> - 4'</w:t>
            </w:r>
          </w:p>
        </w:tc>
        <w:tc>
          <w:tcPr>
            <w:tcW w:w="427" w:type="pct"/>
            <w:noWrap/>
            <w:vAlign w:val="center"/>
            <w:hideMark/>
          </w:tcPr>
          <w:p w:rsidR="00A61773" w:rsidRDefault="00A61773" w:rsidP="00C81356">
            <w:pPr>
              <w:spacing w:line="276" w:lineRule="auto"/>
              <w:jc w:val="center"/>
              <w:rPr>
                <w:szCs w:val="16"/>
              </w:rPr>
            </w:pPr>
            <w:r>
              <w:t>88.0</w:t>
            </w:r>
          </w:p>
        </w:tc>
        <w:tc>
          <w:tcPr>
            <w:tcW w:w="679" w:type="pct"/>
            <w:vAlign w:val="center"/>
            <w:hideMark/>
          </w:tcPr>
          <w:p w:rsidR="00A61773" w:rsidRDefault="00A61773" w:rsidP="00C81356">
            <w:pPr>
              <w:spacing w:line="276" w:lineRule="auto"/>
              <w:jc w:val="center"/>
              <w:rPr>
                <w:szCs w:val="16"/>
              </w:rPr>
            </w:pPr>
            <w:r>
              <w:t>Based on average watts of DLC qualified products as of 11/21/11</w:t>
            </w:r>
          </w:p>
        </w:tc>
        <w:tc>
          <w:tcPr>
            <w:tcW w:w="376" w:type="pct"/>
            <w:shd w:val="clear" w:color="auto" w:fill="D9D9D9"/>
            <w:noWrap/>
            <w:vAlign w:val="center"/>
            <w:hideMark/>
          </w:tcPr>
          <w:p w:rsidR="00A61773" w:rsidRDefault="00A61773" w:rsidP="00C81356">
            <w:pPr>
              <w:spacing w:line="276" w:lineRule="auto"/>
              <w:jc w:val="center"/>
              <w:rPr>
                <w:szCs w:val="16"/>
              </w:rPr>
            </w:pPr>
            <w:r>
              <w:t>35,000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$125.00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1x4 Recessed Light Fixture</w:t>
            </w:r>
          </w:p>
        </w:tc>
        <w:tc>
          <w:tcPr>
            <w:tcW w:w="341" w:type="pct"/>
            <w:noWrap/>
            <w:vAlign w:val="center"/>
            <w:hideMark/>
          </w:tcPr>
          <w:p w:rsidR="00A61773" w:rsidRDefault="00A61773" w:rsidP="00C81356">
            <w:pPr>
              <w:spacing w:line="276" w:lineRule="auto"/>
              <w:jc w:val="center"/>
              <w:rPr>
                <w:szCs w:val="16"/>
              </w:rPr>
            </w:pPr>
            <w:r>
              <w:t>32.2</w:t>
            </w:r>
          </w:p>
        </w:tc>
        <w:tc>
          <w:tcPr>
            <w:tcW w:w="879" w:type="pct"/>
            <w:vAlign w:val="center"/>
            <w:hideMark/>
          </w:tcPr>
          <w:p w:rsidR="00A61773" w:rsidRDefault="00A61773" w:rsidP="00C81356">
            <w:pPr>
              <w:spacing w:line="276" w:lineRule="auto"/>
              <w:jc w:val="center"/>
              <w:rPr>
                <w:szCs w:val="16"/>
              </w:rPr>
            </w:pPr>
            <w:r>
              <w:t xml:space="preserve">T8 2L-F32 w/ </w:t>
            </w:r>
            <w:proofErr w:type="spellStart"/>
            <w:r>
              <w:t>Elec</w:t>
            </w:r>
            <w:proofErr w:type="spellEnd"/>
            <w:r>
              <w:t xml:space="preserve"> - 4'</w:t>
            </w:r>
          </w:p>
        </w:tc>
        <w:tc>
          <w:tcPr>
            <w:tcW w:w="427" w:type="pct"/>
            <w:noWrap/>
            <w:vAlign w:val="center"/>
            <w:hideMark/>
          </w:tcPr>
          <w:p w:rsidR="00A61773" w:rsidRDefault="00A61773" w:rsidP="00C81356">
            <w:pPr>
              <w:spacing w:line="276" w:lineRule="auto"/>
              <w:jc w:val="center"/>
              <w:rPr>
                <w:szCs w:val="16"/>
              </w:rPr>
            </w:pPr>
            <w:r>
              <w:t>59.0</w:t>
            </w:r>
          </w:p>
        </w:tc>
        <w:tc>
          <w:tcPr>
            <w:tcW w:w="679" w:type="pct"/>
            <w:vAlign w:val="center"/>
            <w:hideMark/>
          </w:tcPr>
          <w:p w:rsidR="00A61773" w:rsidRDefault="00A61773" w:rsidP="00C81356">
            <w:pPr>
              <w:spacing w:line="276" w:lineRule="auto"/>
              <w:jc w:val="center"/>
              <w:rPr>
                <w:szCs w:val="16"/>
              </w:rPr>
            </w:pPr>
            <w:r>
              <w:t>Based on average watts of DLC qualified products as of 11/21/11</w:t>
            </w:r>
          </w:p>
        </w:tc>
        <w:tc>
          <w:tcPr>
            <w:tcW w:w="376" w:type="pct"/>
            <w:shd w:val="clear" w:color="auto" w:fill="D9D9D9"/>
            <w:noWrap/>
            <w:vAlign w:val="center"/>
            <w:hideMark/>
          </w:tcPr>
          <w:p w:rsidR="00A61773" w:rsidRDefault="00A61773" w:rsidP="00C81356">
            <w:pPr>
              <w:spacing w:line="276" w:lineRule="auto"/>
              <w:jc w:val="center"/>
              <w:rPr>
                <w:szCs w:val="16"/>
              </w:rPr>
            </w:pPr>
            <w:r>
              <w:t>35,000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$100.00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High- and Low-Bay Fixtures</w:t>
            </w:r>
          </w:p>
        </w:tc>
        <w:tc>
          <w:tcPr>
            <w:tcW w:w="341" w:type="pct"/>
            <w:noWrap/>
            <w:vAlign w:val="center"/>
            <w:hideMark/>
          </w:tcPr>
          <w:p w:rsidR="00A61773" w:rsidRDefault="00A61773" w:rsidP="00C81356">
            <w:pPr>
              <w:spacing w:line="276" w:lineRule="auto"/>
              <w:jc w:val="center"/>
              <w:rPr>
                <w:szCs w:val="16"/>
              </w:rPr>
            </w:pPr>
            <w:r>
              <w:t>160.2</w:t>
            </w:r>
          </w:p>
        </w:tc>
        <w:tc>
          <w:tcPr>
            <w:tcW w:w="879" w:type="pct"/>
            <w:vAlign w:val="center"/>
            <w:hideMark/>
          </w:tcPr>
          <w:p w:rsidR="00A61773" w:rsidRDefault="00A61773" w:rsidP="00C81356">
            <w:pPr>
              <w:spacing w:line="276" w:lineRule="auto"/>
              <w:jc w:val="center"/>
              <w:rPr>
                <w:szCs w:val="16"/>
              </w:rPr>
            </w:pPr>
            <w:r>
              <w:t>MH 250 W CWA Pulse Start</w:t>
            </w:r>
          </w:p>
        </w:tc>
        <w:tc>
          <w:tcPr>
            <w:tcW w:w="427" w:type="pct"/>
            <w:noWrap/>
            <w:vAlign w:val="center"/>
            <w:hideMark/>
          </w:tcPr>
          <w:p w:rsidR="00A61773" w:rsidRDefault="00A61773" w:rsidP="00C81356">
            <w:pPr>
              <w:spacing w:line="276" w:lineRule="auto"/>
              <w:jc w:val="center"/>
              <w:rPr>
                <w:szCs w:val="16"/>
              </w:rPr>
            </w:pPr>
            <w:r>
              <w:t>295.0</w:t>
            </w:r>
          </w:p>
        </w:tc>
        <w:tc>
          <w:tcPr>
            <w:tcW w:w="679" w:type="pct"/>
            <w:vAlign w:val="center"/>
            <w:hideMark/>
          </w:tcPr>
          <w:p w:rsidR="00A61773" w:rsidRDefault="00A61773" w:rsidP="00C81356">
            <w:pPr>
              <w:spacing w:line="276" w:lineRule="auto"/>
              <w:jc w:val="center"/>
              <w:rPr>
                <w:szCs w:val="16"/>
              </w:rPr>
            </w:pPr>
            <w:r>
              <w:t>Based on average watts of DLC qualified products as of 11/21/11</w:t>
            </w:r>
          </w:p>
        </w:tc>
        <w:tc>
          <w:tcPr>
            <w:tcW w:w="376" w:type="pct"/>
            <w:shd w:val="clear" w:color="auto" w:fill="D9D9D9"/>
            <w:noWrap/>
            <w:vAlign w:val="center"/>
            <w:hideMark/>
          </w:tcPr>
          <w:p w:rsidR="00A61773" w:rsidRDefault="00A61773" w:rsidP="00C81356">
            <w:pPr>
              <w:spacing w:line="276" w:lineRule="auto"/>
              <w:jc w:val="center"/>
              <w:rPr>
                <w:szCs w:val="16"/>
              </w:rPr>
            </w:pPr>
            <w:r>
              <w:t>35,000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$200.00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Outdoor Pole/Arm Mounted Parking/Roadway, &lt; 30W</w:t>
            </w:r>
          </w:p>
        </w:tc>
        <w:tc>
          <w:tcPr>
            <w:tcW w:w="341" w:type="pct"/>
            <w:noWrap/>
            <w:vAlign w:val="center"/>
            <w:hideMark/>
          </w:tcPr>
          <w:p w:rsidR="00A61773" w:rsidRDefault="00A61773" w:rsidP="00C81356">
            <w:pPr>
              <w:spacing w:line="276" w:lineRule="auto"/>
              <w:jc w:val="center"/>
              <w:rPr>
                <w:szCs w:val="16"/>
              </w:rPr>
            </w:pPr>
            <w:r>
              <w:t>18.6</w:t>
            </w:r>
          </w:p>
        </w:tc>
        <w:tc>
          <w:tcPr>
            <w:tcW w:w="879" w:type="pct"/>
            <w:vAlign w:val="center"/>
            <w:hideMark/>
          </w:tcPr>
          <w:p w:rsidR="00A61773" w:rsidRDefault="00A61773" w:rsidP="00C81356">
            <w:pPr>
              <w:spacing w:line="276" w:lineRule="auto"/>
              <w:jc w:val="center"/>
              <w:rPr>
                <w:szCs w:val="16"/>
              </w:rPr>
            </w:pPr>
            <w:r>
              <w:t>Baseline LED Outdoor Pole/Arm Mounted Parking/Roadway, &lt; 30W</w:t>
            </w:r>
          </w:p>
        </w:tc>
        <w:tc>
          <w:tcPr>
            <w:tcW w:w="427" w:type="pct"/>
            <w:noWrap/>
            <w:vAlign w:val="center"/>
            <w:hideMark/>
          </w:tcPr>
          <w:p w:rsidR="00A61773" w:rsidRDefault="00A61773" w:rsidP="00C81356">
            <w:pPr>
              <w:spacing w:line="276" w:lineRule="auto"/>
              <w:jc w:val="center"/>
              <w:rPr>
                <w:szCs w:val="16"/>
              </w:rPr>
            </w:pPr>
            <w:r>
              <w:t>124.3</w:t>
            </w:r>
          </w:p>
        </w:tc>
        <w:tc>
          <w:tcPr>
            <w:tcW w:w="679" w:type="pct"/>
            <w:vAlign w:val="center"/>
            <w:hideMark/>
          </w:tcPr>
          <w:p w:rsidR="00A61773" w:rsidRDefault="00A61773" w:rsidP="00C81356">
            <w:pPr>
              <w:spacing w:line="276" w:lineRule="auto"/>
              <w:jc w:val="center"/>
              <w:rPr>
                <w:szCs w:val="16"/>
              </w:rPr>
            </w:pPr>
            <w:r>
              <w:t>2008-2010 EVT Historical Data of 2,813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$125.00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Outdoor Pole/Arm Mounted Parking/Roadway, 30W - 75W</w:t>
            </w:r>
          </w:p>
        </w:tc>
        <w:tc>
          <w:tcPr>
            <w:tcW w:w="341" w:type="pct"/>
            <w:noWrap/>
            <w:vAlign w:val="center"/>
            <w:hideMark/>
          </w:tcPr>
          <w:p w:rsidR="00A61773" w:rsidRDefault="00A61773" w:rsidP="00C81356">
            <w:pPr>
              <w:spacing w:line="276" w:lineRule="auto"/>
              <w:jc w:val="center"/>
              <w:rPr>
                <w:szCs w:val="16"/>
              </w:rPr>
            </w:pPr>
            <w:r>
              <w:t>52.5</w:t>
            </w:r>
          </w:p>
        </w:tc>
        <w:tc>
          <w:tcPr>
            <w:tcW w:w="879" w:type="pct"/>
            <w:vAlign w:val="center"/>
            <w:hideMark/>
          </w:tcPr>
          <w:p w:rsidR="00A61773" w:rsidRDefault="00A61773" w:rsidP="00C81356">
            <w:pPr>
              <w:spacing w:line="276" w:lineRule="auto"/>
              <w:jc w:val="center"/>
              <w:rPr>
                <w:szCs w:val="16"/>
              </w:rPr>
            </w:pPr>
            <w:r>
              <w:t>Baseline LED Outdoor Pole/Arm Mounted Parking/Roadway, 30W - 75W</w:t>
            </w:r>
          </w:p>
        </w:tc>
        <w:tc>
          <w:tcPr>
            <w:tcW w:w="427" w:type="pct"/>
            <w:noWrap/>
            <w:vAlign w:val="center"/>
            <w:hideMark/>
          </w:tcPr>
          <w:p w:rsidR="00A61773" w:rsidRDefault="00A61773" w:rsidP="00C81356">
            <w:pPr>
              <w:spacing w:line="276" w:lineRule="auto"/>
              <w:jc w:val="center"/>
              <w:rPr>
                <w:szCs w:val="16"/>
              </w:rPr>
            </w:pPr>
            <w:r>
              <w:t>182.9</w:t>
            </w:r>
          </w:p>
        </w:tc>
        <w:tc>
          <w:tcPr>
            <w:tcW w:w="679" w:type="pct"/>
            <w:vAlign w:val="center"/>
            <w:hideMark/>
          </w:tcPr>
          <w:p w:rsidR="00A61773" w:rsidRDefault="00A61773" w:rsidP="00C81356">
            <w:pPr>
              <w:spacing w:line="276" w:lineRule="auto"/>
              <w:jc w:val="center"/>
              <w:rPr>
                <w:szCs w:val="16"/>
              </w:rPr>
            </w:pPr>
            <w:r>
              <w:t>2008-2010 EVT Historical Data of 1,081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lastRenderedPageBreak/>
              <w:t>LED Outdoor Pole/Arm Mounted Parking/Roadway, &gt;= 75W</w:t>
            </w:r>
          </w:p>
        </w:tc>
        <w:tc>
          <w:tcPr>
            <w:tcW w:w="341" w:type="pct"/>
            <w:noWrap/>
            <w:vAlign w:val="center"/>
            <w:hideMark/>
          </w:tcPr>
          <w:p w:rsidR="00A61773" w:rsidRDefault="00A61773" w:rsidP="00C81356">
            <w:pPr>
              <w:spacing w:line="276" w:lineRule="auto"/>
              <w:jc w:val="center"/>
              <w:rPr>
                <w:szCs w:val="16"/>
              </w:rPr>
            </w:pPr>
            <w:r>
              <w:t>116.8</w:t>
            </w:r>
          </w:p>
        </w:tc>
        <w:tc>
          <w:tcPr>
            <w:tcW w:w="879" w:type="pct"/>
            <w:vAlign w:val="center"/>
            <w:hideMark/>
          </w:tcPr>
          <w:p w:rsidR="00A61773" w:rsidRDefault="00A61773" w:rsidP="00C81356">
            <w:pPr>
              <w:spacing w:line="276" w:lineRule="auto"/>
              <w:jc w:val="center"/>
              <w:rPr>
                <w:szCs w:val="16"/>
              </w:rPr>
            </w:pPr>
            <w:r>
              <w:t>Baseline LED Outdoor Pole/Arm Mounted Parking/Roadway, &gt;= 75W</w:t>
            </w:r>
          </w:p>
        </w:tc>
        <w:tc>
          <w:tcPr>
            <w:tcW w:w="427" w:type="pct"/>
            <w:noWrap/>
            <w:vAlign w:val="center"/>
            <w:hideMark/>
          </w:tcPr>
          <w:p w:rsidR="00A61773" w:rsidRDefault="00A61773" w:rsidP="00C81356">
            <w:pPr>
              <w:spacing w:line="276" w:lineRule="auto"/>
              <w:jc w:val="center"/>
              <w:rPr>
                <w:szCs w:val="16"/>
              </w:rPr>
            </w:pPr>
            <w:r>
              <w:t>361.4</w:t>
            </w:r>
          </w:p>
        </w:tc>
        <w:tc>
          <w:tcPr>
            <w:tcW w:w="679" w:type="pct"/>
            <w:vAlign w:val="center"/>
            <w:hideMark/>
          </w:tcPr>
          <w:p w:rsidR="00A61773" w:rsidRDefault="00A61773" w:rsidP="00C81356">
            <w:pPr>
              <w:spacing w:line="276" w:lineRule="auto"/>
              <w:jc w:val="center"/>
              <w:rPr>
                <w:szCs w:val="16"/>
              </w:rPr>
            </w:pPr>
            <w:r>
              <w:t>2008-2010 EVT Historical Data of 806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$375.00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Outdoor Pole/Arm Mounted Decorative Parking/Roadway, &lt; 30W</w:t>
            </w:r>
          </w:p>
        </w:tc>
        <w:tc>
          <w:tcPr>
            <w:tcW w:w="341" w:type="pct"/>
            <w:noWrap/>
            <w:vAlign w:val="center"/>
            <w:hideMark/>
          </w:tcPr>
          <w:p w:rsidR="00A61773" w:rsidRDefault="00A61773" w:rsidP="00C81356">
            <w:pPr>
              <w:spacing w:line="276" w:lineRule="auto"/>
              <w:jc w:val="center"/>
              <w:rPr>
                <w:szCs w:val="16"/>
              </w:rPr>
            </w:pPr>
            <w:r>
              <w:t>18.6</w:t>
            </w:r>
          </w:p>
        </w:tc>
        <w:tc>
          <w:tcPr>
            <w:tcW w:w="879" w:type="pct"/>
            <w:vAlign w:val="center"/>
            <w:hideMark/>
          </w:tcPr>
          <w:p w:rsidR="00A61773" w:rsidRDefault="00A61773" w:rsidP="00C81356">
            <w:pPr>
              <w:spacing w:line="276" w:lineRule="auto"/>
              <w:jc w:val="center"/>
              <w:rPr>
                <w:szCs w:val="16"/>
              </w:rPr>
            </w:pPr>
            <w:r>
              <w:t>Baseline LED Outdoor Pole/Arm Mounted Decorative Parking/Roadway, &lt; 30W</w:t>
            </w:r>
          </w:p>
        </w:tc>
        <w:tc>
          <w:tcPr>
            <w:tcW w:w="427" w:type="pct"/>
            <w:noWrap/>
            <w:vAlign w:val="center"/>
            <w:hideMark/>
          </w:tcPr>
          <w:p w:rsidR="00A61773" w:rsidRDefault="00A61773" w:rsidP="00C81356">
            <w:pPr>
              <w:spacing w:line="276" w:lineRule="auto"/>
              <w:jc w:val="center"/>
              <w:rPr>
                <w:szCs w:val="16"/>
              </w:rPr>
            </w:pPr>
            <w:r>
              <w:t>124.3</w:t>
            </w:r>
          </w:p>
        </w:tc>
        <w:tc>
          <w:tcPr>
            <w:tcW w:w="679" w:type="pct"/>
            <w:vAlign w:val="center"/>
            <w:hideMark/>
          </w:tcPr>
          <w:p w:rsidR="00A61773" w:rsidRDefault="00A61773" w:rsidP="00C81356">
            <w:pPr>
              <w:spacing w:line="276" w:lineRule="auto"/>
              <w:jc w:val="center"/>
              <w:rPr>
                <w:szCs w:val="16"/>
              </w:rPr>
            </w:pPr>
            <w:r>
              <w:t>2008-2010 EVT Historical Data of 2,813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$125.00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Outdoor Pole/Arm Mounted Decorative Parking/Roadway, 30W - 75W</w:t>
            </w:r>
          </w:p>
        </w:tc>
        <w:tc>
          <w:tcPr>
            <w:tcW w:w="341" w:type="pct"/>
            <w:noWrap/>
            <w:vAlign w:val="center"/>
            <w:hideMark/>
          </w:tcPr>
          <w:p w:rsidR="00A61773" w:rsidRDefault="00A61773" w:rsidP="00C81356">
            <w:pPr>
              <w:spacing w:line="276" w:lineRule="auto"/>
              <w:jc w:val="center"/>
              <w:rPr>
                <w:szCs w:val="16"/>
              </w:rPr>
            </w:pPr>
            <w:r>
              <w:t>52.5</w:t>
            </w:r>
          </w:p>
        </w:tc>
        <w:tc>
          <w:tcPr>
            <w:tcW w:w="879" w:type="pct"/>
            <w:vAlign w:val="center"/>
            <w:hideMark/>
          </w:tcPr>
          <w:p w:rsidR="00A61773" w:rsidRDefault="00A61773" w:rsidP="00C81356">
            <w:pPr>
              <w:spacing w:line="276" w:lineRule="auto"/>
              <w:jc w:val="center"/>
              <w:rPr>
                <w:szCs w:val="16"/>
              </w:rPr>
            </w:pPr>
            <w:r>
              <w:t>Baseline LED Outdoor Pole/Arm Mounted Decorative Parking/Roadway, 30W - 75W</w:t>
            </w:r>
          </w:p>
        </w:tc>
        <w:tc>
          <w:tcPr>
            <w:tcW w:w="427" w:type="pct"/>
            <w:noWrap/>
            <w:vAlign w:val="center"/>
            <w:hideMark/>
          </w:tcPr>
          <w:p w:rsidR="00A61773" w:rsidRDefault="00A61773" w:rsidP="00C81356">
            <w:pPr>
              <w:spacing w:line="276" w:lineRule="auto"/>
              <w:jc w:val="center"/>
              <w:rPr>
                <w:szCs w:val="16"/>
              </w:rPr>
            </w:pPr>
            <w:r>
              <w:t>182.9</w:t>
            </w:r>
          </w:p>
        </w:tc>
        <w:tc>
          <w:tcPr>
            <w:tcW w:w="679" w:type="pct"/>
            <w:vAlign w:val="center"/>
            <w:hideMark/>
          </w:tcPr>
          <w:p w:rsidR="00A61773" w:rsidRDefault="00A61773" w:rsidP="00C81356">
            <w:pPr>
              <w:spacing w:line="276" w:lineRule="auto"/>
              <w:jc w:val="center"/>
              <w:rPr>
                <w:szCs w:val="16"/>
              </w:rPr>
            </w:pPr>
            <w:r>
              <w:t>2008-2010 EVT Historical Data of 1,081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$250.00</w:t>
            </w:r>
          </w:p>
        </w:tc>
        <w:tc>
          <w:tcPr>
            <w:tcW w:w="386" w:type="pct"/>
            <w:vAlign w:val="center"/>
          </w:tcPr>
          <w:p w:rsidR="00A61773" w:rsidRDefault="00A61773" w:rsidP="00C81356">
            <w:pPr>
              <w:spacing w:line="276" w:lineRule="auto"/>
              <w:jc w:val="center"/>
            </w:pPr>
          </w:p>
        </w:tc>
      </w:tr>
      <w:tr w:rsidR="00A61773" w:rsidTr="00C81356">
        <w:trPr>
          <w:trHeight w:val="765"/>
        </w:trPr>
        <w:tc>
          <w:tcPr>
            <w:tcW w:w="968" w:type="pct"/>
            <w:vAlign w:val="center"/>
            <w:hideMark/>
          </w:tcPr>
          <w:p w:rsidR="00A61773" w:rsidRDefault="00A61773" w:rsidP="00C81356">
            <w:pPr>
              <w:spacing w:line="276" w:lineRule="auto"/>
              <w:jc w:val="left"/>
            </w:pPr>
            <w:r>
              <w:t>LED Outdoor Pole/Arm Mounted Decorative Parking/Roadway, &gt;= 75W</w:t>
            </w:r>
          </w:p>
        </w:tc>
        <w:tc>
          <w:tcPr>
            <w:tcW w:w="341" w:type="pct"/>
            <w:noWrap/>
            <w:vAlign w:val="center"/>
            <w:hideMark/>
          </w:tcPr>
          <w:p w:rsidR="00A61773" w:rsidRDefault="00A61773" w:rsidP="00C81356">
            <w:pPr>
              <w:spacing w:line="276" w:lineRule="auto"/>
              <w:jc w:val="center"/>
              <w:rPr>
                <w:szCs w:val="16"/>
              </w:rPr>
            </w:pPr>
            <w:r>
              <w:t>116.8</w:t>
            </w:r>
          </w:p>
        </w:tc>
        <w:tc>
          <w:tcPr>
            <w:tcW w:w="879" w:type="pct"/>
            <w:vAlign w:val="center"/>
            <w:hideMark/>
          </w:tcPr>
          <w:p w:rsidR="00A61773" w:rsidRDefault="00A61773" w:rsidP="00C81356">
            <w:pPr>
              <w:spacing w:line="276" w:lineRule="auto"/>
              <w:jc w:val="center"/>
              <w:rPr>
                <w:szCs w:val="16"/>
              </w:rPr>
            </w:pPr>
            <w:r>
              <w:t>Baseline LED Outdoor Pole/Arm Mounted Decorative Parking/Roadway, &gt;= 75W</w:t>
            </w:r>
          </w:p>
        </w:tc>
        <w:tc>
          <w:tcPr>
            <w:tcW w:w="427" w:type="pct"/>
            <w:noWrap/>
            <w:vAlign w:val="center"/>
            <w:hideMark/>
          </w:tcPr>
          <w:p w:rsidR="00A61773" w:rsidRDefault="00A61773" w:rsidP="00C81356">
            <w:pPr>
              <w:spacing w:line="276" w:lineRule="auto"/>
              <w:jc w:val="center"/>
              <w:rPr>
                <w:szCs w:val="16"/>
              </w:rPr>
            </w:pPr>
            <w:r>
              <w:t>361.4</w:t>
            </w:r>
          </w:p>
        </w:tc>
        <w:tc>
          <w:tcPr>
            <w:tcW w:w="679" w:type="pct"/>
            <w:vAlign w:val="center"/>
            <w:hideMark/>
          </w:tcPr>
          <w:p w:rsidR="00A61773" w:rsidRDefault="00A61773" w:rsidP="00C81356">
            <w:pPr>
              <w:spacing w:line="276" w:lineRule="auto"/>
              <w:jc w:val="center"/>
              <w:rPr>
                <w:szCs w:val="16"/>
              </w:rPr>
            </w:pPr>
            <w:r>
              <w:t>2008-2010 EVT Historical Data of 806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$375.00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Parking Garage/Canopy, &lt; 30W</w:t>
            </w:r>
          </w:p>
        </w:tc>
        <w:tc>
          <w:tcPr>
            <w:tcW w:w="341" w:type="pct"/>
            <w:noWrap/>
            <w:vAlign w:val="center"/>
            <w:hideMark/>
          </w:tcPr>
          <w:p w:rsidR="00A61773" w:rsidRDefault="00A61773" w:rsidP="00C81356">
            <w:pPr>
              <w:spacing w:line="276" w:lineRule="auto"/>
              <w:jc w:val="center"/>
              <w:rPr>
                <w:szCs w:val="16"/>
              </w:rPr>
            </w:pPr>
            <w:r>
              <w:t>18.6</w:t>
            </w:r>
          </w:p>
        </w:tc>
        <w:tc>
          <w:tcPr>
            <w:tcW w:w="879" w:type="pct"/>
            <w:vAlign w:val="center"/>
            <w:hideMark/>
          </w:tcPr>
          <w:p w:rsidR="00A61773" w:rsidRDefault="00A61773" w:rsidP="00C81356">
            <w:pPr>
              <w:spacing w:line="276" w:lineRule="auto"/>
              <w:jc w:val="center"/>
              <w:rPr>
                <w:szCs w:val="16"/>
              </w:rPr>
            </w:pPr>
            <w:r>
              <w:t>Baseline LED Parking Garage/Canopy, &lt; 30W</w:t>
            </w:r>
          </w:p>
        </w:tc>
        <w:tc>
          <w:tcPr>
            <w:tcW w:w="427" w:type="pct"/>
            <w:noWrap/>
            <w:vAlign w:val="center"/>
            <w:hideMark/>
          </w:tcPr>
          <w:p w:rsidR="00A61773" w:rsidRDefault="00A61773" w:rsidP="00C81356">
            <w:pPr>
              <w:spacing w:line="276" w:lineRule="auto"/>
              <w:jc w:val="center"/>
              <w:rPr>
                <w:szCs w:val="16"/>
              </w:rPr>
            </w:pPr>
            <w:r>
              <w:t>124.3</w:t>
            </w:r>
          </w:p>
        </w:tc>
        <w:tc>
          <w:tcPr>
            <w:tcW w:w="679" w:type="pct"/>
            <w:vAlign w:val="center"/>
            <w:hideMark/>
          </w:tcPr>
          <w:p w:rsidR="00A61773" w:rsidRDefault="00A61773" w:rsidP="00C81356">
            <w:pPr>
              <w:spacing w:line="276" w:lineRule="auto"/>
              <w:jc w:val="center"/>
              <w:rPr>
                <w:szCs w:val="16"/>
              </w:rPr>
            </w:pPr>
            <w:r>
              <w:t>2008-2010 EVT Historical Data of 2,813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$125.00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Parking Garage/Canopy, 30W - 75W</w:t>
            </w:r>
          </w:p>
        </w:tc>
        <w:tc>
          <w:tcPr>
            <w:tcW w:w="341" w:type="pct"/>
            <w:noWrap/>
            <w:vAlign w:val="center"/>
            <w:hideMark/>
          </w:tcPr>
          <w:p w:rsidR="00A61773" w:rsidRDefault="00A61773" w:rsidP="00C81356">
            <w:pPr>
              <w:spacing w:line="276" w:lineRule="auto"/>
              <w:jc w:val="center"/>
              <w:rPr>
                <w:szCs w:val="16"/>
              </w:rPr>
            </w:pPr>
            <w:r>
              <w:t>52.5</w:t>
            </w:r>
          </w:p>
        </w:tc>
        <w:tc>
          <w:tcPr>
            <w:tcW w:w="879" w:type="pct"/>
            <w:vAlign w:val="center"/>
            <w:hideMark/>
          </w:tcPr>
          <w:p w:rsidR="00A61773" w:rsidRDefault="00A61773" w:rsidP="00C81356">
            <w:pPr>
              <w:spacing w:line="276" w:lineRule="auto"/>
              <w:jc w:val="center"/>
              <w:rPr>
                <w:szCs w:val="16"/>
              </w:rPr>
            </w:pPr>
            <w:r>
              <w:t>Baseline LED Parking Garage/Canopy, 30W - 75W</w:t>
            </w:r>
          </w:p>
        </w:tc>
        <w:tc>
          <w:tcPr>
            <w:tcW w:w="427" w:type="pct"/>
            <w:noWrap/>
            <w:vAlign w:val="center"/>
            <w:hideMark/>
          </w:tcPr>
          <w:p w:rsidR="00A61773" w:rsidRDefault="00A61773" w:rsidP="00C81356">
            <w:pPr>
              <w:spacing w:line="276" w:lineRule="auto"/>
              <w:jc w:val="center"/>
              <w:rPr>
                <w:szCs w:val="16"/>
              </w:rPr>
            </w:pPr>
            <w:r>
              <w:t>182.9</w:t>
            </w:r>
          </w:p>
        </w:tc>
        <w:tc>
          <w:tcPr>
            <w:tcW w:w="679" w:type="pct"/>
            <w:vAlign w:val="center"/>
            <w:hideMark/>
          </w:tcPr>
          <w:p w:rsidR="00A61773" w:rsidRDefault="00A61773" w:rsidP="00C81356">
            <w:pPr>
              <w:spacing w:line="276" w:lineRule="auto"/>
              <w:jc w:val="center"/>
              <w:rPr>
                <w:szCs w:val="16"/>
              </w:rPr>
            </w:pPr>
            <w:r>
              <w:t>2008-2010 EVT Historical Data of 1,081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lastRenderedPageBreak/>
              <w:t>LED Parking Garage/Canopy, &gt;= 75W</w:t>
            </w:r>
          </w:p>
        </w:tc>
        <w:tc>
          <w:tcPr>
            <w:tcW w:w="341" w:type="pct"/>
            <w:noWrap/>
            <w:vAlign w:val="center"/>
            <w:hideMark/>
          </w:tcPr>
          <w:p w:rsidR="00A61773" w:rsidRDefault="00A61773" w:rsidP="00C81356">
            <w:pPr>
              <w:spacing w:line="276" w:lineRule="auto"/>
              <w:jc w:val="center"/>
              <w:rPr>
                <w:szCs w:val="16"/>
              </w:rPr>
            </w:pPr>
            <w:r>
              <w:t>116.8</w:t>
            </w:r>
          </w:p>
        </w:tc>
        <w:tc>
          <w:tcPr>
            <w:tcW w:w="879" w:type="pct"/>
            <w:vAlign w:val="center"/>
            <w:hideMark/>
          </w:tcPr>
          <w:p w:rsidR="00A61773" w:rsidRDefault="00A61773" w:rsidP="00C81356">
            <w:pPr>
              <w:spacing w:line="276" w:lineRule="auto"/>
              <w:jc w:val="center"/>
              <w:rPr>
                <w:szCs w:val="16"/>
              </w:rPr>
            </w:pPr>
            <w:r>
              <w:t>Baseline LED Parking Garage/Canopy, &gt;= 75W</w:t>
            </w:r>
          </w:p>
        </w:tc>
        <w:tc>
          <w:tcPr>
            <w:tcW w:w="427" w:type="pct"/>
            <w:noWrap/>
            <w:vAlign w:val="center"/>
            <w:hideMark/>
          </w:tcPr>
          <w:p w:rsidR="00A61773" w:rsidRDefault="00A61773" w:rsidP="00C81356">
            <w:pPr>
              <w:spacing w:line="276" w:lineRule="auto"/>
              <w:jc w:val="center"/>
              <w:rPr>
                <w:szCs w:val="16"/>
              </w:rPr>
            </w:pPr>
            <w:r>
              <w:t>361.4</w:t>
            </w:r>
          </w:p>
        </w:tc>
        <w:tc>
          <w:tcPr>
            <w:tcW w:w="679" w:type="pct"/>
            <w:vAlign w:val="center"/>
            <w:hideMark/>
          </w:tcPr>
          <w:p w:rsidR="00A61773" w:rsidRDefault="00A61773" w:rsidP="00C81356">
            <w:pPr>
              <w:spacing w:line="276" w:lineRule="auto"/>
              <w:jc w:val="center"/>
              <w:rPr>
                <w:szCs w:val="16"/>
              </w:rPr>
            </w:pPr>
            <w:r>
              <w:t>2008-2010 EVT Historical Data of 806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$375.00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Wall-Mounted Area Lights, &lt; 30W</w:t>
            </w:r>
          </w:p>
        </w:tc>
        <w:tc>
          <w:tcPr>
            <w:tcW w:w="341" w:type="pct"/>
            <w:noWrap/>
            <w:vAlign w:val="center"/>
            <w:hideMark/>
          </w:tcPr>
          <w:p w:rsidR="00A61773" w:rsidRDefault="00A61773" w:rsidP="00C81356">
            <w:pPr>
              <w:spacing w:line="276" w:lineRule="auto"/>
              <w:jc w:val="center"/>
              <w:rPr>
                <w:szCs w:val="16"/>
              </w:rPr>
            </w:pPr>
            <w:r>
              <w:t>18.6</w:t>
            </w:r>
          </w:p>
        </w:tc>
        <w:tc>
          <w:tcPr>
            <w:tcW w:w="879" w:type="pct"/>
            <w:vAlign w:val="center"/>
            <w:hideMark/>
          </w:tcPr>
          <w:p w:rsidR="00A61773" w:rsidRDefault="00A61773" w:rsidP="00C81356">
            <w:pPr>
              <w:spacing w:line="276" w:lineRule="auto"/>
              <w:jc w:val="center"/>
              <w:rPr>
                <w:szCs w:val="16"/>
              </w:rPr>
            </w:pPr>
            <w:r>
              <w:t>Baseline LED Wall-Mounted Area Lights, &lt; 30W</w:t>
            </w:r>
          </w:p>
        </w:tc>
        <w:tc>
          <w:tcPr>
            <w:tcW w:w="427" w:type="pct"/>
            <w:noWrap/>
            <w:vAlign w:val="center"/>
            <w:hideMark/>
          </w:tcPr>
          <w:p w:rsidR="00A61773" w:rsidRDefault="00A61773" w:rsidP="00C81356">
            <w:pPr>
              <w:spacing w:line="276" w:lineRule="auto"/>
              <w:jc w:val="center"/>
              <w:rPr>
                <w:szCs w:val="16"/>
              </w:rPr>
            </w:pPr>
            <w:r>
              <w:t>124.3</w:t>
            </w:r>
          </w:p>
        </w:tc>
        <w:tc>
          <w:tcPr>
            <w:tcW w:w="679" w:type="pct"/>
            <w:vAlign w:val="center"/>
            <w:hideMark/>
          </w:tcPr>
          <w:p w:rsidR="00A61773" w:rsidRDefault="00A61773" w:rsidP="00C81356">
            <w:pPr>
              <w:spacing w:line="276" w:lineRule="auto"/>
              <w:jc w:val="center"/>
              <w:rPr>
                <w:szCs w:val="16"/>
              </w:rPr>
            </w:pPr>
            <w:r>
              <w:t>2008-2010 EVT Historical Data of 2,813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$125.00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Wall-Mounted Area Lights, 30W - 75W</w:t>
            </w:r>
          </w:p>
        </w:tc>
        <w:tc>
          <w:tcPr>
            <w:tcW w:w="341" w:type="pct"/>
            <w:noWrap/>
            <w:vAlign w:val="center"/>
            <w:hideMark/>
          </w:tcPr>
          <w:p w:rsidR="00A61773" w:rsidRDefault="00A61773" w:rsidP="00C81356">
            <w:pPr>
              <w:spacing w:line="276" w:lineRule="auto"/>
              <w:jc w:val="center"/>
              <w:rPr>
                <w:szCs w:val="16"/>
              </w:rPr>
            </w:pPr>
            <w:r>
              <w:t>52.5</w:t>
            </w:r>
          </w:p>
        </w:tc>
        <w:tc>
          <w:tcPr>
            <w:tcW w:w="879" w:type="pct"/>
            <w:vAlign w:val="center"/>
            <w:hideMark/>
          </w:tcPr>
          <w:p w:rsidR="00A61773" w:rsidRDefault="00A61773" w:rsidP="00C81356">
            <w:pPr>
              <w:spacing w:line="276" w:lineRule="auto"/>
              <w:jc w:val="center"/>
              <w:rPr>
                <w:szCs w:val="16"/>
              </w:rPr>
            </w:pPr>
            <w:r>
              <w:t>Baseline LED Wall-Mounted Area Lights, 30W - 75W</w:t>
            </w:r>
          </w:p>
        </w:tc>
        <w:tc>
          <w:tcPr>
            <w:tcW w:w="427" w:type="pct"/>
            <w:noWrap/>
            <w:vAlign w:val="center"/>
            <w:hideMark/>
          </w:tcPr>
          <w:p w:rsidR="00A61773" w:rsidRDefault="00A61773" w:rsidP="00C81356">
            <w:pPr>
              <w:spacing w:line="276" w:lineRule="auto"/>
              <w:jc w:val="center"/>
              <w:rPr>
                <w:szCs w:val="16"/>
              </w:rPr>
            </w:pPr>
            <w:r>
              <w:t>182.9</w:t>
            </w:r>
          </w:p>
        </w:tc>
        <w:tc>
          <w:tcPr>
            <w:tcW w:w="679" w:type="pct"/>
            <w:vAlign w:val="center"/>
            <w:hideMark/>
          </w:tcPr>
          <w:p w:rsidR="00A61773" w:rsidRDefault="00A61773" w:rsidP="00C81356">
            <w:pPr>
              <w:spacing w:line="276" w:lineRule="auto"/>
              <w:jc w:val="center"/>
              <w:rPr>
                <w:szCs w:val="16"/>
              </w:rPr>
            </w:pPr>
            <w:r>
              <w:t>2008-2010 EVT Historical Data of 1,081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Wall-Mounted Area Lights, &gt;= 75W</w:t>
            </w:r>
          </w:p>
        </w:tc>
        <w:tc>
          <w:tcPr>
            <w:tcW w:w="341" w:type="pct"/>
            <w:noWrap/>
            <w:vAlign w:val="center"/>
            <w:hideMark/>
          </w:tcPr>
          <w:p w:rsidR="00A61773" w:rsidRDefault="00A61773" w:rsidP="00C81356">
            <w:pPr>
              <w:spacing w:line="276" w:lineRule="auto"/>
              <w:jc w:val="center"/>
              <w:rPr>
                <w:szCs w:val="16"/>
              </w:rPr>
            </w:pPr>
            <w:r>
              <w:t>116.8</w:t>
            </w:r>
          </w:p>
        </w:tc>
        <w:tc>
          <w:tcPr>
            <w:tcW w:w="879" w:type="pct"/>
            <w:vAlign w:val="center"/>
            <w:hideMark/>
          </w:tcPr>
          <w:p w:rsidR="00A61773" w:rsidRDefault="00A61773" w:rsidP="00C81356">
            <w:pPr>
              <w:spacing w:line="276" w:lineRule="auto"/>
              <w:jc w:val="center"/>
              <w:rPr>
                <w:szCs w:val="16"/>
              </w:rPr>
            </w:pPr>
            <w:r>
              <w:t>Baseline LED Wall-Mounted Area Lights, &gt;= 75W</w:t>
            </w:r>
          </w:p>
        </w:tc>
        <w:tc>
          <w:tcPr>
            <w:tcW w:w="427" w:type="pct"/>
            <w:noWrap/>
            <w:vAlign w:val="center"/>
            <w:hideMark/>
          </w:tcPr>
          <w:p w:rsidR="00A61773" w:rsidRDefault="00A61773" w:rsidP="00C81356">
            <w:pPr>
              <w:spacing w:line="276" w:lineRule="auto"/>
              <w:jc w:val="center"/>
              <w:rPr>
                <w:szCs w:val="16"/>
              </w:rPr>
            </w:pPr>
            <w:r>
              <w:t>361.4</w:t>
            </w:r>
          </w:p>
        </w:tc>
        <w:tc>
          <w:tcPr>
            <w:tcW w:w="679" w:type="pct"/>
            <w:vAlign w:val="center"/>
            <w:hideMark/>
          </w:tcPr>
          <w:p w:rsidR="00A61773" w:rsidRDefault="00A61773" w:rsidP="00C81356">
            <w:pPr>
              <w:spacing w:line="276" w:lineRule="auto"/>
              <w:jc w:val="center"/>
              <w:rPr>
                <w:szCs w:val="16"/>
              </w:rPr>
            </w:pPr>
            <w:r>
              <w:t>2008-2010 EVT Historical Data of 806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$375.00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Bollard, &lt; 30W</w:t>
            </w:r>
          </w:p>
        </w:tc>
        <w:tc>
          <w:tcPr>
            <w:tcW w:w="341" w:type="pct"/>
            <w:noWrap/>
            <w:vAlign w:val="center"/>
            <w:hideMark/>
          </w:tcPr>
          <w:p w:rsidR="00A61773" w:rsidRDefault="00A61773" w:rsidP="00C81356">
            <w:pPr>
              <w:spacing w:line="276" w:lineRule="auto"/>
              <w:jc w:val="center"/>
              <w:rPr>
                <w:szCs w:val="16"/>
              </w:rPr>
            </w:pPr>
            <w:r>
              <w:t>13.9</w:t>
            </w:r>
          </w:p>
        </w:tc>
        <w:tc>
          <w:tcPr>
            <w:tcW w:w="879" w:type="pct"/>
            <w:vAlign w:val="center"/>
            <w:hideMark/>
          </w:tcPr>
          <w:p w:rsidR="00A61773" w:rsidRDefault="00A61773" w:rsidP="00C81356">
            <w:pPr>
              <w:spacing w:line="276" w:lineRule="auto"/>
              <w:jc w:val="center"/>
              <w:rPr>
                <w:szCs w:val="16"/>
              </w:rPr>
            </w:pPr>
            <w:r>
              <w:t>Baseline LED Bollard, &lt; 30W</w:t>
            </w:r>
          </w:p>
        </w:tc>
        <w:tc>
          <w:tcPr>
            <w:tcW w:w="427" w:type="pct"/>
            <w:noWrap/>
            <w:vAlign w:val="center"/>
            <w:hideMark/>
          </w:tcPr>
          <w:p w:rsidR="00A61773" w:rsidRDefault="00A61773" w:rsidP="00C81356">
            <w:pPr>
              <w:spacing w:line="276" w:lineRule="auto"/>
              <w:jc w:val="center"/>
              <w:rPr>
                <w:szCs w:val="16"/>
              </w:rPr>
            </w:pPr>
            <w:r>
              <w:t>54.3</w:t>
            </w:r>
          </w:p>
        </w:tc>
        <w:tc>
          <w:tcPr>
            <w:tcW w:w="679" w:type="pct"/>
            <w:vAlign w:val="center"/>
            <w:hideMark/>
          </w:tcPr>
          <w:p w:rsidR="00A61773" w:rsidRDefault="00A61773" w:rsidP="00C81356">
            <w:pPr>
              <w:spacing w:line="276" w:lineRule="auto"/>
              <w:jc w:val="center"/>
              <w:rPr>
                <w:szCs w:val="16"/>
              </w:rPr>
            </w:pPr>
            <w:r>
              <w:t>2008-2010 EVT Historical Data of 33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$150.00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Bollard, &gt;= 30W</w:t>
            </w:r>
          </w:p>
        </w:tc>
        <w:tc>
          <w:tcPr>
            <w:tcW w:w="341" w:type="pct"/>
            <w:noWrap/>
            <w:vAlign w:val="center"/>
            <w:hideMark/>
          </w:tcPr>
          <w:p w:rsidR="00A61773" w:rsidRDefault="00A61773" w:rsidP="00C81356">
            <w:pPr>
              <w:spacing w:line="276" w:lineRule="auto"/>
              <w:jc w:val="center"/>
              <w:rPr>
                <w:szCs w:val="16"/>
              </w:rPr>
            </w:pPr>
            <w:r>
              <w:t>41.0</w:t>
            </w:r>
          </w:p>
        </w:tc>
        <w:tc>
          <w:tcPr>
            <w:tcW w:w="879" w:type="pct"/>
            <w:vAlign w:val="center"/>
            <w:hideMark/>
          </w:tcPr>
          <w:p w:rsidR="00A61773" w:rsidRDefault="00A61773" w:rsidP="00C81356">
            <w:pPr>
              <w:spacing w:line="276" w:lineRule="auto"/>
              <w:jc w:val="center"/>
              <w:rPr>
                <w:szCs w:val="16"/>
              </w:rPr>
            </w:pPr>
            <w:r>
              <w:t>Baseline LED Bollard, &gt;= 30W</w:t>
            </w:r>
          </w:p>
        </w:tc>
        <w:tc>
          <w:tcPr>
            <w:tcW w:w="427" w:type="pct"/>
            <w:noWrap/>
            <w:vAlign w:val="center"/>
            <w:hideMark/>
          </w:tcPr>
          <w:p w:rsidR="00A61773" w:rsidRDefault="00A61773" w:rsidP="00C81356">
            <w:pPr>
              <w:spacing w:line="276" w:lineRule="auto"/>
              <w:jc w:val="center"/>
              <w:rPr>
                <w:szCs w:val="16"/>
              </w:rPr>
            </w:pPr>
            <w:r>
              <w:t>78.0</w:t>
            </w:r>
          </w:p>
        </w:tc>
        <w:tc>
          <w:tcPr>
            <w:tcW w:w="679" w:type="pct"/>
            <w:vAlign w:val="center"/>
            <w:hideMark/>
          </w:tcPr>
          <w:p w:rsidR="00A61773" w:rsidRDefault="00A61773" w:rsidP="00C81356">
            <w:pPr>
              <w:spacing w:line="276" w:lineRule="auto"/>
              <w:jc w:val="center"/>
              <w:rPr>
                <w:szCs w:val="16"/>
              </w:rPr>
            </w:pPr>
            <w:r>
              <w:t>2008-2010 EVT Historical Data of 15 Measures</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$250.00</w:t>
            </w:r>
          </w:p>
        </w:tc>
        <w:tc>
          <w:tcPr>
            <w:tcW w:w="386" w:type="pct"/>
            <w:vAlign w:val="center"/>
          </w:tcPr>
          <w:p w:rsidR="00A61773" w:rsidRDefault="00A61773" w:rsidP="00C81356">
            <w:pPr>
              <w:spacing w:line="276" w:lineRule="auto"/>
              <w:jc w:val="center"/>
            </w:pPr>
          </w:p>
        </w:tc>
      </w:tr>
      <w:tr w:rsidR="00A61773" w:rsidTr="00C81356">
        <w:trPr>
          <w:trHeight w:val="510"/>
        </w:trPr>
        <w:tc>
          <w:tcPr>
            <w:tcW w:w="968" w:type="pct"/>
            <w:vAlign w:val="center"/>
            <w:hideMark/>
          </w:tcPr>
          <w:p w:rsidR="00A61773" w:rsidRDefault="00A61773" w:rsidP="00C81356">
            <w:pPr>
              <w:spacing w:line="276" w:lineRule="auto"/>
              <w:jc w:val="left"/>
            </w:pPr>
            <w:r>
              <w:t>LED Flood Light, &lt; 15W</w:t>
            </w:r>
          </w:p>
        </w:tc>
        <w:tc>
          <w:tcPr>
            <w:tcW w:w="341" w:type="pct"/>
            <w:noWrap/>
            <w:vAlign w:val="center"/>
            <w:hideMark/>
          </w:tcPr>
          <w:p w:rsidR="00A61773" w:rsidRDefault="00A61773" w:rsidP="00C81356">
            <w:pPr>
              <w:spacing w:line="276" w:lineRule="auto"/>
              <w:jc w:val="center"/>
              <w:rPr>
                <w:szCs w:val="16"/>
              </w:rPr>
            </w:pPr>
            <w:r>
              <w:t>8.7</w:t>
            </w:r>
          </w:p>
        </w:tc>
        <w:tc>
          <w:tcPr>
            <w:tcW w:w="879" w:type="pct"/>
            <w:vAlign w:val="center"/>
            <w:hideMark/>
          </w:tcPr>
          <w:p w:rsidR="00A61773" w:rsidRDefault="00A61773" w:rsidP="00C81356">
            <w:pPr>
              <w:spacing w:line="276" w:lineRule="auto"/>
              <w:jc w:val="center"/>
              <w:rPr>
                <w:szCs w:val="16"/>
              </w:rPr>
            </w:pPr>
            <w:r>
              <w:t>Baseline LED Flood Light, &lt; 15W</w:t>
            </w:r>
          </w:p>
        </w:tc>
        <w:tc>
          <w:tcPr>
            <w:tcW w:w="427" w:type="pct"/>
            <w:noWrap/>
            <w:vAlign w:val="center"/>
            <w:hideMark/>
          </w:tcPr>
          <w:p w:rsidR="00A61773" w:rsidRDefault="00A61773" w:rsidP="00C81356">
            <w:pPr>
              <w:spacing w:line="276" w:lineRule="auto"/>
              <w:jc w:val="center"/>
              <w:rPr>
                <w:szCs w:val="16"/>
              </w:rPr>
            </w:pPr>
            <w:r>
              <w:t>51.7</w:t>
            </w:r>
          </w:p>
        </w:tc>
        <w:tc>
          <w:tcPr>
            <w:tcW w:w="679" w:type="pct"/>
            <w:vAlign w:val="center"/>
            <w:hideMark/>
          </w:tcPr>
          <w:p w:rsidR="00A61773" w:rsidRDefault="00A61773" w:rsidP="00C81356">
            <w:pPr>
              <w:spacing w:line="276" w:lineRule="auto"/>
              <w:jc w:val="center"/>
              <w:rPr>
                <w:szCs w:val="16"/>
              </w:rPr>
            </w:pPr>
            <w:r>
              <w:t>Consistent with LED Screw-base Directional</w:t>
            </w:r>
          </w:p>
        </w:tc>
        <w:tc>
          <w:tcPr>
            <w:tcW w:w="376" w:type="pct"/>
            <w:shd w:val="clear" w:color="auto" w:fill="D9D9D9"/>
            <w:noWrap/>
            <w:vAlign w:val="center"/>
            <w:hideMark/>
          </w:tcPr>
          <w:p w:rsidR="00A61773" w:rsidRDefault="00A61773" w:rsidP="00C81356">
            <w:pPr>
              <w:spacing w:line="276" w:lineRule="auto"/>
              <w:jc w:val="center"/>
              <w:rPr>
                <w:szCs w:val="16"/>
              </w:rPr>
            </w:pPr>
            <w:r>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$35.00</w:t>
            </w:r>
          </w:p>
        </w:tc>
        <w:tc>
          <w:tcPr>
            <w:tcW w:w="386" w:type="pct"/>
            <w:vAlign w:val="center"/>
          </w:tcPr>
          <w:p w:rsidR="00A61773" w:rsidRDefault="00A61773" w:rsidP="00C81356">
            <w:pPr>
              <w:spacing w:line="276" w:lineRule="auto"/>
              <w:jc w:val="center"/>
            </w:pPr>
          </w:p>
        </w:tc>
      </w:tr>
      <w:tr w:rsidR="00A61773" w:rsidTr="00C81356">
        <w:trPr>
          <w:trHeight w:val="525"/>
        </w:trPr>
        <w:tc>
          <w:tcPr>
            <w:tcW w:w="968" w:type="pct"/>
            <w:vAlign w:val="center"/>
            <w:hideMark/>
          </w:tcPr>
          <w:p w:rsidR="00A61773" w:rsidRDefault="00A61773" w:rsidP="00C81356">
            <w:pPr>
              <w:spacing w:line="276" w:lineRule="auto"/>
              <w:jc w:val="left"/>
            </w:pPr>
            <w:r>
              <w:t>LED Flood Light, &gt;= 15W</w:t>
            </w:r>
          </w:p>
        </w:tc>
        <w:tc>
          <w:tcPr>
            <w:tcW w:w="341" w:type="pct"/>
            <w:noWrap/>
            <w:vAlign w:val="center"/>
            <w:hideMark/>
          </w:tcPr>
          <w:p w:rsidR="00A61773" w:rsidRDefault="00A61773" w:rsidP="00C81356">
            <w:pPr>
              <w:spacing w:line="276" w:lineRule="auto"/>
              <w:jc w:val="center"/>
              <w:rPr>
                <w:szCs w:val="16"/>
              </w:rPr>
            </w:pPr>
            <w:r>
              <w:t>16.2</w:t>
            </w:r>
          </w:p>
        </w:tc>
        <w:tc>
          <w:tcPr>
            <w:tcW w:w="879" w:type="pct"/>
            <w:vAlign w:val="center"/>
            <w:hideMark/>
          </w:tcPr>
          <w:p w:rsidR="00A61773" w:rsidRDefault="00A61773" w:rsidP="00C81356">
            <w:pPr>
              <w:spacing w:line="276" w:lineRule="auto"/>
              <w:jc w:val="center"/>
              <w:rPr>
                <w:szCs w:val="16"/>
              </w:rPr>
            </w:pPr>
            <w:r>
              <w:t>Baseline LED Flood Light, &gt;= 15W</w:t>
            </w:r>
          </w:p>
        </w:tc>
        <w:tc>
          <w:tcPr>
            <w:tcW w:w="427" w:type="pct"/>
            <w:noWrap/>
            <w:vAlign w:val="center"/>
            <w:hideMark/>
          </w:tcPr>
          <w:p w:rsidR="00A61773" w:rsidRDefault="00A61773" w:rsidP="00C81356">
            <w:pPr>
              <w:spacing w:line="276" w:lineRule="auto"/>
              <w:jc w:val="center"/>
              <w:rPr>
                <w:szCs w:val="16"/>
              </w:rPr>
            </w:pPr>
            <w:r>
              <w:t>64.4</w:t>
            </w:r>
          </w:p>
        </w:tc>
        <w:tc>
          <w:tcPr>
            <w:tcW w:w="679" w:type="pct"/>
            <w:vAlign w:val="center"/>
            <w:hideMark/>
          </w:tcPr>
          <w:p w:rsidR="00A61773" w:rsidRDefault="00A61773" w:rsidP="00C81356">
            <w:pPr>
              <w:spacing w:line="276" w:lineRule="auto"/>
              <w:jc w:val="center"/>
              <w:rPr>
                <w:szCs w:val="16"/>
              </w:rPr>
            </w:pPr>
            <w:r>
              <w:t xml:space="preserve">Consistent with LED Screw-base </w:t>
            </w:r>
            <w:r>
              <w:lastRenderedPageBreak/>
              <w:t>Directional</w:t>
            </w:r>
          </w:p>
        </w:tc>
        <w:tc>
          <w:tcPr>
            <w:tcW w:w="376" w:type="pct"/>
            <w:shd w:val="clear" w:color="auto" w:fill="D9D9D9"/>
            <w:noWrap/>
            <w:vAlign w:val="center"/>
            <w:hideMark/>
          </w:tcPr>
          <w:p w:rsidR="00A61773" w:rsidRDefault="00A61773" w:rsidP="00C81356">
            <w:pPr>
              <w:spacing w:line="276" w:lineRule="auto"/>
              <w:jc w:val="center"/>
              <w:rPr>
                <w:szCs w:val="16"/>
              </w:rPr>
            </w:pPr>
            <w:r>
              <w:lastRenderedPageBreak/>
              <w:t>50,000</w:t>
            </w:r>
          </w:p>
        </w:tc>
        <w:tc>
          <w:tcPr>
            <w:tcW w:w="486" w:type="pct"/>
            <w:shd w:val="clear" w:color="auto" w:fill="D9D9D9"/>
            <w:vAlign w:val="center"/>
            <w:hideMark/>
          </w:tcPr>
          <w:p w:rsidR="00A61773" w:rsidRDefault="00A61773" w:rsidP="00C81356">
            <w:pPr>
              <w:spacing w:line="276" w:lineRule="auto"/>
              <w:jc w:val="center"/>
              <w:rPr>
                <w:szCs w:val="16"/>
              </w:rPr>
            </w:pPr>
          </w:p>
        </w:tc>
        <w:tc>
          <w:tcPr>
            <w:tcW w:w="458" w:type="pct"/>
            <w:noWrap/>
            <w:vAlign w:val="center"/>
            <w:hideMark/>
          </w:tcPr>
          <w:p w:rsidR="00A61773" w:rsidRDefault="00A61773" w:rsidP="00C81356">
            <w:pPr>
              <w:spacing w:line="276" w:lineRule="auto"/>
              <w:jc w:val="center"/>
              <w:rPr>
                <w:szCs w:val="16"/>
              </w:rPr>
            </w:pPr>
            <w:r>
              <w:t>$45.00</w:t>
            </w:r>
          </w:p>
        </w:tc>
        <w:tc>
          <w:tcPr>
            <w:tcW w:w="386" w:type="pct"/>
            <w:vAlign w:val="center"/>
          </w:tcPr>
          <w:p w:rsidR="00A61773" w:rsidRDefault="00A61773" w:rsidP="00C81356">
            <w:pPr>
              <w:spacing w:line="276" w:lineRule="auto"/>
              <w:jc w:val="center"/>
            </w:pPr>
          </w:p>
        </w:tc>
      </w:tr>
    </w:tbl>
    <w:p w:rsidR="00A61773" w:rsidRDefault="00A61773" w:rsidP="00A61773"/>
    <w:p w:rsidR="00A61773" w:rsidRDefault="00A61773" w:rsidP="00A61773"/>
    <w:p w:rsidR="00A61773" w:rsidRDefault="00A61773" w:rsidP="00A61773">
      <w:pPr>
        <w:widowControl/>
        <w:spacing w:after="200" w:line="276" w:lineRule="auto"/>
        <w:jc w:val="left"/>
      </w:pPr>
      <w:r>
        <w:br w:type="page"/>
      </w:r>
    </w:p>
    <w:p w:rsidR="00A61773" w:rsidRPr="005F666B" w:rsidRDefault="00A61773" w:rsidP="00A61773">
      <w:pPr>
        <w:rPr>
          <w:rStyle w:val="CommentReference"/>
        </w:rPr>
      </w:pPr>
      <w:r>
        <w:lastRenderedPageBreak/>
        <w:t>LED Component Costs &amp; Lifetime</w:t>
      </w:r>
      <w:r>
        <w:rPr>
          <w:rStyle w:val="FootnoteReference"/>
        </w:rPr>
        <w:footnoteReference w:id="18"/>
      </w:r>
      <w:r>
        <w:t xml:space="preserve"> </w:t>
      </w:r>
    </w:p>
    <w:tbl>
      <w:tblPr>
        <w:tblW w:w="15061"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gridCol w:w="1030"/>
        <w:gridCol w:w="960"/>
        <w:gridCol w:w="960"/>
        <w:gridCol w:w="960"/>
        <w:gridCol w:w="1511"/>
        <w:gridCol w:w="960"/>
        <w:gridCol w:w="960"/>
        <w:gridCol w:w="960"/>
        <w:gridCol w:w="960"/>
        <w:gridCol w:w="1457"/>
        <w:gridCol w:w="960"/>
        <w:gridCol w:w="960"/>
      </w:tblGrid>
      <w:tr w:rsidR="00A61773" w:rsidRPr="005F666B" w:rsidTr="00C81356">
        <w:trPr>
          <w:trHeight w:val="1035"/>
          <w:tblHeader/>
        </w:trPr>
        <w:tc>
          <w:tcPr>
            <w:tcW w:w="2423"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LED Measure Description</w:t>
            </w:r>
          </w:p>
        </w:tc>
        <w:tc>
          <w:tcPr>
            <w:tcW w:w="103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LED Minimum Lamp Life (</w:t>
            </w:r>
            <w:proofErr w:type="spellStart"/>
            <w:r w:rsidRPr="005F666B">
              <w:rPr>
                <w:rFonts w:cstheme="minorHAnsi"/>
                <w:b/>
                <w:color w:val="FFFFFF" w:themeColor="background1"/>
                <w:szCs w:val="20"/>
              </w:rPr>
              <w:t>hrs</w:t>
            </w:r>
            <w:proofErr w:type="spellEnd"/>
            <w:r w:rsidRPr="005F666B">
              <w:rPr>
                <w:rFonts w:cstheme="minorHAnsi"/>
                <w:b/>
                <w:color w:val="FFFFFF" w:themeColor="background1"/>
                <w:szCs w:val="20"/>
              </w:rPr>
              <w: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LED Lamp Cost Total</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LED Driver Life (</w:t>
            </w:r>
            <w:proofErr w:type="spellStart"/>
            <w:r w:rsidRPr="005F666B">
              <w:rPr>
                <w:rFonts w:cstheme="minorHAnsi"/>
                <w:b/>
                <w:color w:val="FFFFFF" w:themeColor="background1"/>
                <w:szCs w:val="20"/>
              </w:rPr>
              <w:t>hrs</w:t>
            </w:r>
            <w:proofErr w:type="spellEnd"/>
            <w:r w:rsidRPr="005F666B">
              <w:rPr>
                <w:rFonts w:cstheme="minorHAnsi"/>
                <w:b/>
                <w:color w:val="FFFFFF" w:themeColor="background1"/>
                <w:szCs w:val="20"/>
              </w:rPr>
              <w: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LED Driver Cost Total</w:t>
            </w:r>
          </w:p>
        </w:tc>
        <w:tc>
          <w:tcPr>
            <w:tcW w:w="1511"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Baseline Technology (1)</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Lamp (1) Life (</w:t>
            </w:r>
            <w:proofErr w:type="spellStart"/>
            <w:r w:rsidRPr="005F666B">
              <w:rPr>
                <w:rFonts w:cstheme="minorHAnsi"/>
                <w:b/>
                <w:color w:val="FFFFFF" w:themeColor="background1"/>
                <w:szCs w:val="20"/>
              </w:rPr>
              <w:t>hrs</w:t>
            </w:r>
            <w:proofErr w:type="spellEnd"/>
            <w:r w:rsidRPr="005F666B">
              <w:rPr>
                <w:rFonts w:cstheme="minorHAnsi"/>
                <w:b/>
                <w:color w:val="FFFFFF" w:themeColor="background1"/>
                <w:szCs w:val="20"/>
              </w:rPr>
              <w: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Lamp (1) Total Cost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Ballast (1) Life (</w:t>
            </w:r>
            <w:proofErr w:type="spellStart"/>
            <w:r w:rsidRPr="005F666B">
              <w:rPr>
                <w:rFonts w:cstheme="minorHAnsi"/>
                <w:b/>
                <w:color w:val="FFFFFF" w:themeColor="background1"/>
                <w:szCs w:val="20"/>
              </w:rPr>
              <w:t>hrs</w:t>
            </w:r>
            <w:proofErr w:type="spellEnd"/>
            <w:r w:rsidRPr="005F666B">
              <w:rPr>
                <w:rFonts w:cstheme="minorHAnsi"/>
                <w:b/>
                <w:color w:val="FFFFFF" w:themeColor="background1"/>
                <w:szCs w:val="20"/>
              </w:rPr>
              <w: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Ballast (1) Total Cost</w:t>
            </w:r>
          </w:p>
        </w:tc>
        <w:tc>
          <w:tcPr>
            <w:tcW w:w="1457"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Baseline Technology (2)</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Lamp (2) Life (</w:t>
            </w:r>
            <w:proofErr w:type="spellStart"/>
            <w:r w:rsidRPr="005F666B">
              <w:rPr>
                <w:rFonts w:cstheme="minorHAnsi"/>
                <w:b/>
                <w:color w:val="FFFFFF" w:themeColor="background1"/>
                <w:szCs w:val="20"/>
              </w:rPr>
              <w:t>hrs</w:t>
            </w:r>
            <w:proofErr w:type="spellEnd"/>
            <w:r w:rsidRPr="005F666B">
              <w:rPr>
                <w:rFonts w:cstheme="minorHAnsi"/>
                <w:b/>
                <w:color w:val="FFFFFF" w:themeColor="background1"/>
                <w:szCs w:val="20"/>
              </w:rPr>
              <w:t>)</w:t>
            </w:r>
          </w:p>
        </w:tc>
        <w:tc>
          <w:tcPr>
            <w:tcW w:w="960" w:type="dxa"/>
            <w:shd w:val="clear" w:color="auto" w:fill="A6A6A6" w:themeFill="background1" w:themeFillShade="A6"/>
            <w:vAlign w:val="center"/>
            <w:hideMark/>
          </w:tcPr>
          <w:p w:rsidR="00A61773" w:rsidRPr="005F666B" w:rsidRDefault="00A61773" w:rsidP="00C81356">
            <w:pPr>
              <w:spacing w:line="276" w:lineRule="auto"/>
              <w:jc w:val="center"/>
              <w:rPr>
                <w:rFonts w:cstheme="minorHAnsi"/>
                <w:b/>
                <w:color w:val="FFFFFF" w:themeColor="background1"/>
                <w:szCs w:val="20"/>
              </w:rPr>
            </w:pPr>
            <w:r w:rsidRPr="005F666B">
              <w:rPr>
                <w:rFonts w:cstheme="minorHAnsi"/>
                <w:b/>
                <w:color w:val="FFFFFF" w:themeColor="background1"/>
                <w:szCs w:val="20"/>
              </w:rPr>
              <w:t>Lamp (2) Total Cost</w:t>
            </w:r>
          </w:p>
        </w:tc>
      </w:tr>
      <w:tr w:rsidR="00A61773" w:rsidRPr="00B230B0" w:rsidTr="00C81356">
        <w:trPr>
          <w:trHeight w:val="6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Screw and Pin-based Bulbs, Decorative</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53W EISA Halogen</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$4.67</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6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Screw-based Bulbs, Directional, &lt; 15W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 CFL 18W Pin Base</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$11.62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85% Halogen PAR20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6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Screw-based Bulbs, Directional, &gt;=  15W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 CFL 26W Pin Base</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85% Halogen PAR30/38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 xml:space="preserve">LED Recessed, Surface, Pendant </w:t>
            </w:r>
            <w:proofErr w:type="spellStart"/>
            <w:r w:rsidRPr="00B230B0">
              <w:rPr>
                <w:rFonts w:cstheme="minorHAnsi"/>
                <w:szCs w:val="20"/>
              </w:rPr>
              <w:t>Downlights</w:t>
            </w:r>
            <w:proofErr w:type="spellEnd"/>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 CFL 26W Pin Base</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60% Halogen PAR30/38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Track Lighting</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 CMH PAR38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$110.00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90% Halogen PAR38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Wall-Wash Fixtures</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 CFL 42W Pin Base</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$15.72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$67.50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60% Halogen PAR38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Portable Desk/Task Light Fixtures</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13W CFL Pin Base</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$5.52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50W Halogen</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 xml:space="preserve">LED </w:t>
            </w:r>
            <w:proofErr w:type="spellStart"/>
            <w:r w:rsidRPr="00B230B0">
              <w:rPr>
                <w:rFonts w:cstheme="minorHAnsi"/>
                <w:szCs w:val="20"/>
              </w:rPr>
              <w:t>Undercabinet</w:t>
            </w:r>
            <w:proofErr w:type="spellEnd"/>
            <w:r w:rsidRPr="00B230B0">
              <w:rPr>
                <w:rFonts w:cstheme="minorHAnsi"/>
                <w:szCs w:val="20"/>
              </w:rPr>
              <w:t xml:space="preserve"> Shelf-Mounted Task Light Fixtures (per foot)</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2' T5 Linear</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50W Halogen</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 xml:space="preserve">LED Refrigerated Case Light, Horizontal or </w:t>
            </w:r>
            <w:r w:rsidRPr="00B230B0">
              <w:rPr>
                <w:rFonts w:cstheme="minorHAnsi"/>
                <w:szCs w:val="20"/>
              </w:rPr>
              <w:lastRenderedPageBreak/>
              <w:t>Vertical (per foot)</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lastRenderedPageBreak/>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 T8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$2.77</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lastRenderedPageBreak/>
              <w:t>LED Freezer Case Light, Horizontal or Vertical (per foot)</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$8.75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$7.92</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 T12HO</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$11.03</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$59.58</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Display Case Light Fixture (per foot)</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$28.75</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2' T5 Linear</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50W Halogen</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2x2 Recessed Light Fixture</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 xml:space="preserve">T8 U-Tube 2L-FB32 w/ </w:t>
            </w:r>
            <w:proofErr w:type="spellStart"/>
            <w:r w:rsidRPr="00B230B0">
              <w:rPr>
                <w:rFonts w:cstheme="minorHAnsi"/>
                <w:szCs w:val="20"/>
              </w:rPr>
              <w:t>Elec</w:t>
            </w:r>
            <w:proofErr w:type="spellEnd"/>
            <w:r w:rsidRPr="00B230B0">
              <w:rPr>
                <w:rFonts w:cstheme="minorHAnsi"/>
                <w:szCs w:val="20"/>
              </w:rPr>
              <w:t xml:space="preserve"> - 2'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$24.95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$52.00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2x4 Recessed Light Fixture</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 xml:space="preserve">T8 3L-F32 w/ </w:t>
            </w:r>
            <w:proofErr w:type="spellStart"/>
            <w:r w:rsidRPr="00B230B0">
              <w:rPr>
                <w:rFonts w:cstheme="minorHAnsi"/>
                <w:szCs w:val="20"/>
              </w:rPr>
              <w:t>Elec</w:t>
            </w:r>
            <w:proofErr w:type="spellEnd"/>
            <w:r w:rsidRPr="00B230B0">
              <w:rPr>
                <w:rFonts w:cstheme="minorHAnsi"/>
                <w:szCs w:val="20"/>
              </w:rPr>
              <w:t xml:space="preserve"> - 4'</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$17.00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1x4 Recessed Light Fixture</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 xml:space="preserve">T8 2L-F32 w/ </w:t>
            </w:r>
            <w:proofErr w:type="spellStart"/>
            <w:r w:rsidRPr="00B230B0">
              <w:rPr>
                <w:rFonts w:cstheme="minorHAnsi"/>
                <w:szCs w:val="20"/>
              </w:rPr>
              <w:t>Elec</w:t>
            </w:r>
            <w:proofErr w:type="spellEnd"/>
            <w:r w:rsidRPr="00B230B0">
              <w:rPr>
                <w:rFonts w:cstheme="minorHAnsi"/>
                <w:szCs w:val="20"/>
              </w:rPr>
              <w:t xml:space="preserve"> - 4'</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$11.33</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3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High- and Low-Bay Fixtures</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35,000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$41.25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$130.25</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Outdoor Pole/Arm Mounted Parking/Roadway, &lt;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$54.25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$166.70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Outdoor Pole/Arm Mounted Parking/Roadway, 30W - 75W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$87.50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175W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$48.25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$110.00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lastRenderedPageBreak/>
              <w:t>LED Outdoor Pole/Arm Mounted Parking/Roadway, &gt;=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$41.25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$130.25</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765"/>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Outdoor Pole/Arm Mounted Decorative Parking/Roadway, &lt;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$54.25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$166.70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765"/>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Outdoor Pole/Arm Mounted Decorative Parking/Roadway, 30W - 75W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$87.50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175W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$48.25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$110.00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765"/>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Outdoor Pole/Arm Mounted Decorative Parking/Roadway, &gt;=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$62.50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$41.25</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$130.25</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Parking Garage/Canopy, &lt;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$151.70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Parking Garage/Canopy, 30W - 75W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175W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$30.92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Parking Garage/Canopy, &gt;=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$23.92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$115.25</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Wall-Mounted Area Lights, &lt;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$151.70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lastRenderedPageBreak/>
              <w:t>LED Wall-Mounted Area Lights, 30W - 75W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175W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$30.92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$95.00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Wall-Mounted Area Lights, &gt;= 75W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$97.50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$23.92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$115.25</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3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Bollard, &lt;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$135.50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30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Bollard, &gt;= 30W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$72.50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$142.50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N/A</w:t>
            </w:r>
          </w:p>
        </w:tc>
      </w:tr>
      <w:tr w:rsidR="00A61773" w:rsidRPr="00B230B0" w:rsidTr="00C81356">
        <w:trPr>
          <w:trHeight w:val="510"/>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Flood Light, &lt; 15W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 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$135.50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75% Halogen PAR20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r w:rsidR="00A61773" w:rsidRPr="00B230B0" w:rsidTr="00C81356">
        <w:trPr>
          <w:trHeight w:val="525"/>
        </w:trPr>
        <w:tc>
          <w:tcPr>
            <w:tcW w:w="2423" w:type="dxa"/>
            <w:vAlign w:val="center"/>
            <w:hideMark/>
          </w:tcPr>
          <w:p w:rsidR="00A61773" w:rsidRPr="00B230B0" w:rsidRDefault="00A61773" w:rsidP="00C81356">
            <w:pPr>
              <w:spacing w:line="276" w:lineRule="auto"/>
              <w:rPr>
                <w:rFonts w:cstheme="minorHAnsi"/>
                <w:szCs w:val="20"/>
              </w:rPr>
            </w:pPr>
            <w:r w:rsidRPr="00B230B0">
              <w:rPr>
                <w:rFonts w:cstheme="minorHAnsi"/>
                <w:szCs w:val="20"/>
              </w:rPr>
              <w:t>LED Flood Light, &gt;= 15W</w:t>
            </w:r>
          </w:p>
        </w:tc>
        <w:tc>
          <w:tcPr>
            <w:tcW w:w="103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70,000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$47.50</w:t>
            </w:r>
          </w:p>
        </w:tc>
        <w:tc>
          <w:tcPr>
            <w:tcW w:w="1511"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50W MH</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$36.92</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40,000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$135.50</w:t>
            </w:r>
          </w:p>
        </w:tc>
        <w:tc>
          <w:tcPr>
            <w:tcW w:w="1457" w:type="dxa"/>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50% Halogen PAR30/38</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2,500</w:t>
            </w:r>
          </w:p>
        </w:tc>
        <w:tc>
          <w:tcPr>
            <w:tcW w:w="960" w:type="dxa"/>
            <w:noWrap/>
            <w:vAlign w:val="center"/>
            <w:hideMark/>
          </w:tcPr>
          <w:p w:rsidR="00A61773" w:rsidRPr="00B230B0" w:rsidRDefault="00A61773" w:rsidP="00C81356">
            <w:pPr>
              <w:spacing w:line="276" w:lineRule="auto"/>
              <w:jc w:val="center"/>
              <w:rPr>
                <w:rFonts w:cstheme="minorHAnsi"/>
                <w:szCs w:val="20"/>
              </w:rPr>
            </w:pPr>
            <w:r w:rsidRPr="00B230B0">
              <w:rPr>
                <w:rFonts w:cstheme="minorHAnsi"/>
                <w:szCs w:val="20"/>
              </w:rPr>
              <w:t>$12.67</w:t>
            </w:r>
          </w:p>
        </w:tc>
      </w:tr>
    </w:tbl>
    <w:p w:rsidR="00A61773" w:rsidRDefault="00A61773" w:rsidP="00A61773">
      <w:pPr>
        <w:rPr>
          <w:b/>
          <w:szCs w:val="20"/>
        </w:rPr>
      </w:pPr>
    </w:p>
    <w:p w:rsidR="00A61773" w:rsidRPr="00D52685" w:rsidRDefault="00A61773" w:rsidP="00A61773">
      <w:pPr>
        <w:pStyle w:val="Heading6"/>
      </w:pPr>
      <w:r>
        <w:t>Measure Code: CI-LTG-LEDB-</w:t>
      </w:r>
      <w:del w:id="10" w:author="Samuel Dent" w:date="2015-10-08T09:30:00Z">
        <w:r w:rsidDel="00A466EC">
          <w:delText>V04</w:delText>
        </w:r>
      </w:del>
      <w:ins w:id="11" w:author="Samuel Dent" w:date="2015-10-08T09:30:00Z">
        <w:r w:rsidR="00A466EC">
          <w:t>V0</w:t>
        </w:r>
        <w:r w:rsidR="00A466EC">
          <w:t>5</w:t>
        </w:r>
      </w:ins>
      <w:r>
        <w:t>-1</w:t>
      </w:r>
      <w:del w:id="12" w:author="Samuel Dent" w:date="2015-10-08T09:30:00Z">
        <w:r w:rsidDel="00A466EC">
          <w:delText>5</w:delText>
        </w:r>
      </w:del>
      <w:ins w:id="13" w:author="Samuel Dent" w:date="2015-10-08T09:30:00Z">
        <w:r w:rsidR="00A466EC">
          <w:t>6</w:t>
        </w:r>
      </w:ins>
      <w:r>
        <w:t>0601</w:t>
      </w:r>
    </w:p>
    <w:p w:rsidR="00A61773" w:rsidRDefault="00A61773" w:rsidP="00A61773">
      <w:pPr>
        <w:widowControl/>
        <w:jc w:val="left"/>
        <w:rPr>
          <w:b/>
        </w:rPr>
        <w:sectPr w:rsidR="00A61773" w:rsidSect="00B64B6A">
          <w:headerReference w:type="even" r:id="rId9"/>
          <w:footerReference w:type="default" r:id="rId10"/>
          <w:headerReference w:type="first" r:id="rId11"/>
          <w:pgSz w:w="15840" w:h="12240" w:orient="landscape" w:code="1"/>
          <w:pgMar w:top="1440" w:right="1440" w:bottom="1440" w:left="1440" w:header="720" w:footer="720" w:gutter="0"/>
          <w:cols w:space="720"/>
          <w:docGrid w:linePitch="360"/>
        </w:sectPr>
      </w:pPr>
      <w:bookmarkStart w:id="14" w:name="_GoBack"/>
      <w:bookmarkEnd w:id="14"/>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773" w:rsidRDefault="00A61773" w:rsidP="00A61773">
      <w:pPr>
        <w:spacing w:after="0"/>
      </w:pPr>
      <w:r>
        <w:separator/>
      </w:r>
    </w:p>
  </w:endnote>
  <w:endnote w:type="continuationSeparator" w:id="0">
    <w:p w:rsidR="00A61773" w:rsidRDefault="00A61773" w:rsidP="00A617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7570610"/>
      <w:docPartObj>
        <w:docPartGallery w:val="Page Numbers (Bottom of Page)"/>
        <w:docPartUnique/>
      </w:docPartObj>
    </w:sdtPr>
    <w:sdtEndPr/>
    <w:sdtContent>
      <w:sdt>
        <w:sdtPr>
          <w:id w:val="-1141969436"/>
          <w:docPartObj>
            <w:docPartGallery w:val="Page Numbers (Top of Page)"/>
            <w:docPartUnique/>
          </w:docPartObj>
        </w:sdtPr>
        <w:sdtEndPr/>
        <w:sdtContent>
          <w:p w:rsidR="00A61773" w:rsidRDefault="00A61773" w:rsidP="00950A89">
            <w:pPr>
              <w:pStyle w:val="Footer"/>
              <w:pBdr>
                <w:top w:val="single" w:sz="4" w:space="1" w:color="auto"/>
              </w:pBdr>
              <w:jc w:val="center"/>
            </w:pPr>
          </w:p>
          <w:p w:rsidR="00A61773" w:rsidRDefault="00A61773" w:rsidP="00950A8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466EC">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466EC">
              <w:rPr>
                <w:b/>
                <w:bCs/>
                <w:noProof/>
              </w:rPr>
              <w:t>19</w:t>
            </w:r>
            <w:r>
              <w:rPr>
                <w:b/>
                <w:bCs/>
                <w:sz w:val="24"/>
                <w:szCs w:val="24"/>
              </w:rPr>
              <w:fldChar w:fldCharType="end"/>
            </w:r>
          </w:p>
        </w:sdtContent>
      </w:sdt>
    </w:sdtContent>
  </w:sdt>
  <w:p w:rsidR="00A61773" w:rsidRDefault="00A617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773" w:rsidRDefault="00A61773" w:rsidP="00A61773">
      <w:pPr>
        <w:spacing w:after="0"/>
      </w:pPr>
      <w:r>
        <w:separator/>
      </w:r>
    </w:p>
  </w:footnote>
  <w:footnote w:type="continuationSeparator" w:id="0">
    <w:p w:rsidR="00A61773" w:rsidRDefault="00A61773" w:rsidP="00A61773">
      <w:pPr>
        <w:spacing w:after="0"/>
      </w:pPr>
      <w:r>
        <w:continuationSeparator/>
      </w:r>
    </w:p>
  </w:footnote>
  <w:footnote w:id="1">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final </w:t>
      </w:r>
      <w:proofErr w:type="spellStart"/>
      <w:r w:rsidRPr="009C362B">
        <w:rPr>
          <w:szCs w:val="18"/>
        </w:rPr>
        <w:t>ComEd’s</w:t>
      </w:r>
      <w:proofErr w:type="spellEnd"/>
      <w:r w:rsidRPr="009C362B">
        <w:rPr>
          <w:szCs w:val="18"/>
        </w:rPr>
        <w:t xml:space="preserve"> BILD program data from PY4</w:t>
      </w:r>
      <w:proofErr w:type="gramStart"/>
      <w:r w:rsidRPr="009C362B">
        <w:rPr>
          <w:szCs w:val="18"/>
        </w:rPr>
        <w:t>,PY5</w:t>
      </w:r>
      <w:proofErr w:type="gramEnd"/>
      <w:r w:rsidRPr="009C362B">
        <w:rPr>
          <w:szCs w:val="18"/>
        </w:rPr>
        <w:t xml:space="preserve"> and PY6. For Residential installations, hours of use assumptions from ‘5.5.6 LED </w:t>
      </w:r>
      <w:proofErr w:type="spellStart"/>
      <w:r w:rsidRPr="009C362B">
        <w:rPr>
          <w:szCs w:val="18"/>
        </w:rPr>
        <w:t>Downlights</w:t>
      </w:r>
      <w:proofErr w:type="spellEnd"/>
      <w:r w:rsidRPr="009C362B">
        <w:rPr>
          <w:szCs w:val="18"/>
        </w:rPr>
        <w:t>’ should be used for LED fixtures and ‘5.5.8 LED Screw Based Omnidirectional Bulbs’ should be used for LED bulbs.</w:t>
      </w:r>
    </w:p>
  </w:footnote>
  <w:footnote w:id="2">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Based on ENERGY STAR specs – minimum luminous efficacy for Omnidirectional Lamps.</w:t>
      </w:r>
      <w:proofErr w:type="gramEnd"/>
      <w:r w:rsidRPr="009C362B">
        <w:rPr>
          <w:szCs w:val="18"/>
        </w:rPr>
        <w:t xml:space="preserve"> For LED lamp power &lt;10W = 50lm/W and for LED lamp power &gt;=10W = 55lm/W.</w:t>
      </w:r>
    </w:p>
  </w:footnote>
  <w:footnote w:id="3">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Calculated as 45lm/W for all EISA non-exempt bulbs.</w:t>
      </w:r>
      <w:proofErr w:type="gramEnd"/>
    </w:p>
  </w:footnote>
  <w:footnote w:id="4">
    <w:p w:rsidR="00A61773" w:rsidRPr="009C362B" w:rsidRDefault="00A6177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10 of the Energy Star Specification for lamps v1.1</w:t>
      </w:r>
    </w:p>
  </w:footnote>
  <w:footnote w:id="5">
    <w:p w:rsidR="00A61773" w:rsidRPr="009C362B" w:rsidRDefault="00A6177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From </w:t>
      </w:r>
      <w:proofErr w:type="spellStart"/>
      <w:r w:rsidRPr="009C362B">
        <w:rPr>
          <w:sz w:val="18"/>
          <w:szCs w:val="18"/>
        </w:rPr>
        <w:t>pg</w:t>
      </w:r>
      <w:proofErr w:type="spellEnd"/>
      <w:r w:rsidRPr="009C362B">
        <w:rPr>
          <w:sz w:val="18"/>
          <w:szCs w:val="18"/>
        </w:rPr>
        <w:t xml:space="preserve"> 11 of the Energy Star Specification for lamps v1.1</w:t>
      </w:r>
    </w:p>
  </w:footnote>
  <w:footnote w:id="6">
    <w:p w:rsidR="00A61773" w:rsidRPr="009C362B" w:rsidRDefault="00A61773" w:rsidP="00A61773">
      <w:pPr>
        <w:spacing w:after="0"/>
        <w:rPr>
          <w:sz w:val="18"/>
          <w:szCs w:val="18"/>
        </w:rPr>
      </w:pPr>
    </w:p>
  </w:footnote>
  <w:footnote w:id="7">
    <w:p w:rsidR="00A61773" w:rsidRPr="009C362B" w:rsidRDefault="00A61773" w:rsidP="00A61773">
      <w:pPr>
        <w:pStyle w:val="FootnoteText"/>
        <w:spacing w:after="0"/>
        <w:rPr>
          <w:sz w:val="18"/>
          <w:szCs w:val="18"/>
        </w:rPr>
      </w:pPr>
      <w:r w:rsidRPr="009C362B">
        <w:rPr>
          <w:rStyle w:val="FootnoteReference"/>
          <w:rFonts w:asciiTheme="minorHAnsi" w:hAnsiTheme="minorHAnsi"/>
          <w:sz w:val="18"/>
          <w:szCs w:val="18"/>
        </w:rPr>
        <w:footnoteRef/>
      </w:r>
      <w:r w:rsidRPr="009C362B">
        <w:rPr>
          <w:sz w:val="18"/>
          <w:szCs w:val="18"/>
        </w:rPr>
        <w:t xml:space="preserve"> </w:t>
      </w:r>
      <w:r w:rsidRPr="009C362B">
        <w:rPr>
          <w:rFonts w:eastAsiaTheme="minorEastAsia" w:cstheme="minorHAnsi"/>
          <w:sz w:val="18"/>
          <w:szCs w:val="18"/>
        </w:rPr>
        <w:t>http://energystar.supportportal.com/link/portal/23002/23018/Article/32655/</w:t>
      </w:r>
    </w:p>
  </w:footnote>
  <w:footnote w:id="8">
    <w:p w:rsidR="00A61773" w:rsidRDefault="00A61773" w:rsidP="00A61773">
      <w:pPr>
        <w:pStyle w:val="FootnoteText"/>
        <w:rPr>
          <w:ins w:id="5" w:author="Samuel Dent" w:date="2015-10-08T09:17:00Z"/>
        </w:rPr>
      </w:pPr>
      <w:ins w:id="6" w:author="Samuel Dent" w:date="2015-10-08T09:17:00Z">
        <w:r>
          <w:rPr>
            <w:rStyle w:val="FootnoteReference"/>
          </w:rPr>
          <w:footnoteRef/>
        </w:r>
        <w:r>
          <w:t xml:space="preserve"> The Energy Star Center Beam Candle Power tool does not accurately model baseline wattages for lamps with certain bulb characteristic combinations – specifically for lamps with very high CBCP.</w:t>
        </w:r>
      </w:ins>
    </w:p>
  </w:footnote>
  <w:footnote w:id="9">
    <w:p w:rsidR="00A61773" w:rsidRPr="00D53442" w:rsidRDefault="00A61773" w:rsidP="00A61773">
      <w:pPr>
        <w:pStyle w:val="Footnote"/>
        <w:rPr>
          <w:szCs w:val="18"/>
        </w:rPr>
      </w:pPr>
      <w:r w:rsidRPr="00225B09">
        <w:rPr>
          <w:szCs w:val="18"/>
          <w:vertAlign w:val="superscript"/>
        </w:rPr>
        <w:footnoteRef/>
      </w:r>
      <w:r w:rsidRPr="007A07C8">
        <w:rPr>
          <w:szCs w:val="18"/>
        </w:rPr>
        <w:t xml:space="preserve"> Illinois evaluation of PY1 through PY3 has not found that fixtures or lamps placed into storage to be a significant enough issue to warrant including an “In-Service Rate” when commercial customers complete an application form. </w:t>
      </w:r>
    </w:p>
  </w:footnote>
  <w:footnote w:id="10">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w:t>
      </w:r>
      <w:proofErr w:type="spellStart"/>
      <w:r w:rsidRPr="009C362B">
        <w:rPr>
          <w:szCs w:val="18"/>
        </w:rPr>
        <w:t>ComEd’s</w:t>
      </w:r>
      <w:proofErr w:type="spellEnd"/>
      <w:r w:rsidRPr="009C362B">
        <w:rPr>
          <w:szCs w:val="18"/>
        </w:rPr>
        <w:t xml:space="preserve"> BILD program data from PY5 and PY6, see “IL Commercial Lighting ISR_2014.xls”.</w:t>
      </w:r>
    </w:p>
  </w:footnote>
  <w:footnote w:id="11">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In the absence of any data for LEDs specifically it is assumed that the same proportion of bulbs eventually get installed as for CFLS. The 98% CFL assumption is based upon review of two evaluations:</w:t>
      </w:r>
    </w:p>
    <w:p w:rsidR="00A61773" w:rsidRPr="009C362B" w:rsidRDefault="00A61773" w:rsidP="00A61773">
      <w:pPr>
        <w:pStyle w:val="Footnote"/>
        <w:rPr>
          <w:szCs w:val="18"/>
        </w:rPr>
      </w:pPr>
      <w:r w:rsidRPr="009C362B">
        <w:rPr>
          <w:szCs w:val="18"/>
        </w:rPr>
        <w:t xml:space="preserve">‘Nexus Market Research, RLW Analytics and GDS Associates study; “New England Residential Lighting Markdown Impact Evaluation, January 20, 2009’ and ‘KEMA </w:t>
      </w:r>
      <w:proofErr w:type="spellStart"/>
      <w:r w:rsidRPr="009C362B">
        <w:rPr>
          <w:szCs w:val="18"/>
        </w:rPr>
        <w:t>Inc</w:t>
      </w:r>
      <w:proofErr w:type="spellEnd"/>
      <w:r w:rsidRPr="009C362B">
        <w:rPr>
          <w:szCs w:val="18"/>
        </w:rPr>
        <w:t>,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Note that this Final Install Rate does NOT account for leakage of purchased bulbs being installed outside of the utility territory. EM&amp;V should assess how and if data from evaluation should adjust this final installation rate to account for this impact</w:t>
      </w:r>
    </w:p>
  </w:footnote>
  <w:footnote w:id="12">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proofErr w:type="gramStart"/>
      <w:r w:rsidRPr="009C362B">
        <w:rPr>
          <w:szCs w:val="18"/>
        </w:rPr>
        <w:t>Negative value because this is an increase in heating consumption due to the efficient lighting.</w:t>
      </w:r>
      <w:proofErr w:type="gramEnd"/>
    </w:p>
  </w:footnote>
  <w:footnote w:id="13">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See “LED reference tables.xls” for breakdown of component cost assumptions.</w:t>
      </w:r>
    </w:p>
  </w:footnote>
  <w:footnote w:id="14">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upon pricing forecast developed by Applied Proactive Technologies </w:t>
      </w:r>
      <w:proofErr w:type="spellStart"/>
      <w:r w:rsidRPr="009C362B">
        <w:rPr>
          <w:szCs w:val="18"/>
        </w:rPr>
        <w:t>Inc</w:t>
      </w:r>
      <w:proofErr w:type="spellEnd"/>
      <w:r w:rsidRPr="009C362B">
        <w:rPr>
          <w:szCs w:val="18"/>
        </w:rPr>
        <w:t xml:space="preserve"> (APT) based on industry input and provided to Ameren.</w:t>
      </w:r>
      <w:proofErr w:type="gramEnd"/>
    </w:p>
  </w:footnote>
  <w:footnote w:id="15">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 w:id="16">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Data is based on Efficiency Vermont derived cost and actual installed wattage information.</w:t>
      </w:r>
    </w:p>
  </w:footnote>
  <w:footnote w:id="17">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LED Refrigeration Case </w:t>
      </w:r>
      <w:proofErr w:type="spellStart"/>
      <w:r w:rsidRPr="009C362B">
        <w:rPr>
          <w:szCs w:val="18"/>
        </w:rPr>
        <w:t>Ltg</w:t>
      </w:r>
      <w:proofErr w:type="spellEnd"/>
      <w:r w:rsidRPr="009C362B">
        <w:rPr>
          <w:szCs w:val="18"/>
        </w:rPr>
        <w:t xml:space="preserve"> </w:t>
      </w:r>
      <w:proofErr w:type="spellStart"/>
      <w:r w:rsidRPr="009C362B">
        <w:rPr>
          <w:szCs w:val="18"/>
        </w:rPr>
        <w:t>Workpaper</w:t>
      </w:r>
      <w:proofErr w:type="spellEnd"/>
      <w:r w:rsidRPr="009C362B">
        <w:rPr>
          <w:szCs w:val="18"/>
        </w:rPr>
        <w:t xml:space="preserve"> 053007 rev1,  May 30, 2007</w:t>
      </w:r>
    </w:p>
  </w:footnote>
  <w:footnote w:id="18">
    <w:p w:rsidR="00A61773" w:rsidRPr="009C362B" w:rsidRDefault="00A61773" w:rsidP="00A6177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some measures have blended baselines. All values are provided to enable calculation of appropriate O&amp;M impacts. Total costs include lamp, labor and disposal cost assumptions where applicable, see “LED reference tables.xls” for more information.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73" w:rsidRPr="00CE5983" w:rsidRDefault="00A61773" w:rsidP="00B04E8E">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_Ref406677058 \r \h  \* MERGEFORMAT </w:instrText>
    </w:r>
    <w:r>
      <w:rPr>
        <w:sz w:val="22"/>
      </w:rPr>
    </w:r>
    <w:r>
      <w:rPr>
        <w:sz w:val="22"/>
      </w:rPr>
      <w:fldChar w:fldCharType="separate"/>
    </w:r>
    <w:r>
      <w:rPr>
        <w:sz w:val="22"/>
      </w:rPr>
      <w:t>4.5.4</w:t>
    </w:r>
    <w:r>
      <w:rPr>
        <w:sz w:val="22"/>
      </w:rPr>
      <w:fldChar w:fldCharType="end"/>
    </w:r>
    <w:r>
      <w:rPr>
        <w:sz w:val="22"/>
      </w:rPr>
      <w:t xml:space="preserve"> </w:t>
    </w:r>
    <w:r>
      <w:rPr>
        <w:sz w:val="22"/>
      </w:rPr>
      <w:fldChar w:fldCharType="begin"/>
    </w:r>
    <w:r>
      <w:rPr>
        <w:sz w:val="22"/>
      </w:rPr>
      <w:instrText xml:space="preserve"> REF _Ref406677058 \h  \* MERGEFORMAT </w:instrText>
    </w:r>
    <w:r>
      <w:rPr>
        <w:sz w:val="22"/>
      </w:rPr>
    </w:r>
    <w:r>
      <w:rPr>
        <w:sz w:val="22"/>
      </w:rPr>
      <w:fldChar w:fldCharType="separate"/>
    </w:r>
    <w:r>
      <w:t>LED Bulbs and Fixtures</w:t>
    </w:r>
    <w:r>
      <w:rPr>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73" w:rsidRDefault="00A617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773" w:rsidRDefault="00A617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4">
    <w:nsid w:val="27B04499"/>
    <w:multiLevelType w:val="multilevel"/>
    <w:tmpl w:val="C672BB54"/>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17B3E2B"/>
    <w:multiLevelType w:val="multilevel"/>
    <w:tmpl w:val="83CC8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73"/>
    <w:rsid w:val="00A466EC"/>
    <w:rsid w:val="00A61773"/>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6177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6177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6177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6177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61773"/>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6177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6177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6177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6177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6177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177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6177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6177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61773"/>
    <w:rPr>
      <w:rFonts w:ascii="Calibri" w:eastAsiaTheme="minorEastAsia" w:hAnsi="Calibri" w:cs="Arial"/>
      <w:bCs/>
      <w:i/>
      <w:noProof/>
    </w:rPr>
  </w:style>
  <w:style w:type="character" w:customStyle="1" w:styleId="Heading5Char">
    <w:name w:val="Heading 5 Char"/>
    <w:basedOn w:val="DefaultParagraphFont"/>
    <w:link w:val="Heading5"/>
    <w:uiPriority w:val="99"/>
    <w:rsid w:val="00A61773"/>
    <w:rPr>
      <w:rFonts w:ascii="Calibri" w:eastAsia="Times New Roman" w:hAnsi="Calibri" w:cs="Times New Roman"/>
      <w:sz w:val="20"/>
    </w:rPr>
  </w:style>
  <w:style w:type="character" w:customStyle="1" w:styleId="Heading6Char">
    <w:name w:val="Heading 6 Char"/>
    <w:basedOn w:val="DefaultParagraphFont"/>
    <w:link w:val="Heading6"/>
    <w:uiPriority w:val="9"/>
    <w:rsid w:val="00A61773"/>
    <w:rPr>
      <w:rFonts w:eastAsia="Times New Roman" w:cs="Calibri"/>
      <w:b/>
      <w:smallCaps/>
    </w:rPr>
  </w:style>
  <w:style w:type="character" w:customStyle="1" w:styleId="Heading7Char">
    <w:name w:val="Heading 7 Char"/>
    <w:basedOn w:val="DefaultParagraphFont"/>
    <w:link w:val="Heading7"/>
    <w:uiPriority w:val="99"/>
    <w:rsid w:val="00A6177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6177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6177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61773"/>
    <w:rPr>
      <w:rFonts w:ascii="Calibri" w:eastAsiaTheme="minorEastAsia" w:hAnsi="Calibri" w:cs="Times New Roman"/>
      <w:bCs/>
      <w:sz w:val="24"/>
      <w:szCs w:val="24"/>
    </w:rPr>
  </w:style>
  <w:style w:type="paragraph" w:styleId="Header">
    <w:name w:val="header"/>
    <w:basedOn w:val="Normal"/>
    <w:link w:val="HeaderChar"/>
    <w:uiPriority w:val="99"/>
    <w:rsid w:val="00A61773"/>
    <w:pPr>
      <w:tabs>
        <w:tab w:val="center" w:pos="4320"/>
        <w:tab w:val="right" w:pos="8640"/>
      </w:tabs>
    </w:pPr>
  </w:style>
  <w:style w:type="character" w:customStyle="1" w:styleId="HeaderChar">
    <w:name w:val="Header Char"/>
    <w:basedOn w:val="DefaultParagraphFont"/>
    <w:link w:val="Header"/>
    <w:uiPriority w:val="99"/>
    <w:rsid w:val="00A61773"/>
    <w:rPr>
      <w:rFonts w:eastAsia="Times New Roman" w:cs="Times New Roman"/>
      <w:sz w:val="20"/>
    </w:rPr>
  </w:style>
  <w:style w:type="paragraph" w:styleId="Footer">
    <w:name w:val="footer"/>
    <w:basedOn w:val="Normal"/>
    <w:link w:val="FooterChar1"/>
    <w:uiPriority w:val="99"/>
    <w:rsid w:val="00A61773"/>
    <w:pPr>
      <w:tabs>
        <w:tab w:val="center" w:pos="4320"/>
        <w:tab w:val="right" w:pos="8640"/>
      </w:tabs>
    </w:pPr>
  </w:style>
  <w:style w:type="character" w:customStyle="1" w:styleId="FooterChar">
    <w:name w:val="Footer Char"/>
    <w:basedOn w:val="DefaultParagraphFont"/>
    <w:uiPriority w:val="99"/>
    <w:rsid w:val="00A61773"/>
    <w:rPr>
      <w:rFonts w:eastAsia="Times New Roman" w:cs="Times New Roman"/>
      <w:sz w:val="20"/>
    </w:rPr>
  </w:style>
  <w:style w:type="character" w:customStyle="1" w:styleId="FooterChar1">
    <w:name w:val="Footer Char1"/>
    <w:link w:val="Footer"/>
    <w:uiPriority w:val="99"/>
    <w:locked/>
    <w:rsid w:val="00A61773"/>
    <w:rPr>
      <w:rFonts w:eastAsia="Times New Roman" w:cs="Times New Roman"/>
      <w:sz w:val="20"/>
    </w:rPr>
  </w:style>
  <w:style w:type="paragraph" w:styleId="BodyText">
    <w:name w:val="Body Text"/>
    <w:basedOn w:val="Normal"/>
    <w:link w:val="BodyTextChar"/>
    <w:uiPriority w:val="99"/>
    <w:rsid w:val="00A61773"/>
    <w:rPr>
      <w:sz w:val="28"/>
    </w:rPr>
  </w:style>
  <w:style w:type="character" w:customStyle="1" w:styleId="BodyTextChar">
    <w:name w:val="Body Text Char"/>
    <w:basedOn w:val="DefaultParagraphFont"/>
    <w:link w:val="BodyText"/>
    <w:uiPriority w:val="99"/>
    <w:rsid w:val="00A61773"/>
    <w:rPr>
      <w:rFonts w:eastAsia="Times New Roman" w:cs="Times New Roman"/>
      <w:sz w:val="28"/>
    </w:rPr>
  </w:style>
  <w:style w:type="paragraph" w:customStyle="1" w:styleId="Style0">
    <w:name w:val="Style0"/>
    <w:uiPriority w:val="99"/>
    <w:rsid w:val="00A61773"/>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6177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61773"/>
    <w:rPr>
      <w:rFonts w:eastAsia="Times New Roman" w:cs="Times New Roman"/>
      <w:sz w:val="20"/>
    </w:rPr>
  </w:style>
  <w:style w:type="character" w:styleId="FootnoteReference">
    <w:name w:val="footnote reference"/>
    <w:aliases w:val="Footnote_Reference,o,fr"/>
    <w:uiPriority w:val="99"/>
    <w:qFormat/>
    <w:rsid w:val="00A61773"/>
    <w:rPr>
      <w:rFonts w:ascii="Arial" w:hAnsi="Arial" w:cs="Times New Roman"/>
      <w:sz w:val="20"/>
      <w:vertAlign w:val="superscript"/>
    </w:rPr>
  </w:style>
  <w:style w:type="character" w:styleId="PageNumber">
    <w:name w:val="page number"/>
    <w:uiPriority w:val="99"/>
    <w:rsid w:val="00A61773"/>
    <w:rPr>
      <w:rFonts w:cs="Times New Roman"/>
    </w:rPr>
  </w:style>
  <w:style w:type="paragraph" w:customStyle="1" w:styleId="PresentedBy">
    <w:name w:val="Presented By"/>
    <w:basedOn w:val="Normal"/>
    <w:link w:val="PresentedByChar"/>
    <w:uiPriority w:val="99"/>
    <w:rsid w:val="00A61773"/>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61773"/>
    <w:rPr>
      <w:rFonts w:ascii="Palatino Linotype" w:eastAsia="Times New Roman" w:hAnsi="Palatino Linotype" w:cs="Times New Roman"/>
      <w:color w:val="6F6754"/>
      <w:sz w:val="20"/>
    </w:rPr>
  </w:style>
  <w:style w:type="character" w:styleId="Hyperlink">
    <w:name w:val="Hyperlink"/>
    <w:uiPriority w:val="99"/>
    <w:rsid w:val="00A61773"/>
    <w:rPr>
      <w:rFonts w:cs="Times New Roman"/>
      <w:color w:val="0000FF"/>
      <w:u w:val="single"/>
    </w:rPr>
  </w:style>
  <w:style w:type="paragraph" w:styleId="TOC1">
    <w:name w:val="toc 1"/>
    <w:basedOn w:val="Normal"/>
    <w:next w:val="Normal"/>
    <w:autoRedefine/>
    <w:uiPriority w:val="39"/>
    <w:rsid w:val="00A61773"/>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61773"/>
    <w:pPr>
      <w:spacing w:before="240"/>
    </w:pPr>
    <w:rPr>
      <w:rFonts w:cstheme="minorHAnsi"/>
      <w:b/>
      <w:bCs/>
      <w:szCs w:val="20"/>
    </w:rPr>
  </w:style>
  <w:style w:type="paragraph" w:styleId="CommentText">
    <w:name w:val="annotation text"/>
    <w:basedOn w:val="Normal"/>
    <w:link w:val="CommentTextChar"/>
    <w:rsid w:val="00A61773"/>
  </w:style>
  <w:style w:type="character" w:customStyle="1" w:styleId="CommentTextChar">
    <w:name w:val="Comment Text Char"/>
    <w:basedOn w:val="DefaultParagraphFont"/>
    <w:link w:val="CommentText"/>
    <w:rsid w:val="00A61773"/>
    <w:rPr>
      <w:rFonts w:eastAsia="Times New Roman" w:cs="Times New Roman"/>
      <w:sz w:val="20"/>
    </w:rPr>
  </w:style>
  <w:style w:type="character" w:customStyle="1" w:styleId="CommentSubjectChar">
    <w:name w:val="Comment Subject Char"/>
    <w:basedOn w:val="CommentTextChar"/>
    <w:link w:val="CommentSubject"/>
    <w:uiPriority w:val="99"/>
    <w:semiHidden/>
    <w:rsid w:val="00A61773"/>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61773"/>
    <w:rPr>
      <w:b/>
      <w:bCs/>
    </w:rPr>
  </w:style>
  <w:style w:type="character" w:customStyle="1" w:styleId="CommentSubjectChar1">
    <w:name w:val="Comment Subject Char1"/>
    <w:basedOn w:val="CommentTextChar"/>
    <w:uiPriority w:val="99"/>
    <w:semiHidden/>
    <w:rsid w:val="00A61773"/>
    <w:rPr>
      <w:rFonts w:eastAsia="Times New Roman" w:cs="Times New Roman"/>
      <w:b/>
      <w:bCs/>
      <w:sz w:val="20"/>
    </w:rPr>
  </w:style>
  <w:style w:type="paragraph" w:styleId="BalloonText">
    <w:name w:val="Balloon Text"/>
    <w:basedOn w:val="Normal"/>
    <w:link w:val="BalloonTextChar"/>
    <w:uiPriority w:val="99"/>
    <w:semiHidden/>
    <w:rsid w:val="00A61773"/>
    <w:rPr>
      <w:rFonts w:ascii="Tahoma" w:hAnsi="Tahoma" w:cs="Tahoma"/>
      <w:sz w:val="16"/>
      <w:szCs w:val="16"/>
    </w:rPr>
  </w:style>
  <w:style w:type="character" w:customStyle="1" w:styleId="BalloonTextChar">
    <w:name w:val="Balloon Text Char"/>
    <w:basedOn w:val="DefaultParagraphFont"/>
    <w:link w:val="BalloonText"/>
    <w:uiPriority w:val="99"/>
    <w:semiHidden/>
    <w:rsid w:val="00A61773"/>
    <w:rPr>
      <w:rFonts w:ascii="Tahoma" w:eastAsia="Times New Roman" w:hAnsi="Tahoma" w:cs="Tahoma"/>
      <w:sz w:val="16"/>
      <w:szCs w:val="16"/>
    </w:rPr>
  </w:style>
  <w:style w:type="paragraph" w:styleId="NoSpacing">
    <w:name w:val="No Spacing"/>
    <w:uiPriority w:val="1"/>
    <w:qFormat/>
    <w:rsid w:val="00A61773"/>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61773"/>
    <w:pPr>
      <w:ind w:left="720"/>
      <w:contextualSpacing/>
    </w:pPr>
  </w:style>
  <w:style w:type="character" w:styleId="BookTitle">
    <w:name w:val="Book Title"/>
    <w:uiPriority w:val="99"/>
    <w:qFormat/>
    <w:rsid w:val="00A61773"/>
    <w:rPr>
      <w:b/>
      <w:bCs/>
      <w:smallCaps/>
      <w:spacing w:val="5"/>
    </w:rPr>
  </w:style>
  <w:style w:type="paragraph" w:styleId="Title">
    <w:name w:val="Title"/>
    <w:basedOn w:val="Normal"/>
    <w:next w:val="Normal"/>
    <w:link w:val="TitleChar"/>
    <w:qFormat/>
    <w:rsid w:val="00A61773"/>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61773"/>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61773"/>
    <w:pPr>
      <w:keepLines/>
      <w:spacing w:before="80" w:after="40"/>
    </w:pPr>
    <w:rPr>
      <w:b/>
      <w:noProof/>
      <w:sz w:val="18"/>
    </w:rPr>
  </w:style>
  <w:style w:type="paragraph" w:customStyle="1" w:styleId="Tablecentered">
    <w:name w:val="Table centered"/>
    <w:basedOn w:val="Normal"/>
    <w:link w:val="TablecenteredChar"/>
    <w:autoRedefine/>
    <w:uiPriority w:val="99"/>
    <w:qFormat/>
    <w:rsid w:val="00A61773"/>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61773"/>
    <w:rPr>
      <w:rFonts w:eastAsia="Times New Roman" w:cs="Times New Roman"/>
      <w:noProof/>
      <w:sz w:val="18"/>
      <w:szCs w:val="18"/>
    </w:rPr>
  </w:style>
  <w:style w:type="paragraph" w:customStyle="1" w:styleId="Tablecenteredbold">
    <w:name w:val="Table centered bold"/>
    <w:basedOn w:val="Tablecentered"/>
    <w:autoRedefine/>
    <w:uiPriority w:val="99"/>
    <w:rsid w:val="00A61773"/>
    <w:rPr>
      <w:b/>
    </w:rPr>
  </w:style>
  <w:style w:type="paragraph" w:customStyle="1" w:styleId="Heading31">
    <w:name w:val="Heading 3.1"/>
    <w:basedOn w:val="Heading3"/>
    <w:link w:val="Heading31Char"/>
    <w:uiPriority w:val="99"/>
    <w:rsid w:val="00A61773"/>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61773"/>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61773"/>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61773"/>
    <w:pPr>
      <w:spacing w:after="200" w:line="276" w:lineRule="auto"/>
    </w:pPr>
  </w:style>
  <w:style w:type="character" w:customStyle="1" w:styleId="AnalystTextChar">
    <w:name w:val="Analyst Text Char"/>
    <w:link w:val="AnalystText"/>
    <w:uiPriority w:val="99"/>
    <w:locked/>
    <w:rsid w:val="00A61773"/>
    <w:rPr>
      <w:rFonts w:eastAsia="Times New Roman" w:cs="Times New Roman"/>
      <w:sz w:val="20"/>
    </w:rPr>
  </w:style>
  <w:style w:type="character" w:customStyle="1" w:styleId="UsernotesChar">
    <w:name w:val="User notes Char"/>
    <w:link w:val="Usernotes"/>
    <w:uiPriority w:val="99"/>
    <w:locked/>
    <w:rsid w:val="00A61773"/>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6177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61773"/>
    <w:rPr>
      <w:rFonts w:eastAsia="Times New Roman" w:cstheme="minorHAnsi"/>
      <w:b/>
      <w:sz w:val="20"/>
      <w:szCs w:val="24"/>
    </w:rPr>
  </w:style>
  <w:style w:type="paragraph" w:styleId="List">
    <w:name w:val="List"/>
    <w:basedOn w:val="Normal"/>
    <w:uiPriority w:val="99"/>
    <w:rsid w:val="00A61773"/>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61773"/>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61773"/>
    <w:rPr>
      <w:rFonts w:ascii="Arial" w:eastAsia="Times New Roman" w:hAnsi="Arial" w:cs="Times New Roman"/>
      <w:sz w:val="20"/>
      <w:szCs w:val="20"/>
    </w:rPr>
  </w:style>
  <w:style w:type="paragraph" w:styleId="MacroText">
    <w:name w:val="macro"/>
    <w:link w:val="MacroTextChar"/>
    <w:uiPriority w:val="99"/>
    <w:semiHidden/>
    <w:rsid w:val="00A6177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61773"/>
    <w:rPr>
      <w:rFonts w:ascii="Consolas" w:eastAsia="Times New Roman" w:hAnsi="Consolas" w:cs="Consolas"/>
      <w:sz w:val="20"/>
      <w:szCs w:val="20"/>
    </w:rPr>
  </w:style>
  <w:style w:type="paragraph" w:styleId="BodyTextIndent2">
    <w:name w:val="Body Text Indent 2"/>
    <w:basedOn w:val="Normal"/>
    <w:link w:val="BodyTextIndent2Char"/>
    <w:uiPriority w:val="99"/>
    <w:rsid w:val="00A61773"/>
    <w:pPr>
      <w:ind w:left="720"/>
    </w:pPr>
  </w:style>
  <w:style w:type="character" w:customStyle="1" w:styleId="BodyTextIndent2Char">
    <w:name w:val="Body Text Indent 2 Char"/>
    <w:basedOn w:val="DefaultParagraphFont"/>
    <w:link w:val="BodyTextIndent2"/>
    <w:uiPriority w:val="99"/>
    <w:rsid w:val="00A61773"/>
    <w:rPr>
      <w:rFonts w:eastAsia="Times New Roman" w:cs="Times New Roman"/>
      <w:sz w:val="20"/>
    </w:rPr>
  </w:style>
  <w:style w:type="character" w:styleId="FollowedHyperlink">
    <w:name w:val="FollowedHyperlink"/>
    <w:uiPriority w:val="99"/>
    <w:rsid w:val="00A61773"/>
    <w:rPr>
      <w:rFonts w:cs="Times New Roman"/>
      <w:color w:val="800080"/>
      <w:u w:val="single"/>
    </w:rPr>
  </w:style>
  <w:style w:type="paragraph" w:customStyle="1" w:styleId="Default">
    <w:name w:val="Default"/>
    <w:rsid w:val="00A61773"/>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61773"/>
    <w:rPr>
      <w:rFonts w:cs="Times New Roman"/>
      <w:sz w:val="24"/>
      <w:lang w:val="en-US" w:eastAsia="en-US" w:bidi="ar-SA"/>
    </w:rPr>
  </w:style>
  <w:style w:type="paragraph" w:styleId="TOC3">
    <w:name w:val="toc 3"/>
    <w:basedOn w:val="Normal"/>
    <w:next w:val="Normal"/>
    <w:autoRedefine/>
    <w:uiPriority w:val="39"/>
    <w:rsid w:val="00A61773"/>
    <w:pPr>
      <w:ind w:left="240"/>
    </w:pPr>
    <w:rPr>
      <w:rFonts w:cstheme="minorHAnsi"/>
      <w:szCs w:val="20"/>
    </w:rPr>
  </w:style>
  <w:style w:type="character" w:customStyle="1" w:styleId="CharChar11">
    <w:name w:val="Char Char11"/>
    <w:uiPriority w:val="99"/>
    <w:locked/>
    <w:rsid w:val="00A61773"/>
    <w:rPr>
      <w:rFonts w:ascii="Cambria" w:hAnsi="Cambria" w:cs="Times New Roman"/>
      <w:b/>
      <w:bCs/>
      <w:sz w:val="28"/>
      <w:szCs w:val="28"/>
      <w:lang w:val="en-US" w:eastAsia="en-US" w:bidi="ar-SA"/>
    </w:rPr>
  </w:style>
  <w:style w:type="character" w:customStyle="1" w:styleId="CharChar10">
    <w:name w:val="Char Char10"/>
    <w:uiPriority w:val="99"/>
    <w:locked/>
    <w:rsid w:val="00A61773"/>
    <w:rPr>
      <w:rFonts w:ascii="Cambria" w:hAnsi="Cambria" w:cs="Times New Roman"/>
      <w:b/>
      <w:bCs/>
      <w:sz w:val="26"/>
      <w:szCs w:val="26"/>
      <w:lang w:val="en-US" w:eastAsia="en-US" w:bidi="ar-SA"/>
    </w:rPr>
  </w:style>
  <w:style w:type="character" w:customStyle="1" w:styleId="CharChar9">
    <w:name w:val="Char Char9"/>
    <w:uiPriority w:val="99"/>
    <w:locked/>
    <w:rsid w:val="00A61773"/>
    <w:rPr>
      <w:rFonts w:ascii="Cambria" w:hAnsi="Cambria" w:cs="Times New Roman"/>
      <w:b/>
      <w:bCs/>
      <w:sz w:val="22"/>
      <w:szCs w:val="22"/>
      <w:lang w:val="en-US" w:eastAsia="en-US" w:bidi="ar-SA"/>
    </w:rPr>
  </w:style>
  <w:style w:type="character" w:customStyle="1" w:styleId="CharChar7">
    <w:name w:val="Char Char7"/>
    <w:uiPriority w:val="99"/>
    <w:locked/>
    <w:rsid w:val="00A61773"/>
    <w:rPr>
      <w:rFonts w:ascii="Cambria" w:hAnsi="Cambria" w:cs="Times New Roman"/>
      <w:sz w:val="22"/>
      <w:szCs w:val="22"/>
      <w:lang w:val="en-US" w:eastAsia="en-US" w:bidi="ar-SA"/>
    </w:rPr>
  </w:style>
  <w:style w:type="character" w:customStyle="1" w:styleId="CharChar1">
    <w:name w:val="Char Char1"/>
    <w:uiPriority w:val="99"/>
    <w:locked/>
    <w:rsid w:val="00A61773"/>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61773"/>
    <w:pPr>
      <w:tabs>
        <w:tab w:val="num" w:pos="720"/>
      </w:tabs>
      <w:ind w:left="720" w:hanging="360"/>
    </w:pPr>
  </w:style>
  <w:style w:type="character" w:customStyle="1" w:styleId="bodytext0">
    <w:name w:val="bodytext"/>
    <w:uiPriority w:val="99"/>
    <w:rsid w:val="00A61773"/>
    <w:rPr>
      <w:rFonts w:cs="Times New Roman"/>
    </w:rPr>
  </w:style>
  <w:style w:type="character" w:customStyle="1" w:styleId="StyleBold">
    <w:name w:val="Style Bold"/>
    <w:uiPriority w:val="99"/>
    <w:rsid w:val="00A61773"/>
    <w:rPr>
      <w:rFonts w:cs="Times New Roman"/>
      <w:b/>
      <w:bCs/>
      <w:sz w:val="20"/>
    </w:rPr>
  </w:style>
  <w:style w:type="character" w:customStyle="1" w:styleId="DocumentMapChar">
    <w:name w:val="Document Map Char"/>
    <w:basedOn w:val="DefaultParagraphFont"/>
    <w:link w:val="DocumentMap"/>
    <w:uiPriority w:val="99"/>
    <w:semiHidden/>
    <w:rsid w:val="00A61773"/>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61773"/>
    <w:pPr>
      <w:shd w:val="clear" w:color="auto" w:fill="000080"/>
    </w:pPr>
    <w:rPr>
      <w:rFonts w:ascii="Tahoma" w:hAnsi="Tahoma" w:cs="Tahoma"/>
    </w:rPr>
  </w:style>
  <w:style w:type="character" w:customStyle="1" w:styleId="DocumentMapChar1">
    <w:name w:val="Document Map Char1"/>
    <w:basedOn w:val="DefaultParagraphFont"/>
    <w:uiPriority w:val="99"/>
    <w:semiHidden/>
    <w:rsid w:val="00A61773"/>
    <w:rPr>
      <w:rFonts w:ascii="Tahoma" w:eastAsia="Times New Roman" w:hAnsi="Tahoma" w:cs="Tahoma"/>
      <w:sz w:val="16"/>
      <w:szCs w:val="16"/>
    </w:rPr>
  </w:style>
  <w:style w:type="character" w:styleId="CommentReference">
    <w:name w:val="annotation reference"/>
    <w:rsid w:val="00A61773"/>
    <w:rPr>
      <w:rFonts w:cs="Times New Roman"/>
      <w:sz w:val="16"/>
      <w:szCs w:val="16"/>
    </w:rPr>
  </w:style>
  <w:style w:type="character" w:customStyle="1" w:styleId="apple-style-span">
    <w:name w:val="apple-style-span"/>
    <w:uiPriority w:val="99"/>
    <w:rsid w:val="00A61773"/>
    <w:rPr>
      <w:rFonts w:cs="Times New Roman"/>
    </w:rPr>
  </w:style>
  <w:style w:type="paragraph" w:styleId="BodyTextIndent3">
    <w:name w:val="Body Text Indent 3"/>
    <w:basedOn w:val="Normal"/>
    <w:link w:val="BodyTextIndent3Char"/>
    <w:uiPriority w:val="99"/>
    <w:rsid w:val="00A61773"/>
    <w:pPr>
      <w:ind w:left="360"/>
    </w:pPr>
    <w:rPr>
      <w:sz w:val="16"/>
      <w:szCs w:val="16"/>
    </w:rPr>
  </w:style>
  <w:style w:type="character" w:customStyle="1" w:styleId="BodyTextIndent3Char">
    <w:name w:val="Body Text Indent 3 Char"/>
    <w:basedOn w:val="DefaultParagraphFont"/>
    <w:link w:val="BodyTextIndent3"/>
    <w:uiPriority w:val="99"/>
    <w:rsid w:val="00A61773"/>
    <w:rPr>
      <w:rFonts w:eastAsia="Times New Roman" w:cs="Times New Roman"/>
      <w:sz w:val="16"/>
      <w:szCs w:val="16"/>
    </w:rPr>
  </w:style>
  <w:style w:type="paragraph" w:styleId="ListBullet">
    <w:name w:val="List Bullet"/>
    <w:basedOn w:val="Normal"/>
    <w:uiPriority w:val="99"/>
    <w:rsid w:val="00A61773"/>
    <w:pPr>
      <w:tabs>
        <w:tab w:val="num" w:pos="1080"/>
      </w:tabs>
      <w:ind w:left="360" w:hanging="360"/>
    </w:pPr>
  </w:style>
  <w:style w:type="paragraph" w:customStyle="1" w:styleId="xl25">
    <w:name w:val="xl25"/>
    <w:basedOn w:val="Normal"/>
    <w:uiPriority w:val="99"/>
    <w:rsid w:val="00A61773"/>
    <w:pPr>
      <w:spacing w:before="100" w:beforeAutospacing="1" w:after="100" w:afterAutospacing="1"/>
    </w:pPr>
    <w:rPr>
      <w:rFonts w:ascii="Arial" w:eastAsia="Arial Unicode MS" w:hAnsi="Arial" w:cs="Arial"/>
    </w:rPr>
  </w:style>
  <w:style w:type="character" w:styleId="HTMLCite">
    <w:name w:val="HTML Cite"/>
    <w:uiPriority w:val="99"/>
    <w:rsid w:val="00A61773"/>
    <w:rPr>
      <w:rFonts w:cs="Times New Roman"/>
      <w:i/>
      <w:iCs/>
    </w:rPr>
  </w:style>
  <w:style w:type="character" w:customStyle="1" w:styleId="apple-converted-space">
    <w:name w:val="apple-converted-space"/>
    <w:rsid w:val="00A61773"/>
    <w:rPr>
      <w:rFonts w:cs="Times New Roman"/>
    </w:rPr>
  </w:style>
  <w:style w:type="paragraph" w:styleId="TOC4">
    <w:name w:val="toc 4"/>
    <w:basedOn w:val="Normal"/>
    <w:next w:val="Normal"/>
    <w:autoRedefine/>
    <w:uiPriority w:val="39"/>
    <w:rsid w:val="00A61773"/>
    <w:pPr>
      <w:ind w:left="480"/>
    </w:pPr>
    <w:rPr>
      <w:rFonts w:cstheme="minorHAnsi"/>
      <w:szCs w:val="20"/>
    </w:rPr>
  </w:style>
  <w:style w:type="paragraph" w:styleId="TOC5">
    <w:name w:val="toc 5"/>
    <w:basedOn w:val="Normal"/>
    <w:next w:val="Normal"/>
    <w:autoRedefine/>
    <w:uiPriority w:val="39"/>
    <w:rsid w:val="00A61773"/>
    <w:pPr>
      <w:ind w:left="720"/>
    </w:pPr>
    <w:rPr>
      <w:rFonts w:cstheme="minorHAnsi"/>
      <w:szCs w:val="20"/>
    </w:rPr>
  </w:style>
  <w:style w:type="paragraph" w:styleId="TOC6">
    <w:name w:val="toc 6"/>
    <w:basedOn w:val="Normal"/>
    <w:next w:val="Normal"/>
    <w:autoRedefine/>
    <w:uiPriority w:val="39"/>
    <w:rsid w:val="00A61773"/>
    <w:pPr>
      <w:ind w:left="960"/>
    </w:pPr>
    <w:rPr>
      <w:rFonts w:cstheme="minorHAnsi"/>
      <w:szCs w:val="20"/>
    </w:rPr>
  </w:style>
  <w:style w:type="paragraph" w:styleId="TOC7">
    <w:name w:val="toc 7"/>
    <w:basedOn w:val="Normal"/>
    <w:next w:val="Normal"/>
    <w:autoRedefine/>
    <w:uiPriority w:val="39"/>
    <w:rsid w:val="00A61773"/>
    <w:pPr>
      <w:ind w:left="1200"/>
    </w:pPr>
    <w:rPr>
      <w:rFonts w:cstheme="minorHAnsi"/>
      <w:szCs w:val="20"/>
    </w:rPr>
  </w:style>
  <w:style w:type="paragraph" w:styleId="TOC8">
    <w:name w:val="toc 8"/>
    <w:basedOn w:val="Normal"/>
    <w:next w:val="Normal"/>
    <w:autoRedefine/>
    <w:uiPriority w:val="39"/>
    <w:rsid w:val="00A61773"/>
    <w:pPr>
      <w:ind w:left="1440"/>
    </w:pPr>
    <w:rPr>
      <w:rFonts w:cstheme="minorHAnsi"/>
      <w:szCs w:val="20"/>
    </w:rPr>
  </w:style>
  <w:style w:type="paragraph" w:styleId="TOC9">
    <w:name w:val="toc 9"/>
    <w:basedOn w:val="Normal"/>
    <w:next w:val="Normal"/>
    <w:autoRedefine/>
    <w:uiPriority w:val="39"/>
    <w:rsid w:val="00A61773"/>
    <w:pPr>
      <w:ind w:left="1680"/>
    </w:pPr>
    <w:rPr>
      <w:rFonts w:cstheme="minorHAnsi"/>
      <w:szCs w:val="20"/>
    </w:rPr>
  </w:style>
  <w:style w:type="character" w:customStyle="1" w:styleId="CharChar">
    <w:name w:val="Char Char"/>
    <w:uiPriority w:val="99"/>
    <w:rsid w:val="00A61773"/>
    <w:rPr>
      <w:rFonts w:cs="Times New Roman"/>
      <w:lang w:val="en-US" w:eastAsia="en-US" w:bidi="ar-SA"/>
    </w:rPr>
  </w:style>
  <w:style w:type="character" w:customStyle="1" w:styleId="CharChar4">
    <w:name w:val="Char Char4"/>
    <w:uiPriority w:val="99"/>
    <w:rsid w:val="00A61773"/>
    <w:rPr>
      <w:rFonts w:cs="Times New Roman"/>
      <w:lang w:val="en-US" w:eastAsia="en-US" w:bidi="ar-SA"/>
    </w:rPr>
  </w:style>
  <w:style w:type="character" w:customStyle="1" w:styleId="CharChar81">
    <w:name w:val="Char Char81"/>
    <w:uiPriority w:val="99"/>
    <w:rsid w:val="00A61773"/>
    <w:rPr>
      <w:rFonts w:cs="Times New Roman"/>
      <w:sz w:val="24"/>
      <w:lang w:val="en-US" w:eastAsia="en-US" w:bidi="ar-SA"/>
    </w:rPr>
  </w:style>
  <w:style w:type="character" w:customStyle="1" w:styleId="CharChar111">
    <w:name w:val="Char Char111"/>
    <w:uiPriority w:val="99"/>
    <w:locked/>
    <w:rsid w:val="00A61773"/>
    <w:rPr>
      <w:rFonts w:ascii="Cambria" w:hAnsi="Cambria" w:cs="Times New Roman"/>
      <w:b/>
      <w:bCs/>
      <w:sz w:val="28"/>
      <w:szCs w:val="28"/>
      <w:lang w:val="en-US" w:eastAsia="en-US" w:bidi="ar-SA"/>
    </w:rPr>
  </w:style>
  <w:style w:type="character" w:customStyle="1" w:styleId="CharChar101">
    <w:name w:val="Char Char101"/>
    <w:uiPriority w:val="99"/>
    <w:locked/>
    <w:rsid w:val="00A61773"/>
    <w:rPr>
      <w:rFonts w:ascii="Cambria" w:hAnsi="Cambria" w:cs="Times New Roman"/>
      <w:b/>
      <w:bCs/>
      <w:sz w:val="26"/>
      <w:szCs w:val="26"/>
      <w:lang w:val="en-US" w:eastAsia="en-US" w:bidi="ar-SA"/>
    </w:rPr>
  </w:style>
  <w:style w:type="character" w:customStyle="1" w:styleId="CharChar91">
    <w:name w:val="Char Char91"/>
    <w:uiPriority w:val="99"/>
    <w:locked/>
    <w:rsid w:val="00A61773"/>
    <w:rPr>
      <w:rFonts w:ascii="Cambria" w:hAnsi="Cambria" w:cs="Times New Roman"/>
      <w:b/>
      <w:bCs/>
      <w:sz w:val="22"/>
      <w:szCs w:val="22"/>
      <w:lang w:val="en-US" w:eastAsia="en-US" w:bidi="ar-SA"/>
    </w:rPr>
  </w:style>
  <w:style w:type="character" w:customStyle="1" w:styleId="CharChar71">
    <w:name w:val="Char Char71"/>
    <w:uiPriority w:val="99"/>
    <w:locked/>
    <w:rsid w:val="00A61773"/>
    <w:rPr>
      <w:rFonts w:ascii="Cambria" w:hAnsi="Cambria" w:cs="Times New Roman"/>
      <w:sz w:val="22"/>
      <w:szCs w:val="22"/>
      <w:lang w:val="en-US" w:eastAsia="en-US" w:bidi="ar-SA"/>
    </w:rPr>
  </w:style>
  <w:style w:type="character" w:customStyle="1" w:styleId="CharChar12">
    <w:name w:val="Char Char12"/>
    <w:uiPriority w:val="99"/>
    <w:locked/>
    <w:rsid w:val="00A61773"/>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61773"/>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61773"/>
    <w:rPr>
      <w:b/>
      <w:bCs/>
    </w:rPr>
  </w:style>
  <w:style w:type="paragraph" w:customStyle="1" w:styleId="TableText">
    <w:name w:val="Table Text"/>
    <w:basedOn w:val="Normal"/>
    <w:autoRedefine/>
    <w:qFormat/>
    <w:rsid w:val="00A61773"/>
    <w:pPr>
      <w:jc w:val="left"/>
    </w:pPr>
    <w:rPr>
      <w:rFonts w:ascii="Calibri" w:hAnsi="Calibri" w:cs="Arial"/>
      <w:noProof/>
      <w:szCs w:val="18"/>
      <w:lang w:val="en"/>
    </w:rPr>
  </w:style>
  <w:style w:type="paragraph" w:customStyle="1" w:styleId="NormalTRM">
    <w:name w:val="Normal TRM"/>
    <w:basedOn w:val="Normal"/>
    <w:link w:val="NormalTRMChar"/>
    <w:rsid w:val="00A61773"/>
  </w:style>
  <w:style w:type="character" w:customStyle="1" w:styleId="NormalTRMChar">
    <w:name w:val="Normal TRM Char"/>
    <w:basedOn w:val="DefaultParagraphFont"/>
    <w:link w:val="NormalTRM"/>
    <w:rsid w:val="00A61773"/>
    <w:rPr>
      <w:rFonts w:eastAsia="Times New Roman" w:cs="Times New Roman"/>
      <w:sz w:val="20"/>
    </w:rPr>
  </w:style>
  <w:style w:type="paragraph" w:styleId="EndnoteText">
    <w:name w:val="endnote text"/>
    <w:basedOn w:val="Normal"/>
    <w:link w:val="EndnoteTextChar"/>
    <w:uiPriority w:val="99"/>
    <w:unhideWhenUsed/>
    <w:rsid w:val="00A61773"/>
    <w:rPr>
      <w:rFonts w:ascii="Calibri" w:hAnsi="Calibri"/>
      <w:szCs w:val="20"/>
    </w:rPr>
  </w:style>
  <w:style w:type="character" w:customStyle="1" w:styleId="EndnoteTextChar">
    <w:name w:val="Endnote Text Char"/>
    <w:basedOn w:val="DefaultParagraphFont"/>
    <w:link w:val="EndnoteText"/>
    <w:uiPriority w:val="99"/>
    <w:rsid w:val="00A61773"/>
    <w:rPr>
      <w:rFonts w:ascii="Calibri" w:eastAsia="Times New Roman" w:hAnsi="Calibri" w:cs="Times New Roman"/>
      <w:sz w:val="20"/>
      <w:szCs w:val="20"/>
    </w:rPr>
  </w:style>
  <w:style w:type="character" w:customStyle="1" w:styleId="FootnoteChar">
    <w:name w:val="Footnote Char"/>
    <w:basedOn w:val="footnoteChar0"/>
    <w:link w:val="Footnote"/>
    <w:rsid w:val="00A61773"/>
    <w:rPr>
      <w:rFonts w:eastAsiaTheme="minorEastAsia" w:cstheme="minorHAnsi"/>
      <w:sz w:val="18"/>
      <w:szCs w:val="20"/>
    </w:rPr>
  </w:style>
  <w:style w:type="character" w:customStyle="1" w:styleId="footnoteChar0">
    <w:name w:val="footnote Char"/>
    <w:basedOn w:val="FootnoteTextChar"/>
    <w:link w:val="footnote0"/>
    <w:rsid w:val="00A61773"/>
    <w:rPr>
      <w:rFonts w:eastAsia="Times New Roman" w:cs="Times New Roman"/>
      <w:sz w:val="18"/>
      <w:szCs w:val="24"/>
    </w:rPr>
  </w:style>
  <w:style w:type="paragraph" w:customStyle="1" w:styleId="footnote0">
    <w:name w:val="footnote"/>
    <w:basedOn w:val="FootnoteText"/>
    <w:link w:val="footnoteChar0"/>
    <w:rsid w:val="00A61773"/>
    <w:pPr>
      <w:spacing w:after="0"/>
      <w:jc w:val="left"/>
    </w:pPr>
    <w:rPr>
      <w:sz w:val="18"/>
      <w:szCs w:val="24"/>
    </w:rPr>
  </w:style>
  <w:style w:type="paragraph" w:styleId="TableofFigures">
    <w:name w:val="table of figures"/>
    <w:basedOn w:val="Normal"/>
    <w:next w:val="Normal"/>
    <w:uiPriority w:val="99"/>
    <w:unhideWhenUsed/>
    <w:rsid w:val="00A61773"/>
  </w:style>
  <w:style w:type="table" w:customStyle="1" w:styleId="TableGrid1">
    <w:name w:val="Table Grid1"/>
    <w:basedOn w:val="TableNormal"/>
    <w:next w:val="TableGrid"/>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61773"/>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6177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61773"/>
    <w:rPr>
      <w:rFonts w:eastAsia="Times New Roman" w:cstheme="minorHAnsi"/>
      <w:b/>
      <w:sz w:val="20"/>
      <w:szCs w:val="20"/>
    </w:rPr>
  </w:style>
  <w:style w:type="paragraph" w:customStyle="1" w:styleId="Captions">
    <w:name w:val="Captions"/>
    <w:basedOn w:val="Title"/>
    <w:link w:val="CaptionsChar"/>
    <w:autoRedefine/>
    <w:qFormat/>
    <w:rsid w:val="00A61773"/>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6177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61773"/>
    <w:pPr>
      <w:ind w:left="1440"/>
    </w:pPr>
    <w:rPr>
      <w:rFonts w:ascii="Calibri" w:hAnsi="Calibri" w:cs="Arial"/>
    </w:rPr>
  </w:style>
  <w:style w:type="paragraph" w:styleId="NormalWeb">
    <w:name w:val="Normal (Web)"/>
    <w:basedOn w:val="Normal"/>
    <w:uiPriority w:val="99"/>
    <w:unhideWhenUsed/>
    <w:rsid w:val="00A61773"/>
    <w:rPr>
      <w:rFonts w:ascii="Times New Roman" w:hAnsi="Times New Roman"/>
      <w:sz w:val="24"/>
      <w:szCs w:val="24"/>
    </w:rPr>
  </w:style>
  <w:style w:type="character" w:customStyle="1" w:styleId="FormH2Char">
    <w:name w:val="Form H2 Char"/>
    <w:basedOn w:val="Heading2Char"/>
    <w:link w:val="FormH2"/>
    <w:rsid w:val="00A61773"/>
    <w:rPr>
      <w:rFonts w:ascii="Calibri" w:eastAsia="Times New Roman" w:hAnsi="Calibri" w:cs="Arial"/>
      <w:bCs w:val="0"/>
      <w:iCs w:val="0"/>
      <w:sz w:val="24"/>
      <w:szCs w:val="24"/>
    </w:rPr>
  </w:style>
  <w:style w:type="paragraph" w:customStyle="1" w:styleId="Form">
    <w:name w:val="Form"/>
    <w:basedOn w:val="NormalWeb"/>
    <w:next w:val="Normal"/>
    <w:link w:val="FormChar"/>
    <w:qFormat/>
    <w:rsid w:val="00A61773"/>
    <w:rPr>
      <w:rFonts w:ascii="Calibri" w:hAnsi="Calibri" w:cs="Arial"/>
    </w:rPr>
  </w:style>
  <w:style w:type="character" w:customStyle="1" w:styleId="FormChar">
    <w:name w:val="Form Char"/>
    <w:basedOn w:val="Heading2Char"/>
    <w:link w:val="Form"/>
    <w:rsid w:val="00A61773"/>
    <w:rPr>
      <w:rFonts w:ascii="Calibri" w:eastAsia="Times New Roman" w:hAnsi="Calibri" w:cs="Arial"/>
      <w:bCs w:val="0"/>
      <w:iCs w:val="0"/>
      <w:sz w:val="24"/>
      <w:szCs w:val="24"/>
    </w:rPr>
  </w:style>
  <w:style w:type="paragraph" w:customStyle="1" w:styleId="FormH4">
    <w:name w:val="Form H4"/>
    <w:basedOn w:val="FormH2"/>
    <w:link w:val="FormH4Char"/>
    <w:qFormat/>
    <w:rsid w:val="00A61773"/>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61773"/>
    <w:rPr>
      <w:rFonts w:ascii="Calibri" w:eastAsia="Times New Roman" w:hAnsi="Calibri" w:cs="Arial"/>
      <w:bCs/>
      <w:iCs/>
      <w:sz w:val="28"/>
      <w:szCs w:val="28"/>
    </w:rPr>
  </w:style>
  <w:style w:type="paragraph" w:customStyle="1" w:styleId="Normal1">
    <w:name w:val="Normal1"/>
    <w:basedOn w:val="Normal"/>
    <w:uiPriority w:val="99"/>
    <w:rsid w:val="00A61773"/>
    <w:pPr>
      <w:autoSpaceDE w:val="0"/>
      <w:autoSpaceDN w:val="0"/>
      <w:jc w:val="left"/>
    </w:pPr>
    <w:rPr>
      <w:rFonts w:ascii="Arial" w:hAnsi="Arial" w:cs="Arial"/>
      <w:sz w:val="24"/>
      <w:szCs w:val="24"/>
    </w:rPr>
  </w:style>
  <w:style w:type="paragraph" w:customStyle="1" w:styleId="whs2">
    <w:name w:val="whs2"/>
    <w:basedOn w:val="Normal"/>
    <w:uiPriority w:val="99"/>
    <w:rsid w:val="00A61773"/>
    <w:pPr>
      <w:jc w:val="left"/>
    </w:pPr>
    <w:rPr>
      <w:rFonts w:ascii="Arial" w:hAnsi="Arial" w:cs="Arial"/>
      <w:szCs w:val="20"/>
    </w:rPr>
  </w:style>
  <w:style w:type="paragraph" w:customStyle="1" w:styleId="font5">
    <w:name w:val="font5"/>
    <w:basedOn w:val="Normal"/>
    <w:uiPriority w:val="99"/>
    <w:rsid w:val="00A61773"/>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61773"/>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61773"/>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617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61773"/>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61773"/>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61773"/>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61773"/>
  </w:style>
  <w:style w:type="paragraph" w:customStyle="1" w:styleId="TableandFigureCaption">
    <w:name w:val="Table and Figure Caption"/>
    <w:basedOn w:val="Tablecentered"/>
    <w:link w:val="TableandFigureCaptionChar"/>
    <w:autoRedefine/>
    <w:qFormat/>
    <w:rsid w:val="00A61773"/>
    <w:pPr>
      <w:tabs>
        <w:tab w:val="clear" w:pos="6750"/>
      </w:tabs>
    </w:pPr>
  </w:style>
  <w:style w:type="character" w:customStyle="1" w:styleId="TableandFigureCaptionChar">
    <w:name w:val="Table and Figure Caption Char"/>
    <w:basedOn w:val="TablecenteredChar"/>
    <w:link w:val="TableandFigureCaption"/>
    <w:rsid w:val="00A61773"/>
    <w:rPr>
      <w:rFonts w:eastAsia="Times New Roman" w:cs="Times New Roman"/>
      <w:noProof/>
      <w:sz w:val="18"/>
      <w:szCs w:val="18"/>
    </w:rPr>
  </w:style>
  <w:style w:type="paragraph" w:customStyle="1" w:styleId="TableHeading">
    <w:name w:val="Table Heading"/>
    <w:basedOn w:val="TableText"/>
    <w:autoRedefine/>
    <w:uiPriority w:val="99"/>
    <w:qFormat/>
    <w:rsid w:val="00A61773"/>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61773"/>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61773"/>
    <w:rPr>
      <w:rFonts w:cstheme="minorHAnsi"/>
    </w:rPr>
  </w:style>
  <w:style w:type="character" w:customStyle="1" w:styleId="VersionTextChar">
    <w:name w:val="Version Text Char"/>
    <w:basedOn w:val="DefaultParagraphFont"/>
    <w:link w:val="VersionText"/>
    <w:rsid w:val="00A61773"/>
    <w:rPr>
      <w:rFonts w:eastAsia="Times New Roman" w:cstheme="minorHAnsi"/>
      <w:sz w:val="20"/>
    </w:rPr>
  </w:style>
  <w:style w:type="paragraph" w:customStyle="1" w:styleId="VersionandDate">
    <w:name w:val="Version and Date"/>
    <w:basedOn w:val="Normal"/>
    <w:link w:val="VersionandDateChar"/>
    <w:qFormat/>
    <w:rsid w:val="00A61773"/>
    <w:pPr>
      <w:jc w:val="left"/>
    </w:pPr>
    <w:rPr>
      <w:rFonts w:ascii="Times New Roman" w:hAnsi="Times New Roman"/>
      <w:szCs w:val="20"/>
    </w:rPr>
  </w:style>
  <w:style w:type="character" w:customStyle="1" w:styleId="VersionandDateChar">
    <w:name w:val="Version and Date Char"/>
    <w:basedOn w:val="DefaultParagraphFont"/>
    <w:link w:val="VersionandDate"/>
    <w:rsid w:val="00A61773"/>
    <w:rPr>
      <w:rFonts w:ascii="Times New Roman" w:eastAsia="Times New Roman" w:hAnsi="Times New Roman" w:cs="Times New Roman"/>
      <w:sz w:val="20"/>
      <w:szCs w:val="20"/>
    </w:rPr>
  </w:style>
  <w:style w:type="character" w:customStyle="1" w:styleId="FootnoteTextChar2">
    <w:name w:val="Footnote Text Char2"/>
    <w:uiPriority w:val="99"/>
    <w:locked/>
    <w:rsid w:val="00A61773"/>
    <w:rPr>
      <w:sz w:val="18"/>
      <w:lang w:val="en-US" w:eastAsia="en-US" w:bidi="ar-SA"/>
    </w:rPr>
  </w:style>
  <w:style w:type="paragraph" w:customStyle="1" w:styleId="HeaderIL">
    <w:name w:val="Header IL"/>
    <w:basedOn w:val="Header"/>
    <w:link w:val="HeaderILChar"/>
    <w:qFormat/>
    <w:rsid w:val="00A61773"/>
    <w:pPr>
      <w:pBdr>
        <w:bottom w:val="single" w:sz="4" w:space="0" w:color="auto"/>
      </w:pBdr>
      <w:jc w:val="left"/>
    </w:pPr>
  </w:style>
  <w:style w:type="character" w:customStyle="1" w:styleId="HeaderILChar">
    <w:name w:val="Header IL Char"/>
    <w:basedOn w:val="HeaderChar"/>
    <w:link w:val="HeaderIL"/>
    <w:rsid w:val="00A61773"/>
    <w:rPr>
      <w:rFonts w:eastAsia="Times New Roman" w:cs="Times New Roman"/>
      <w:sz w:val="20"/>
    </w:rPr>
  </w:style>
  <w:style w:type="paragraph" w:styleId="Revision">
    <w:name w:val="Revision"/>
    <w:hidden/>
    <w:uiPriority w:val="99"/>
    <w:semiHidden/>
    <w:rsid w:val="00A61773"/>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61773"/>
    <w:rPr>
      <w:vertAlign w:val="superscript"/>
    </w:rPr>
  </w:style>
  <w:style w:type="character" w:styleId="Emphasis">
    <w:name w:val="Emphasis"/>
    <w:basedOn w:val="DefaultParagraphFont"/>
    <w:uiPriority w:val="20"/>
    <w:qFormat/>
    <w:rsid w:val="00A61773"/>
    <w:rPr>
      <w:i/>
      <w:iCs/>
    </w:rPr>
  </w:style>
  <w:style w:type="paragraph" w:customStyle="1" w:styleId="Reporttitle">
    <w:name w:val="Report title"/>
    <w:basedOn w:val="Normal"/>
    <w:rsid w:val="00A61773"/>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61773"/>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61773"/>
    <w:rPr>
      <w:rFonts w:eastAsia="Times New Roman" w:cs="Times New Roman"/>
      <w:sz w:val="20"/>
      <w:szCs w:val="20"/>
    </w:rPr>
  </w:style>
  <w:style w:type="paragraph" w:customStyle="1" w:styleId="Footnote">
    <w:name w:val="Footnote"/>
    <w:basedOn w:val="FootnoteText"/>
    <w:link w:val="FootnoteChar"/>
    <w:autoRedefine/>
    <w:qFormat/>
    <w:rsid w:val="00A61773"/>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61773"/>
    <w:pPr>
      <w:jc w:val="left"/>
    </w:pPr>
    <w:rPr>
      <w:rFonts w:ascii="Times New Roman" w:hAnsi="Times New Roman" w:cstheme="minorHAnsi"/>
      <w:szCs w:val="20"/>
    </w:rPr>
  </w:style>
  <w:style w:type="paragraph" w:customStyle="1" w:styleId="DocumentLabel">
    <w:name w:val="Document Label"/>
    <w:next w:val="Normal"/>
    <w:uiPriority w:val="99"/>
    <w:rsid w:val="00A6177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61773"/>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61773"/>
    <w:rPr>
      <w:rFonts w:ascii="Garamond" w:eastAsia="Times New Roman" w:hAnsi="Garamond" w:cs="Times New Roman"/>
      <w:caps/>
      <w:sz w:val="18"/>
      <w:szCs w:val="20"/>
    </w:rPr>
  </w:style>
  <w:style w:type="character" w:customStyle="1" w:styleId="MessageHeaderLabel">
    <w:name w:val="Message Header Label"/>
    <w:uiPriority w:val="99"/>
    <w:rsid w:val="00A61773"/>
    <w:rPr>
      <w:b/>
      <w:sz w:val="18"/>
    </w:rPr>
  </w:style>
  <w:style w:type="numbering" w:customStyle="1" w:styleId="NoList11">
    <w:name w:val="No List11"/>
    <w:next w:val="NoList"/>
    <w:uiPriority w:val="99"/>
    <w:semiHidden/>
    <w:unhideWhenUsed/>
    <w:rsid w:val="00A61773"/>
  </w:style>
  <w:style w:type="table" w:customStyle="1" w:styleId="TableGrid3">
    <w:name w:val="Table Grid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61773"/>
  </w:style>
  <w:style w:type="numbering" w:customStyle="1" w:styleId="NoList12">
    <w:name w:val="No List12"/>
    <w:next w:val="NoList"/>
    <w:uiPriority w:val="99"/>
    <w:semiHidden/>
    <w:unhideWhenUsed/>
    <w:rsid w:val="00A61773"/>
  </w:style>
  <w:style w:type="numbering" w:customStyle="1" w:styleId="NoList3">
    <w:name w:val="No List3"/>
    <w:next w:val="NoList"/>
    <w:uiPriority w:val="99"/>
    <w:semiHidden/>
    <w:unhideWhenUsed/>
    <w:rsid w:val="00A61773"/>
  </w:style>
  <w:style w:type="table" w:customStyle="1" w:styleId="TableGrid4">
    <w:name w:val="Table Grid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61773"/>
  </w:style>
  <w:style w:type="table" w:customStyle="1" w:styleId="TableGrid31">
    <w:name w:val="Table Grid3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61773"/>
  </w:style>
  <w:style w:type="paragraph" w:styleId="Closing">
    <w:name w:val="Closing"/>
    <w:basedOn w:val="Normal"/>
    <w:next w:val="Normal"/>
    <w:link w:val="ClosingChar"/>
    <w:uiPriority w:val="99"/>
    <w:rsid w:val="00A61773"/>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61773"/>
    <w:rPr>
      <w:rFonts w:ascii="Garamond" w:eastAsia="Times New Roman" w:hAnsi="Garamond" w:cs="Times New Roman"/>
      <w:szCs w:val="20"/>
    </w:rPr>
  </w:style>
  <w:style w:type="paragraph" w:customStyle="1" w:styleId="CompanyName">
    <w:name w:val="Company Name"/>
    <w:basedOn w:val="BodyText"/>
    <w:uiPriority w:val="99"/>
    <w:rsid w:val="00A61773"/>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61773"/>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61773"/>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61773"/>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61773"/>
    <w:pPr>
      <w:spacing w:before="360"/>
    </w:pPr>
  </w:style>
  <w:style w:type="paragraph" w:customStyle="1" w:styleId="MessageHeaderLast">
    <w:name w:val="Message Header Last"/>
    <w:basedOn w:val="MessageHeader"/>
    <w:next w:val="BodyText"/>
    <w:uiPriority w:val="99"/>
    <w:rsid w:val="00A61773"/>
    <w:pPr>
      <w:pBdr>
        <w:bottom w:val="single" w:sz="6" w:space="18" w:color="808080"/>
      </w:pBdr>
      <w:spacing w:after="360"/>
    </w:pPr>
  </w:style>
  <w:style w:type="paragraph" w:styleId="NormalIndent">
    <w:name w:val="Normal Indent"/>
    <w:basedOn w:val="Normal"/>
    <w:uiPriority w:val="99"/>
    <w:rsid w:val="00A61773"/>
    <w:pPr>
      <w:widowControl/>
      <w:ind w:left="720"/>
      <w:jc w:val="left"/>
    </w:pPr>
    <w:rPr>
      <w:rFonts w:ascii="Garamond" w:hAnsi="Garamond"/>
      <w:sz w:val="22"/>
      <w:szCs w:val="20"/>
    </w:rPr>
  </w:style>
  <w:style w:type="paragraph" w:customStyle="1" w:styleId="ReturnAddress">
    <w:name w:val="Return Address"/>
    <w:uiPriority w:val="99"/>
    <w:rsid w:val="00A61773"/>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61773"/>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61773"/>
    <w:rPr>
      <w:rFonts w:ascii="Garamond" w:eastAsia="Times New Roman" w:hAnsi="Garamond" w:cs="Times New Roman"/>
      <w:szCs w:val="20"/>
    </w:rPr>
  </w:style>
  <w:style w:type="paragraph" w:customStyle="1" w:styleId="SignatureJobTitle">
    <w:name w:val="Signature Job Title"/>
    <w:basedOn w:val="Signature"/>
    <w:next w:val="Normal"/>
    <w:uiPriority w:val="99"/>
    <w:rsid w:val="00A61773"/>
    <w:pPr>
      <w:spacing w:before="0"/>
      <w:ind w:firstLine="0"/>
    </w:pPr>
  </w:style>
  <w:style w:type="paragraph" w:customStyle="1" w:styleId="SignatureName">
    <w:name w:val="Signature Name"/>
    <w:basedOn w:val="Signature"/>
    <w:next w:val="SignatureJobTitle"/>
    <w:uiPriority w:val="99"/>
    <w:rsid w:val="00A61773"/>
    <w:pPr>
      <w:ind w:firstLine="0"/>
    </w:pPr>
  </w:style>
  <w:style w:type="character" w:customStyle="1" w:styleId="Slogan">
    <w:name w:val="Slogan"/>
    <w:uiPriority w:val="99"/>
    <w:rsid w:val="00A61773"/>
    <w:rPr>
      <w:i/>
      <w:spacing w:val="70"/>
      <w:sz w:val="21"/>
    </w:rPr>
  </w:style>
  <w:style w:type="table" w:customStyle="1" w:styleId="TableGrid19">
    <w:name w:val="Table Grid1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61773"/>
  </w:style>
  <w:style w:type="paragraph" w:customStyle="1" w:styleId="Title1">
    <w:name w:val="Title1"/>
    <w:basedOn w:val="Normal"/>
    <w:next w:val="Normal"/>
    <w:uiPriority w:val="10"/>
    <w:qFormat/>
    <w:rsid w:val="00A6177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61773"/>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61773"/>
  </w:style>
  <w:style w:type="table" w:customStyle="1" w:styleId="TableGrid61">
    <w:name w:val="Table Grid6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61773"/>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617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61773"/>
    <w:rPr>
      <w:rFonts w:ascii="Courier New" w:eastAsia="Times New Roman" w:hAnsi="Courier New" w:cs="Courier New"/>
      <w:sz w:val="20"/>
      <w:szCs w:val="20"/>
    </w:rPr>
  </w:style>
  <w:style w:type="table" w:styleId="LightList">
    <w:name w:val="Light List"/>
    <w:basedOn w:val="TableNormal"/>
    <w:uiPriority w:val="61"/>
    <w:rsid w:val="00A617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61773"/>
  </w:style>
  <w:style w:type="table" w:customStyle="1" w:styleId="TableGrid27">
    <w:name w:val="Table Grid27"/>
    <w:basedOn w:val="TableNormal"/>
    <w:next w:val="TableGrid"/>
    <w:uiPriority w:val="39"/>
    <w:rsid w:val="00A61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61773"/>
    <w:rPr>
      <w:i/>
      <w:iCs/>
      <w:color w:val="404040"/>
    </w:rPr>
  </w:style>
  <w:style w:type="character" w:customStyle="1" w:styleId="A0">
    <w:name w:val="A0"/>
    <w:uiPriority w:val="99"/>
    <w:rsid w:val="00A61773"/>
    <w:rPr>
      <w:rFonts w:cs="HelveticaNeueLT Std"/>
      <w:b/>
      <w:bCs/>
      <w:color w:val="00863E"/>
      <w:sz w:val="44"/>
      <w:szCs w:val="44"/>
    </w:rPr>
  </w:style>
  <w:style w:type="character" w:customStyle="1" w:styleId="A1">
    <w:name w:val="A1"/>
    <w:uiPriority w:val="99"/>
    <w:rsid w:val="00A61773"/>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61773"/>
    <w:pPr>
      <w:widowControl/>
      <w:numPr>
        <w:numId w:val="3"/>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61773"/>
    <w:rPr>
      <w:rFonts w:ascii="Franklin Gothic Book" w:eastAsia="Times New Roman" w:hAnsi="Franklin Gothic Book" w:cs="Times New Roman"/>
      <w:szCs w:val="24"/>
    </w:rPr>
  </w:style>
  <w:style w:type="paragraph" w:styleId="List2">
    <w:name w:val="List 2"/>
    <w:semiHidden/>
    <w:unhideWhenUsed/>
    <w:rsid w:val="00A61773"/>
    <w:pPr>
      <w:numPr>
        <w:numId w:val="4"/>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61773"/>
    <w:rPr>
      <w:rFonts w:eastAsia="Times New Roman" w:cs="Times New Roman"/>
      <w:sz w:val="20"/>
    </w:rPr>
  </w:style>
  <w:style w:type="paragraph" w:customStyle="1" w:styleId="NormalBeforeList">
    <w:name w:val="Normal Before List"/>
    <w:basedOn w:val="Normal"/>
    <w:qFormat/>
    <w:rsid w:val="00A61773"/>
    <w:pPr>
      <w:keepNext/>
      <w:widowControl/>
      <w:spacing w:line="276" w:lineRule="auto"/>
      <w:jc w:val="left"/>
    </w:pPr>
    <w:rPr>
      <w:rFonts w:eastAsia="Franklin Gothic Book"/>
      <w:sz w:val="22"/>
    </w:rPr>
  </w:style>
  <w:style w:type="paragraph" w:customStyle="1" w:styleId="Bulletlevel1">
    <w:name w:val="Bullet level 1"/>
    <w:basedOn w:val="ListParagraph"/>
    <w:qFormat/>
    <w:rsid w:val="00A61773"/>
    <w:pPr>
      <w:widowControl/>
      <w:numPr>
        <w:numId w:val="5"/>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61773"/>
    <w:pPr>
      <w:spacing w:after="200"/>
    </w:pPr>
  </w:style>
  <w:style w:type="paragraph" w:customStyle="1" w:styleId="NormalIntroSentence">
    <w:name w:val="Normal Intro Sentence"/>
    <w:qFormat/>
    <w:rsid w:val="00A61773"/>
    <w:pPr>
      <w:keepNext/>
      <w:spacing w:after="100"/>
    </w:pPr>
  </w:style>
  <w:style w:type="table" w:customStyle="1" w:styleId="GridTable1Light3">
    <w:name w:val="Grid Table 1 Light3"/>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61773"/>
  </w:style>
  <w:style w:type="character" w:styleId="SubtleEmphasis">
    <w:name w:val="Subtle Emphasis"/>
    <w:basedOn w:val="DefaultParagraphFont"/>
    <w:uiPriority w:val="19"/>
    <w:qFormat/>
    <w:rsid w:val="00A61773"/>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6177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6177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6177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6177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61773"/>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6177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6177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6177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6177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6177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177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6177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6177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61773"/>
    <w:rPr>
      <w:rFonts w:ascii="Calibri" w:eastAsiaTheme="minorEastAsia" w:hAnsi="Calibri" w:cs="Arial"/>
      <w:bCs/>
      <w:i/>
      <w:noProof/>
    </w:rPr>
  </w:style>
  <w:style w:type="character" w:customStyle="1" w:styleId="Heading5Char">
    <w:name w:val="Heading 5 Char"/>
    <w:basedOn w:val="DefaultParagraphFont"/>
    <w:link w:val="Heading5"/>
    <w:uiPriority w:val="99"/>
    <w:rsid w:val="00A61773"/>
    <w:rPr>
      <w:rFonts w:ascii="Calibri" w:eastAsia="Times New Roman" w:hAnsi="Calibri" w:cs="Times New Roman"/>
      <w:sz w:val="20"/>
    </w:rPr>
  </w:style>
  <w:style w:type="character" w:customStyle="1" w:styleId="Heading6Char">
    <w:name w:val="Heading 6 Char"/>
    <w:basedOn w:val="DefaultParagraphFont"/>
    <w:link w:val="Heading6"/>
    <w:uiPriority w:val="9"/>
    <w:rsid w:val="00A61773"/>
    <w:rPr>
      <w:rFonts w:eastAsia="Times New Roman" w:cs="Calibri"/>
      <w:b/>
      <w:smallCaps/>
    </w:rPr>
  </w:style>
  <w:style w:type="character" w:customStyle="1" w:styleId="Heading7Char">
    <w:name w:val="Heading 7 Char"/>
    <w:basedOn w:val="DefaultParagraphFont"/>
    <w:link w:val="Heading7"/>
    <w:uiPriority w:val="99"/>
    <w:rsid w:val="00A6177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6177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6177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61773"/>
    <w:rPr>
      <w:rFonts w:ascii="Calibri" w:eastAsiaTheme="minorEastAsia" w:hAnsi="Calibri" w:cs="Times New Roman"/>
      <w:bCs/>
      <w:sz w:val="24"/>
      <w:szCs w:val="24"/>
    </w:rPr>
  </w:style>
  <w:style w:type="paragraph" w:styleId="Header">
    <w:name w:val="header"/>
    <w:basedOn w:val="Normal"/>
    <w:link w:val="HeaderChar"/>
    <w:uiPriority w:val="99"/>
    <w:rsid w:val="00A61773"/>
    <w:pPr>
      <w:tabs>
        <w:tab w:val="center" w:pos="4320"/>
        <w:tab w:val="right" w:pos="8640"/>
      </w:tabs>
    </w:pPr>
  </w:style>
  <w:style w:type="character" w:customStyle="1" w:styleId="HeaderChar">
    <w:name w:val="Header Char"/>
    <w:basedOn w:val="DefaultParagraphFont"/>
    <w:link w:val="Header"/>
    <w:uiPriority w:val="99"/>
    <w:rsid w:val="00A61773"/>
    <w:rPr>
      <w:rFonts w:eastAsia="Times New Roman" w:cs="Times New Roman"/>
      <w:sz w:val="20"/>
    </w:rPr>
  </w:style>
  <w:style w:type="paragraph" w:styleId="Footer">
    <w:name w:val="footer"/>
    <w:basedOn w:val="Normal"/>
    <w:link w:val="FooterChar1"/>
    <w:uiPriority w:val="99"/>
    <w:rsid w:val="00A61773"/>
    <w:pPr>
      <w:tabs>
        <w:tab w:val="center" w:pos="4320"/>
        <w:tab w:val="right" w:pos="8640"/>
      </w:tabs>
    </w:pPr>
  </w:style>
  <w:style w:type="character" w:customStyle="1" w:styleId="FooterChar">
    <w:name w:val="Footer Char"/>
    <w:basedOn w:val="DefaultParagraphFont"/>
    <w:uiPriority w:val="99"/>
    <w:rsid w:val="00A61773"/>
    <w:rPr>
      <w:rFonts w:eastAsia="Times New Roman" w:cs="Times New Roman"/>
      <w:sz w:val="20"/>
    </w:rPr>
  </w:style>
  <w:style w:type="character" w:customStyle="1" w:styleId="FooterChar1">
    <w:name w:val="Footer Char1"/>
    <w:link w:val="Footer"/>
    <w:uiPriority w:val="99"/>
    <w:locked/>
    <w:rsid w:val="00A61773"/>
    <w:rPr>
      <w:rFonts w:eastAsia="Times New Roman" w:cs="Times New Roman"/>
      <w:sz w:val="20"/>
    </w:rPr>
  </w:style>
  <w:style w:type="paragraph" w:styleId="BodyText">
    <w:name w:val="Body Text"/>
    <w:basedOn w:val="Normal"/>
    <w:link w:val="BodyTextChar"/>
    <w:uiPriority w:val="99"/>
    <w:rsid w:val="00A61773"/>
    <w:rPr>
      <w:sz w:val="28"/>
    </w:rPr>
  </w:style>
  <w:style w:type="character" w:customStyle="1" w:styleId="BodyTextChar">
    <w:name w:val="Body Text Char"/>
    <w:basedOn w:val="DefaultParagraphFont"/>
    <w:link w:val="BodyText"/>
    <w:uiPriority w:val="99"/>
    <w:rsid w:val="00A61773"/>
    <w:rPr>
      <w:rFonts w:eastAsia="Times New Roman" w:cs="Times New Roman"/>
      <w:sz w:val="28"/>
    </w:rPr>
  </w:style>
  <w:style w:type="paragraph" w:customStyle="1" w:styleId="Style0">
    <w:name w:val="Style0"/>
    <w:uiPriority w:val="99"/>
    <w:rsid w:val="00A61773"/>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61773"/>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61773"/>
    <w:rPr>
      <w:rFonts w:eastAsia="Times New Roman" w:cs="Times New Roman"/>
      <w:sz w:val="20"/>
    </w:rPr>
  </w:style>
  <w:style w:type="character" w:styleId="FootnoteReference">
    <w:name w:val="footnote reference"/>
    <w:aliases w:val="Footnote_Reference,o,fr"/>
    <w:uiPriority w:val="99"/>
    <w:qFormat/>
    <w:rsid w:val="00A61773"/>
    <w:rPr>
      <w:rFonts w:ascii="Arial" w:hAnsi="Arial" w:cs="Times New Roman"/>
      <w:sz w:val="20"/>
      <w:vertAlign w:val="superscript"/>
    </w:rPr>
  </w:style>
  <w:style w:type="character" w:styleId="PageNumber">
    <w:name w:val="page number"/>
    <w:uiPriority w:val="99"/>
    <w:rsid w:val="00A61773"/>
    <w:rPr>
      <w:rFonts w:cs="Times New Roman"/>
    </w:rPr>
  </w:style>
  <w:style w:type="paragraph" w:customStyle="1" w:styleId="PresentedBy">
    <w:name w:val="Presented By"/>
    <w:basedOn w:val="Normal"/>
    <w:link w:val="PresentedByChar"/>
    <w:uiPriority w:val="99"/>
    <w:rsid w:val="00A61773"/>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61773"/>
    <w:rPr>
      <w:rFonts w:ascii="Palatino Linotype" w:eastAsia="Times New Roman" w:hAnsi="Palatino Linotype" w:cs="Times New Roman"/>
      <w:color w:val="6F6754"/>
      <w:sz w:val="20"/>
    </w:rPr>
  </w:style>
  <w:style w:type="character" w:styleId="Hyperlink">
    <w:name w:val="Hyperlink"/>
    <w:uiPriority w:val="99"/>
    <w:rsid w:val="00A61773"/>
    <w:rPr>
      <w:rFonts w:cs="Times New Roman"/>
      <w:color w:val="0000FF"/>
      <w:u w:val="single"/>
    </w:rPr>
  </w:style>
  <w:style w:type="paragraph" w:styleId="TOC1">
    <w:name w:val="toc 1"/>
    <w:basedOn w:val="Normal"/>
    <w:next w:val="Normal"/>
    <w:autoRedefine/>
    <w:uiPriority w:val="39"/>
    <w:rsid w:val="00A61773"/>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61773"/>
    <w:pPr>
      <w:spacing w:before="240"/>
    </w:pPr>
    <w:rPr>
      <w:rFonts w:cstheme="minorHAnsi"/>
      <w:b/>
      <w:bCs/>
      <w:szCs w:val="20"/>
    </w:rPr>
  </w:style>
  <w:style w:type="paragraph" w:styleId="CommentText">
    <w:name w:val="annotation text"/>
    <w:basedOn w:val="Normal"/>
    <w:link w:val="CommentTextChar"/>
    <w:rsid w:val="00A61773"/>
  </w:style>
  <w:style w:type="character" w:customStyle="1" w:styleId="CommentTextChar">
    <w:name w:val="Comment Text Char"/>
    <w:basedOn w:val="DefaultParagraphFont"/>
    <w:link w:val="CommentText"/>
    <w:rsid w:val="00A61773"/>
    <w:rPr>
      <w:rFonts w:eastAsia="Times New Roman" w:cs="Times New Roman"/>
      <w:sz w:val="20"/>
    </w:rPr>
  </w:style>
  <w:style w:type="character" w:customStyle="1" w:styleId="CommentSubjectChar">
    <w:name w:val="Comment Subject Char"/>
    <w:basedOn w:val="CommentTextChar"/>
    <w:link w:val="CommentSubject"/>
    <w:uiPriority w:val="99"/>
    <w:semiHidden/>
    <w:rsid w:val="00A61773"/>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61773"/>
    <w:rPr>
      <w:b/>
      <w:bCs/>
    </w:rPr>
  </w:style>
  <w:style w:type="character" w:customStyle="1" w:styleId="CommentSubjectChar1">
    <w:name w:val="Comment Subject Char1"/>
    <w:basedOn w:val="CommentTextChar"/>
    <w:uiPriority w:val="99"/>
    <w:semiHidden/>
    <w:rsid w:val="00A61773"/>
    <w:rPr>
      <w:rFonts w:eastAsia="Times New Roman" w:cs="Times New Roman"/>
      <w:b/>
      <w:bCs/>
      <w:sz w:val="20"/>
    </w:rPr>
  </w:style>
  <w:style w:type="paragraph" w:styleId="BalloonText">
    <w:name w:val="Balloon Text"/>
    <w:basedOn w:val="Normal"/>
    <w:link w:val="BalloonTextChar"/>
    <w:uiPriority w:val="99"/>
    <w:semiHidden/>
    <w:rsid w:val="00A61773"/>
    <w:rPr>
      <w:rFonts w:ascii="Tahoma" w:hAnsi="Tahoma" w:cs="Tahoma"/>
      <w:sz w:val="16"/>
      <w:szCs w:val="16"/>
    </w:rPr>
  </w:style>
  <w:style w:type="character" w:customStyle="1" w:styleId="BalloonTextChar">
    <w:name w:val="Balloon Text Char"/>
    <w:basedOn w:val="DefaultParagraphFont"/>
    <w:link w:val="BalloonText"/>
    <w:uiPriority w:val="99"/>
    <w:semiHidden/>
    <w:rsid w:val="00A61773"/>
    <w:rPr>
      <w:rFonts w:ascii="Tahoma" w:eastAsia="Times New Roman" w:hAnsi="Tahoma" w:cs="Tahoma"/>
      <w:sz w:val="16"/>
      <w:szCs w:val="16"/>
    </w:rPr>
  </w:style>
  <w:style w:type="paragraph" w:styleId="NoSpacing">
    <w:name w:val="No Spacing"/>
    <w:uiPriority w:val="1"/>
    <w:qFormat/>
    <w:rsid w:val="00A61773"/>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61773"/>
    <w:pPr>
      <w:ind w:left="720"/>
      <w:contextualSpacing/>
    </w:pPr>
  </w:style>
  <w:style w:type="character" w:styleId="BookTitle">
    <w:name w:val="Book Title"/>
    <w:uiPriority w:val="99"/>
    <w:qFormat/>
    <w:rsid w:val="00A61773"/>
    <w:rPr>
      <w:b/>
      <w:bCs/>
      <w:smallCaps/>
      <w:spacing w:val="5"/>
    </w:rPr>
  </w:style>
  <w:style w:type="paragraph" w:styleId="Title">
    <w:name w:val="Title"/>
    <w:basedOn w:val="Normal"/>
    <w:next w:val="Normal"/>
    <w:link w:val="TitleChar"/>
    <w:qFormat/>
    <w:rsid w:val="00A61773"/>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61773"/>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61773"/>
    <w:pPr>
      <w:keepLines/>
      <w:spacing w:before="80" w:after="40"/>
    </w:pPr>
    <w:rPr>
      <w:b/>
      <w:noProof/>
      <w:sz w:val="18"/>
    </w:rPr>
  </w:style>
  <w:style w:type="paragraph" w:customStyle="1" w:styleId="Tablecentered">
    <w:name w:val="Table centered"/>
    <w:basedOn w:val="Normal"/>
    <w:link w:val="TablecenteredChar"/>
    <w:autoRedefine/>
    <w:uiPriority w:val="99"/>
    <w:qFormat/>
    <w:rsid w:val="00A61773"/>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61773"/>
    <w:rPr>
      <w:rFonts w:eastAsia="Times New Roman" w:cs="Times New Roman"/>
      <w:noProof/>
      <w:sz w:val="18"/>
      <w:szCs w:val="18"/>
    </w:rPr>
  </w:style>
  <w:style w:type="paragraph" w:customStyle="1" w:styleId="Tablecenteredbold">
    <w:name w:val="Table centered bold"/>
    <w:basedOn w:val="Tablecentered"/>
    <w:autoRedefine/>
    <w:uiPriority w:val="99"/>
    <w:rsid w:val="00A61773"/>
    <w:rPr>
      <w:b/>
    </w:rPr>
  </w:style>
  <w:style w:type="paragraph" w:customStyle="1" w:styleId="Heading31">
    <w:name w:val="Heading 3.1"/>
    <w:basedOn w:val="Heading3"/>
    <w:link w:val="Heading31Char"/>
    <w:uiPriority w:val="99"/>
    <w:rsid w:val="00A61773"/>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61773"/>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61773"/>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61773"/>
    <w:pPr>
      <w:spacing w:after="200" w:line="276" w:lineRule="auto"/>
    </w:pPr>
  </w:style>
  <w:style w:type="character" w:customStyle="1" w:styleId="AnalystTextChar">
    <w:name w:val="Analyst Text Char"/>
    <w:link w:val="AnalystText"/>
    <w:uiPriority w:val="99"/>
    <w:locked/>
    <w:rsid w:val="00A61773"/>
    <w:rPr>
      <w:rFonts w:eastAsia="Times New Roman" w:cs="Times New Roman"/>
      <w:sz w:val="20"/>
    </w:rPr>
  </w:style>
  <w:style w:type="character" w:customStyle="1" w:styleId="UsernotesChar">
    <w:name w:val="User notes Char"/>
    <w:link w:val="Usernotes"/>
    <w:uiPriority w:val="99"/>
    <w:locked/>
    <w:rsid w:val="00A61773"/>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61773"/>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61773"/>
    <w:rPr>
      <w:rFonts w:eastAsia="Times New Roman" w:cstheme="minorHAnsi"/>
      <w:b/>
      <w:sz w:val="20"/>
      <w:szCs w:val="24"/>
    </w:rPr>
  </w:style>
  <w:style w:type="paragraph" w:styleId="List">
    <w:name w:val="List"/>
    <w:basedOn w:val="Normal"/>
    <w:uiPriority w:val="99"/>
    <w:rsid w:val="00A61773"/>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61773"/>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61773"/>
    <w:rPr>
      <w:rFonts w:ascii="Arial" w:eastAsia="Times New Roman" w:hAnsi="Arial" w:cs="Times New Roman"/>
      <w:sz w:val="20"/>
      <w:szCs w:val="20"/>
    </w:rPr>
  </w:style>
  <w:style w:type="paragraph" w:styleId="MacroText">
    <w:name w:val="macro"/>
    <w:link w:val="MacroTextChar"/>
    <w:uiPriority w:val="99"/>
    <w:semiHidden/>
    <w:rsid w:val="00A6177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61773"/>
    <w:rPr>
      <w:rFonts w:ascii="Consolas" w:eastAsia="Times New Roman" w:hAnsi="Consolas" w:cs="Consolas"/>
      <w:sz w:val="20"/>
      <w:szCs w:val="20"/>
    </w:rPr>
  </w:style>
  <w:style w:type="paragraph" w:styleId="BodyTextIndent2">
    <w:name w:val="Body Text Indent 2"/>
    <w:basedOn w:val="Normal"/>
    <w:link w:val="BodyTextIndent2Char"/>
    <w:uiPriority w:val="99"/>
    <w:rsid w:val="00A61773"/>
    <w:pPr>
      <w:ind w:left="720"/>
    </w:pPr>
  </w:style>
  <w:style w:type="character" w:customStyle="1" w:styleId="BodyTextIndent2Char">
    <w:name w:val="Body Text Indent 2 Char"/>
    <w:basedOn w:val="DefaultParagraphFont"/>
    <w:link w:val="BodyTextIndent2"/>
    <w:uiPriority w:val="99"/>
    <w:rsid w:val="00A61773"/>
    <w:rPr>
      <w:rFonts w:eastAsia="Times New Roman" w:cs="Times New Roman"/>
      <w:sz w:val="20"/>
    </w:rPr>
  </w:style>
  <w:style w:type="character" w:styleId="FollowedHyperlink">
    <w:name w:val="FollowedHyperlink"/>
    <w:uiPriority w:val="99"/>
    <w:rsid w:val="00A61773"/>
    <w:rPr>
      <w:rFonts w:cs="Times New Roman"/>
      <w:color w:val="800080"/>
      <w:u w:val="single"/>
    </w:rPr>
  </w:style>
  <w:style w:type="paragraph" w:customStyle="1" w:styleId="Default">
    <w:name w:val="Default"/>
    <w:rsid w:val="00A61773"/>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61773"/>
    <w:rPr>
      <w:rFonts w:cs="Times New Roman"/>
      <w:sz w:val="24"/>
      <w:lang w:val="en-US" w:eastAsia="en-US" w:bidi="ar-SA"/>
    </w:rPr>
  </w:style>
  <w:style w:type="paragraph" w:styleId="TOC3">
    <w:name w:val="toc 3"/>
    <w:basedOn w:val="Normal"/>
    <w:next w:val="Normal"/>
    <w:autoRedefine/>
    <w:uiPriority w:val="39"/>
    <w:rsid w:val="00A61773"/>
    <w:pPr>
      <w:ind w:left="240"/>
    </w:pPr>
    <w:rPr>
      <w:rFonts w:cstheme="minorHAnsi"/>
      <w:szCs w:val="20"/>
    </w:rPr>
  </w:style>
  <w:style w:type="character" w:customStyle="1" w:styleId="CharChar11">
    <w:name w:val="Char Char11"/>
    <w:uiPriority w:val="99"/>
    <w:locked/>
    <w:rsid w:val="00A61773"/>
    <w:rPr>
      <w:rFonts w:ascii="Cambria" w:hAnsi="Cambria" w:cs="Times New Roman"/>
      <w:b/>
      <w:bCs/>
      <w:sz w:val="28"/>
      <w:szCs w:val="28"/>
      <w:lang w:val="en-US" w:eastAsia="en-US" w:bidi="ar-SA"/>
    </w:rPr>
  </w:style>
  <w:style w:type="character" w:customStyle="1" w:styleId="CharChar10">
    <w:name w:val="Char Char10"/>
    <w:uiPriority w:val="99"/>
    <w:locked/>
    <w:rsid w:val="00A61773"/>
    <w:rPr>
      <w:rFonts w:ascii="Cambria" w:hAnsi="Cambria" w:cs="Times New Roman"/>
      <w:b/>
      <w:bCs/>
      <w:sz w:val="26"/>
      <w:szCs w:val="26"/>
      <w:lang w:val="en-US" w:eastAsia="en-US" w:bidi="ar-SA"/>
    </w:rPr>
  </w:style>
  <w:style w:type="character" w:customStyle="1" w:styleId="CharChar9">
    <w:name w:val="Char Char9"/>
    <w:uiPriority w:val="99"/>
    <w:locked/>
    <w:rsid w:val="00A61773"/>
    <w:rPr>
      <w:rFonts w:ascii="Cambria" w:hAnsi="Cambria" w:cs="Times New Roman"/>
      <w:b/>
      <w:bCs/>
      <w:sz w:val="22"/>
      <w:szCs w:val="22"/>
      <w:lang w:val="en-US" w:eastAsia="en-US" w:bidi="ar-SA"/>
    </w:rPr>
  </w:style>
  <w:style w:type="character" w:customStyle="1" w:styleId="CharChar7">
    <w:name w:val="Char Char7"/>
    <w:uiPriority w:val="99"/>
    <w:locked/>
    <w:rsid w:val="00A61773"/>
    <w:rPr>
      <w:rFonts w:ascii="Cambria" w:hAnsi="Cambria" w:cs="Times New Roman"/>
      <w:sz w:val="22"/>
      <w:szCs w:val="22"/>
      <w:lang w:val="en-US" w:eastAsia="en-US" w:bidi="ar-SA"/>
    </w:rPr>
  </w:style>
  <w:style w:type="character" w:customStyle="1" w:styleId="CharChar1">
    <w:name w:val="Char Char1"/>
    <w:uiPriority w:val="99"/>
    <w:locked/>
    <w:rsid w:val="00A61773"/>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61773"/>
    <w:pPr>
      <w:tabs>
        <w:tab w:val="num" w:pos="720"/>
      </w:tabs>
      <w:ind w:left="720" w:hanging="360"/>
    </w:pPr>
  </w:style>
  <w:style w:type="character" w:customStyle="1" w:styleId="bodytext0">
    <w:name w:val="bodytext"/>
    <w:uiPriority w:val="99"/>
    <w:rsid w:val="00A61773"/>
    <w:rPr>
      <w:rFonts w:cs="Times New Roman"/>
    </w:rPr>
  </w:style>
  <w:style w:type="character" w:customStyle="1" w:styleId="StyleBold">
    <w:name w:val="Style Bold"/>
    <w:uiPriority w:val="99"/>
    <w:rsid w:val="00A61773"/>
    <w:rPr>
      <w:rFonts w:cs="Times New Roman"/>
      <w:b/>
      <w:bCs/>
      <w:sz w:val="20"/>
    </w:rPr>
  </w:style>
  <w:style w:type="character" w:customStyle="1" w:styleId="DocumentMapChar">
    <w:name w:val="Document Map Char"/>
    <w:basedOn w:val="DefaultParagraphFont"/>
    <w:link w:val="DocumentMap"/>
    <w:uiPriority w:val="99"/>
    <w:semiHidden/>
    <w:rsid w:val="00A61773"/>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61773"/>
    <w:pPr>
      <w:shd w:val="clear" w:color="auto" w:fill="000080"/>
    </w:pPr>
    <w:rPr>
      <w:rFonts w:ascii="Tahoma" w:hAnsi="Tahoma" w:cs="Tahoma"/>
    </w:rPr>
  </w:style>
  <w:style w:type="character" w:customStyle="1" w:styleId="DocumentMapChar1">
    <w:name w:val="Document Map Char1"/>
    <w:basedOn w:val="DefaultParagraphFont"/>
    <w:uiPriority w:val="99"/>
    <w:semiHidden/>
    <w:rsid w:val="00A61773"/>
    <w:rPr>
      <w:rFonts w:ascii="Tahoma" w:eastAsia="Times New Roman" w:hAnsi="Tahoma" w:cs="Tahoma"/>
      <w:sz w:val="16"/>
      <w:szCs w:val="16"/>
    </w:rPr>
  </w:style>
  <w:style w:type="character" w:styleId="CommentReference">
    <w:name w:val="annotation reference"/>
    <w:rsid w:val="00A61773"/>
    <w:rPr>
      <w:rFonts w:cs="Times New Roman"/>
      <w:sz w:val="16"/>
      <w:szCs w:val="16"/>
    </w:rPr>
  </w:style>
  <w:style w:type="character" w:customStyle="1" w:styleId="apple-style-span">
    <w:name w:val="apple-style-span"/>
    <w:uiPriority w:val="99"/>
    <w:rsid w:val="00A61773"/>
    <w:rPr>
      <w:rFonts w:cs="Times New Roman"/>
    </w:rPr>
  </w:style>
  <w:style w:type="paragraph" w:styleId="BodyTextIndent3">
    <w:name w:val="Body Text Indent 3"/>
    <w:basedOn w:val="Normal"/>
    <w:link w:val="BodyTextIndent3Char"/>
    <w:uiPriority w:val="99"/>
    <w:rsid w:val="00A61773"/>
    <w:pPr>
      <w:ind w:left="360"/>
    </w:pPr>
    <w:rPr>
      <w:sz w:val="16"/>
      <w:szCs w:val="16"/>
    </w:rPr>
  </w:style>
  <w:style w:type="character" w:customStyle="1" w:styleId="BodyTextIndent3Char">
    <w:name w:val="Body Text Indent 3 Char"/>
    <w:basedOn w:val="DefaultParagraphFont"/>
    <w:link w:val="BodyTextIndent3"/>
    <w:uiPriority w:val="99"/>
    <w:rsid w:val="00A61773"/>
    <w:rPr>
      <w:rFonts w:eastAsia="Times New Roman" w:cs="Times New Roman"/>
      <w:sz w:val="16"/>
      <w:szCs w:val="16"/>
    </w:rPr>
  </w:style>
  <w:style w:type="paragraph" w:styleId="ListBullet">
    <w:name w:val="List Bullet"/>
    <w:basedOn w:val="Normal"/>
    <w:uiPriority w:val="99"/>
    <w:rsid w:val="00A61773"/>
    <w:pPr>
      <w:tabs>
        <w:tab w:val="num" w:pos="1080"/>
      </w:tabs>
      <w:ind w:left="360" w:hanging="360"/>
    </w:pPr>
  </w:style>
  <w:style w:type="paragraph" w:customStyle="1" w:styleId="xl25">
    <w:name w:val="xl25"/>
    <w:basedOn w:val="Normal"/>
    <w:uiPriority w:val="99"/>
    <w:rsid w:val="00A61773"/>
    <w:pPr>
      <w:spacing w:before="100" w:beforeAutospacing="1" w:after="100" w:afterAutospacing="1"/>
    </w:pPr>
    <w:rPr>
      <w:rFonts w:ascii="Arial" w:eastAsia="Arial Unicode MS" w:hAnsi="Arial" w:cs="Arial"/>
    </w:rPr>
  </w:style>
  <w:style w:type="character" w:styleId="HTMLCite">
    <w:name w:val="HTML Cite"/>
    <w:uiPriority w:val="99"/>
    <w:rsid w:val="00A61773"/>
    <w:rPr>
      <w:rFonts w:cs="Times New Roman"/>
      <w:i/>
      <w:iCs/>
    </w:rPr>
  </w:style>
  <w:style w:type="character" w:customStyle="1" w:styleId="apple-converted-space">
    <w:name w:val="apple-converted-space"/>
    <w:rsid w:val="00A61773"/>
    <w:rPr>
      <w:rFonts w:cs="Times New Roman"/>
    </w:rPr>
  </w:style>
  <w:style w:type="paragraph" w:styleId="TOC4">
    <w:name w:val="toc 4"/>
    <w:basedOn w:val="Normal"/>
    <w:next w:val="Normal"/>
    <w:autoRedefine/>
    <w:uiPriority w:val="39"/>
    <w:rsid w:val="00A61773"/>
    <w:pPr>
      <w:ind w:left="480"/>
    </w:pPr>
    <w:rPr>
      <w:rFonts w:cstheme="minorHAnsi"/>
      <w:szCs w:val="20"/>
    </w:rPr>
  </w:style>
  <w:style w:type="paragraph" w:styleId="TOC5">
    <w:name w:val="toc 5"/>
    <w:basedOn w:val="Normal"/>
    <w:next w:val="Normal"/>
    <w:autoRedefine/>
    <w:uiPriority w:val="39"/>
    <w:rsid w:val="00A61773"/>
    <w:pPr>
      <w:ind w:left="720"/>
    </w:pPr>
    <w:rPr>
      <w:rFonts w:cstheme="minorHAnsi"/>
      <w:szCs w:val="20"/>
    </w:rPr>
  </w:style>
  <w:style w:type="paragraph" w:styleId="TOC6">
    <w:name w:val="toc 6"/>
    <w:basedOn w:val="Normal"/>
    <w:next w:val="Normal"/>
    <w:autoRedefine/>
    <w:uiPriority w:val="39"/>
    <w:rsid w:val="00A61773"/>
    <w:pPr>
      <w:ind w:left="960"/>
    </w:pPr>
    <w:rPr>
      <w:rFonts w:cstheme="minorHAnsi"/>
      <w:szCs w:val="20"/>
    </w:rPr>
  </w:style>
  <w:style w:type="paragraph" w:styleId="TOC7">
    <w:name w:val="toc 7"/>
    <w:basedOn w:val="Normal"/>
    <w:next w:val="Normal"/>
    <w:autoRedefine/>
    <w:uiPriority w:val="39"/>
    <w:rsid w:val="00A61773"/>
    <w:pPr>
      <w:ind w:left="1200"/>
    </w:pPr>
    <w:rPr>
      <w:rFonts w:cstheme="minorHAnsi"/>
      <w:szCs w:val="20"/>
    </w:rPr>
  </w:style>
  <w:style w:type="paragraph" w:styleId="TOC8">
    <w:name w:val="toc 8"/>
    <w:basedOn w:val="Normal"/>
    <w:next w:val="Normal"/>
    <w:autoRedefine/>
    <w:uiPriority w:val="39"/>
    <w:rsid w:val="00A61773"/>
    <w:pPr>
      <w:ind w:left="1440"/>
    </w:pPr>
    <w:rPr>
      <w:rFonts w:cstheme="minorHAnsi"/>
      <w:szCs w:val="20"/>
    </w:rPr>
  </w:style>
  <w:style w:type="paragraph" w:styleId="TOC9">
    <w:name w:val="toc 9"/>
    <w:basedOn w:val="Normal"/>
    <w:next w:val="Normal"/>
    <w:autoRedefine/>
    <w:uiPriority w:val="39"/>
    <w:rsid w:val="00A61773"/>
    <w:pPr>
      <w:ind w:left="1680"/>
    </w:pPr>
    <w:rPr>
      <w:rFonts w:cstheme="minorHAnsi"/>
      <w:szCs w:val="20"/>
    </w:rPr>
  </w:style>
  <w:style w:type="character" w:customStyle="1" w:styleId="CharChar">
    <w:name w:val="Char Char"/>
    <w:uiPriority w:val="99"/>
    <w:rsid w:val="00A61773"/>
    <w:rPr>
      <w:rFonts w:cs="Times New Roman"/>
      <w:lang w:val="en-US" w:eastAsia="en-US" w:bidi="ar-SA"/>
    </w:rPr>
  </w:style>
  <w:style w:type="character" w:customStyle="1" w:styleId="CharChar4">
    <w:name w:val="Char Char4"/>
    <w:uiPriority w:val="99"/>
    <w:rsid w:val="00A61773"/>
    <w:rPr>
      <w:rFonts w:cs="Times New Roman"/>
      <w:lang w:val="en-US" w:eastAsia="en-US" w:bidi="ar-SA"/>
    </w:rPr>
  </w:style>
  <w:style w:type="character" w:customStyle="1" w:styleId="CharChar81">
    <w:name w:val="Char Char81"/>
    <w:uiPriority w:val="99"/>
    <w:rsid w:val="00A61773"/>
    <w:rPr>
      <w:rFonts w:cs="Times New Roman"/>
      <w:sz w:val="24"/>
      <w:lang w:val="en-US" w:eastAsia="en-US" w:bidi="ar-SA"/>
    </w:rPr>
  </w:style>
  <w:style w:type="character" w:customStyle="1" w:styleId="CharChar111">
    <w:name w:val="Char Char111"/>
    <w:uiPriority w:val="99"/>
    <w:locked/>
    <w:rsid w:val="00A61773"/>
    <w:rPr>
      <w:rFonts w:ascii="Cambria" w:hAnsi="Cambria" w:cs="Times New Roman"/>
      <w:b/>
      <w:bCs/>
      <w:sz w:val="28"/>
      <w:szCs w:val="28"/>
      <w:lang w:val="en-US" w:eastAsia="en-US" w:bidi="ar-SA"/>
    </w:rPr>
  </w:style>
  <w:style w:type="character" w:customStyle="1" w:styleId="CharChar101">
    <w:name w:val="Char Char101"/>
    <w:uiPriority w:val="99"/>
    <w:locked/>
    <w:rsid w:val="00A61773"/>
    <w:rPr>
      <w:rFonts w:ascii="Cambria" w:hAnsi="Cambria" w:cs="Times New Roman"/>
      <w:b/>
      <w:bCs/>
      <w:sz w:val="26"/>
      <w:szCs w:val="26"/>
      <w:lang w:val="en-US" w:eastAsia="en-US" w:bidi="ar-SA"/>
    </w:rPr>
  </w:style>
  <w:style w:type="character" w:customStyle="1" w:styleId="CharChar91">
    <w:name w:val="Char Char91"/>
    <w:uiPriority w:val="99"/>
    <w:locked/>
    <w:rsid w:val="00A61773"/>
    <w:rPr>
      <w:rFonts w:ascii="Cambria" w:hAnsi="Cambria" w:cs="Times New Roman"/>
      <w:b/>
      <w:bCs/>
      <w:sz w:val="22"/>
      <w:szCs w:val="22"/>
      <w:lang w:val="en-US" w:eastAsia="en-US" w:bidi="ar-SA"/>
    </w:rPr>
  </w:style>
  <w:style w:type="character" w:customStyle="1" w:styleId="CharChar71">
    <w:name w:val="Char Char71"/>
    <w:uiPriority w:val="99"/>
    <w:locked/>
    <w:rsid w:val="00A61773"/>
    <w:rPr>
      <w:rFonts w:ascii="Cambria" w:hAnsi="Cambria" w:cs="Times New Roman"/>
      <w:sz w:val="22"/>
      <w:szCs w:val="22"/>
      <w:lang w:val="en-US" w:eastAsia="en-US" w:bidi="ar-SA"/>
    </w:rPr>
  </w:style>
  <w:style w:type="character" w:customStyle="1" w:styleId="CharChar12">
    <w:name w:val="Char Char12"/>
    <w:uiPriority w:val="99"/>
    <w:locked/>
    <w:rsid w:val="00A61773"/>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61773"/>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61773"/>
    <w:rPr>
      <w:b/>
      <w:bCs/>
    </w:rPr>
  </w:style>
  <w:style w:type="paragraph" w:customStyle="1" w:styleId="TableText">
    <w:name w:val="Table Text"/>
    <w:basedOn w:val="Normal"/>
    <w:autoRedefine/>
    <w:qFormat/>
    <w:rsid w:val="00A61773"/>
    <w:pPr>
      <w:jc w:val="left"/>
    </w:pPr>
    <w:rPr>
      <w:rFonts w:ascii="Calibri" w:hAnsi="Calibri" w:cs="Arial"/>
      <w:noProof/>
      <w:szCs w:val="18"/>
      <w:lang w:val="en"/>
    </w:rPr>
  </w:style>
  <w:style w:type="paragraph" w:customStyle="1" w:styleId="NormalTRM">
    <w:name w:val="Normal TRM"/>
    <w:basedOn w:val="Normal"/>
    <w:link w:val="NormalTRMChar"/>
    <w:rsid w:val="00A61773"/>
  </w:style>
  <w:style w:type="character" w:customStyle="1" w:styleId="NormalTRMChar">
    <w:name w:val="Normal TRM Char"/>
    <w:basedOn w:val="DefaultParagraphFont"/>
    <w:link w:val="NormalTRM"/>
    <w:rsid w:val="00A61773"/>
    <w:rPr>
      <w:rFonts w:eastAsia="Times New Roman" w:cs="Times New Roman"/>
      <w:sz w:val="20"/>
    </w:rPr>
  </w:style>
  <w:style w:type="paragraph" w:styleId="EndnoteText">
    <w:name w:val="endnote text"/>
    <w:basedOn w:val="Normal"/>
    <w:link w:val="EndnoteTextChar"/>
    <w:uiPriority w:val="99"/>
    <w:unhideWhenUsed/>
    <w:rsid w:val="00A61773"/>
    <w:rPr>
      <w:rFonts w:ascii="Calibri" w:hAnsi="Calibri"/>
      <w:szCs w:val="20"/>
    </w:rPr>
  </w:style>
  <w:style w:type="character" w:customStyle="1" w:styleId="EndnoteTextChar">
    <w:name w:val="Endnote Text Char"/>
    <w:basedOn w:val="DefaultParagraphFont"/>
    <w:link w:val="EndnoteText"/>
    <w:uiPriority w:val="99"/>
    <w:rsid w:val="00A61773"/>
    <w:rPr>
      <w:rFonts w:ascii="Calibri" w:eastAsia="Times New Roman" w:hAnsi="Calibri" w:cs="Times New Roman"/>
      <w:sz w:val="20"/>
      <w:szCs w:val="20"/>
    </w:rPr>
  </w:style>
  <w:style w:type="character" w:customStyle="1" w:styleId="FootnoteChar">
    <w:name w:val="Footnote Char"/>
    <w:basedOn w:val="footnoteChar0"/>
    <w:link w:val="Footnote"/>
    <w:rsid w:val="00A61773"/>
    <w:rPr>
      <w:rFonts w:eastAsiaTheme="minorEastAsia" w:cstheme="minorHAnsi"/>
      <w:sz w:val="18"/>
      <w:szCs w:val="20"/>
    </w:rPr>
  </w:style>
  <w:style w:type="character" w:customStyle="1" w:styleId="footnoteChar0">
    <w:name w:val="footnote Char"/>
    <w:basedOn w:val="FootnoteTextChar"/>
    <w:link w:val="footnote0"/>
    <w:rsid w:val="00A61773"/>
    <w:rPr>
      <w:rFonts w:eastAsia="Times New Roman" w:cs="Times New Roman"/>
      <w:sz w:val="18"/>
      <w:szCs w:val="24"/>
    </w:rPr>
  </w:style>
  <w:style w:type="paragraph" w:customStyle="1" w:styleId="footnote0">
    <w:name w:val="footnote"/>
    <w:basedOn w:val="FootnoteText"/>
    <w:link w:val="footnoteChar0"/>
    <w:rsid w:val="00A61773"/>
    <w:pPr>
      <w:spacing w:after="0"/>
      <w:jc w:val="left"/>
    </w:pPr>
    <w:rPr>
      <w:sz w:val="18"/>
      <w:szCs w:val="24"/>
    </w:rPr>
  </w:style>
  <w:style w:type="paragraph" w:styleId="TableofFigures">
    <w:name w:val="table of figures"/>
    <w:basedOn w:val="Normal"/>
    <w:next w:val="Normal"/>
    <w:uiPriority w:val="99"/>
    <w:unhideWhenUsed/>
    <w:rsid w:val="00A61773"/>
  </w:style>
  <w:style w:type="table" w:customStyle="1" w:styleId="TableGrid1">
    <w:name w:val="Table Grid1"/>
    <w:basedOn w:val="TableNormal"/>
    <w:next w:val="TableGrid"/>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61773"/>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61773"/>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61773"/>
    <w:rPr>
      <w:rFonts w:eastAsia="Times New Roman" w:cstheme="minorHAnsi"/>
      <w:b/>
      <w:sz w:val="20"/>
      <w:szCs w:val="20"/>
    </w:rPr>
  </w:style>
  <w:style w:type="paragraph" w:customStyle="1" w:styleId="Captions">
    <w:name w:val="Captions"/>
    <w:basedOn w:val="Title"/>
    <w:link w:val="CaptionsChar"/>
    <w:autoRedefine/>
    <w:qFormat/>
    <w:rsid w:val="00A61773"/>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61773"/>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61773"/>
    <w:pPr>
      <w:ind w:left="1440"/>
    </w:pPr>
    <w:rPr>
      <w:rFonts w:ascii="Calibri" w:hAnsi="Calibri" w:cs="Arial"/>
    </w:rPr>
  </w:style>
  <w:style w:type="paragraph" w:styleId="NormalWeb">
    <w:name w:val="Normal (Web)"/>
    <w:basedOn w:val="Normal"/>
    <w:uiPriority w:val="99"/>
    <w:unhideWhenUsed/>
    <w:rsid w:val="00A61773"/>
    <w:rPr>
      <w:rFonts w:ascii="Times New Roman" w:hAnsi="Times New Roman"/>
      <w:sz w:val="24"/>
      <w:szCs w:val="24"/>
    </w:rPr>
  </w:style>
  <w:style w:type="character" w:customStyle="1" w:styleId="FormH2Char">
    <w:name w:val="Form H2 Char"/>
    <w:basedOn w:val="Heading2Char"/>
    <w:link w:val="FormH2"/>
    <w:rsid w:val="00A61773"/>
    <w:rPr>
      <w:rFonts w:ascii="Calibri" w:eastAsia="Times New Roman" w:hAnsi="Calibri" w:cs="Arial"/>
      <w:bCs w:val="0"/>
      <w:iCs w:val="0"/>
      <w:sz w:val="24"/>
      <w:szCs w:val="24"/>
    </w:rPr>
  </w:style>
  <w:style w:type="paragraph" w:customStyle="1" w:styleId="Form">
    <w:name w:val="Form"/>
    <w:basedOn w:val="NormalWeb"/>
    <w:next w:val="Normal"/>
    <w:link w:val="FormChar"/>
    <w:qFormat/>
    <w:rsid w:val="00A61773"/>
    <w:rPr>
      <w:rFonts w:ascii="Calibri" w:hAnsi="Calibri" w:cs="Arial"/>
    </w:rPr>
  </w:style>
  <w:style w:type="character" w:customStyle="1" w:styleId="FormChar">
    <w:name w:val="Form Char"/>
    <w:basedOn w:val="Heading2Char"/>
    <w:link w:val="Form"/>
    <w:rsid w:val="00A61773"/>
    <w:rPr>
      <w:rFonts w:ascii="Calibri" w:eastAsia="Times New Roman" w:hAnsi="Calibri" w:cs="Arial"/>
      <w:bCs w:val="0"/>
      <w:iCs w:val="0"/>
      <w:sz w:val="24"/>
      <w:szCs w:val="24"/>
    </w:rPr>
  </w:style>
  <w:style w:type="paragraph" w:customStyle="1" w:styleId="FormH4">
    <w:name w:val="Form H4"/>
    <w:basedOn w:val="FormH2"/>
    <w:link w:val="FormH4Char"/>
    <w:qFormat/>
    <w:rsid w:val="00A61773"/>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61773"/>
    <w:rPr>
      <w:rFonts w:ascii="Calibri" w:eastAsia="Times New Roman" w:hAnsi="Calibri" w:cs="Arial"/>
      <w:bCs/>
      <w:iCs/>
      <w:sz w:val="28"/>
      <w:szCs w:val="28"/>
    </w:rPr>
  </w:style>
  <w:style w:type="paragraph" w:customStyle="1" w:styleId="Normal1">
    <w:name w:val="Normal1"/>
    <w:basedOn w:val="Normal"/>
    <w:uiPriority w:val="99"/>
    <w:rsid w:val="00A61773"/>
    <w:pPr>
      <w:autoSpaceDE w:val="0"/>
      <w:autoSpaceDN w:val="0"/>
      <w:jc w:val="left"/>
    </w:pPr>
    <w:rPr>
      <w:rFonts w:ascii="Arial" w:hAnsi="Arial" w:cs="Arial"/>
      <w:sz w:val="24"/>
      <w:szCs w:val="24"/>
    </w:rPr>
  </w:style>
  <w:style w:type="paragraph" w:customStyle="1" w:styleId="whs2">
    <w:name w:val="whs2"/>
    <w:basedOn w:val="Normal"/>
    <w:uiPriority w:val="99"/>
    <w:rsid w:val="00A61773"/>
    <w:pPr>
      <w:jc w:val="left"/>
    </w:pPr>
    <w:rPr>
      <w:rFonts w:ascii="Arial" w:hAnsi="Arial" w:cs="Arial"/>
      <w:szCs w:val="20"/>
    </w:rPr>
  </w:style>
  <w:style w:type="paragraph" w:customStyle="1" w:styleId="font5">
    <w:name w:val="font5"/>
    <w:basedOn w:val="Normal"/>
    <w:uiPriority w:val="99"/>
    <w:rsid w:val="00A61773"/>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61773"/>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61773"/>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6177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61773"/>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6177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6177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6177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61773"/>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61773"/>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61773"/>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61773"/>
  </w:style>
  <w:style w:type="paragraph" w:customStyle="1" w:styleId="TableandFigureCaption">
    <w:name w:val="Table and Figure Caption"/>
    <w:basedOn w:val="Tablecentered"/>
    <w:link w:val="TableandFigureCaptionChar"/>
    <w:autoRedefine/>
    <w:qFormat/>
    <w:rsid w:val="00A61773"/>
    <w:pPr>
      <w:tabs>
        <w:tab w:val="clear" w:pos="6750"/>
      </w:tabs>
    </w:pPr>
  </w:style>
  <w:style w:type="character" w:customStyle="1" w:styleId="TableandFigureCaptionChar">
    <w:name w:val="Table and Figure Caption Char"/>
    <w:basedOn w:val="TablecenteredChar"/>
    <w:link w:val="TableandFigureCaption"/>
    <w:rsid w:val="00A61773"/>
    <w:rPr>
      <w:rFonts w:eastAsia="Times New Roman" w:cs="Times New Roman"/>
      <w:noProof/>
      <w:sz w:val="18"/>
      <w:szCs w:val="18"/>
    </w:rPr>
  </w:style>
  <w:style w:type="paragraph" w:customStyle="1" w:styleId="TableHeading">
    <w:name w:val="Table Heading"/>
    <w:basedOn w:val="TableText"/>
    <w:autoRedefine/>
    <w:uiPriority w:val="99"/>
    <w:qFormat/>
    <w:rsid w:val="00A61773"/>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61773"/>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61773"/>
    <w:rPr>
      <w:rFonts w:cstheme="minorHAnsi"/>
    </w:rPr>
  </w:style>
  <w:style w:type="character" w:customStyle="1" w:styleId="VersionTextChar">
    <w:name w:val="Version Text Char"/>
    <w:basedOn w:val="DefaultParagraphFont"/>
    <w:link w:val="VersionText"/>
    <w:rsid w:val="00A61773"/>
    <w:rPr>
      <w:rFonts w:eastAsia="Times New Roman" w:cstheme="minorHAnsi"/>
      <w:sz w:val="20"/>
    </w:rPr>
  </w:style>
  <w:style w:type="paragraph" w:customStyle="1" w:styleId="VersionandDate">
    <w:name w:val="Version and Date"/>
    <w:basedOn w:val="Normal"/>
    <w:link w:val="VersionandDateChar"/>
    <w:qFormat/>
    <w:rsid w:val="00A61773"/>
    <w:pPr>
      <w:jc w:val="left"/>
    </w:pPr>
    <w:rPr>
      <w:rFonts w:ascii="Times New Roman" w:hAnsi="Times New Roman"/>
      <w:szCs w:val="20"/>
    </w:rPr>
  </w:style>
  <w:style w:type="character" w:customStyle="1" w:styleId="VersionandDateChar">
    <w:name w:val="Version and Date Char"/>
    <w:basedOn w:val="DefaultParagraphFont"/>
    <w:link w:val="VersionandDate"/>
    <w:rsid w:val="00A61773"/>
    <w:rPr>
      <w:rFonts w:ascii="Times New Roman" w:eastAsia="Times New Roman" w:hAnsi="Times New Roman" w:cs="Times New Roman"/>
      <w:sz w:val="20"/>
      <w:szCs w:val="20"/>
    </w:rPr>
  </w:style>
  <w:style w:type="character" w:customStyle="1" w:styleId="FootnoteTextChar2">
    <w:name w:val="Footnote Text Char2"/>
    <w:uiPriority w:val="99"/>
    <w:locked/>
    <w:rsid w:val="00A61773"/>
    <w:rPr>
      <w:sz w:val="18"/>
      <w:lang w:val="en-US" w:eastAsia="en-US" w:bidi="ar-SA"/>
    </w:rPr>
  </w:style>
  <w:style w:type="paragraph" w:customStyle="1" w:styleId="HeaderIL">
    <w:name w:val="Header IL"/>
    <w:basedOn w:val="Header"/>
    <w:link w:val="HeaderILChar"/>
    <w:qFormat/>
    <w:rsid w:val="00A61773"/>
    <w:pPr>
      <w:pBdr>
        <w:bottom w:val="single" w:sz="4" w:space="0" w:color="auto"/>
      </w:pBdr>
      <w:jc w:val="left"/>
    </w:pPr>
  </w:style>
  <w:style w:type="character" w:customStyle="1" w:styleId="HeaderILChar">
    <w:name w:val="Header IL Char"/>
    <w:basedOn w:val="HeaderChar"/>
    <w:link w:val="HeaderIL"/>
    <w:rsid w:val="00A61773"/>
    <w:rPr>
      <w:rFonts w:eastAsia="Times New Roman" w:cs="Times New Roman"/>
      <w:sz w:val="20"/>
    </w:rPr>
  </w:style>
  <w:style w:type="paragraph" w:styleId="Revision">
    <w:name w:val="Revision"/>
    <w:hidden/>
    <w:uiPriority w:val="99"/>
    <w:semiHidden/>
    <w:rsid w:val="00A61773"/>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61773"/>
    <w:rPr>
      <w:vertAlign w:val="superscript"/>
    </w:rPr>
  </w:style>
  <w:style w:type="character" w:styleId="Emphasis">
    <w:name w:val="Emphasis"/>
    <w:basedOn w:val="DefaultParagraphFont"/>
    <w:uiPriority w:val="20"/>
    <w:qFormat/>
    <w:rsid w:val="00A61773"/>
    <w:rPr>
      <w:i/>
      <w:iCs/>
    </w:rPr>
  </w:style>
  <w:style w:type="paragraph" w:customStyle="1" w:styleId="Reporttitle">
    <w:name w:val="Report title"/>
    <w:basedOn w:val="Normal"/>
    <w:rsid w:val="00A61773"/>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61773"/>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61773"/>
    <w:rPr>
      <w:rFonts w:eastAsia="Times New Roman" w:cs="Times New Roman"/>
      <w:sz w:val="20"/>
      <w:szCs w:val="20"/>
    </w:rPr>
  </w:style>
  <w:style w:type="paragraph" w:customStyle="1" w:styleId="Footnote">
    <w:name w:val="Footnote"/>
    <w:basedOn w:val="FootnoteText"/>
    <w:link w:val="FootnoteChar"/>
    <w:autoRedefine/>
    <w:qFormat/>
    <w:rsid w:val="00A61773"/>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61773"/>
    <w:pPr>
      <w:jc w:val="left"/>
    </w:pPr>
    <w:rPr>
      <w:rFonts w:ascii="Times New Roman" w:hAnsi="Times New Roman" w:cstheme="minorHAnsi"/>
      <w:szCs w:val="20"/>
    </w:rPr>
  </w:style>
  <w:style w:type="paragraph" w:customStyle="1" w:styleId="DocumentLabel">
    <w:name w:val="Document Label"/>
    <w:next w:val="Normal"/>
    <w:uiPriority w:val="99"/>
    <w:rsid w:val="00A6177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61773"/>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61773"/>
    <w:rPr>
      <w:rFonts w:ascii="Garamond" w:eastAsia="Times New Roman" w:hAnsi="Garamond" w:cs="Times New Roman"/>
      <w:caps/>
      <w:sz w:val="18"/>
      <w:szCs w:val="20"/>
    </w:rPr>
  </w:style>
  <w:style w:type="character" w:customStyle="1" w:styleId="MessageHeaderLabel">
    <w:name w:val="Message Header Label"/>
    <w:uiPriority w:val="99"/>
    <w:rsid w:val="00A61773"/>
    <w:rPr>
      <w:b/>
      <w:sz w:val="18"/>
    </w:rPr>
  </w:style>
  <w:style w:type="numbering" w:customStyle="1" w:styleId="NoList11">
    <w:name w:val="No List11"/>
    <w:next w:val="NoList"/>
    <w:uiPriority w:val="99"/>
    <w:semiHidden/>
    <w:unhideWhenUsed/>
    <w:rsid w:val="00A61773"/>
  </w:style>
  <w:style w:type="table" w:customStyle="1" w:styleId="TableGrid3">
    <w:name w:val="Table Grid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61773"/>
  </w:style>
  <w:style w:type="numbering" w:customStyle="1" w:styleId="NoList12">
    <w:name w:val="No List12"/>
    <w:next w:val="NoList"/>
    <w:uiPriority w:val="99"/>
    <w:semiHidden/>
    <w:unhideWhenUsed/>
    <w:rsid w:val="00A61773"/>
  </w:style>
  <w:style w:type="numbering" w:customStyle="1" w:styleId="NoList3">
    <w:name w:val="No List3"/>
    <w:next w:val="NoList"/>
    <w:uiPriority w:val="99"/>
    <w:semiHidden/>
    <w:unhideWhenUsed/>
    <w:rsid w:val="00A61773"/>
  </w:style>
  <w:style w:type="table" w:customStyle="1" w:styleId="TableGrid4">
    <w:name w:val="Table Grid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61773"/>
  </w:style>
  <w:style w:type="table" w:customStyle="1" w:styleId="TableGrid31">
    <w:name w:val="Table Grid3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61773"/>
  </w:style>
  <w:style w:type="paragraph" w:styleId="Closing">
    <w:name w:val="Closing"/>
    <w:basedOn w:val="Normal"/>
    <w:next w:val="Normal"/>
    <w:link w:val="ClosingChar"/>
    <w:uiPriority w:val="99"/>
    <w:rsid w:val="00A61773"/>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61773"/>
    <w:rPr>
      <w:rFonts w:ascii="Garamond" w:eastAsia="Times New Roman" w:hAnsi="Garamond" w:cs="Times New Roman"/>
      <w:szCs w:val="20"/>
    </w:rPr>
  </w:style>
  <w:style w:type="paragraph" w:customStyle="1" w:styleId="CompanyName">
    <w:name w:val="Company Name"/>
    <w:basedOn w:val="BodyText"/>
    <w:uiPriority w:val="99"/>
    <w:rsid w:val="00A61773"/>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61773"/>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61773"/>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61773"/>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61773"/>
    <w:pPr>
      <w:spacing w:before="360"/>
    </w:pPr>
  </w:style>
  <w:style w:type="paragraph" w:customStyle="1" w:styleId="MessageHeaderLast">
    <w:name w:val="Message Header Last"/>
    <w:basedOn w:val="MessageHeader"/>
    <w:next w:val="BodyText"/>
    <w:uiPriority w:val="99"/>
    <w:rsid w:val="00A61773"/>
    <w:pPr>
      <w:pBdr>
        <w:bottom w:val="single" w:sz="6" w:space="18" w:color="808080"/>
      </w:pBdr>
      <w:spacing w:after="360"/>
    </w:pPr>
  </w:style>
  <w:style w:type="paragraph" w:styleId="NormalIndent">
    <w:name w:val="Normal Indent"/>
    <w:basedOn w:val="Normal"/>
    <w:uiPriority w:val="99"/>
    <w:rsid w:val="00A61773"/>
    <w:pPr>
      <w:widowControl/>
      <w:ind w:left="720"/>
      <w:jc w:val="left"/>
    </w:pPr>
    <w:rPr>
      <w:rFonts w:ascii="Garamond" w:hAnsi="Garamond"/>
      <w:sz w:val="22"/>
      <w:szCs w:val="20"/>
    </w:rPr>
  </w:style>
  <w:style w:type="paragraph" w:customStyle="1" w:styleId="ReturnAddress">
    <w:name w:val="Return Address"/>
    <w:uiPriority w:val="99"/>
    <w:rsid w:val="00A61773"/>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61773"/>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61773"/>
    <w:rPr>
      <w:rFonts w:ascii="Garamond" w:eastAsia="Times New Roman" w:hAnsi="Garamond" w:cs="Times New Roman"/>
      <w:szCs w:val="20"/>
    </w:rPr>
  </w:style>
  <w:style w:type="paragraph" w:customStyle="1" w:styleId="SignatureJobTitle">
    <w:name w:val="Signature Job Title"/>
    <w:basedOn w:val="Signature"/>
    <w:next w:val="Normal"/>
    <w:uiPriority w:val="99"/>
    <w:rsid w:val="00A61773"/>
    <w:pPr>
      <w:spacing w:before="0"/>
      <w:ind w:firstLine="0"/>
    </w:pPr>
  </w:style>
  <w:style w:type="paragraph" w:customStyle="1" w:styleId="SignatureName">
    <w:name w:val="Signature Name"/>
    <w:basedOn w:val="Signature"/>
    <w:next w:val="SignatureJobTitle"/>
    <w:uiPriority w:val="99"/>
    <w:rsid w:val="00A61773"/>
    <w:pPr>
      <w:ind w:firstLine="0"/>
    </w:pPr>
  </w:style>
  <w:style w:type="character" w:customStyle="1" w:styleId="Slogan">
    <w:name w:val="Slogan"/>
    <w:uiPriority w:val="99"/>
    <w:rsid w:val="00A61773"/>
    <w:rPr>
      <w:i/>
      <w:spacing w:val="70"/>
      <w:sz w:val="21"/>
    </w:rPr>
  </w:style>
  <w:style w:type="table" w:customStyle="1" w:styleId="TableGrid19">
    <w:name w:val="Table Grid19"/>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61773"/>
  </w:style>
  <w:style w:type="paragraph" w:customStyle="1" w:styleId="Title1">
    <w:name w:val="Title1"/>
    <w:basedOn w:val="Normal"/>
    <w:next w:val="Normal"/>
    <w:uiPriority w:val="10"/>
    <w:qFormat/>
    <w:rsid w:val="00A6177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61773"/>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61773"/>
  </w:style>
  <w:style w:type="table" w:customStyle="1" w:styleId="TableGrid61">
    <w:name w:val="Table Grid61"/>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61773"/>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617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617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61773"/>
    <w:rPr>
      <w:rFonts w:ascii="Courier New" w:eastAsia="Times New Roman" w:hAnsi="Courier New" w:cs="Courier New"/>
      <w:sz w:val="20"/>
      <w:szCs w:val="20"/>
    </w:rPr>
  </w:style>
  <w:style w:type="table" w:styleId="LightList">
    <w:name w:val="Light List"/>
    <w:basedOn w:val="TableNormal"/>
    <w:uiPriority w:val="61"/>
    <w:rsid w:val="00A6177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61773"/>
  </w:style>
  <w:style w:type="table" w:customStyle="1" w:styleId="TableGrid27">
    <w:name w:val="Table Grid27"/>
    <w:basedOn w:val="TableNormal"/>
    <w:next w:val="TableGrid"/>
    <w:uiPriority w:val="39"/>
    <w:rsid w:val="00A617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61773"/>
    <w:rPr>
      <w:i/>
      <w:iCs/>
      <w:color w:val="404040"/>
    </w:rPr>
  </w:style>
  <w:style w:type="character" w:customStyle="1" w:styleId="A0">
    <w:name w:val="A0"/>
    <w:uiPriority w:val="99"/>
    <w:rsid w:val="00A61773"/>
    <w:rPr>
      <w:rFonts w:cs="HelveticaNeueLT Std"/>
      <w:b/>
      <w:bCs/>
      <w:color w:val="00863E"/>
      <w:sz w:val="44"/>
      <w:szCs w:val="44"/>
    </w:rPr>
  </w:style>
  <w:style w:type="character" w:customStyle="1" w:styleId="A1">
    <w:name w:val="A1"/>
    <w:uiPriority w:val="99"/>
    <w:rsid w:val="00A61773"/>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61773"/>
    <w:pPr>
      <w:widowControl/>
      <w:numPr>
        <w:numId w:val="3"/>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61773"/>
    <w:rPr>
      <w:rFonts w:ascii="Franklin Gothic Book" w:eastAsia="Times New Roman" w:hAnsi="Franklin Gothic Book" w:cs="Times New Roman"/>
      <w:szCs w:val="24"/>
    </w:rPr>
  </w:style>
  <w:style w:type="paragraph" w:styleId="List2">
    <w:name w:val="List 2"/>
    <w:semiHidden/>
    <w:unhideWhenUsed/>
    <w:rsid w:val="00A61773"/>
    <w:pPr>
      <w:numPr>
        <w:numId w:val="4"/>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61773"/>
    <w:rPr>
      <w:rFonts w:eastAsia="Times New Roman" w:cs="Times New Roman"/>
      <w:sz w:val="20"/>
    </w:rPr>
  </w:style>
  <w:style w:type="paragraph" w:customStyle="1" w:styleId="NormalBeforeList">
    <w:name w:val="Normal Before List"/>
    <w:basedOn w:val="Normal"/>
    <w:qFormat/>
    <w:rsid w:val="00A61773"/>
    <w:pPr>
      <w:keepNext/>
      <w:widowControl/>
      <w:spacing w:line="276" w:lineRule="auto"/>
      <w:jc w:val="left"/>
    </w:pPr>
    <w:rPr>
      <w:rFonts w:eastAsia="Franklin Gothic Book"/>
      <w:sz w:val="22"/>
    </w:rPr>
  </w:style>
  <w:style w:type="paragraph" w:customStyle="1" w:styleId="Bulletlevel1">
    <w:name w:val="Bullet level 1"/>
    <w:basedOn w:val="ListParagraph"/>
    <w:qFormat/>
    <w:rsid w:val="00A61773"/>
    <w:pPr>
      <w:widowControl/>
      <w:numPr>
        <w:numId w:val="5"/>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61773"/>
    <w:pPr>
      <w:spacing w:after="200"/>
    </w:pPr>
  </w:style>
  <w:style w:type="paragraph" w:customStyle="1" w:styleId="NormalIntroSentence">
    <w:name w:val="Normal Intro Sentence"/>
    <w:qFormat/>
    <w:rsid w:val="00A61773"/>
    <w:pPr>
      <w:keepNext/>
      <w:spacing w:after="100"/>
    </w:pPr>
  </w:style>
  <w:style w:type="table" w:customStyle="1" w:styleId="GridTable1Light3">
    <w:name w:val="Grid Table 1 Light3"/>
    <w:basedOn w:val="TableNormal"/>
    <w:uiPriority w:val="46"/>
    <w:rsid w:val="00A61773"/>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61773"/>
  </w:style>
  <w:style w:type="character" w:styleId="SubtleEmphasis">
    <w:name w:val="Subtle Emphasis"/>
    <w:basedOn w:val="DefaultParagraphFont"/>
    <w:uiPriority w:val="19"/>
    <w:qFormat/>
    <w:rsid w:val="00A6177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1</TotalTime>
  <Pages>19</Pages>
  <Words>3147</Words>
  <Characters>17943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2015-10-08T13:17:00Z</dcterms:created>
  <dcterms:modified xsi:type="dcterms:W3CDTF">2015-10-08T13:30:00Z</dcterms:modified>
</cp:coreProperties>
</file>