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E95" w:rsidRPr="000B7BB6" w:rsidRDefault="00D60E95" w:rsidP="00D60E95">
      <w:pPr>
        <w:pStyle w:val="Heading3"/>
        <w:numPr>
          <w:ilvl w:val="2"/>
          <w:numId w:val="2"/>
        </w:numPr>
      </w:pPr>
      <w:bookmarkStart w:id="0" w:name="_Ref353865714"/>
      <w:bookmarkStart w:id="1" w:name="_Ref353865720"/>
      <w:bookmarkStart w:id="2" w:name="_Toc411593565"/>
      <w:r w:rsidRPr="000B7BB6">
        <w:t>ENERGY STAR Specialty Compact Fluorescent Lamp (CFL)</w:t>
      </w:r>
      <w:bookmarkEnd w:id="0"/>
      <w:bookmarkEnd w:id="1"/>
      <w:bookmarkEnd w:id="2"/>
      <w:r w:rsidRPr="000B7BB6">
        <w:t xml:space="preserve"> </w:t>
      </w:r>
    </w:p>
    <w:p w:rsidR="00D60E95" w:rsidRDefault="00D60E95" w:rsidP="00D60E95">
      <w:pPr>
        <w:pStyle w:val="Heading6"/>
      </w:pPr>
      <w:r>
        <w:t>Description</w:t>
      </w:r>
    </w:p>
    <w:p w:rsidR="00D60E95" w:rsidRDefault="00D60E95" w:rsidP="00D60E95">
      <w:pPr>
        <w:rPr>
          <w:rFonts w:cstheme="minorHAnsi"/>
        </w:rPr>
      </w:pPr>
      <w:r>
        <w:rPr>
          <w:rFonts w:cstheme="minorHAnsi"/>
        </w:rPr>
        <w:t xml:space="preserve">An ENERGY STAR qualified specialty compact fluorescent bulb is installed in place of an incandescent specialty bulb.  </w:t>
      </w:r>
    </w:p>
    <w:p w:rsidR="00D60E95" w:rsidRDefault="00D60E95" w:rsidP="00D60E95">
      <w:pPr>
        <w:rPr>
          <w:rFonts w:cstheme="minorHAnsi"/>
        </w:rPr>
      </w:pPr>
      <w:r>
        <w:rPr>
          <w:rFonts w:cstheme="minorHAnsi"/>
        </w:rPr>
        <w:t xml:space="preserve">This characterization assumes that the specialty CFL is </w:t>
      </w:r>
      <w:r>
        <w:rPr>
          <w:sz w:val="18"/>
        </w:rPr>
        <w:t>installed</w:t>
      </w:r>
      <w:r>
        <w:rPr>
          <w:rFonts w:cstheme="minorHAnsi"/>
        </w:rPr>
        <w:t xml:space="preserve"> in a residential location. If the implementation strategy does not allow for the installation location to be known (e.g. an upstream retail program) a deemed split of 96% Residential and 4% Commercial assumptions should be used</w:t>
      </w:r>
      <w:r>
        <w:rPr>
          <w:rStyle w:val="FootnoteReference"/>
          <w:rFonts w:eastAsiaTheme="majorEastAsia"/>
        </w:rPr>
        <w:footnoteReference w:id="1"/>
      </w:r>
      <w:r>
        <w:rPr>
          <w:rFonts w:cstheme="minorHAnsi"/>
        </w:rPr>
        <w:t>.</w:t>
      </w:r>
    </w:p>
    <w:p w:rsidR="00D60E95" w:rsidRDefault="00D60E95" w:rsidP="00D60E95">
      <w:pPr>
        <w:widowControl/>
        <w:jc w:val="left"/>
        <w:rPr>
          <w:rFonts w:cstheme="minorHAnsi"/>
          <w:szCs w:val="20"/>
        </w:rPr>
      </w:pPr>
      <w:r>
        <w:rPr>
          <w:rFonts w:cstheme="minorHAnsi"/>
          <w:szCs w:val="20"/>
        </w:rPr>
        <w:t xml:space="preserve">This measure was developed to be applicable to the following program types:  TOS, NC, DI, KITS.  </w:t>
      </w:r>
    </w:p>
    <w:p w:rsidR="00D60E95" w:rsidRDefault="00D60E95" w:rsidP="00D60E95">
      <w:pPr>
        <w:widowControl/>
        <w:jc w:val="left"/>
        <w:rPr>
          <w:rFonts w:cstheme="minorHAnsi"/>
          <w:szCs w:val="20"/>
        </w:rPr>
      </w:pPr>
      <w:r>
        <w:rPr>
          <w:rFonts w:cstheme="minorHAnsi"/>
          <w:szCs w:val="20"/>
        </w:rPr>
        <w:t>If applied to other program types, the measure savings should be verified.</w:t>
      </w:r>
    </w:p>
    <w:p w:rsidR="00D60E95" w:rsidRDefault="00D60E95" w:rsidP="00D60E95">
      <w:pPr>
        <w:pStyle w:val="Heading6"/>
      </w:pPr>
      <w:r>
        <w:t>Definition of Efficient Equipment</w:t>
      </w:r>
    </w:p>
    <w:p w:rsidR="00D60E95" w:rsidRDefault="00D60E95" w:rsidP="00D60E95">
      <w:pPr>
        <w:rPr>
          <w:rFonts w:cstheme="minorHAnsi"/>
          <w:b/>
          <w:szCs w:val="20"/>
        </w:rPr>
      </w:pPr>
      <w:r>
        <w:rPr>
          <w:rFonts w:cstheme="minorHAnsi"/>
        </w:rPr>
        <w:t>Energy Star qualified specialty CFL bulb b</w:t>
      </w:r>
      <w:r>
        <w:rPr>
          <w:rFonts w:cstheme="minorHAnsi"/>
          <w:szCs w:val="20"/>
        </w:rPr>
        <w:t>ased upon the draft ENERGY STAR specification for lamps (</w:t>
      </w:r>
      <w:hyperlink r:id="rId8" w:history="1">
        <w:r>
          <w:rPr>
            <w:rStyle w:val="Hyperlink"/>
            <w:szCs w:val="20"/>
          </w:rPr>
          <w:t>http://energystar.gov/products/specs/sites/products/files/ENERGY_STAR_Lamps_V1_0_Draft%203.pdf</w:t>
        </w:r>
      </w:hyperlink>
      <w:r>
        <w:rPr>
          <w:rFonts w:cstheme="minorHAnsi"/>
          <w:szCs w:val="20"/>
        </w:rPr>
        <w:t>)</w:t>
      </w:r>
      <w:r>
        <w:rPr>
          <w:rFonts w:cstheme="minorHAnsi"/>
        </w:rPr>
        <w:t xml:space="preserve">. </w:t>
      </w:r>
    </w:p>
    <w:p w:rsidR="00D60E95" w:rsidRDefault="00D60E95" w:rsidP="00D60E95">
      <w:pPr>
        <w:pStyle w:val="Heading6"/>
      </w:pPr>
      <w:r>
        <w:t>Definition of Baseline Equipment</w:t>
      </w:r>
    </w:p>
    <w:p w:rsidR="00D60E95" w:rsidRDefault="00D60E95" w:rsidP="00D60E95">
      <w:pPr>
        <w:rPr>
          <w:rFonts w:cstheme="minorHAnsi"/>
        </w:rPr>
      </w:pPr>
      <w:r>
        <w:rPr>
          <w:rFonts w:cstheme="minorHAnsi"/>
        </w:rPr>
        <w:t>The baseline is a specialty incandescent light bulb including those exempt of the EISA 2007 standard: three-way, plant light, daylight bulb, bug light, post light, globes G40 (&lt;40W), candelabra base (&lt;60W), vibration service bulb, decorative candle with medium or intermediate base (&lt;40W), shatter resistant and reflector bulbs and standard bulbs greater than 2601 lumens, and those non-exempt from EISA 2007: dimmable, globes (less than 5” diameter and &gt;40W), candle (shapes B, BA, CA &gt;40W, candelabra base lamps (&gt;60W) and intermediate base lamps (&gt;40W).</w:t>
      </w:r>
    </w:p>
    <w:p w:rsidR="00D60E95" w:rsidRDefault="00D60E95" w:rsidP="00D60E95">
      <w:pPr>
        <w:pStyle w:val="Heading6"/>
      </w:pPr>
      <w:r>
        <w:t>Deemed Lifetime of Efficient Equipment</w:t>
      </w:r>
    </w:p>
    <w:p w:rsidR="00D60E95" w:rsidRDefault="00D60E95" w:rsidP="00D60E95">
      <w:pPr>
        <w:rPr>
          <w:rFonts w:cstheme="minorHAnsi"/>
        </w:rPr>
      </w:pPr>
      <w:r>
        <w:rPr>
          <w:rFonts w:cstheme="minorHAnsi"/>
        </w:rPr>
        <w:t>The expected measure life is assumed to be 6.8</w:t>
      </w:r>
      <w:r>
        <w:rPr>
          <w:rFonts w:cstheme="minorHAnsi"/>
          <w:noProof/>
        </w:rPr>
        <w:t xml:space="preserve"> year</w:t>
      </w:r>
      <w:r>
        <w:rPr>
          <w:rStyle w:val="FootnoteReference"/>
          <w:rFonts w:eastAsiaTheme="majorEastAsia"/>
        </w:rPr>
        <w:footnoteReference w:id="2"/>
      </w:r>
      <w:r>
        <w:rPr>
          <w:rFonts w:cstheme="minorHAnsi"/>
          <w:noProof/>
        </w:rPr>
        <w:t xml:space="preserve">. </w:t>
      </w:r>
    </w:p>
    <w:p w:rsidR="00D60E95" w:rsidRDefault="00D60E95" w:rsidP="00D60E95">
      <w:pPr>
        <w:rPr>
          <w:rFonts w:cstheme="minorHAnsi"/>
        </w:rPr>
      </w:pPr>
      <w:r>
        <w:rPr>
          <w:rFonts w:cstheme="minorHAnsi"/>
          <w:noProof/>
        </w:rPr>
        <w:t>Exterior bulbs: The expected measure life is 3.2 years</w:t>
      </w:r>
      <w:r>
        <w:rPr>
          <w:rStyle w:val="FootnoteReference"/>
          <w:rFonts w:eastAsiaTheme="majorEastAsia"/>
          <w:noProof/>
        </w:rPr>
        <w:footnoteReference w:id="3"/>
      </w:r>
      <w:r>
        <w:rPr>
          <w:rFonts w:cstheme="minorHAnsi"/>
          <w:noProof/>
        </w:rPr>
        <w:t xml:space="preserve"> for bulbs installed June 2012 – May 2017. For bulbs installed June 2017-May 2018 this would be reduced to 3 years.</w:t>
      </w:r>
    </w:p>
    <w:p w:rsidR="00D60E95" w:rsidRDefault="00D60E95" w:rsidP="00D60E95">
      <w:pPr>
        <w:pStyle w:val="Heading6"/>
      </w:pPr>
      <w:r>
        <w:t xml:space="preserve">Deemed Measure Cost </w:t>
      </w:r>
    </w:p>
    <w:p w:rsidR="00D60E95" w:rsidRDefault="00D60E95" w:rsidP="00D60E95">
      <w:pPr>
        <w:rPr>
          <w:rFonts w:cstheme="minorHAnsi"/>
        </w:rPr>
      </w:pPr>
      <w:r>
        <w:rPr>
          <w:rFonts w:cstheme="minorHAnsi"/>
        </w:rPr>
        <w:t>For the Retail (Time of Sale) measure, the incremental capital cost for this measure is $5</w:t>
      </w:r>
      <w:r>
        <w:rPr>
          <w:rStyle w:val="FootnoteReference"/>
          <w:rFonts w:eastAsiaTheme="majorEastAsia"/>
        </w:rPr>
        <w:footnoteReference w:id="4"/>
      </w:r>
      <w:r>
        <w:rPr>
          <w:rFonts w:cstheme="minorHAnsi"/>
        </w:rPr>
        <w:t xml:space="preserve">. </w:t>
      </w:r>
    </w:p>
    <w:p w:rsidR="00D60E95" w:rsidRDefault="00D60E95" w:rsidP="00D60E95">
      <w:pPr>
        <w:rPr>
          <w:rFonts w:cstheme="minorHAnsi"/>
        </w:rPr>
      </w:pPr>
      <w:r>
        <w:rPr>
          <w:rFonts w:cstheme="minorHAnsi"/>
        </w:rPr>
        <w:t>For the Direct Install measure, the full cost of $8.50 should be used plus $5 labor</w:t>
      </w:r>
      <w:r>
        <w:rPr>
          <w:rStyle w:val="FootnoteReference"/>
          <w:rFonts w:eastAsiaTheme="majorEastAsia"/>
        </w:rPr>
        <w:footnoteReference w:id="5"/>
      </w:r>
      <w:r>
        <w:rPr>
          <w:rFonts w:cstheme="minorHAnsi"/>
        </w:rPr>
        <w:t xml:space="preserve"> for a total of $13.50. However actual program delivery costs should be utilized if available.</w:t>
      </w:r>
    </w:p>
    <w:p w:rsidR="00D60E95" w:rsidRDefault="00D60E95" w:rsidP="00D60E95">
      <w:pPr>
        <w:rPr>
          <w:rFonts w:cstheme="minorHAnsi"/>
        </w:rPr>
      </w:pPr>
      <w:r>
        <w:rPr>
          <w:rFonts w:cstheme="minorHAnsi"/>
        </w:rPr>
        <w:t>For bulbs provided in Efficiency Kits, the actual program delivery costs should be utilized..</w:t>
      </w:r>
    </w:p>
    <w:p w:rsidR="00D60E95" w:rsidRDefault="00D60E95" w:rsidP="00D60E95">
      <w:pPr>
        <w:pStyle w:val="Heading6"/>
        <w:rPr>
          <w:sz w:val="18"/>
        </w:rPr>
      </w:pPr>
      <w:r>
        <w:t>Loadshape</w:t>
      </w:r>
    </w:p>
    <w:tbl>
      <w:tblPr>
        <w:tblW w:w="8120" w:type="dxa"/>
        <w:tblInd w:w="93" w:type="dxa"/>
        <w:tblLook w:val="04A0" w:firstRow="1" w:lastRow="0" w:firstColumn="1" w:lastColumn="0" w:noHBand="0" w:noVBand="1"/>
      </w:tblPr>
      <w:tblGrid>
        <w:gridCol w:w="8120"/>
      </w:tblGrid>
      <w:tr w:rsidR="00D60E95" w:rsidTr="00C81356">
        <w:trPr>
          <w:trHeight w:val="300"/>
        </w:trPr>
        <w:tc>
          <w:tcPr>
            <w:tcW w:w="8120" w:type="dxa"/>
            <w:noWrap/>
            <w:vAlign w:val="center"/>
            <w:hideMark/>
          </w:tcPr>
          <w:p w:rsidR="00D60E95" w:rsidRDefault="00D60E95" w:rsidP="00C81356">
            <w:pPr>
              <w:widowControl/>
              <w:spacing w:line="276" w:lineRule="auto"/>
              <w:jc w:val="left"/>
              <w:rPr>
                <w:rFonts w:cstheme="minorHAnsi"/>
                <w:color w:val="000000"/>
                <w:szCs w:val="20"/>
              </w:rPr>
            </w:pPr>
            <w:r>
              <w:rPr>
                <w:rFonts w:cstheme="minorHAnsi"/>
                <w:color w:val="000000"/>
                <w:szCs w:val="20"/>
              </w:rPr>
              <w:t>Loadshape R06 - Residential Indoor Lighting</w:t>
            </w:r>
          </w:p>
        </w:tc>
      </w:tr>
      <w:tr w:rsidR="00D60E95" w:rsidTr="00C81356">
        <w:trPr>
          <w:trHeight w:val="300"/>
        </w:trPr>
        <w:tc>
          <w:tcPr>
            <w:tcW w:w="8120" w:type="dxa"/>
            <w:noWrap/>
            <w:vAlign w:val="center"/>
            <w:hideMark/>
          </w:tcPr>
          <w:p w:rsidR="00D60E95" w:rsidRDefault="00D60E95" w:rsidP="00C81356">
            <w:pPr>
              <w:widowControl/>
              <w:spacing w:line="276" w:lineRule="auto"/>
              <w:jc w:val="left"/>
              <w:rPr>
                <w:rFonts w:cstheme="minorHAnsi"/>
                <w:color w:val="000000"/>
                <w:szCs w:val="20"/>
              </w:rPr>
            </w:pPr>
            <w:r>
              <w:rPr>
                <w:rFonts w:cstheme="minorHAnsi"/>
                <w:color w:val="000000"/>
                <w:szCs w:val="20"/>
              </w:rPr>
              <w:lastRenderedPageBreak/>
              <w:t>Loadshape R07 - Residential Outdoor Lighting</w:t>
            </w:r>
          </w:p>
        </w:tc>
      </w:tr>
    </w:tbl>
    <w:p w:rsidR="00D60E95" w:rsidRDefault="00D60E95" w:rsidP="00D60E95">
      <w:pPr>
        <w:pStyle w:val="Heading6"/>
        <w:rPr>
          <w:sz w:val="18"/>
        </w:rPr>
      </w:pPr>
      <w:r>
        <w:t>Coincidence Factor</w:t>
      </w:r>
    </w:p>
    <w:p w:rsidR="00D60E95" w:rsidRDefault="00D60E95" w:rsidP="00D60E95">
      <w:pPr>
        <w:rPr>
          <w:rFonts w:cstheme="minorHAnsi"/>
        </w:rPr>
      </w:pPr>
      <w:r>
        <w:rPr>
          <w:rFonts w:cstheme="minorHAnsi"/>
        </w:rPr>
        <w:t>Unlike standard CFLs that could be installed in any room, certain types of specialty CFLs are more likely to be found in specific rooms, which affects the coincident peak factor. Coincidence factors by bulb types are presented below</w:t>
      </w:r>
      <w:r>
        <w:rPr>
          <w:rStyle w:val="FootnoteReference"/>
          <w:rFonts w:eastAsiaTheme="majorEastAsia"/>
        </w:rPr>
        <w:footnoteReference w:id="6"/>
      </w:r>
      <w:r>
        <w:rPr>
          <w:rFonts w:cstheme="minorHAnsi"/>
        </w:rPr>
        <w:t xml:space="preserve">  </w:t>
      </w:r>
    </w:p>
    <w:tbl>
      <w:tblPr>
        <w:tblW w:w="7295" w:type="dxa"/>
        <w:jc w:val="center"/>
        <w:tblInd w:w="103" w:type="dxa"/>
        <w:tblLook w:val="04A0" w:firstRow="1" w:lastRow="0" w:firstColumn="1" w:lastColumn="0" w:noHBand="0" w:noVBand="1"/>
      </w:tblPr>
      <w:tblGrid>
        <w:gridCol w:w="5945"/>
        <w:gridCol w:w="1350"/>
      </w:tblGrid>
      <w:tr w:rsidR="00D60E95" w:rsidTr="00C81356">
        <w:trPr>
          <w:trHeight w:val="20"/>
          <w:jc w:val="center"/>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Bulb Type</w:t>
            </w:r>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Peak CF</w:t>
            </w:r>
          </w:p>
        </w:tc>
      </w:tr>
      <w:tr w:rsidR="00D60E95" w:rsidTr="00C81356">
        <w:trPr>
          <w:trHeight w:val="395"/>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r>
              <w:t>Three-way</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0.078</w:t>
            </w:r>
            <w:r w:rsidRPr="000C2BD8">
              <w:rPr>
                <w:rStyle w:val="FootnoteReference"/>
              </w:rPr>
              <w:footnoteReference w:id="7"/>
            </w:r>
          </w:p>
        </w:tc>
      </w:tr>
      <w:tr w:rsidR="00D60E95" w:rsidTr="00C81356">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Dimmable</w:t>
            </w:r>
          </w:p>
        </w:tc>
        <w:tc>
          <w:tcPr>
            <w:tcW w:w="1350" w:type="dxa"/>
            <w:tcBorders>
              <w:top w:val="single" w:sz="4" w:space="0" w:color="auto"/>
              <w:left w:val="nil"/>
              <w:bottom w:val="single" w:sz="4" w:space="0" w:color="auto"/>
              <w:right w:val="single" w:sz="4" w:space="0" w:color="auto"/>
            </w:tcBorders>
            <w:noWrap/>
            <w:vAlign w:val="bottom"/>
            <w:hideMark/>
          </w:tcPr>
          <w:p w:rsidR="00D60E95" w:rsidRDefault="00D60E95" w:rsidP="00C81356">
            <w:pPr>
              <w:jc w:val="center"/>
              <w:rPr>
                <w:szCs w:val="16"/>
              </w:rPr>
            </w:pPr>
            <w:r>
              <w:t>0.078</w:t>
            </w:r>
            <w:r w:rsidRPr="000C2BD8">
              <w:rPr>
                <w:rStyle w:val="FootnoteReference"/>
              </w:rPr>
              <w:footnoteReference w:id="8"/>
            </w:r>
          </w:p>
        </w:tc>
      </w:tr>
      <w:tr w:rsidR="00D60E95" w:rsidTr="00C81356">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Interior reflector (incl. dimmable)</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0.091</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Exterior reflector</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0.273</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Candelabra base and candle medium and intermediate base</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0.121</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Bug light</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0.273</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Post light (&gt;100W)</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0.273</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Daylight</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0.081</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Plant light</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0.081</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Globe</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0.075</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Vibration or shatterproof</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0.081</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Standard spirals &gt;= 2601 lumens, Residential, Multi-family in unit</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0.071</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tcPr>
          <w:p w:rsidR="00D60E95" w:rsidRDefault="00D60E95" w:rsidP="00C81356">
            <w:pPr>
              <w:rPr>
                <w:szCs w:val="16"/>
              </w:rPr>
            </w:pPr>
            <w:r w:rsidRPr="006E6456">
              <w:t>Standard spirals &gt;= 2601 lumens</w:t>
            </w:r>
            <w:r>
              <w:t>, unknown</w:t>
            </w:r>
          </w:p>
        </w:tc>
        <w:tc>
          <w:tcPr>
            <w:tcW w:w="1350" w:type="dxa"/>
            <w:tcBorders>
              <w:top w:val="nil"/>
              <w:left w:val="nil"/>
              <w:bottom w:val="single" w:sz="4" w:space="0" w:color="auto"/>
              <w:right w:val="single" w:sz="4" w:space="0" w:color="auto"/>
            </w:tcBorders>
            <w:noWrap/>
            <w:vAlign w:val="bottom"/>
          </w:tcPr>
          <w:p w:rsidR="00D60E95" w:rsidRDefault="00D60E95" w:rsidP="00C81356">
            <w:pPr>
              <w:jc w:val="center"/>
              <w:rPr>
                <w:szCs w:val="16"/>
              </w:rPr>
            </w:pPr>
            <w:r>
              <w:t>0.081</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tcPr>
          <w:p w:rsidR="00D60E95" w:rsidRDefault="00D60E95" w:rsidP="00C81356">
            <w:pPr>
              <w:rPr>
                <w:szCs w:val="16"/>
              </w:rPr>
            </w:pPr>
            <w:r w:rsidRPr="006E6456">
              <w:t>Standard spirals &gt;= 2601 lumens</w:t>
            </w:r>
            <w:r>
              <w:t>, exterior</w:t>
            </w:r>
          </w:p>
        </w:tc>
        <w:tc>
          <w:tcPr>
            <w:tcW w:w="1350" w:type="dxa"/>
            <w:tcBorders>
              <w:top w:val="nil"/>
              <w:left w:val="nil"/>
              <w:bottom w:val="single" w:sz="4" w:space="0" w:color="auto"/>
              <w:right w:val="single" w:sz="4" w:space="0" w:color="auto"/>
            </w:tcBorders>
            <w:noWrap/>
            <w:vAlign w:val="bottom"/>
          </w:tcPr>
          <w:p w:rsidR="00D60E95" w:rsidRDefault="00D60E95" w:rsidP="00C81356">
            <w:pPr>
              <w:jc w:val="center"/>
              <w:rPr>
                <w:szCs w:val="16"/>
              </w:rPr>
            </w:pPr>
            <w:r>
              <w:t>0.273</w:t>
            </w:r>
          </w:p>
        </w:tc>
      </w:tr>
      <w:tr w:rsidR="00D60E95"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Default="00D60E95" w:rsidP="00C81356">
            <w:pPr>
              <w:rPr>
                <w:szCs w:val="16"/>
              </w:rPr>
            </w:pPr>
            <w:r>
              <w:t>Specialty - Generic</w:t>
            </w:r>
          </w:p>
        </w:tc>
        <w:tc>
          <w:tcPr>
            <w:tcW w:w="1350" w:type="dxa"/>
            <w:tcBorders>
              <w:top w:val="nil"/>
              <w:left w:val="nil"/>
              <w:bottom w:val="single" w:sz="4" w:space="0" w:color="auto"/>
              <w:right w:val="single" w:sz="4" w:space="0" w:color="auto"/>
            </w:tcBorders>
            <w:noWrap/>
            <w:vAlign w:val="bottom"/>
            <w:hideMark/>
          </w:tcPr>
          <w:p w:rsidR="00D60E95" w:rsidRDefault="00D60E95" w:rsidP="00C81356">
            <w:pPr>
              <w:jc w:val="center"/>
              <w:rPr>
                <w:szCs w:val="16"/>
              </w:rPr>
            </w:pPr>
            <w:r>
              <w:t>0.081</w:t>
            </w:r>
          </w:p>
        </w:tc>
      </w:tr>
    </w:tbl>
    <w:p w:rsidR="00D60E95" w:rsidRDefault="00D60E95" w:rsidP="00D60E95"/>
    <w:p w:rsidR="00D60E95" w:rsidRDefault="00D60E95" w:rsidP="00D60E95">
      <w:pPr>
        <w:widowControl/>
        <w:spacing w:after="200" w:line="276" w:lineRule="auto"/>
        <w:jc w:val="left"/>
      </w:pPr>
      <w:r>
        <w:br w:type="page"/>
      </w:r>
    </w:p>
    <w:p w:rsidR="00D60E95" w:rsidRDefault="00D60E95" w:rsidP="00D60E95">
      <w:pPr>
        <w:pStyle w:val="AlgorithmHeading"/>
      </w:pPr>
      <w:r>
        <w:lastRenderedPageBreak/>
        <w:t>Algorithm</w:t>
      </w:r>
    </w:p>
    <w:p w:rsidR="00D60E95" w:rsidRDefault="00D60E95" w:rsidP="00D60E95">
      <w:pPr>
        <w:pStyle w:val="Heading6"/>
      </w:pPr>
      <w:r>
        <w:t xml:space="preserve">Calculation of Savings </w:t>
      </w:r>
    </w:p>
    <w:p w:rsidR="00D60E95" w:rsidRDefault="00D60E95" w:rsidP="00D60E95">
      <w:pPr>
        <w:pStyle w:val="Heading6"/>
      </w:pPr>
      <w:r>
        <w:t>Electric Energy Savings</w:t>
      </w:r>
    </w:p>
    <w:p w:rsidR="00D60E95" w:rsidRDefault="00D60E95" w:rsidP="00D60E95">
      <w:pPr>
        <w:ind w:left="720" w:firstLine="720"/>
        <w:rPr>
          <w:rFonts w:cstheme="minorHAnsi"/>
          <w:noProof/>
        </w:rPr>
      </w:pPr>
      <w:r>
        <w:rPr>
          <w:rFonts w:cstheme="minorHAnsi"/>
          <w:noProof/>
        </w:rPr>
        <w:t>∆kWh</w:t>
      </w:r>
      <w:r>
        <w:rPr>
          <w:rFonts w:cstheme="minorHAnsi"/>
          <w:noProof/>
        </w:rPr>
        <w:tab/>
        <w:t>= ((WattsBase - WattsEE) / 1000) * ISR * (1-Leakage) * Hours * WHFe</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rsidR="00D60E95" w:rsidRDefault="00D60E95" w:rsidP="00D60E95">
      <w:pPr>
        <w:ind w:left="720" w:hanging="720"/>
        <w:rPr>
          <w:rFonts w:cstheme="minorHAnsi"/>
          <w:noProof/>
        </w:rPr>
      </w:pPr>
      <w:r>
        <w:rPr>
          <w:rFonts w:cstheme="minorHAnsi"/>
          <w:noProof/>
        </w:rPr>
        <w:t>Where:</w:t>
      </w:r>
    </w:p>
    <w:p w:rsidR="00D60E95" w:rsidRDefault="00D60E95" w:rsidP="00D60E95">
      <w:pPr>
        <w:ind w:left="2160" w:hanging="1440"/>
        <w:rPr>
          <w:rFonts w:cstheme="minorHAnsi"/>
          <w:noProof/>
        </w:rPr>
      </w:pPr>
      <w:r>
        <w:rPr>
          <w:rFonts w:cstheme="minorHAnsi"/>
          <w:noProof/>
        </w:rPr>
        <w:t>WattsBase</w:t>
      </w:r>
      <w:r>
        <w:rPr>
          <w:rFonts w:cstheme="minorHAnsi"/>
          <w:noProof/>
        </w:rPr>
        <w:tab/>
        <w:t>= Actual wattage equivalent of incandescent specialty bulb, use the tables below to obtain the incandescent bulb equivalent wattage</w:t>
      </w:r>
      <w:r>
        <w:rPr>
          <w:rStyle w:val="FootnoteReference"/>
          <w:rFonts w:eastAsiaTheme="majorEastAsia"/>
        </w:rPr>
        <w:footnoteReference w:id="9"/>
      </w:r>
      <w:r>
        <w:rPr>
          <w:rFonts w:cstheme="minorHAnsi"/>
          <w:noProof/>
        </w:rPr>
        <w:t>; use 60W if unknown</w:t>
      </w:r>
      <w:r>
        <w:rPr>
          <w:rStyle w:val="FootnoteReference"/>
          <w:rFonts w:eastAsiaTheme="majorEastAsia"/>
        </w:rPr>
        <w:footnoteReference w:id="10"/>
      </w:r>
      <w:r>
        <w:rPr>
          <w:rFonts w:cstheme="minorHAnsi"/>
          <w:noProof/>
        </w:rPr>
        <w:t xml:space="preserve"> </w:t>
      </w:r>
    </w:p>
    <w:p w:rsidR="00D60E95" w:rsidRDefault="00D60E95" w:rsidP="00D60E95">
      <w:pPr>
        <w:ind w:left="720" w:firstLine="720"/>
        <w:rPr>
          <w:rFonts w:cstheme="minorHAnsi"/>
          <w:noProof/>
        </w:rPr>
      </w:pPr>
      <w:r>
        <w:rPr>
          <w:rFonts w:cstheme="minorHAnsi"/>
          <w:noProof/>
        </w:rPr>
        <w:t>EISA exempt bulb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367"/>
        <w:gridCol w:w="1563"/>
        <w:gridCol w:w="1418"/>
        <w:gridCol w:w="1337"/>
      </w:tblGrid>
      <w:tr w:rsidR="00D60E95" w:rsidTr="00C81356">
        <w:trPr>
          <w:trHeight w:val="506"/>
          <w:tblHeader/>
          <w:jc w:val="center"/>
        </w:trPr>
        <w:tc>
          <w:tcPr>
            <w:tcW w:w="3367" w:type="dxa"/>
            <w:shd w:val="solid" w:color="808080" w:fill="auto"/>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Bulb Type</w:t>
            </w:r>
          </w:p>
        </w:tc>
        <w:tc>
          <w:tcPr>
            <w:tcW w:w="1563" w:type="dxa"/>
            <w:shd w:val="solid" w:color="808080" w:fill="auto"/>
            <w:vAlign w:val="center"/>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Lower Lumen Range</w:t>
            </w:r>
          </w:p>
        </w:tc>
        <w:tc>
          <w:tcPr>
            <w:tcW w:w="1418" w:type="dxa"/>
            <w:shd w:val="solid" w:color="808080" w:fill="auto"/>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Upper Lumen Range</w:t>
            </w:r>
          </w:p>
        </w:tc>
        <w:tc>
          <w:tcPr>
            <w:tcW w:w="1337" w:type="dxa"/>
            <w:shd w:val="solid" w:color="808080" w:fill="auto"/>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WattsBase</w:t>
            </w:r>
          </w:p>
        </w:tc>
      </w:tr>
      <w:tr w:rsidR="00D60E95" w:rsidTr="00C81356">
        <w:tblPrEx>
          <w:tblCellMar>
            <w:left w:w="108" w:type="dxa"/>
            <w:right w:w="108" w:type="dxa"/>
          </w:tblCellMar>
        </w:tblPrEx>
        <w:trPr>
          <w:trHeight w:val="290"/>
          <w:jc w:val="center"/>
        </w:trPr>
        <w:tc>
          <w:tcPr>
            <w:tcW w:w="3367" w:type="dxa"/>
            <w:vMerge w:val="restart"/>
            <w:hideMark/>
          </w:tcPr>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Standard Spirals &gt;=2601</w:t>
            </w: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2601</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5279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200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5280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6209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w:t>
            </w:r>
          </w:p>
        </w:tc>
      </w:tr>
      <w:tr w:rsidR="00D60E95" w:rsidTr="00C81356">
        <w:tblPrEx>
          <w:tblCellMar>
            <w:left w:w="108" w:type="dxa"/>
            <w:right w:w="108" w:type="dxa"/>
          </w:tblCellMar>
        </w:tblPrEx>
        <w:trPr>
          <w:trHeight w:val="290"/>
          <w:jc w:val="center"/>
        </w:trPr>
        <w:tc>
          <w:tcPr>
            <w:tcW w:w="3367" w:type="dxa"/>
            <w:vMerge w:val="restart"/>
            <w:hideMark/>
          </w:tcPr>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3-Way</w:t>
            </w: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800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1100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1600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1999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2000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125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r>
      <w:tr w:rsidR="00D60E95" w:rsidTr="00C81356">
        <w:tblPrEx>
          <w:tblCellMar>
            <w:left w:w="108" w:type="dxa"/>
            <w:right w:w="108" w:type="dxa"/>
          </w:tblCellMar>
        </w:tblPrEx>
        <w:trPr>
          <w:trHeight w:val="290"/>
          <w:jc w:val="center"/>
        </w:trPr>
        <w:tc>
          <w:tcPr>
            <w:tcW w:w="3367" w:type="dxa"/>
            <w:vMerge w:val="restart"/>
            <w:hideMark/>
          </w:tcPr>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Globe</w:t>
            </w:r>
          </w:p>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(medium and intermediate bases less than 750 lumens)</w:t>
            </w: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179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180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D60E95" w:rsidTr="00C81356">
        <w:tblPrEx>
          <w:tblCellMar>
            <w:left w:w="108" w:type="dxa"/>
            <w:right w:w="108" w:type="dxa"/>
          </w:tblCellMar>
        </w:tblPrEx>
        <w:trPr>
          <w:trHeight w:val="290"/>
          <w:jc w:val="center"/>
        </w:trPr>
        <w:tc>
          <w:tcPr>
            <w:tcW w:w="3367" w:type="dxa"/>
            <w:vMerge w:val="restart"/>
            <w:hideMark/>
          </w:tcPr>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Decorative</w:t>
            </w:r>
          </w:p>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 xml:space="preserve">(Shapes B, BA, C, CA, DC, F, G, medium and intermediate bases less </w:t>
            </w:r>
            <w:r>
              <w:rPr>
                <w:rFonts w:eastAsiaTheme="minorHAnsi" w:cs="Calibri"/>
                <w:b/>
                <w:bCs/>
                <w:color w:val="000000"/>
                <w:szCs w:val="20"/>
              </w:rPr>
              <w:lastRenderedPageBreak/>
              <w:t>than 750 lumens)</w:t>
            </w: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lastRenderedPageBreak/>
              <w:t>70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89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D60E95" w:rsidTr="00C81356">
        <w:tblPrEx>
          <w:tblCellMar>
            <w:left w:w="108" w:type="dxa"/>
            <w:right w:w="108" w:type="dxa"/>
          </w:tblCellMar>
        </w:tblPrEx>
        <w:trPr>
          <w:trHeight w:val="290"/>
          <w:jc w:val="center"/>
        </w:trPr>
        <w:tc>
          <w:tcPr>
            <w:tcW w:w="3367" w:type="dxa"/>
            <w:vMerge w:val="restart"/>
            <w:hideMark/>
          </w:tcPr>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lastRenderedPageBreak/>
              <w:t>Globe</w:t>
            </w:r>
          </w:p>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(candelabra bases less than 1050 lumens)</w:t>
            </w: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179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180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60</w:t>
            </w:r>
          </w:p>
        </w:tc>
      </w:tr>
      <w:tr w:rsidR="00D60E95" w:rsidTr="00C81356">
        <w:tblPrEx>
          <w:tblCellMar>
            <w:left w:w="108" w:type="dxa"/>
            <w:right w:w="108" w:type="dxa"/>
          </w:tblCellMar>
        </w:tblPrEx>
        <w:trPr>
          <w:trHeight w:val="290"/>
          <w:jc w:val="center"/>
        </w:trPr>
        <w:tc>
          <w:tcPr>
            <w:tcW w:w="3367" w:type="dxa"/>
            <w:vMerge w:val="restart"/>
            <w:hideMark/>
          </w:tcPr>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Decorative</w:t>
            </w:r>
          </w:p>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(Shapes B, BA, C, CA, DC, F, G, candelabra bases less than 1050 lumens)</w:t>
            </w: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89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90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150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25</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499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40</w:t>
            </w:r>
          </w:p>
        </w:tc>
      </w:tr>
      <w:tr w:rsidR="00D60E95" w:rsidTr="00C81356">
        <w:tblPrEx>
          <w:tblCellMar>
            <w:left w:w="108" w:type="dxa"/>
            <w:right w:w="108" w:type="dxa"/>
          </w:tblCellMar>
        </w:tblPrEx>
        <w:trPr>
          <w:trHeight w:val="290"/>
          <w:jc w:val="center"/>
        </w:trPr>
        <w:tc>
          <w:tcPr>
            <w:tcW w:w="3367" w:type="dxa"/>
            <w:vMerge/>
            <w:hideMark/>
          </w:tcPr>
          <w:p w:rsidR="00D60E95" w:rsidRDefault="00D60E95" w:rsidP="00C81356">
            <w:pPr>
              <w:widowControl/>
              <w:jc w:val="left"/>
              <w:rPr>
                <w:rFonts w:eastAsiaTheme="minorHAnsi" w:cs="Calibri"/>
                <w:b/>
                <w:bCs/>
                <w:color w:val="000000"/>
                <w:szCs w:val="20"/>
              </w:rPr>
            </w:pPr>
          </w:p>
        </w:tc>
        <w:tc>
          <w:tcPr>
            <w:tcW w:w="1563"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500</w:t>
            </w:r>
          </w:p>
        </w:tc>
        <w:tc>
          <w:tcPr>
            <w:tcW w:w="1418"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1049</w:t>
            </w:r>
          </w:p>
        </w:tc>
        <w:tc>
          <w:tcPr>
            <w:tcW w:w="1337" w:type="dxa"/>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60</w:t>
            </w:r>
          </w:p>
        </w:tc>
      </w:tr>
    </w:tbl>
    <w:p w:rsidR="00D60E95" w:rsidRDefault="00D60E95" w:rsidP="00D60E95">
      <w:pPr>
        <w:ind w:left="1440"/>
        <w:rPr>
          <w:rFonts w:cstheme="minorHAnsi"/>
          <w:noProof/>
        </w:rPr>
      </w:pPr>
    </w:p>
    <w:p w:rsidR="00D60E95" w:rsidRDefault="00D60E95" w:rsidP="00D60E95">
      <w:pPr>
        <w:ind w:left="1440"/>
        <w:rPr>
          <w:noProof/>
        </w:rPr>
      </w:pPr>
      <w:r w:rsidRPr="006512F3">
        <w:rPr>
          <w:b/>
          <w:noProof/>
        </w:rPr>
        <w:t xml:space="preserve">Directional Lamps - </w:t>
      </w:r>
      <w:r w:rsidRPr="00D52685">
        <w:rPr>
          <w:noProof/>
        </w:rPr>
        <w:t>ENERGY STAR Minimum Luminous Efficacy = 40Lm/W for lamp</w:t>
      </w:r>
      <w:r>
        <w:rPr>
          <w:noProof/>
        </w:rPr>
        <w:t>s with rated wattages less than 20W</w:t>
      </w:r>
      <w:r w:rsidRPr="00D52685">
        <w:rPr>
          <w:noProof/>
        </w:rPr>
        <w:t xml:space="preserve">and </w:t>
      </w:r>
      <w:r>
        <w:rPr>
          <w:noProof/>
        </w:rPr>
        <w:t>50</w:t>
      </w:r>
      <w:r w:rsidRPr="00D52685">
        <w:rPr>
          <w:noProof/>
        </w:rPr>
        <w:t xml:space="preserve"> Lm/W for lamp</w:t>
      </w:r>
      <w:r>
        <w:rPr>
          <w:noProof/>
        </w:rPr>
        <w:t>s with rated wattages &gt;= 20 watts</w:t>
      </w:r>
      <w:r>
        <w:rPr>
          <w:rStyle w:val="FootnoteReference"/>
          <w:noProof/>
        </w:rPr>
        <w:footnoteReference w:id="11"/>
      </w:r>
      <w:r w:rsidRPr="00D52685">
        <w:rPr>
          <w:noProof/>
        </w:rPr>
        <w:t>.</w:t>
      </w:r>
    </w:p>
    <w:p w:rsidR="00D60E95" w:rsidRDefault="00D60E95" w:rsidP="00D60E95">
      <w:pPr>
        <w:ind w:left="1440"/>
        <w:rPr>
          <w:noProof/>
        </w:rPr>
      </w:pPr>
      <w:r>
        <w:rPr>
          <w:noProof/>
        </w:rPr>
        <w:t>For Directional R, BR, and ER lamp types</w:t>
      </w:r>
      <w:r>
        <w:rPr>
          <w:rStyle w:val="FootnoteReference"/>
          <w:noProof/>
        </w:rPr>
        <w:footnoteReference w:id="12"/>
      </w:r>
      <w:r>
        <w:rPr>
          <w:noProof/>
        </w:rPr>
        <w:t>:</w:t>
      </w:r>
    </w:p>
    <w:tbl>
      <w:tblPr>
        <w:tblW w:w="4538" w:type="dxa"/>
        <w:jc w:val="center"/>
        <w:tblInd w:w="93" w:type="dxa"/>
        <w:tblLook w:val="04A0" w:firstRow="1" w:lastRow="0" w:firstColumn="1" w:lastColumn="0" w:noHBand="0" w:noVBand="1"/>
      </w:tblPr>
      <w:tblGrid>
        <w:gridCol w:w="1653"/>
        <w:gridCol w:w="958"/>
        <w:gridCol w:w="958"/>
        <w:gridCol w:w="969"/>
      </w:tblGrid>
      <w:tr w:rsidR="00D60E95" w:rsidRPr="00EE3637" w:rsidTr="00C81356">
        <w:trPr>
          <w:trHeight w:val="1080"/>
          <w:tblHeader/>
          <w:jc w:val="center"/>
        </w:trPr>
        <w:tc>
          <w:tcPr>
            <w:tcW w:w="1653"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D60E95" w:rsidRPr="00EE3637" w:rsidRDefault="00D60E95" w:rsidP="00C81356">
            <w:pPr>
              <w:widowControl/>
              <w:spacing w:after="0"/>
              <w:jc w:val="center"/>
              <w:rPr>
                <w:rFonts w:ascii="Calibri" w:hAnsi="Calibri"/>
                <w:b/>
                <w:bCs/>
                <w:color w:val="FFFFFF"/>
                <w:szCs w:val="20"/>
              </w:rPr>
            </w:pPr>
            <w:r w:rsidRPr="00EE3637">
              <w:rPr>
                <w:rFonts w:ascii="Calibri" w:hAnsi="Calibri"/>
                <w:b/>
                <w:bCs/>
                <w:color w:val="FFFFFF"/>
                <w:szCs w:val="20"/>
              </w:rPr>
              <w:t>Bulb Type</w:t>
            </w:r>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D60E95" w:rsidRPr="00EE3637" w:rsidRDefault="00D60E95" w:rsidP="00C81356">
            <w:pPr>
              <w:widowControl/>
              <w:spacing w:after="0"/>
              <w:jc w:val="center"/>
              <w:rPr>
                <w:rFonts w:ascii="Calibri" w:hAnsi="Calibri"/>
                <w:b/>
                <w:bCs/>
                <w:color w:val="FFFFFF"/>
                <w:szCs w:val="20"/>
              </w:rPr>
            </w:pPr>
            <w:r w:rsidRPr="00EE3637">
              <w:rPr>
                <w:rFonts w:ascii="Calibri" w:hAnsi="Calibri"/>
                <w:b/>
                <w:bCs/>
                <w:color w:val="FFFFFF"/>
                <w:szCs w:val="20"/>
              </w:rPr>
              <w:t>Lower Lumen Range</w:t>
            </w:r>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D60E95" w:rsidRPr="00EE3637" w:rsidRDefault="00D60E95" w:rsidP="00C81356">
            <w:pPr>
              <w:widowControl/>
              <w:spacing w:after="0"/>
              <w:jc w:val="center"/>
              <w:rPr>
                <w:rFonts w:ascii="Calibri" w:hAnsi="Calibri"/>
                <w:b/>
                <w:bCs/>
                <w:color w:val="FFFFFF"/>
                <w:szCs w:val="20"/>
              </w:rPr>
            </w:pPr>
            <w:r w:rsidRPr="00EE3637">
              <w:rPr>
                <w:rFonts w:ascii="Calibri" w:hAnsi="Calibri"/>
                <w:b/>
                <w:bCs/>
                <w:color w:val="FFFFFF"/>
                <w:szCs w:val="20"/>
              </w:rPr>
              <w:t>Upper Lumen Range</w:t>
            </w:r>
          </w:p>
        </w:tc>
        <w:tc>
          <w:tcPr>
            <w:tcW w:w="969" w:type="dxa"/>
            <w:tcBorders>
              <w:top w:val="single" w:sz="4" w:space="0" w:color="auto"/>
              <w:left w:val="nil"/>
              <w:bottom w:val="single" w:sz="4" w:space="0" w:color="auto"/>
              <w:right w:val="single" w:sz="4" w:space="0" w:color="auto"/>
            </w:tcBorders>
            <w:shd w:val="clear" w:color="000000" w:fill="808080"/>
            <w:vAlign w:val="center"/>
            <w:hideMark/>
          </w:tcPr>
          <w:p w:rsidR="00D60E95" w:rsidRPr="00EE3637" w:rsidRDefault="00D60E95" w:rsidP="00C81356">
            <w:pPr>
              <w:widowControl/>
              <w:spacing w:after="0"/>
              <w:jc w:val="center"/>
              <w:rPr>
                <w:rFonts w:ascii="Calibri" w:hAnsi="Calibri"/>
                <w:b/>
                <w:bCs/>
                <w:color w:val="FFFFFF"/>
                <w:szCs w:val="20"/>
              </w:rPr>
            </w:pPr>
            <w:r w:rsidRPr="00EE3637">
              <w:rPr>
                <w:rFonts w:ascii="Calibri" w:hAnsi="Calibri"/>
                <w:b/>
                <w:bCs/>
                <w:color w:val="FFFFFF"/>
                <w:szCs w:val="20"/>
              </w:rPr>
              <w:t>Watts</w:t>
            </w:r>
            <w:r w:rsidRPr="00EE3637">
              <w:rPr>
                <w:rFonts w:ascii="Calibri" w:hAnsi="Calibri"/>
                <w:b/>
                <w:bCs/>
                <w:color w:val="FFFFFF"/>
                <w:szCs w:val="20"/>
                <w:vertAlign w:val="subscript"/>
              </w:rPr>
              <w:t>Base</w:t>
            </w:r>
          </w:p>
        </w:tc>
      </w:tr>
      <w:tr w:rsidR="00D60E95" w:rsidRPr="00EE3637" w:rsidTr="00C81356">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b/>
                <w:bCs/>
                <w:color w:val="000000"/>
                <w:szCs w:val="20"/>
              </w:rPr>
            </w:pPr>
            <w:r w:rsidRPr="00EE3637">
              <w:rPr>
                <w:rFonts w:ascii="Calibri" w:hAnsi="Calibri"/>
                <w:b/>
                <w:bCs/>
                <w:color w:val="000000"/>
                <w:szCs w:val="20"/>
              </w:rPr>
              <w:t>R, ER, BR with medium screw bases w/ diameter &gt;2.25" (*see exceptions below)</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420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472</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473</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524</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525</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714</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50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715</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937</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65</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938</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1259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75</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1260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1399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90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1400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1739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100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1740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2174</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120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2175</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2624</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150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2625</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2999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175</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3000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4500</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200</w:t>
            </w:r>
          </w:p>
        </w:tc>
      </w:tr>
      <w:tr w:rsidR="00D60E95" w:rsidRPr="00EE3637" w:rsidTr="00C81356">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b/>
                <w:bCs/>
                <w:color w:val="000000"/>
                <w:szCs w:val="20"/>
              </w:rPr>
            </w:pPr>
            <w:r w:rsidRPr="00EE3637">
              <w:rPr>
                <w:rFonts w:ascii="Calibri" w:hAnsi="Calibri"/>
                <w:b/>
                <w:bCs/>
                <w:color w:val="000000"/>
                <w:szCs w:val="20"/>
              </w:rPr>
              <w:t xml:space="preserve">*R, BR, and ER with medium screw bases w/ </w:t>
            </w:r>
            <w:r w:rsidRPr="00EE3637">
              <w:rPr>
                <w:rFonts w:ascii="Calibri" w:hAnsi="Calibri"/>
                <w:b/>
                <w:bCs/>
                <w:color w:val="000000"/>
                <w:szCs w:val="20"/>
              </w:rPr>
              <w:lastRenderedPageBreak/>
              <w:t>diameter &lt;=2.25"</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lastRenderedPageBreak/>
              <w:t>400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499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500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649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50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650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1199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65</w:t>
            </w:r>
          </w:p>
        </w:tc>
      </w:tr>
      <w:tr w:rsidR="00D60E95" w:rsidRPr="00EE3637" w:rsidTr="00C81356">
        <w:trPr>
          <w:trHeight w:val="39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b/>
                <w:bCs/>
                <w:color w:val="000000"/>
                <w:szCs w:val="20"/>
              </w:rPr>
            </w:pPr>
            <w:r w:rsidRPr="00EE3637">
              <w:rPr>
                <w:rFonts w:ascii="Calibri" w:hAnsi="Calibri"/>
                <w:b/>
                <w:bCs/>
                <w:color w:val="000000"/>
                <w:szCs w:val="20"/>
              </w:rPr>
              <w:lastRenderedPageBreak/>
              <w:t>*ER30, BR30, BR40, or ER40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499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500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649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50</w:t>
            </w:r>
          </w:p>
        </w:tc>
      </w:tr>
      <w:tr w:rsidR="00D60E95" w:rsidRPr="00EE3637" w:rsidTr="00C81356">
        <w:trPr>
          <w:trHeight w:val="510"/>
          <w:jc w:val="center"/>
        </w:trPr>
        <w:tc>
          <w:tcPr>
            <w:tcW w:w="1653" w:type="dxa"/>
            <w:tcBorders>
              <w:top w:val="nil"/>
              <w:left w:val="single" w:sz="4" w:space="0" w:color="auto"/>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b/>
                <w:bCs/>
                <w:color w:val="000000"/>
                <w:szCs w:val="20"/>
              </w:rPr>
            </w:pPr>
            <w:r w:rsidRPr="00EE3637">
              <w:rPr>
                <w:rFonts w:ascii="Calibri" w:hAnsi="Calibri"/>
                <w:b/>
                <w:bCs/>
                <w:color w:val="000000"/>
                <w:szCs w:val="20"/>
              </w:rPr>
              <w:t>*BR30, BR40, or ER40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650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1419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65</w:t>
            </w:r>
          </w:p>
        </w:tc>
      </w:tr>
      <w:tr w:rsidR="00D60E95" w:rsidRPr="00EE3637" w:rsidTr="00C81356">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b/>
                <w:bCs/>
                <w:color w:val="000000"/>
                <w:szCs w:val="20"/>
              </w:rPr>
            </w:pPr>
            <w:r w:rsidRPr="00EE3637">
              <w:rPr>
                <w:rFonts w:ascii="Calibri" w:hAnsi="Calibri"/>
                <w:b/>
                <w:bCs/>
                <w:color w:val="000000"/>
                <w:szCs w:val="20"/>
              </w:rPr>
              <w:t>*R20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60E95"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719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60E95" w:rsidRPr="00EE3637" w:rsidTr="00C81356">
        <w:trPr>
          <w:trHeight w:val="555"/>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b/>
                <w:bCs/>
                <w:color w:val="000000"/>
                <w:szCs w:val="20"/>
              </w:rPr>
            </w:pPr>
            <w:r w:rsidRPr="00EE3637">
              <w:rPr>
                <w:rFonts w:ascii="Calibri" w:hAnsi="Calibri"/>
                <w:b/>
                <w:bCs/>
                <w:color w:val="000000"/>
                <w:szCs w:val="20"/>
              </w:rPr>
              <w:t>*All reflector lamps below lumen ranges specified above</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200</w:t>
            </w: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299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20</w:t>
            </w:r>
          </w:p>
        </w:tc>
      </w:tr>
      <w:tr w:rsidR="00D60E95" w:rsidRPr="00EE3637" w:rsidTr="00C81356">
        <w:trPr>
          <w:trHeight w:val="555"/>
          <w:jc w:val="center"/>
        </w:trPr>
        <w:tc>
          <w:tcPr>
            <w:tcW w:w="1653" w:type="dxa"/>
            <w:vMerge/>
            <w:tcBorders>
              <w:top w:val="nil"/>
              <w:left w:val="single" w:sz="4" w:space="0" w:color="auto"/>
              <w:bottom w:val="single" w:sz="4" w:space="0" w:color="auto"/>
              <w:right w:val="single" w:sz="4" w:space="0" w:color="auto"/>
            </w:tcBorders>
            <w:vAlign w:val="center"/>
            <w:hideMark/>
          </w:tcPr>
          <w:p w:rsidR="00D60E95" w:rsidRPr="00EE3637" w:rsidRDefault="00D60E95"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300</w:t>
            </w:r>
          </w:p>
        </w:tc>
        <w:tc>
          <w:tcPr>
            <w:tcW w:w="958" w:type="dxa"/>
            <w:tcBorders>
              <w:top w:val="nil"/>
              <w:left w:val="nil"/>
              <w:bottom w:val="single" w:sz="4" w:space="0" w:color="auto"/>
              <w:right w:val="single" w:sz="4" w:space="0" w:color="auto"/>
            </w:tcBorders>
            <w:shd w:val="clear" w:color="auto" w:fill="auto"/>
            <w:vAlign w:val="center"/>
            <w:hideMark/>
          </w:tcPr>
          <w:p w:rsidR="00D60E95" w:rsidRPr="00980897" w:rsidRDefault="00D60E95" w:rsidP="00C81356">
            <w:pPr>
              <w:widowControl/>
              <w:spacing w:after="0"/>
              <w:jc w:val="center"/>
              <w:rPr>
                <w:rFonts w:ascii="Calibri" w:hAnsi="Calibri"/>
                <w:color w:val="000000"/>
                <w:szCs w:val="20"/>
              </w:rPr>
            </w:pPr>
            <w:r w:rsidRPr="00980897">
              <w:rPr>
                <w:rFonts w:ascii="Calibri" w:hAnsi="Calibri"/>
                <w:color w:val="000000"/>
                <w:szCs w:val="20"/>
              </w:rPr>
              <w:footnoteReference w:customMarkFollows="1" w:id="13"/>
              <w:t>399</w:t>
            </w:r>
          </w:p>
        </w:tc>
        <w:tc>
          <w:tcPr>
            <w:tcW w:w="969" w:type="dxa"/>
            <w:tcBorders>
              <w:top w:val="nil"/>
              <w:left w:val="nil"/>
              <w:bottom w:val="single" w:sz="4" w:space="0" w:color="auto"/>
              <w:right w:val="single" w:sz="4" w:space="0" w:color="auto"/>
            </w:tcBorders>
            <w:shd w:val="clear" w:color="auto" w:fill="auto"/>
            <w:vAlign w:val="center"/>
            <w:hideMark/>
          </w:tcPr>
          <w:p w:rsidR="00D60E95" w:rsidRPr="00EE3637" w:rsidRDefault="00D60E95" w:rsidP="00C81356">
            <w:pPr>
              <w:widowControl/>
              <w:spacing w:after="0"/>
              <w:jc w:val="center"/>
              <w:rPr>
                <w:rFonts w:ascii="Calibri" w:hAnsi="Calibri"/>
                <w:color w:val="000000"/>
                <w:szCs w:val="20"/>
              </w:rPr>
            </w:pPr>
            <w:r w:rsidRPr="00EE3637">
              <w:rPr>
                <w:rFonts w:ascii="Calibri" w:hAnsi="Calibri"/>
                <w:color w:val="000000"/>
                <w:szCs w:val="20"/>
              </w:rPr>
              <w:t>30</w:t>
            </w:r>
          </w:p>
        </w:tc>
      </w:tr>
    </w:tbl>
    <w:p w:rsidR="00D60E95" w:rsidRDefault="00D60E95" w:rsidP="00D60E95">
      <w:pPr>
        <w:ind w:left="2430"/>
        <w:rPr>
          <w:noProof/>
        </w:rPr>
      </w:pPr>
      <w:r>
        <w:rPr>
          <w:noProof/>
        </w:rPr>
        <w:t>Directional lamps are exempt from EISA regulations.</w:t>
      </w:r>
    </w:p>
    <w:p w:rsidR="00D60E95" w:rsidRDefault="00D60E95" w:rsidP="00D60E95">
      <w:pPr>
        <w:ind w:left="2160" w:hanging="1440"/>
        <w:rPr>
          <w:noProof/>
        </w:rPr>
      </w:pPr>
    </w:p>
    <w:p w:rsidR="00D60E95" w:rsidRDefault="00D60E95" w:rsidP="00D60E95">
      <w:pPr>
        <w:ind w:firstLine="720"/>
        <w:rPr>
          <w:noProof/>
        </w:rPr>
      </w:pPr>
      <w:r>
        <w:rPr>
          <w:noProof/>
        </w:rPr>
        <w:t>For PAR, MR, and MRX Lamps Types:</w:t>
      </w:r>
    </w:p>
    <w:p w:rsidR="00D60E95" w:rsidRDefault="00D60E95" w:rsidP="00D60E95">
      <w:pPr>
        <w:ind w:left="720"/>
        <w:rPr>
          <w:noProof/>
          <w:szCs w:val="20"/>
        </w:rPr>
      </w:pPr>
      <w:r>
        <w:rPr>
          <w:noProof/>
        </w:rPr>
        <w:t>For these highly focused directional lamp types, it is necessary to have Center Beam Candle Power (CBCP) and beam angle measurements to accurately estimate the equivalent baseline wattage.  The formula below is based on the Energy Star Center Beam Candle Power tool.</w:t>
      </w:r>
      <w:r>
        <w:rPr>
          <w:rStyle w:val="FootnoteReference"/>
          <w:noProof/>
        </w:rPr>
        <w:footnoteReference w:id="14"/>
      </w:r>
      <w:r>
        <w:rPr>
          <w:noProof/>
        </w:rPr>
        <w:t xml:space="preserve"> </w:t>
      </w:r>
      <w:r>
        <w:rPr>
          <w:noProof/>
          <w:szCs w:val="20"/>
        </w:rPr>
        <w:t xml:space="preserve">If CBCP and beam angle information are not available, </w:t>
      </w:r>
      <w:ins w:id="3" w:author="Samuel Dent" w:date="2015-10-08T09:16:00Z">
        <w:r>
          <w:rPr>
            <w:noProof/>
            <w:szCs w:val="20"/>
          </w:rPr>
          <w:t>or if the equation below returns a negative value (or undefined), use the manufacturer’s recommended baseline wattage equivalent.</w:t>
        </w:r>
        <w:r>
          <w:rPr>
            <w:rStyle w:val="FootnoteReference"/>
            <w:noProof/>
            <w:szCs w:val="20"/>
          </w:rPr>
          <w:footnoteReference w:id="15"/>
        </w:r>
      </w:ins>
      <w:del w:id="6" w:author="Samuel Dent" w:date="2015-10-08T09:16:00Z">
        <w:r w:rsidDel="00D60E95">
          <w:rPr>
            <w:noProof/>
            <w:szCs w:val="20"/>
          </w:rPr>
          <w:delText>refer to the R, BR, and ER lumen based method above.</w:delText>
        </w:r>
      </w:del>
    </w:p>
    <w:p w:rsidR="00D60E95" w:rsidRPr="00022158" w:rsidRDefault="00D60E95" w:rsidP="00D60E95">
      <w:pPr>
        <w:ind w:left="720"/>
        <w:rPr>
          <w:noProof/>
          <w:szCs w:val="20"/>
        </w:rPr>
      </w:pPr>
    </w:p>
    <w:p w:rsidR="00D60E95" w:rsidRPr="009C362B" w:rsidRDefault="00D60E95" w:rsidP="00D60E95">
      <w:pPr>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rsidR="00D60E95" w:rsidRPr="00980897" w:rsidRDefault="00D60E95" w:rsidP="00D60E95">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rsidR="00D60E95" w:rsidRDefault="00D60E95" w:rsidP="00D60E95">
      <w:pPr>
        <w:rPr>
          <w:noProof/>
          <w:szCs w:val="20"/>
        </w:rPr>
      </w:pPr>
      <w:r>
        <w:rPr>
          <w:noProof/>
          <w:szCs w:val="20"/>
        </w:rPr>
        <w:t>Where:</w:t>
      </w:r>
    </w:p>
    <w:p w:rsidR="00D60E95" w:rsidRDefault="00D60E95" w:rsidP="00D60E95">
      <w:pPr>
        <w:rPr>
          <w:noProof/>
          <w:szCs w:val="20"/>
        </w:rPr>
      </w:pPr>
      <w:r>
        <w:rPr>
          <w:noProof/>
          <w:szCs w:val="20"/>
        </w:rPr>
        <w:tab/>
        <w:t xml:space="preserve">D </w:t>
      </w:r>
      <w:r>
        <w:rPr>
          <w:noProof/>
          <w:szCs w:val="20"/>
        </w:rPr>
        <w:tab/>
      </w:r>
      <w:r>
        <w:rPr>
          <w:noProof/>
          <w:szCs w:val="20"/>
        </w:rPr>
        <w:tab/>
        <w:t>= Bulb diameter (e.g.  for PAR20 D = 20)</w:t>
      </w:r>
    </w:p>
    <w:p w:rsidR="00D60E95" w:rsidRDefault="00D60E95" w:rsidP="00D60E95">
      <w:pPr>
        <w:rPr>
          <w:noProof/>
          <w:szCs w:val="20"/>
        </w:rPr>
      </w:pPr>
      <w:r>
        <w:rPr>
          <w:noProof/>
          <w:szCs w:val="20"/>
        </w:rPr>
        <w:tab/>
        <w:t>BA</w:t>
      </w:r>
      <w:r>
        <w:rPr>
          <w:noProof/>
          <w:szCs w:val="20"/>
        </w:rPr>
        <w:tab/>
      </w:r>
      <w:r>
        <w:rPr>
          <w:noProof/>
          <w:szCs w:val="20"/>
        </w:rPr>
        <w:tab/>
        <w:t>= Beam angle</w:t>
      </w:r>
    </w:p>
    <w:p w:rsidR="00D60E95" w:rsidRDefault="00D60E95" w:rsidP="00D60E95">
      <w:pPr>
        <w:rPr>
          <w:noProof/>
          <w:szCs w:val="20"/>
        </w:rPr>
      </w:pPr>
      <w:r>
        <w:rPr>
          <w:noProof/>
          <w:szCs w:val="20"/>
        </w:rPr>
        <w:tab/>
        <w:t>CBCP</w:t>
      </w:r>
      <w:r>
        <w:rPr>
          <w:noProof/>
          <w:szCs w:val="20"/>
        </w:rPr>
        <w:tab/>
      </w:r>
      <w:r>
        <w:rPr>
          <w:noProof/>
          <w:szCs w:val="20"/>
        </w:rPr>
        <w:tab/>
        <w:t>= Center beam candle power</w:t>
      </w:r>
    </w:p>
    <w:p w:rsidR="00D60E95" w:rsidRDefault="00D60E95" w:rsidP="00D60E95">
      <w:pPr>
        <w:rPr>
          <w:noProof/>
          <w:szCs w:val="20"/>
        </w:rPr>
      </w:pPr>
      <w:r>
        <w:rPr>
          <w:noProof/>
          <w:szCs w:val="20"/>
        </w:rPr>
        <w:t>The result of the equation above should be rounded DOWN to the nearest wattage established by Energy Star:</w:t>
      </w:r>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D60E95" w:rsidRPr="00022158" w:rsidTr="00C81356">
        <w:trPr>
          <w:trHeight w:val="510"/>
          <w:tblHeader/>
          <w:jc w:val="center"/>
        </w:trPr>
        <w:tc>
          <w:tcPr>
            <w:tcW w:w="2540" w:type="dxa"/>
            <w:shd w:val="clear" w:color="000000" w:fill="808080"/>
            <w:vAlign w:val="center"/>
            <w:hideMark/>
          </w:tcPr>
          <w:p w:rsidR="00D60E95" w:rsidRPr="00022158" w:rsidRDefault="00D60E95" w:rsidP="00C81356">
            <w:pPr>
              <w:widowControl/>
              <w:spacing w:after="0"/>
              <w:jc w:val="center"/>
              <w:rPr>
                <w:rFonts w:ascii="Calibri" w:hAnsi="Calibri" w:cs="Calibri"/>
                <w:b/>
                <w:bCs/>
                <w:color w:val="FFFFFF"/>
                <w:szCs w:val="20"/>
              </w:rPr>
            </w:pPr>
            <w:r w:rsidRPr="00022158">
              <w:rPr>
                <w:rFonts w:ascii="Calibri" w:hAnsi="Calibri" w:cs="Calibri"/>
                <w:b/>
                <w:bCs/>
                <w:color w:val="FFFFFF"/>
                <w:szCs w:val="20"/>
              </w:rPr>
              <w:t>Diameter</w:t>
            </w:r>
          </w:p>
        </w:tc>
        <w:tc>
          <w:tcPr>
            <w:tcW w:w="4490" w:type="dxa"/>
            <w:shd w:val="clear" w:color="000000" w:fill="808080"/>
            <w:vAlign w:val="center"/>
            <w:hideMark/>
          </w:tcPr>
          <w:p w:rsidR="00D60E95" w:rsidRPr="00022158" w:rsidRDefault="00D60E95" w:rsidP="00C81356">
            <w:pPr>
              <w:widowControl/>
              <w:spacing w:after="0"/>
              <w:jc w:val="center"/>
              <w:rPr>
                <w:rFonts w:ascii="Calibri" w:hAnsi="Calibri" w:cs="Calibri"/>
                <w:b/>
                <w:bCs/>
                <w:color w:val="FFFFFF"/>
                <w:szCs w:val="20"/>
              </w:rPr>
            </w:pPr>
            <w:r w:rsidRPr="00022158">
              <w:rPr>
                <w:rFonts w:ascii="Calibri" w:hAnsi="Calibri" w:cs="Calibri"/>
                <w:b/>
                <w:bCs/>
                <w:color w:val="FFFFFF"/>
                <w:szCs w:val="20"/>
              </w:rPr>
              <w:t>Permitted Wattages</w:t>
            </w:r>
          </w:p>
        </w:tc>
      </w:tr>
      <w:tr w:rsidR="00D60E95" w:rsidRPr="00022158" w:rsidTr="00C81356">
        <w:trPr>
          <w:trHeight w:val="332"/>
          <w:jc w:val="center"/>
        </w:trPr>
        <w:tc>
          <w:tcPr>
            <w:tcW w:w="2540" w:type="dxa"/>
            <w:shd w:val="clear" w:color="auto" w:fill="auto"/>
            <w:vAlign w:val="center"/>
            <w:hideMark/>
          </w:tcPr>
          <w:p w:rsidR="00D60E95" w:rsidRPr="00022158" w:rsidRDefault="00D60E95" w:rsidP="00C81356">
            <w:pPr>
              <w:widowControl/>
              <w:spacing w:after="0"/>
              <w:jc w:val="center"/>
              <w:rPr>
                <w:rFonts w:ascii="Calibri" w:hAnsi="Calibri" w:cs="Calibri"/>
                <w:color w:val="000000"/>
                <w:szCs w:val="20"/>
              </w:rPr>
            </w:pPr>
            <w:r w:rsidRPr="00022158">
              <w:rPr>
                <w:rFonts w:ascii="Calibri" w:hAnsi="Calibri" w:cs="Calibri"/>
                <w:color w:val="000000"/>
                <w:szCs w:val="20"/>
              </w:rPr>
              <w:t>16</w:t>
            </w:r>
          </w:p>
        </w:tc>
        <w:tc>
          <w:tcPr>
            <w:tcW w:w="4490" w:type="dxa"/>
            <w:shd w:val="clear" w:color="auto" w:fill="auto"/>
            <w:vAlign w:val="center"/>
            <w:hideMark/>
          </w:tcPr>
          <w:p w:rsidR="00D60E95" w:rsidRPr="00022158" w:rsidRDefault="00D60E95" w:rsidP="00C81356">
            <w:pPr>
              <w:widowControl/>
              <w:spacing w:after="0"/>
              <w:jc w:val="left"/>
              <w:rPr>
                <w:rFonts w:ascii="Calibri" w:hAnsi="Calibri" w:cs="Calibri"/>
                <w:color w:val="000000"/>
                <w:szCs w:val="20"/>
              </w:rPr>
            </w:pPr>
            <w:r w:rsidRPr="00022158">
              <w:rPr>
                <w:rFonts w:ascii="Calibri" w:hAnsi="Calibri" w:cs="Calibri"/>
                <w:color w:val="000000"/>
                <w:szCs w:val="20"/>
              </w:rPr>
              <w:t>20, 35, 40, 45, 50, 60, 75</w:t>
            </w:r>
          </w:p>
        </w:tc>
      </w:tr>
      <w:tr w:rsidR="00D60E95" w:rsidRPr="00022158" w:rsidTr="00C81356">
        <w:trPr>
          <w:trHeight w:val="315"/>
          <w:jc w:val="center"/>
        </w:trPr>
        <w:tc>
          <w:tcPr>
            <w:tcW w:w="2540" w:type="dxa"/>
            <w:shd w:val="clear" w:color="auto" w:fill="auto"/>
            <w:vAlign w:val="center"/>
            <w:hideMark/>
          </w:tcPr>
          <w:p w:rsidR="00D60E95" w:rsidRPr="00022158" w:rsidRDefault="00D60E95" w:rsidP="00C81356">
            <w:pPr>
              <w:widowControl/>
              <w:spacing w:after="0"/>
              <w:jc w:val="center"/>
              <w:rPr>
                <w:rFonts w:ascii="Calibri" w:hAnsi="Calibri" w:cs="Calibri"/>
                <w:color w:val="000000"/>
                <w:szCs w:val="20"/>
              </w:rPr>
            </w:pPr>
            <w:r w:rsidRPr="00022158">
              <w:rPr>
                <w:rFonts w:ascii="Calibri" w:hAnsi="Calibri" w:cs="Calibri"/>
                <w:color w:val="000000"/>
                <w:szCs w:val="20"/>
              </w:rPr>
              <w:t>20</w:t>
            </w:r>
          </w:p>
        </w:tc>
        <w:tc>
          <w:tcPr>
            <w:tcW w:w="4490" w:type="dxa"/>
            <w:shd w:val="clear" w:color="auto" w:fill="auto"/>
            <w:vAlign w:val="center"/>
            <w:hideMark/>
          </w:tcPr>
          <w:p w:rsidR="00D60E95" w:rsidRPr="00022158" w:rsidRDefault="00D60E95" w:rsidP="00C81356">
            <w:pPr>
              <w:widowControl/>
              <w:spacing w:after="0"/>
              <w:jc w:val="left"/>
              <w:rPr>
                <w:rFonts w:ascii="Calibri" w:hAnsi="Calibri" w:cs="Calibri"/>
                <w:color w:val="000000"/>
                <w:szCs w:val="20"/>
              </w:rPr>
            </w:pPr>
            <w:r w:rsidRPr="00022158">
              <w:rPr>
                <w:rFonts w:ascii="Calibri" w:hAnsi="Calibri" w:cs="Calibri"/>
                <w:color w:val="000000"/>
                <w:szCs w:val="20"/>
              </w:rPr>
              <w:t>50</w:t>
            </w:r>
          </w:p>
        </w:tc>
      </w:tr>
      <w:tr w:rsidR="00D60E95" w:rsidRPr="00022158" w:rsidTr="00C81356">
        <w:trPr>
          <w:trHeight w:val="304"/>
          <w:jc w:val="center"/>
        </w:trPr>
        <w:tc>
          <w:tcPr>
            <w:tcW w:w="2540" w:type="dxa"/>
            <w:shd w:val="clear" w:color="auto" w:fill="auto"/>
            <w:vAlign w:val="center"/>
            <w:hideMark/>
          </w:tcPr>
          <w:p w:rsidR="00D60E95" w:rsidRPr="00022158" w:rsidRDefault="00D60E95" w:rsidP="00C81356">
            <w:pPr>
              <w:widowControl/>
              <w:spacing w:after="0"/>
              <w:jc w:val="center"/>
              <w:rPr>
                <w:rFonts w:ascii="Calibri" w:hAnsi="Calibri" w:cs="Calibri"/>
                <w:color w:val="000000"/>
                <w:szCs w:val="20"/>
              </w:rPr>
            </w:pPr>
            <w:r w:rsidRPr="00022158">
              <w:rPr>
                <w:rFonts w:ascii="Calibri" w:hAnsi="Calibri" w:cs="Calibri"/>
                <w:color w:val="000000"/>
                <w:szCs w:val="20"/>
              </w:rPr>
              <w:lastRenderedPageBreak/>
              <w:t>30S</w:t>
            </w:r>
          </w:p>
        </w:tc>
        <w:tc>
          <w:tcPr>
            <w:tcW w:w="4490" w:type="dxa"/>
            <w:shd w:val="clear" w:color="auto" w:fill="auto"/>
            <w:vAlign w:val="center"/>
            <w:hideMark/>
          </w:tcPr>
          <w:p w:rsidR="00D60E95" w:rsidRPr="00022158" w:rsidRDefault="00D60E95" w:rsidP="00C81356">
            <w:pPr>
              <w:widowControl/>
              <w:spacing w:after="0"/>
              <w:jc w:val="left"/>
              <w:rPr>
                <w:rFonts w:ascii="Calibri" w:hAnsi="Calibri" w:cs="Calibri"/>
                <w:color w:val="000000"/>
                <w:szCs w:val="20"/>
              </w:rPr>
            </w:pPr>
            <w:r w:rsidRPr="00022158">
              <w:rPr>
                <w:rFonts w:ascii="Calibri" w:hAnsi="Calibri" w:cs="Calibri"/>
                <w:color w:val="000000"/>
                <w:szCs w:val="20"/>
              </w:rPr>
              <w:t>40, 45, 50, 60, 75</w:t>
            </w:r>
          </w:p>
        </w:tc>
      </w:tr>
      <w:tr w:rsidR="00D60E95" w:rsidRPr="00022158" w:rsidTr="00C81356">
        <w:trPr>
          <w:trHeight w:val="315"/>
          <w:jc w:val="center"/>
        </w:trPr>
        <w:tc>
          <w:tcPr>
            <w:tcW w:w="2540" w:type="dxa"/>
            <w:shd w:val="clear" w:color="auto" w:fill="auto"/>
            <w:vAlign w:val="center"/>
            <w:hideMark/>
          </w:tcPr>
          <w:p w:rsidR="00D60E95" w:rsidRPr="00022158" w:rsidRDefault="00D60E95" w:rsidP="00C81356">
            <w:pPr>
              <w:widowControl/>
              <w:spacing w:after="0"/>
              <w:jc w:val="center"/>
              <w:rPr>
                <w:rFonts w:ascii="Calibri" w:hAnsi="Calibri" w:cs="Calibri"/>
                <w:color w:val="000000"/>
                <w:szCs w:val="20"/>
              </w:rPr>
            </w:pPr>
            <w:r w:rsidRPr="00022158">
              <w:rPr>
                <w:rFonts w:ascii="Calibri" w:hAnsi="Calibri" w:cs="Calibri"/>
                <w:color w:val="000000"/>
                <w:szCs w:val="20"/>
              </w:rPr>
              <w:t>30L</w:t>
            </w:r>
          </w:p>
        </w:tc>
        <w:tc>
          <w:tcPr>
            <w:tcW w:w="4490" w:type="dxa"/>
            <w:shd w:val="clear" w:color="auto" w:fill="auto"/>
            <w:vAlign w:val="center"/>
            <w:hideMark/>
          </w:tcPr>
          <w:p w:rsidR="00D60E95" w:rsidRPr="00022158" w:rsidRDefault="00D60E95" w:rsidP="00C81356">
            <w:pPr>
              <w:widowControl/>
              <w:spacing w:after="0"/>
              <w:jc w:val="left"/>
              <w:rPr>
                <w:rFonts w:ascii="Calibri" w:hAnsi="Calibri" w:cs="Calibri"/>
                <w:color w:val="000000"/>
                <w:szCs w:val="20"/>
              </w:rPr>
            </w:pPr>
            <w:r w:rsidRPr="00022158">
              <w:rPr>
                <w:rFonts w:ascii="Calibri" w:hAnsi="Calibri" w:cs="Calibri"/>
                <w:color w:val="000000"/>
                <w:szCs w:val="20"/>
              </w:rPr>
              <w:t>50, 75</w:t>
            </w:r>
          </w:p>
        </w:tc>
      </w:tr>
      <w:tr w:rsidR="00D60E95" w:rsidRPr="00022158" w:rsidTr="00C81356">
        <w:trPr>
          <w:trHeight w:val="340"/>
          <w:jc w:val="center"/>
        </w:trPr>
        <w:tc>
          <w:tcPr>
            <w:tcW w:w="2540" w:type="dxa"/>
            <w:shd w:val="clear" w:color="auto" w:fill="auto"/>
            <w:vAlign w:val="center"/>
            <w:hideMark/>
          </w:tcPr>
          <w:p w:rsidR="00D60E95" w:rsidRPr="00022158" w:rsidRDefault="00D60E95" w:rsidP="00C81356">
            <w:pPr>
              <w:widowControl/>
              <w:spacing w:after="0"/>
              <w:jc w:val="center"/>
              <w:rPr>
                <w:rFonts w:ascii="Calibri" w:hAnsi="Calibri" w:cs="Calibri"/>
                <w:color w:val="000000"/>
                <w:szCs w:val="20"/>
              </w:rPr>
            </w:pPr>
            <w:r w:rsidRPr="00022158">
              <w:rPr>
                <w:rFonts w:ascii="Calibri" w:hAnsi="Calibri" w:cs="Calibri"/>
                <w:color w:val="000000"/>
                <w:szCs w:val="20"/>
              </w:rPr>
              <w:t>38</w:t>
            </w:r>
          </w:p>
        </w:tc>
        <w:tc>
          <w:tcPr>
            <w:tcW w:w="4490" w:type="dxa"/>
            <w:shd w:val="clear" w:color="auto" w:fill="auto"/>
            <w:vAlign w:val="center"/>
            <w:hideMark/>
          </w:tcPr>
          <w:p w:rsidR="00D60E95" w:rsidRPr="00022158" w:rsidRDefault="00D60E95" w:rsidP="00C81356">
            <w:pPr>
              <w:widowControl/>
              <w:spacing w:after="0"/>
              <w:jc w:val="left"/>
              <w:rPr>
                <w:rFonts w:ascii="Calibri" w:hAnsi="Calibri" w:cs="Calibri"/>
                <w:color w:val="000000"/>
                <w:szCs w:val="20"/>
              </w:rPr>
            </w:pPr>
            <w:r w:rsidRPr="00022158">
              <w:rPr>
                <w:rFonts w:ascii="Calibri" w:hAnsi="Calibri" w:cs="Calibri"/>
                <w:color w:val="000000"/>
                <w:szCs w:val="20"/>
              </w:rPr>
              <w:t>40, 45, 50, 55, 60, 65, 75, 85, 90, 100, 120, 150, 250</w:t>
            </w:r>
          </w:p>
        </w:tc>
      </w:tr>
    </w:tbl>
    <w:p w:rsidR="00D60E95" w:rsidRDefault="00D60E95" w:rsidP="00D60E95">
      <w:pPr>
        <w:ind w:left="1440"/>
        <w:rPr>
          <w:rFonts w:cstheme="minorHAnsi"/>
          <w:noProof/>
        </w:rPr>
      </w:pPr>
    </w:p>
    <w:p w:rsidR="00D60E95" w:rsidRDefault="00D60E95" w:rsidP="00D60E95">
      <w:pPr>
        <w:ind w:left="1440"/>
        <w:rPr>
          <w:rFonts w:cstheme="minorHAnsi"/>
          <w:noProof/>
        </w:rPr>
      </w:pPr>
      <w:r>
        <w:rPr>
          <w:rFonts w:cstheme="minorHAnsi"/>
          <w:noProof/>
        </w:rPr>
        <w:t>EISA non-exempt bulb types:</w:t>
      </w:r>
    </w:p>
    <w:tbl>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3534"/>
        <w:gridCol w:w="848"/>
        <w:gridCol w:w="848"/>
        <w:gridCol w:w="1419"/>
      </w:tblGrid>
      <w:tr w:rsidR="00D60E95" w:rsidTr="00C81356">
        <w:trPr>
          <w:trHeight w:val="1248"/>
          <w:tblHeader/>
          <w:jc w:val="center"/>
        </w:trPr>
        <w:tc>
          <w:tcPr>
            <w:tcW w:w="2656" w:type="pct"/>
            <w:shd w:val="solid" w:color="808080" w:fill="auto"/>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Bulb Type</w:t>
            </w:r>
          </w:p>
        </w:tc>
        <w:tc>
          <w:tcPr>
            <w:tcW w:w="638" w:type="pct"/>
            <w:shd w:val="solid" w:color="808080" w:fill="auto"/>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Lower Lumen Range</w:t>
            </w:r>
          </w:p>
        </w:tc>
        <w:tc>
          <w:tcPr>
            <w:tcW w:w="638" w:type="pct"/>
            <w:shd w:val="solid" w:color="808080" w:fill="auto"/>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Upper Lumen Range</w:t>
            </w:r>
          </w:p>
        </w:tc>
        <w:tc>
          <w:tcPr>
            <w:tcW w:w="1067" w:type="pct"/>
            <w:shd w:val="solid" w:color="808080" w:fill="auto"/>
            <w:hideMark/>
          </w:tcPr>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Incandescent Equivalent</w:t>
            </w:r>
          </w:p>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Post-EISA 2007</w:t>
            </w:r>
          </w:p>
          <w:p w:rsidR="00D60E95" w:rsidRDefault="00D60E95"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(WattsBase)</w:t>
            </w:r>
          </w:p>
        </w:tc>
      </w:tr>
      <w:tr w:rsidR="00D60E95" w:rsidTr="00C81356">
        <w:tblPrEx>
          <w:tblCellMar>
            <w:left w:w="108" w:type="dxa"/>
            <w:right w:w="108" w:type="dxa"/>
          </w:tblCellMar>
        </w:tblPrEx>
        <w:trPr>
          <w:trHeight w:val="406"/>
          <w:jc w:val="center"/>
        </w:trPr>
        <w:tc>
          <w:tcPr>
            <w:tcW w:w="2656" w:type="pct"/>
            <w:vMerge w:val="restart"/>
            <w:hideMark/>
          </w:tcPr>
          <w:p w:rsidR="00D60E95" w:rsidRDefault="00D60E95"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Dimmable Twist, Globe (less than 5" in diameter and &gt; 749 lumens), candle (shapes B, BA, CA &gt; 749 lumens), Candelabra Base Lamps (&gt;1049 lumens), Intermediate Base Lamps (&gt;749 lumens)</w:t>
            </w: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310</w:t>
            </w: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749</w:t>
            </w:r>
          </w:p>
        </w:tc>
        <w:tc>
          <w:tcPr>
            <w:tcW w:w="1067"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w:t>
            </w:r>
          </w:p>
        </w:tc>
      </w:tr>
      <w:tr w:rsidR="00D60E95" w:rsidTr="00C81356">
        <w:tblPrEx>
          <w:tblCellMar>
            <w:left w:w="108" w:type="dxa"/>
            <w:right w:w="108" w:type="dxa"/>
          </w:tblCellMar>
        </w:tblPrEx>
        <w:trPr>
          <w:trHeight w:val="406"/>
          <w:jc w:val="center"/>
        </w:trPr>
        <w:tc>
          <w:tcPr>
            <w:tcW w:w="0" w:type="auto"/>
            <w:vMerge/>
            <w:hideMark/>
          </w:tcPr>
          <w:p w:rsidR="00D60E95" w:rsidRDefault="00D60E95" w:rsidP="00C81356">
            <w:pPr>
              <w:widowControl/>
              <w:jc w:val="left"/>
              <w:rPr>
                <w:rFonts w:eastAsiaTheme="minorHAnsi" w:cs="Calibri"/>
                <w:b/>
                <w:bCs/>
                <w:color w:val="000000"/>
                <w:szCs w:val="20"/>
              </w:rPr>
            </w:pP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750</w:t>
            </w: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1049</w:t>
            </w:r>
          </w:p>
        </w:tc>
        <w:tc>
          <w:tcPr>
            <w:tcW w:w="1067"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43</w:t>
            </w:r>
          </w:p>
        </w:tc>
      </w:tr>
      <w:tr w:rsidR="00D60E95" w:rsidTr="00C81356">
        <w:tblPrEx>
          <w:tblCellMar>
            <w:left w:w="108" w:type="dxa"/>
            <w:right w:w="108" w:type="dxa"/>
          </w:tblCellMar>
        </w:tblPrEx>
        <w:trPr>
          <w:trHeight w:val="406"/>
          <w:jc w:val="center"/>
        </w:trPr>
        <w:tc>
          <w:tcPr>
            <w:tcW w:w="0" w:type="auto"/>
            <w:vMerge/>
            <w:hideMark/>
          </w:tcPr>
          <w:p w:rsidR="00D60E95" w:rsidRDefault="00D60E95" w:rsidP="00C81356">
            <w:pPr>
              <w:widowControl/>
              <w:jc w:val="left"/>
              <w:rPr>
                <w:rFonts w:eastAsiaTheme="minorHAnsi" w:cs="Calibri"/>
                <w:b/>
                <w:bCs/>
                <w:color w:val="000000"/>
                <w:szCs w:val="20"/>
              </w:rPr>
            </w:pP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1050</w:t>
            </w: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1489</w:t>
            </w:r>
          </w:p>
        </w:tc>
        <w:tc>
          <w:tcPr>
            <w:tcW w:w="1067"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53</w:t>
            </w:r>
          </w:p>
        </w:tc>
      </w:tr>
      <w:tr w:rsidR="00D60E95" w:rsidTr="00C81356">
        <w:tblPrEx>
          <w:tblCellMar>
            <w:left w:w="108" w:type="dxa"/>
            <w:right w:w="108" w:type="dxa"/>
          </w:tblCellMar>
        </w:tblPrEx>
        <w:trPr>
          <w:trHeight w:val="406"/>
          <w:jc w:val="center"/>
        </w:trPr>
        <w:tc>
          <w:tcPr>
            <w:tcW w:w="0" w:type="auto"/>
            <w:vMerge/>
            <w:hideMark/>
          </w:tcPr>
          <w:p w:rsidR="00D60E95" w:rsidRDefault="00D60E95" w:rsidP="00C81356">
            <w:pPr>
              <w:widowControl/>
              <w:jc w:val="left"/>
              <w:rPr>
                <w:rFonts w:eastAsiaTheme="minorHAnsi" w:cs="Calibri"/>
                <w:b/>
                <w:bCs/>
                <w:color w:val="000000"/>
                <w:szCs w:val="20"/>
              </w:rPr>
            </w:pP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1490</w:t>
            </w:r>
          </w:p>
        </w:tc>
        <w:tc>
          <w:tcPr>
            <w:tcW w:w="638"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2600</w:t>
            </w:r>
          </w:p>
        </w:tc>
        <w:tc>
          <w:tcPr>
            <w:tcW w:w="1067" w:type="pct"/>
            <w:hideMark/>
          </w:tcPr>
          <w:p w:rsidR="00D60E95" w:rsidRDefault="00D60E95"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72</w:t>
            </w:r>
          </w:p>
        </w:tc>
      </w:tr>
    </w:tbl>
    <w:p w:rsidR="00D60E95" w:rsidRDefault="00D60E95" w:rsidP="00D60E95">
      <w:pPr>
        <w:ind w:left="1440"/>
        <w:rPr>
          <w:rFonts w:cstheme="minorHAnsi"/>
          <w:noProof/>
        </w:rPr>
      </w:pPr>
    </w:p>
    <w:p w:rsidR="00D60E95" w:rsidRDefault="00D60E95" w:rsidP="00D60E95">
      <w:pPr>
        <w:ind w:left="2160" w:hanging="1440"/>
        <w:rPr>
          <w:rFonts w:cstheme="minorHAnsi"/>
          <w:noProof/>
        </w:rPr>
      </w:pPr>
      <w:r>
        <w:rPr>
          <w:rFonts w:cstheme="minorHAnsi"/>
          <w:noProof/>
        </w:rPr>
        <w:t>WattsEE</w:t>
      </w:r>
      <w:r>
        <w:rPr>
          <w:rFonts w:cstheme="minorHAnsi"/>
          <w:noProof/>
        </w:rPr>
        <w:tab/>
        <w:t>= Actual wattage of energy efficient specialty bulb purchased, use 15W if unknown</w:t>
      </w:r>
      <w:r>
        <w:rPr>
          <w:rStyle w:val="FootnoteReference"/>
          <w:rFonts w:eastAsiaTheme="majorEastAsia"/>
        </w:rPr>
        <w:footnoteReference w:id="16"/>
      </w:r>
    </w:p>
    <w:p w:rsidR="00D60E95" w:rsidRDefault="00D60E95" w:rsidP="00D60E95">
      <w:pPr>
        <w:widowControl/>
        <w:jc w:val="left"/>
        <w:rPr>
          <w:rFonts w:cstheme="minorHAnsi"/>
          <w:noProof/>
        </w:rPr>
      </w:pPr>
      <w:r>
        <w:rPr>
          <w:rFonts w:cstheme="minorHAnsi"/>
          <w:noProof/>
        </w:rPr>
        <w:tab/>
        <w:t>ISR</w:t>
      </w:r>
      <w:r>
        <w:rPr>
          <w:rFonts w:cstheme="minorHAnsi"/>
          <w:noProof/>
        </w:rPr>
        <w:tab/>
        <w:t xml:space="preserve"> </w:t>
      </w:r>
      <w:r>
        <w:rPr>
          <w:rFonts w:cstheme="minorHAnsi"/>
          <w:noProof/>
        </w:rPr>
        <w:tab/>
        <w:t>= In Service Rate, the percentage of units rebated that are actually in service.</w:t>
      </w:r>
    </w:p>
    <w:tbl>
      <w:tblPr>
        <w:tblStyle w:val="TableGrid"/>
        <w:tblW w:w="8435" w:type="dxa"/>
        <w:jc w:val="center"/>
        <w:tblInd w:w="2322" w:type="dxa"/>
        <w:tblLook w:val="04A0" w:firstRow="1" w:lastRow="0" w:firstColumn="1" w:lastColumn="0" w:noHBand="0" w:noVBand="1"/>
      </w:tblPr>
      <w:tblGrid>
        <w:gridCol w:w="1019"/>
        <w:gridCol w:w="1584"/>
        <w:gridCol w:w="1949"/>
        <w:gridCol w:w="1252"/>
        <w:gridCol w:w="1252"/>
        <w:gridCol w:w="1379"/>
      </w:tblGrid>
      <w:tr w:rsidR="00D60E95" w:rsidRPr="0077765A" w:rsidTr="00C81356">
        <w:trPr>
          <w:tblHeader/>
          <w:jc w:val="center"/>
        </w:trPr>
        <w:tc>
          <w:tcPr>
            <w:tcW w:w="2603"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br w:type="page"/>
              <w:t>Program</w:t>
            </w:r>
          </w:p>
        </w:tc>
        <w:tc>
          <w:tcPr>
            <w:tcW w:w="194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Weighted Average 1st year In Service Rate (ISR)</w:t>
            </w:r>
          </w:p>
        </w:tc>
        <w:tc>
          <w:tcPr>
            <w:tcW w:w="12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2nd year Installations</w:t>
            </w:r>
          </w:p>
        </w:tc>
        <w:tc>
          <w:tcPr>
            <w:tcW w:w="12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3rd year Installations</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Final Lifetime In Service Rate</w:t>
            </w:r>
          </w:p>
        </w:tc>
      </w:tr>
      <w:tr w:rsidR="00D60E95" w:rsidRPr="0077765A" w:rsidTr="00C81356">
        <w:trPr>
          <w:trHeight w:val="215"/>
          <w:jc w:val="center"/>
        </w:trPr>
        <w:tc>
          <w:tcPr>
            <w:tcW w:w="2603" w:type="dxa"/>
            <w:gridSpan w:val="2"/>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rPr>
                <w:rFonts w:asciiTheme="minorHAnsi" w:hAnsiTheme="minorHAnsi"/>
              </w:rPr>
            </w:pPr>
            <w:r w:rsidRPr="0077765A">
              <w:rPr>
                <w:rFonts w:asciiTheme="minorHAnsi" w:hAnsiTheme="minorHAnsi"/>
              </w:rPr>
              <w:t xml:space="preserve">Retail (Time of Sale) </w:t>
            </w:r>
          </w:p>
        </w:tc>
        <w:tc>
          <w:tcPr>
            <w:tcW w:w="1949"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88.0%</w:t>
            </w:r>
            <w:r w:rsidRPr="00B66B0F">
              <w:rPr>
                <w:rFonts w:asciiTheme="minorHAnsi" w:eastAsiaTheme="majorEastAsia" w:hAnsiTheme="minorHAnsi"/>
                <w:vertAlign w:val="superscript"/>
              </w:rPr>
              <w:footnoteReference w:id="17"/>
            </w:r>
          </w:p>
        </w:tc>
        <w:tc>
          <w:tcPr>
            <w:tcW w:w="1252"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5.4%</w:t>
            </w:r>
          </w:p>
        </w:tc>
        <w:tc>
          <w:tcPr>
            <w:tcW w:w="1252"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4.6%</w:t>
            </w:r>
          </w:p>
        </w:tc>
        <w:tc>
          <w:tcPr>
            <w:tcW w:w="1379"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98.0%</w:t>
            </w:r>
            <w:r w:rsidRPr="00B66B0F">
              <w:rPr>
                <w:rFonts w:asciiTheme="minorHAnsi" w:eastAsiaTheme="majorEastAsia" w:hAnsiTheme="minorHAnsi"/>
                <w:vertAlign w:val="superscript"/>
              </w:rPr>
              <w:footnoteReference w:id="18"/>
            </w:r>
          </w:p>
        </w:tc>
      </w:tr>
      <w:tr w:rsidR="00D60E95" w:rsidRPr="0077765A" w:rsidTr="00C81356">
        <w:trPr>
          <w:trHeight w:val="260"/>
          <w:jc w:val="center"/>
        </w:trPr>
        <w:tc>
          <w:tcPr>
            <w:tcW w:w="2603" w:type="dxa"/>
            <w:gridSpan w:val="2"/>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rPr>
                <w:rFonts w:asciiTheme="minorHAnsi" w:hAnsiTheme="minorHAnsi"/>
              </w:rPr>
            </w:pPr>
            <w:r w:rsidRPr="0077765A">
              <w:rPr>
                <w:rFonts w:asciiTheme="minorHAnsi" w:hAnsiTheme="minorHAnsi"/>
              </w:rPr>
              <w:t>Direct Install</w:t>
            </w:r>
          </w:p>
        </w:tc>
        <w:tc>
          <w:tcPr>
            <w:tcW w:w="1949"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96.9%</w:t>
            </w:r>
            <w:r w:rsidRPr="00B66B0F">
              <w:rPr>
                <w:rFonts w:asciiTheme="minorHAnsi" w:eastAsiaTheme="majorEastAsia" w:hAnsiTheme="minorHAnsi"/>
                <w:vertAlign w:val="superscript"/>
              </w:rPr>
              <w:footnoteReference w:id="19"/>
            </w:r>
          </w:p>
        </w:tc>
        <w:tc>
          <w:tcPr>
            <w:tcW w:w="12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60E95" w:rsidRPr="0077765A" w:rsidRDefault="00D60E95" w:rsidP="00C81356">
            <w:pPr>
              <w:jc w:val="center"/>
              <w:rPr>
                <w:rFonts w:asciiTheme="minorHAnsi" w:hAnsiTheme="minorHAnsi"/>
                <w:szCs w:val="22"/>
              </w:rPr>
            </w:pPr>
          </w:p>
        </w:tc>
        <w:tc>
          <w:tcPr>
            <w:tcW w:w="12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60E95" w:rsidRPr="0077765A" w:rsidRDefault="00D60E95" w:rsidP="00C81356">
            <w:pPr>
              <w:jc w:val="center"/>
              <w:rPr>
                <w:rFonts w:asciiTheme="minorHAnsi" w:hAnsiTheme="minorHAnsi"/>
                <w:szCs w:val="22"/>
              </w:rPr>
            </w:pPr>
          </w:p>
        </w:tc>
        <w:tc>
          <w:tcPr>
            <w:tcW w:w="137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60E95" w:rsidRPr="0077765A" w:rsidRDefault="00D60E95" w:rsidP="00C81356">
            <w:pPr>
              <w:jc w:val="center"/>
              <w:rPr>
                <w:rFonts w:asciiTheme="minorHAnsi" w:hAnsiTheme="minorHAnsi"/>
                <w:szCs w:val="22"/>
              </w:rPr>
            </w:pPr>
          </w:p>
        </w:tc>
      </w:tr>
      <w:tr w:rsidR="00D60E95" w:rsidRPr="0077765A" w:rsidTr="00C81356">
        <w:trPr>
          <w:trHeight w:val="323"/>
          <w:jc w:val="center"/>
        </w:trPr>
        <w:tc>
          <w:tcPr>
            <w:tcW w:w="1019" w:type="dxa"/>
            <w:vMerge w:val="restart"/>
          </w:tcPr>
          <w:p w:rsidR="00D60E95" w:rsidRPr="0077765A" w:rsidRDefault="00D60E95" w:rsidP="00C81356">
            <w:pPr>
              <w:rPr>
                <w:rFonts w:asciiTheme="minorHAnsi" w:hAnsiTheme="minorHAnsi"/>
              </w:rPr>
            </w:pPr>
            <w:r w:rsidRPr="0077765A">
              <w:rPr>
                <w:rFonts w:asciiTheme="minorHAnsi" w:hAnsiTheme="minorHAnsi"/>
              </w:rPr>
              <w:lastRenderedPageBreak/>
              <w:t>Efficiency Kits</w:t>
            </w:r>
            <w:r w:rsidRPr="00B66B0F">
              <w:rPr>
                <w:rFonts w:asciiTheme="minorHAnsi" w:hAnsiTheme="minorHAnsi"/>
                <w:vertAlign w:val="superscript"/>
              </w:rPr>
              <w:footnoteReference w:id="20"/>
            </w:r>
          </w:p>
        </w:tc>
        <w:tc>
          <w:tcPr>
            <w:tcW w:w="1584" w:type="dxa"/>
          </w:tcPr>
          <w:p w:rsidR="00D60E95" w:rsidRPr="0077765A" w:rsidRDefault="00D60E95" w:rsidP="00C81356">
            <w:pPr>
              <w:rPr>
                <w:rFonts w:asciiTheme="minorHAnsi" w:hAnsiTheme="minorHAnsi"/>
                <w:szCs w:val="22"/>
              </w:rPr>
            </w:pPr>
            <w:r w:rsidRPr="0077765A">
              <w:rPr>
                <w:rFonts w:asciiTheme="minorHAnsi" w:hAnsiTheme="minorHAnsi"/>
              </w:rPr>
              <w:t>CFL Distribution</w:t>
            </w:r>
            <w:r w:rsidRPr="00B66B0F">
              <w:rPr>
                <w:rFonts w:asciiTheme="minorHAnsi" w:hAnsiTheme="minorHAnsi"/>
                <w:vertAlign w:val="superscript"/>
              </w:rPr>
              <w:footnoteReference w:id="21"/>
            </w:r>
          </w:p>
        </w:tc>
        <w:tc>
          <w:tcPr>
            <w:tcW w:w="1949" w:type="dxa"/>
          </w:tcPr>
          <w:p w:rsidR="00D60E95" w:rsidRPr="0077765A" w:rsidRDefault="00D60E95" w:rsidP="00C81356">
            <w:pPr>
              <w:jc w:val="center"/>
              <w:rPr>
                <w:rFonts w:asciiTheme="minorHAnsi" w:hAnsiTheme="minorHAnsi"/>
                <w:szCs w:val="22"/>
              </w:rPr>
            </w:pPr>
            <w:r w:rsidRPr="0077765A">
              <w:rPr>
                <w:rFonts w:asciiTheme="minorHAnsi" w:hAnsiTheme="minorHAnsi"/>
              </w:rPr>
              <w:t>59%</w:t>
            </w:r>
          </w:p>
        </w:tc>
        <w:tc>
          <w:tcPr>
            <w:tcW w:w="1252"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13%</w:t>
            </w:r>
          </w:p>
        </w:tc>
        <w:tc>
          <w:tcPr>
            <w:tcW w:w="1252"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11%</w:t>
            </w:r>
          </w:p>
        </w:tc>
        <w:tc>
          <w:tcPr>
            <w:tcW w:w="1379"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83%</w:t>
            </w:r>
          </w:p>
        </w:tc>
      </w:tr>
      <w:tr w:rsidR="00D60E95" w:rsidRPr="0077765A" w:rsidTr="00C81356">
        <w:trPr>
          <w:trHeight w:val="260"/>
          <w:jc w:val="center"/>
        </w:trPr>
        <w:tc>
          <w:tcPr>
            <w:tcW w:w="1019" w:type="dxa"/>
            <w:vMerge/>
          </w:tcPr>
          <w:p w:rsidR="00D60E95" w:rsidRPr="0077765A" w:rsidRDefault="00D60E95" w:rsidP="00C81356">
            <w:pPr>
              <w:rPr>
                <w:rFonts w:asciiTheme="minorHAnsi" w:hAnsiTheme="minorHAnsi"/>
              </w:rPr>
            </w:pPr>
          </w:p>
        </w:tc>
        <w:tc>
          <w:tcPr>
            <w:tcW w:w="1584" w:type="dxa"/>
          </w:tcPr>
          <w:p w:rsidR="00D60E95" w:rsidRPr="0077765A" w:rsidRDefault="00D60E95" w:rsidP="00C81356">
            <w:pPr>
              <w:rPr>
                <w:rFonts w:asciiTheme="minorHAnsi" w:hAnsiTheme="minorHAnsi"/>
                <w:szCs w:val="22"/>
              </w:rPr>
            </w:pPr>
            <w:r w:rsidRPr="0077765A">
              <w:rPr>
                <w:rFonts w:asciiTheme="minorHAnsi" w:hAnsiTheme="minorHAnsi"/>
              </w:rPr>
              <w:t>School Kits</w:t>
            </w:r>
            <w:r w:rsidRPr="00B66B0F">
              <w:rPr>
                <w:rFonts w:asciiTheme="minorHAnsi" w:hAnsiTheme="minorHAnsi"/>
                <w:vertAlign w:val="superscript"/>
              </w:rPr>
              <w:footnoteReference w:id="22"/>
            </w:r>
          </w:p>
        </w:tc>
        <w:tc>
          <w:tcPr>
            <w:tcW w:w="1949" w:type="dxa"/>
          </w:tcPr>
          <w:p w:rsidR="00D60E95" w:rsidRPr="0077765A" w:rsidRDefault="00D60E95" w:rsidP="00C81356">
            <w:pPr>
              <w:jc w:val="center"/>
              <w:rPr>
                <w:rFonts w:asciiTheme="minorHAnsi" w:hAnsiTheme="minorHAnsi"/>
                <w:szCs w:val="22"/>
              </w:rPr>
            </w:pPr>
            <w:r w:rsidRPr="0077765A">
              <w:rPr>
                <w:rFonts w:asciiTheme="minorHAnsi" w:hAnsiTheme="minorHAnsi"/>
              </w:rPr>
              <w:t>61%</w:t>
            </w:r>
          </w:p>
        </w:tc>
        <w:tc>
          <w:tcPr>
            <w:tcW w:w="1252"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13%</w:t>
            </w:r>
          </w:p>
        </w:tc>
        <w:tc>
          <w:tcPr>
            <w:tcW w:w="1252"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11%</w:t>
            </w:r>
          </w:p>
        </w:tc>
        <w:tc>
          <w:tcPr>
            <w:tcW w:w="1379"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86%</w:t>
            </w:r>
          </w:p>
        </w:tc>
      </w:tr>
      <w:tr w:rsidR="00D60E95" w:rsidRPr="0077765A" w:rsidTr="00C81356">
        <w:trPr>
          <w:trHeight w:val="260"/>
          <w:jc w:val="center"/>
        </w:trPr>
        <w:tc>
          <w:tcPr>
            <w:tcW w:w="1019" w:type="dxa"/>
            <w:vMerge/>
          </w:tcPr>
          <w:p w:rsidR="00D60E95" w:rsidRPr="0077765A" w:rsidRDefault="00D60E95" w:rsidP="00C81356">
            <w:pPr>
              <w:rPr>
                <w:rFonts w:asciiTheme="minorHAnsi" w:hAnsiTheme="minorHAnsi"/>
              </w:rPr>
            </w:pPr>
          </w:p>
        </w:tc>
        <w:tc>
          <w:tcPr>
            <w:tcW w:w="1584" w:type="dxa"/>
          </w:tcPr>
          <w:p w:rsidR="00D60E95" w:rsidRPr="0077765A" w:rsidRDefault="00D60E95" w:rsidP="00C81356">
            <w:pPr>
              <w:jc w:val="left"/>
              <w:rPr>
                <w:rFonts w:asciiTheme="minorHAnsi" w:hAnsiTheme="minorHAnsi"/>
                <w:szCs w:val="22"/>
              </w:rPr>
            </w:pPr>
            <w:r w:rsidRPr="0077765A">
              <w:rPr>
                <w:rFonts w:asciiTheme="minorHAnsi" w:hAnsiTheme="minorHAnsi"/>
              </w:rPr>
              <w:t>Direct Mail Kits</w:t>
            </w:r>
            <w:r w:rsidRPr="00B66B0F">
              <w:rPr>
                <w:rFonts w:asciiTheme="minorHAnsi" w:hAnsiTheme="minorHAnsi"/>
                <w:vertAlign w:val="superscript"/>
              </w:rPr>
              <w:footnoteReference w:id="23"/>
            </w:r>
          </w:p>
        </w:tc>
        <w:tc>
          <w:tcPr>
            <w:tcW w:w="1949" w:type="dxa"/>
          </w:tcPr>
          <w:p w:rsidR="00D60E95" w:rsidRPr="0077765A" w:rsidRDefault="00D60E95" w:rsidP="00C81356">
            <w:pPr>
              <w:jc w:val="center"/>
              <w:rPr>
                <w:rFonts w:asciiTheme="minorHAnsi" w:hAnsiTheme="minorHAnsi"/>
                <w:szCs w:val="22"/>
              </w:rPr>
            </w:pPr>
            <w:r w:rsidRPr="0077765A">
              <w:rPr>
                <w:rFonts w:asciiTheme="minorHAnsi" w:hAnsiTheme="minorHAnsi"/>
              </w:rPr>
              <w:t>66%</w:t>
            </w:r>
          </w:p>
        </w:tc>
        <w:tc>
          <w:tcPr>
            <w:tcW w:w="1252"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14%</w:t>
            </w:r>
          </w:p>
        </w:tc>
        <w:tc>
          <w:tcPr>
            <w:tcW w:w="1252"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12%</w:t>
            </w:r>
          </w:p>
        </w:tc>
        <w:tc>
          <w:tcPr>
            <w:tcW w:w="1379" w:type="dxa"/>
            <w:shd w:val="clear" w:color="auto" w:fill="auto"/>
          </w:tcPr>
          <w:p w:rsidR="00D60E95" w:rsidRPr="0077765A" w:rsidRDefault="00D60E95" w:rsidP="00C81356">
            <w:pPr>
              <w:jc w:val="center"/>
              <w:rPr>
                <w:rFonts w:asciiTheme="minorHAnsi" w:hAnsiTheme="minorHAnsi"/>
                <w:szCs w:val="22"/>
              </w:rPr>
            </w:pPr>
            <w:r w:rsidRPr="0077765A">
              <w:rPr>
                <w:rFonts w:asciiTheme="minorHAnsi" w:hAnsiTheme="minorHAnsi"/>
              </w:rPr>
              <w:t>93%</w:t>
            </w:r>
          </w:p>
        </w:tc>
      </w:tr>
    </w:tbl>
    <w:p w:rsidR="00D60E95" w:rsidRDefault="00D60E95" w:rsidP="00D60E95">
      <w:pPr>
        <w:widowControl/>
        <w:jc w:val="left"/>
        <w:rPr>
          <w:rFonts w:cstheme="minorHAnsi"/>
          <w:noProof/>
        </w:rPr>
      </w:pPr>
    </w:p>
    <w:p w:rsidR="00D60E95" w:rsidRPr="00165EDA" w:rsidRDefault="00D60E95" w:rsidP="00D60E95">
      <w:pPr>
        <w:ind w:left="2160" w:hanging="1440"/>
        <w:rPr>
          <w:rFonts w:cstheme="minorHAnsi"/>
          <w:noProof/>
        </w:rPr>
      </w:pPr>
      <w:r>
        <w:rPr>
          <w:rFonts w:cstheme="minorHAnsi"/>
          <w:noProof/>
        </w:rPr>
        <w:t>Leakage</w:t>
      </w:r>
      <w:r>
        <w:rPr>
          <w:rFonts w:cstheme="minorHAnsi"/>
          <w:noProof/>
        </w:rPr>
        <w:tab/>
        <w:t>= Adjustment to account for the</w:t>
      </w:r>
      <w:r w:rsidRPr="00165EDA">
        <w:rPr>
          <w:rFonts w:cstheme="minorHAnsi"/>
          <w:noProof/>
        </w:rPr>
        <w:t xml:space="preserve"> percentage of bulbs purchased that </w:t>
      </w:r>
      <w:r>
        <w:rPr>
          <w:rFonts w:cstheme="minorHAnsi"/>
          <w:noProof/>
        </w:rPr>
        <w:t>move out (and in if deemed appropriate)</w:t>
      </w:r>
      <w:r w:rsidRPr="00165EDA">
        <w:rPr>
          <w:rFonts w:cstheme="minorHAnsi"/>
          <w:noProof/>
        </w:rPr>
        <w:t xml:space="preserve"> of the Utility Jurisdiction</w:t>
      </w:r>
      <w:r>
        <w:rPr>
          <w:rFonts w:cstheme="minorHAnsi"/>
          <w:noProof/>
        </w:rPr>
        <w:t xml:space="preserve">. </w:t>
      </w:r>
    </w:p>
    <w:p w:rsidR="00D60E95" w:rsidRPr="00165EDA" w:rsidRDefault="00D60E95" w:rsidP="00D60E95">
      <w:pPr>
        <w:ind w:left="2160" w:hanging="720"/>
        <w:rPr>
          <w:rFonts w:cstheme="minorHAnsi"/>
          <w:noProof/>
        </w:rPr>
      </w:pPr>
      <w:r w:rsidRPr="00165EDA">
        <w:rPr>
          <w:rFonts w:cstheme="minorHAnsi"/>
          <w:noProof/>
        </w:rPr>
        <w:t xml:space="preserve">Upstream (TOS) Lighting programs </w:t>
      </w:r>
      <w:r>
        <w:rPr>
          <w:rFonts w:cstheme="minorHAnsi"/>
          <w:noProof/>
        </w:rPr>
        <w:tab/>
      </w:r>
      <w:r w:rsidRPr="00165EDA">
        <w:rPr>
          <w:rFonts w:cstheme="minorHAnsi"/>
          <w:noProof/>
        </w:rPr>
        <w:t xml:space="preserve">=  Determined </w:t>
      </w:r>
      <w:r>
        <w:rPr>
          <w:rFonts w:cstheme="minorHAnsi"/>
          <w:noProof/>
        </w:rPr>
        <w:t>thr</w:t>
      </w:r>
      <w:r w:rsidRPr="00165EDA">
        <w:rPr>
          <w:rFonts w:cstheme="minorHAnsi"/>
          <w:noProof/>
        </w:rPr>
        <w:t>ough evaluation</w:t>
      </w:r>
      <w:r>
        <w:rPr>
          <w:rStyle w:val="FootnoteReference"/>
          <w:noProof/>
        </w:rPr>
        <w:footnoteReference w:id="24"/>
      </w:r>
      <w:r w:rsidRPr="00165EDA">
        <w:rPr>
          <w:rFonts w:cstheme="minorHAnsi"/>
          <w:noProof/>
        </w:rPr>
        <w:t xml:space="preserve">. </w:t>
      </w:r>
    </w:p>
    <w:p w:rsidR="00D60E95" w:rsidRPr="00165EDA" w:rsidRDefault="00D60E95" w:rsidP="00D60E95">
      <w:pPr>
        <w:ind w:left="2160" w:hanging="720"/>
        <w:rPr>
          <w:rFonts w:cstheme="minorHAnsi"/>
          <w:noProof/>
        </w:rPr>
      </w:pPr>
      <w:r>
        <w:rPr>
          <w:rFonts w:cstheme="minorHAnsi"/>
          <w:noProof/>
        </w:rPr>
        <w:t>All o</w:t>
      </w:r>
      <w:r w:rsidRPr="00165EDA">
        <w:rPr>
          <w:rFonts w:cstheme="minorHAnsi"/>
          <w:noProof/>
        </w:rPr>
        <w:t>ther programs</w:t>
      </w:r>
      <w:r w:rsidRPr="00165EDA">
        <w:rPr>
          <w:rFonts w:cstheme="minorHAnsi"/>
          <w:noProof/>
        </w:rPr>
        <w:tab/>
      </w:r>
      <w:r>
        <w:rPr>
          <w:rFonts w:cstheme="minorHAnsi"/>
          <w:noProof/>
        </w:rPr>
        <w:tab/>
      </w:r>
      <w:r w:rsidRPr="00165EDA">
        <w:rPr>
          <w:rFonts w:cstheme="minorHAnsi"/>
          <w:noProof/>
        </w:rPr>
        <w:t>= 0</w:t>
      </w:r>
    </w:p>
    <w:p w:rsidR="00D60E95" w:rsidRDefault="00D60E95" w:rsidP="00D60E95">
      <w:pPr>
        <w:widowControl/>
        <w:ind w:firstLine="720"/>
        <w:jc w:val="left"/>
        <w:rPr>
          <w:rFonts w:cstheme="minorHAnsi"/>
          <w:noProof/>
        </w:rPr>
      </w:pPr>
      <w:r>
        <w:rPr>
          <w:rFonts w:cstheme="minorHAnsi"/>
          <w:noProof/>
        </w:rPr>
        <w:t xml:space="preserve">Hours </w:t>
      </w:r>
      <w:r>
        <w:rPr>
          <w:rFonts w:cstheme="minorHAnsi"/>
          <w:noProof/>
        </w:rPr>
        <w:tab/>
      </w:r>
      <w:r>
        <w:rPr>
          <w:rFonts w:cstheme="minorHAnsi"/>
          <w:noProof/>
        </w:rPr>
        <w:tab/>
        <w:t>= Average hours of use per year, varies by bulb type as presented below:</w:t>
      </w:r>
      <w:r>
        <w:rPr>
          <w:rStyle w:val="FootnoteReference"/>
          <w:rFonts w:eastAsiaTheme="majorEastAsia"/>
        </w:rPr>
        <w:footnoteReference w:id="25"/>
      </w:r>
    </w:p>
    <w:tbl>
      <w:tblPr>
        <w:tblW w:w="576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1524"/>
      </w:tblGrid>
      <w:tr w:rsidR="00D60E95" w:rsidTr="00C81356">
        <w:trPr>
          <w:trHeight w:val="20"/>
          <w:tblHeader/>
        </w:trPr>
        <w:tc>
          <w:tcPr>
            <w:tcW w:w="423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Bulb Type</w:t>
            </w:r>
          </w:p>
        </w:tc>
        <w:tc>
          <w:tcPr>
            <w:tcW w:w="152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Annual hours of use (HOU)</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r>
              <w:t>Three-way</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850</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Dimmable</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850</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Interior reflector (incl. dimmable)</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861</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Exterior reflector</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2475</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Candelabra base and candle medium and intermediate base</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1190</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Bug light</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2475</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Post light (&gt;100W)</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2475</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Daylight</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847</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Plant light</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847</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Globe</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639</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lastRenderedPageBreak/>
              <w:t>Vibration or shatterproof</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847</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 xml:space="preserve">Standard Spiral &gt;2601 lumens, Residential, Multi Family in-unit </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759</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tcPr>
          <w:p w:rsidR="00D60E95" w:rsidRDefault="00D60E95" w:rsidP="00C81356">
            <w:pPr>
              <w:rPr>
                <w:szCs w:val="16"/>
              </w:rPr>
            </w:pPr>
            <w:r w:rsidRPr="006E6456">
              <w:t>Standard Spiral &gt;2601 lumens,</w:t>
            </w:r>
            <w:r>
              <w:t xml:space="preserve"> unknown</w:t>
            </w:r>
          </w:p>
        </w:tc>
        <w:tc>
          <w:tcPr>
            <w:tcW w:w="1524" w:type="dxa"/>
            <w:tcBorders>
              <w:top w:val="single" w:sz="4" w:space="0" w:color="auto"/>
              <w:left w:val="single" w:sz="4" w:space="0" w:color="auto"/>
              <w:bottom w:val="single" w:sz="4" w:space="0" w:color="auto"/>
              <w:right w:val="single" w:sz="4" w:space="0" w:color="auto"/>
            </w:tcBorders>
            <w:vAlign w:val="bottom"/>
          </w:tcPr>
          <w:p w:rsidR="00D60E95" w:rsidRDefault="00D60E95" w:rsidP="00C81356">
            <w:pPr>
              <w:jc w:val="center"/>
              <w:rPr>
                <w:szCs w:val="16"/>
              </w:rPr>
            </w:pPr>
            <w:r>
              <w:t>847</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jc w:val="left"/>
              <w:rPr>
                <w:szCs w:val="16"/>
              </w:rPr>
            </w:pPr>
            <w:r>
              <w:t>Standard Spiral &gt;2601 lumens, Exterior</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2475</w:t>
            </w:r>
          </w:p>
        </w:tc>
      </w:tr>
      <w:tr w:rsidR="00D60E95" w:rsidTr="00C81356">
        <w:trPr>
          <w:trHeight w:val="20"/>
        </w:trPr>
        <w:tc>
          <w:tcPr>
            <w:tcW w:w="4236" w:type="dxa"/>
            <w:tcBorders>
              <w:top w:val="single" w:sz="4" w:space="0" w:color="auto"/>
              <w:left w:val="single" w:sz="4" w:space="0" w:color="auto"/>
              <w:bottom w:val="single" w:sz="4" w:space="0" w:color="auto"/>
              <w:right w:val="single" w:sz="4" w:space="0" w:color="auto"/>
            </w:tcBorders>
            <w:vAlign w:val="center"/>
            <w:hideMark/>
          </w:tcPr>
          <w:p w:rsidR="00D60E95" w:rsidRDefault="00D60E95" w:rsidP="00C81356">
            <w:pPr>
              <w:rPr>
                <w:szCs w:val="16"/>
              </w:rPr>
            </w:pPr>
            <w:r>
              <w:t>Specialty - Generic</w:t>
            </w:r>
          </w:p>
        </w:tc>
        <w:tc>
          <w:tcPr>
            <w:tcW w:w="1524" w:type="dxa"/>
            <w:tcBorders>
              <w:top w:val="single" w:sz="4" w:space="0" w:color="auto"/>
              <w:left w:val="single" w:sz="4" w:space="0" w:color="auto"/>
              <w:bottom w:val="single" w:sz="4" w:space="0" w:color="auto"/>
              <w:right w:val="single" w:sz="4" w:space="0" w:color="auto"/>
            </w:tcBorders>
            <w:vAlign w:val="bottom"/>
            <w:hideMark/>
          </w:tcPr>
          <w:p w:rsidR="00D60E95" w:rsidRDefault="00D60E95" w:rsidP="00C81356">
            <w:pPr>
              <w:jc w:val="center"/>
              <w:rPr>
                <w:szCs w:val="16"/>
              </w:rPr>
            </w:pPr>
            <w:r>
              <w:t>847</w:t>
            </w:r>
          </w:p>
        </w:tc>
      </w:tr>
    </w:tbl>
    <w:p w:rsidR="00D60E95" w:rsidRDefault="00D60E95" w:rsidP="00D60E95">
      <w:pPr>
        <w:ind w:left="1440" w:hanging="720"/>
        <w:rPr>
          <w:rFonts w:cstheme="minorHAnsi"/>
          <w:noProof/>
        </w:rPr>
      </w:pPr>
    </w:p>
    <w:p w:rsidR="00D60E95" w:rsidRDefault="00D60E95" w:rsidP="00D60E95">
      <w:pPr>
        <w:ind w:left="1440" w:hanging="720"/>
        <w:rPr>
          <w:rFonts w:cstheme="minorHAnsi"/>
          <w:noProof/>
        </w:rPr>
      </w:pPr>
      <w:r>
        <w:rPr>
          <w:rFonts w:cstheme="minorHAnsi"/>
          <w:noProof/>
        </w:rPr>
        <w:t>WHFe</w:t>
      </w:r>
      <w:r>
        <w:rPr>
          <w:rFonts w:cstheme="minorHAnsi"/>
          <w:noProof/>
        </w:rPr>
        <w:tab/>
        <w:t xml:space="preserve">= Waste heat factor for energy to account for cooling savings from efficient lighting </w:t>
      </w:r>
    </w:p>
    <w:tbl>
      <w:tblPr>
        <w:tblStyle w:val="TableGrid"/>
        <w:tblW w:w="0" w:type="auto"/>
        <w:tblInd w:w="2160" w:type="dxa"/>
        <w:tblLook w:val="04A0" w:firstRow="1" w:lastRow="0" w:firstColumn="1" w:lastColumn="0" w:noHBand="0" w:noVBand="1"/>
      </w:tblPr>
      <w:tblGrid>
        <w:gridCol w:w="3888"/>
        <w:gridCol w:w="1440"/>
      </w:tblGrid>
      <w:tr w:rsidR="00D60E95" w:rsidRPr="0077765A" w:rsidTr="00C81356">
        <w:trPr>
          <w:tblHeader/>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WHFe</w:t>
            </w:r>
          </w:p>
        </w:tc>
      </w:tr>
      <w:tr w:rsidR="00D60E95" w:rsidRPr="0077765A" w:rsidTr="00C81356">
        <w:tc>
          <w:tcPr>
            <w:tcW w:w="3888"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rPr>
                <w:rFonts w:asciiTheme="minorHAnsi" w:hAnsiTheme="minorHAnsi"/>
              </w:rPr>
            </w:pPr>
            <w:r w:rsidRPr="0077765A">
              <w:rPr>
                <w:rFonts w:asciiTheme="minorHAnsi" w:hAnsiTheme="minorHAnsi"/>
              </w:rPr>
              <w:t>Interior single family or unknown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 xml:space="preserve">1.06 </w:t>
            </w:r>
            <w:r w:rsidRPr="009C362B">
              <w:rPr>
                <w:rFonts w:eastAsiaTheme="majorEastAsia"/>
                <w:vertAlign w:val="superscript"/>
              </w:rPr>
              <w:footnoteReference w:id="26"/>
            </w:r>
          </w:p>
        </w:tc>
      </w:tr>
      <w:tr w:rsidR="00D60E95" w:rsidRPr="0077765A" w:rsidTr="00C81356">
        <w:tc>
          <w:tcPr>
            <w:tcW w:w="3888"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rPr>
                <w:rFonts w:asciiTheme="minorHAnsi" w:hAnsiTheme="minorHAnsi"/>
              </w:rPr>
            </w:pPr>
            <w:r w:rsidRPr="0077765A">
              <w:rPr>
                <w:rFonts w:asciiTheme="minorHAnsi" w:hAnsiTheme="minorHAnsi"/>
              </w:rPr>
              <w:t>Multi family in unit</w:t>
            </w:r>
          </w:p>
        </w:tc>
        <w:tc>
          <w:tcPr>
            <w:tcW w:w="1440"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 xml:space="preserve">1.04 </w:t>
            </w:r>
            <w:r w:rsidRPr="009C362B">
              <w:rPr>
                <w:rFonts w:eastAsiaTheme="majorEastAsia"/>
                <w:vertAlign w:val="superscript"/>
              </w:rPr>
              <w:footnoteReference w:id="27"/>
            </w:r>
          </w:p>
        </w:tc>
      </w:tr>
      <w:tr w:rsidR="00D60E95" w:rsidRPr="0077765A" w:rsidTr="00C81356">
        <w:tc>
          <w:tcPr>
            <w:tcW w:w="3888"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rPr>
                <w:rFonts w:asciiTheme="minorHAnsi" w:hAnsiTheme="minorHAnsi"/>
              </w:rPr>
            </w:pPr>
            <w:r w:rsidRPr="0077765A">
              <w:rPr>
                <w:rFonts w:asciiTheme="minorHAnsi" w:hAnsiTheme="minorHAnsi"/>
              </w:rPr>
              <w:t>Exterior or uncooled location</w:t>
            </w:r>
          </w:p>
        </w:tc>
        <w:tc>
          <w:tcPr>
            <w:tcW w:w="1440" w:type="dxa"/>
            <w:tcBorders>
              <w:top w:val="single" w:sz="4" w:space="0" w:color="auto"/>
              <w:left w:val="single" w:sz="4" w:space="0" w:color="auto"/>
              <w:bottom w:val="single" w:sz="4" w:space="0" w:color="auto"/>
              <w:right w:val="single" w:sz="4" w:space="0" w:color="auto"/>
            </w:tcBorders>
            <w:vAlign w:val="center"/>
            <w:hideMark/>
          </w:tcPr>
          <w:p w:rsidR="00D60E95" w:rsidRPr="0077765A" w:rsidRDefault="00D60E95" w:rsidP="00C81356">
            <w:pPr>
              <w:jc w:val="center"/>
              <w:rPr>
                <w:rFonts w:asciiTheme="minorHAnsi" w:hAnsiTheme="minorHAnsi"/>
                <w:szCs w:val="22"/>
              </w:rPr>
            </w:pPr>
            <w:r w:rsidRPr="0077765A">
              <w:rPr>
                <w:rFonts w:asciiTheme="minorHAnsi" w:hAnsiTheme="minorHAnsi"/>
              </w:rPr>
              <w:t>1.0</w:t>
            </w:r>
          </w:p>
        </w:tc>
      </w:tr>
    </w:tbl>
    <w:p w:rsidR="00D60E95" w:rsidRDefault="00D60E95" w:rsidP="00D60E95">
      <w:pPr>
        <w:ind w:left="1440"/>
        <w:rPr>
          <w:rFonts w:cstheme="minorHAnsi"/>
          <w:noProof/>
        </w:rPr>
      </w:pPr>
    </w:p>
    <w:p w:rsidR="00D60E95" w:rsidRDefault="00D60E95" w:rsidP="00D60E95">
      <w:pPr>
        <w:pStyle w:val="Heading6"/>
      </w:pPr>
      <w:r>
        <w:t>Deferred Installs</w:t>
      </w:r>
    </w:p>
    <w:p w:rsidR="00D60E95" w:rsidRDefault="00D60E95" w:rsidP="00D60E95">
      <w:r>
        <w:t>As presented above, the characterization assumes that a percentage of bulbs purchased are not installed until Year 2 and Year 3 (see ISR assumption above). The Illinois Technical Advisory Committee has determined the following methodology for calculating the savings of these future installs.</w:t>
      </w:r>
    </w:p>
    <w:p w:rsidR="00D60E95" w:rsidRDefault="00D60E95" w:rsidP="00D60E95">
      <w:pPr>
        <w:ind w:left="3600" w:hanging="2880"/>
      </w:pPr>
      <w:r>
        <w:t>Year 1 (Purchase Year) installs:</w:t>
      </w:r>
      <w:r>
        <w:tab/>
        <w:t>Characterized using assumptions provided above or evaluated assumptions if available.</w:t>
      </w:r>
    </w:p>
    <w:p w:rsidR="00D60E95" w:rsidRDefault="00D60E95" w:rsidP="00D60E95">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rsidR="00D60E95" w:rsidRDefault="00D60E95" w:rsidP="00D60E95">
      <w:pPr>
        <w:ind w:left="3600"/>
      </w:pPr>
      <w:r>
        <w:t>The NTG factor for the Purchase Year should be applied.</w:t>
      </w:r>
    </w:p>
    <w:p w:rsidR="00D60E95" w:rsidRDefault="00D60E95" w:rsidP="00D60E95">
      <w:pPr>
        <w:pStyle w:val="Heading6"/>
      </w:pPr>
      <w:r>
        <w:rPr>
          <w:noProof/>
        </w:rPr>
        <w:lastRenderedPageBreak/>
        <mc:AlternateContent>
          <mc:Choice Requires="wps">
            <w:drawing>
              <wp:inline distT="0" distB="0" distL="0" distR="0" wp14:anchorId="6CD3ADD8" wp14:editId="0FC1205F">
                <wp:extent cx="5943600" cy="2307265"/>
                <wp:effectExtent l="0" t="0" r="19050" b="17145"/>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07265"/>
                        </a:xfrm>
                        <a:prstGeom prst="rect">
                          <a:avLst/>
                        </a:prstGeom>
                        <a:solidFill>
                          <a:srgbClr val="FFFFFF"/>
                        </a:solidFill>
                        <a:ln w="9525">
                          <a:solidFill>
                            <a:srgbClr val="000000"/>
                          </a:solidFill>
                          <a:miter lim="800000"/>
                          <a:headEnd/>
                          <a:tailEnd/>
                        </a:ln>
                      </wps:spPr>
                      <wps:txbx>
                        <w:txbxContent>
                          <w:p w:rsidR="00D60E95" w:rsidRDefault="00D60E95" w:rsidP="00D60E95">
                            <w:r>
                              <w:t>For example, for a 13W dimmable CFL impacted by EISA 2007 (60W standard incandescent and 43W EISA qualified incandescent/halogen) purchased in 2013.</w:t>
                            </w:r>
                          </w:p>
                          <w:p w:rsidR="00D60E95" w:rsidRDefault="00D60E95" w:rsidP="00D60E95">
                            <w:pPr>
                              <w:ind w:firstLine="720"/>
                              <w:rPr>
                                <w:rFonts w:cstheme="minorHAnsi"/>
                              </w:rPr>
                            </w:pPr>
                            <w:r>
                              <w:rPr>
                                <w:rFonts w:cstheme="minorHAnsi"/>
                                <w:noProof/>
                              </w:rPr>
                              <w:t>ΔkWH</w:t>
                            </w:r>
                            <w:r>
                              <w:rPr>
                                <w:rFonts w:cstheme="minorHAnsi"/>
                                <w:noProof/>
                                <w:vertAlign w:val="subscript"/>
                              </w:rPr>
                              <w:t>1st year installs</w:t>
                            </w:r>
                            <w:r>
                              <w:rPr>
                                <w:rFonts w:cstheme="minorHAnsi"/>
                              </w:rPr>
                              <w:tab/>
                              <w:t xml:space="preserve">= </w:t>
                            </w:r>
                            <w:r>
                              <w:rPr>
                                <w:rFonts w:cstheme="minorHAnsi"/>
                                <w:noProof/>
                              </w:rPr>
                              <w:t>((60 - 13) / 1000) * 0.823 * 850 * 1.06</w:t>
                            </w:r>
                          </w:p>
                          <w:p w:rsidR="00D60E95" w:rsidRDefault="00D60E95" w:rsidP="00D60E95">
                            <w:pPr>
                              <w:ind w:left="1440" w:firstLine="720"/>
                              <w:rPr>
                                <w:rFonts w:cstheme="minorHAnsi"/>
                              </w:rPr>
                            </w:pPr>
                            <w:r>
                              <w:rPr>
                                <w:rFonts w:cstheme="minorHAnsi"/>
                              </w:rPr>
                              <w:t xml:space="preserve">= </w:t>
                            </w:r>
                            <w:r>
                              <w:rPr>
                                <w:rFonts w:cstheme="minorHAnsi"/>
                                <w:noProof/>
                              </w:rPr>
                              <w:t>34.9</w:t>
                            </w:r>
                            <w:r>
                              <w:rPr>
                                <w:rFonts w:cstheme="minorHAnsi"/>
                              </w:rPr>
                              <w:t xml:space="preserve"> kWh</w:t>
                            </w:r>
                          </w:p>
                          <w:p w:rsidR="00D60E95" w:rsidRDefault="00D60E95" w:rsidP="00D60E95">
                            <w:pPr>
                              <w:ind w:firstLine="720"/>
                              <w:rPr>
                                <w:rFonts w:cstheme="minorHAnsi"/>
                              </w:rPr>
                            </w:pPr>
                            <w:r>
                              <w:rPr>
                                <w:rFonts w:cstheme="minorHAnsi"/>
                                <w:noProof/>
                              </w:rPr>
                              <w:t>ΔkWH</w:t>
                            </w:r>
                            <w:r>
                              <w:rPr>
                                <w:rFonts w:cstheme="minorHAnsi"/>
                                <w:noProof/>
                                <w:vertAlign w:val="subscript"/>
                              </w:rPr>
                              <w:t>2nd year installs</w:t>
                            </w:r>
                            <w:r>
                              <w:rPr>
                                <w:rFonts w:cstheme="minorHAnsi"/>
                              </w:rPr>
                              <w:tab/>
                              <w:t xml:space="preserve">= </w:t>
                            </w:r>
                            <w:r>
                              <w:rPr>
                                <w:rFonts w:cstheme="minorHAnsi"/>
                                <w:noProof/>
                              </w:rPr>
                              <w:t>((43 - 13) / 1000) * 0.085 * 850 * 1.06</w:t>
                            </w:r>
                          </w:p>
                          <w:p w:rsidR="00D60E95" w:rsidRDefault="00D60E95" w:rsidP="00D60E95">
                            <w:pPr>
                              <w:ind w:left="1440" w:firstLine="720"/>
                              <w:rPr>
                                <w:rFonts w:cstheme="minorHAnsi"/>
                              </w:rPr>
                            </w:pPr>
                            <w:r>
                              <w:rPr>
                                <w:rFonts w:cstheme="minorHAnsi"/>
                              </w:rPr>
                              <w:t xml:space="preserve">= </w:t>
                            </w:r>
                            <w:r>
                              <w:rPr>
                                <w:rFonts w:cstheme="minorHAnsi"/>
                                <w:noProof/>
                              </w:rPr>
                              <w:t>2.3</w:t>
                            </w:r>
                            <w:r>
                              <w:rPr>
                                <w:rFonts w:cstheme="minorHAnsi"/>
                              </w:rPr>
                              <w:t xml:space="preserve"> kWh</w:t>
                            </w:r>
                          </w:p>
                          <w:p w:rsidR="00D60E95" w:rsidRDefault="00D60E95" w:rsidP="00D60E95">
                            <w:r>
                              <w:tab/>
                              <w:t>Note: Here we assume no change in hours assumption. NTG value from Purchase year applied.</w:t>
                            </w:r>
                          </w:p>
                          <w:p w:rsidR="00D60E95" w:rsidRDefault="00D60E95" w:rsidP="00D60E95">
                            <w:pPr>
                              <w:ind w:firstLine="720"/>
                              <w:rPr>
                                <w:rFonts w:cstheme="minorHAnsi"/>
                              </w:rPr>
                            </w:pPr>
                            <w:r>
                              <w:rPr>
                                <w:rFonts w:cstheme="minorHAnsi"/>
                                <w:noProof/>
                              </w:rPr>
                              <w:t>ΔkWH</w:t>
                            </w:r>
                            <w:r>
                              <w:rPr>
                                <w:rFonts w:cstheme="minorHAnsi"/>
                                <w:noProof/>
                                <w:vertAlign w:val="subscript"/>
                              </w:rPr>
                              <w:t>3rd year installs</w:t>
                            </w:r>
                            <w:r>
                              <w:rPr>
                                <w:rFonts w:cstheme="minorHAnsi"/>
                              </w:rPr>
                              <w:tab/>
                              <w:t xml:space="preserve">= </w:t>
                            </w:r>
                            <w:r>
                              <w:rPr>
                                <w:rFonts w:cstheme="minorHAnsi"/>
                                <w:noProof/>
                              </w:rPr>
                              <w:t>((43 - 13) / 1000) * 0.072 * 850 * 1.06</w:t>
                            </w:r>
                          </w:p>
                          <w:p w:rsidR="00D60E95" w:rsidRDefault="00D60E95" w:rsidP="00D60E95">
                            <w:pPr>
                              <w:ind w:left="1440" w:firstLine="720"/>
                              <w:rPr>
                                <w:rFonts w:cstheme="minorHAnsi"/>
                              </w:rPr>
                            </w:pPr>
                            <w:r>
                              <w:rPr>
                                <w:rFonts w:cstheme="minorHAnsi"/>
                              </w:rPr>
                              <w:t>= 1.9 kWh</w:t>
                            </w:r>
                          </w:p>
                          <w:p w:rsidR="00D60E95" w:rsidRDefault="00D60E95" w:rsidP="00D60E95">
                            <w:r>
                              <w:tab/>
                              <w:t>Note: delta watts is equivalent to install year. Here we assume no change in hours assumption.</w:t>
                            </w:r>
                          </w:p>
                          <w:p w:rsidR="00D60E95" w:rsidRDefault="00D60E95" w:rsidP="00D60E95">
                            <w:pPr>
                              <w:rPr>
                                <w:rFonts w:cstheme="minorHAnsi"/>
                              </w:rPr>
                            </w:pPr>
                          </w:p>
                          <w:p w:rsidR="00D60E95" w:rsidRDefault="00D60E95" w:rsidP="00D60E95">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46" o:spid="_x0000_s1026" type="#_x0000_t202" style="width:468pt;height:18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">
                <v:textbox>
                  <w:txbxContent>
                    <w:p w:rsidR="00D60E95" w:rsidRDefault="00D60E95" w:rsidP="00D60E95">
                      <w:proofErr w:type="gramStart"/>
                      <w:r>
                        <w:t>For example, for a 13W dimmable CFL impacted by EISA 2007 (60W standard incandescent and 43W EISA qualified incandescent/halogen) purchased in 2013.</w:t>
                      </w:r>
                      <w:proofErr w:type="gramEnd"/>
                    </w:p>
                    <w:p w:rsidR="00D60E95" w:rsidRDefault="00D60E95" w:rsidP="00D60E95">
                      <w:pPr>
                        <w:ind w:firstLine="720"/>
                        <w:rPr>
                          <w:rFonts w:cstheme="minorHAnsi"/>
                        </w:rPr>
                      </w:pPr>
                      <w:r>
                        <w:rPr>
                          <w:rFonts w:cstheme="minorHAnsi"/>
                          <w:noProof/>
                        </w:rPr>
                        <w:t>ΔkWH</w:t>
                      </w:r>
                      <w:r>
                        <w:rPr>
                          <w:rFonts w:cstheme="minorHAnsi"/>
                          <w:noProof/>
                          <w:vertAlign w:val="subscript"/>
                        </w:rPr>
                        <w:t>1st year installs</w:t>
                      </w:r>
                      <w:r>
                        <w:rPr>
                          <w:rFonts w:cstheme="minorHAnsi"/>
                        </w:rPr>
                        <w:tab/>
                        <w:t xml:space="preserve">= </w:t>
                      </w:r>
                      <w:r>
                        <w:rPr>
                          <w:rFonts w:cstheme="minorHAnsi"/>
                          <w:noProof/>
                        </w:rPr>
                        <w:t>((60 - 13) / 1000) * 0.823 * 850 * 1.06</w:t>
                      </w:r>
                    </w:p>
                    <w:p w:rsidR="00D60E95" w:rsidRDefault="00D60E95" w:rsidP="00D60E95">
                      <w:pPr>
                        <w:ind w:left="1440" w:firstLine="720"/>
                        <w:rPr>
                          <w:rFonts w:cstheme="minorHAnsi"/>
                        </w:rPr>
                      </w:pPr>
                      <w:r>
                        <w:rPr>
                          <w:rFonts w:cstheme="minorHAnsi"/>
                        </w:rPr>
                        <w:t xml:space="preserve">= </w:t>
                      </w:r>
                      <w:r>
                        <w:rPr>
                          <w:rFonts w:cstheme="minorHAnsi"/>
                          <w:noProof/>
                        </w:rPr>
                        <w:t>34.9</w:t>
                      </w:r>
                      <w:r>
                        <w:rPr>
                          <w:rFonts w:cstheme="minorHAnsi"/>
                        </w:rPr>
                        <w:t xml:space="preserve"> kWh</w:t>
                      </w:r>
                    </w:p>
                    <w:p w:rsidR="00D60E95" w:rsidRDefault="00D60E95" w:rsidP="00D60E95">
                      <w:pPr>
                        <w:ind w:firstLine="720"/>
                        <w:rPr>
                          <w:rFonts w:cstheme="minorHAnsi"/>
                        </w:rPr>
                      </w:pPr>
                      <w:r>
                        <w:rPr>
                          <w:rFonts w:cstheme="minorHAnsi"/>
                          <w:noProof/>
                        </w:rPr>
                        <w:t>ΔkWH</w:t>
                      </w:r>
                      <w:r>
                        <w:rPr>
                          <w:rFonts w:cstheme="minorHAnsi"/>
                          <w:noProof/>
                          <w:vertAlign w:val="subscript"/>
                        </w:rPr>
                        <w:t>2nd year installs</w:t>
                      </w:r>
                      <w:r>
                        <w:rPr>
                          <w:rFonts w:cstheme="minorHAnsi"/>
                        </w:rPr>
                        <w:tab/>
                        <w:t xml:space="preserve">= </w:t>
                      </w:r>
                      <w:r>
                        <w:rPr>
                          <w:rFonts w:cstheme="minorHAnsi"/>
                          <w:noProof/>
                        </w:rPr>
                        <w:t>((43 - 13) / 1000) * 0.085 * 850 * 1.06</w:t>
                      </w:r>
                    </w:p>
                    <w:p w:rsidR="00D60E95" w:rsidRDefault="00D60E95" w:rsidP="00D60E95">
                      <w:pPr>
                        <w:ind w:left="1440" w:firstLine="720"/>
                        <w:rPr>
                          <w:rFonts w:cstheme="minorHAnsi"/>
                        </w:rPr>
                      </w:pPr>
                      <w:r>
                        <w:rPr>
                          <w:rFonts w:cstheme="minorHAnsi"/>
                        </w:rPr>
                        <w:t xml:space="preserve">= </w:t>
                      </w:r>
                      <w:r>
                        <w:rPr>
                          <w:rFonts w:cstheme="minorHAnsi"/>
                          <w:noProof/>
                        </w:rPr>
                        <w:t>2.3</w:t>
                      </w:r>
                      <w:r>
                        <w:rPr>
                          <w:rFonts w:cstheme="minorHAnsi"/>
                        </w:rPr>
                        <w:t xml:space="preserve"> kWh</w:t>
                      </w:r>
                    </w:p>
                    <w:p w:rsidR="00D60E95" w:rsidRDefault="00D60E95" w:rsidP="00D60E95">
                      <w:r>
                        <w:tab/>
                        <w:t xml:space="preserve">Note: Here we assume no change in </w:t>
                      </w:r>
                      <w:proofErr w:type="gramStart"/>
                      <w:r>
                        <w:t>hours</w:t>
                      </w:r>
                      <w:proofErr w:type="gramEnd"/>
                      <w:r>
                        <w:t xml:space="preserve"> assumption. NTG value from Purchase year applied.</w:t>
                      </w:r>
                    </w:p>
                    <w:p w:rsidR="00D60E95" w:rsidRDefault="00D60E95" w:rsidP="00D60E95">
                      <w:pPr>
                        <w:ind w:firstLine="720"/>
                        <w:rPr>
                          <w:rFonts w:cstheme="minorHAnsi"/>
                        </w:rPr>
                      </w:pPr>
                      <w:r>
                        <w:rPr>
                          <w:rFonts w:cstheme="minorHAnsi"/>
                          <w:noProof/>
                        </w:rPr>
                        <w:t>ΔkWH</w:t>
                      </w:r>
                      <w:r>
                        <w:rPr>
                          <w:rFonts w:cstheme="minorHAnsi"/>
                          <w:noProof/>
                          <w:vertAlign w:val="subscript"/>
                        </w:rPr>
                        <w:t>3rd year installs</w:t>
                      </w:r>
                      <w:r>
                        <w:rPr>
                          <w:rFonts w:cstheme="minorHAnsi"/>
                        </w:rPr>
                        <w:tab/>
                        <w:t xml:space="preserve">= </w:t>
                      </w:r>
                      <w:r>
                        <w:rPr>
                          <w:rFonts w:cstheme="minorHAnsi"/>
                          <w:noProof/>
                        </w:rPr>
                        <w:t>((43 - 13) / 1000) * 0.072 * 850 * 1.06</w:t>
                      </w:r>
                    </w:p>
                    <w:p w:rsidR="00D60E95" w:rsidRDefault="00D60E95" w:rsidP="00D60E95">
                      <w:pPr>
                        <w:ind w:left="1440" w:firstLine="720"/>
                        <w:rPr>
                          <w:rFonts w:cstheme="minorHAnsi"/>
                        </w:rPr>
                      </w:pPr>
                      <w:r>
                        <w:rPr>
                          <w:rFonts w:cstheme="minorHAnsi"/>
                        </w:rPr>
                        <w:t>= 1.9 kWh</w:t>
                      </w:r>
                    </w:p>
                    <w:p w:rsidR="00D60E95" w:rsidRDefault="00D60E95" w:rsidP="00D60E95">
                      <w:r>
                        <w:tab/>
                        <w:t xml:space="preserve">Note: </w:t>
                      </w:r>
                      <w:proofErr w:type="gramStart"/>
                      <w:r>
                        <w:t>delta watts is</w:t>
                      </w:r>
                      <w:proofErr w:type="gramEnd"/>
                      <w:r>
                        <w:t xml:space="preserve"> equivalent to install year. Here we assume no change in </w:t>
                      </w:r>
                      <w:proofErr w:type="gramStart"/>
                      <w:r>
                        <w:t>hours</w:t>
                      </w:r>
                      <w:proofErr w:type="gramEnd"/>
                      <w:r>
                        <w:t xml:space="preserve"> assumption.</w:t>
                      </w:r>
                    </w:p>
                    <w:p w:rsidR="00D60E95" w:rsidRDefault="00D60E95" w:rsidP="00D60E95">
                      <w:pPr>
                        <w:rPr>
                          <w:rFonts w:cstheme="minorHAnsi"/>
                        </w:rPr>
                      </w:pPr>
                    </w:p>
                    <w:p w:rsidR="00D60E95" w:rsidRDefault="00D60E95" w:rsidP="00D60E95">
                      <w:pPr>
                        <w:ind w:left="1440" w:firstLine="720"/>
                        <w:rPr>
                          <w:rFonts w:cstheme="minorHAnsi"/>
                        </w:rPr>
                      </w:pPr>
                    </w:p>
                  </w:txbxContent>
                </v:textbox>
                <w10:anchorlock/>
              </v:shape>
            </w:pict>
          </mc:Fallback>
        </mc:AlternateContent>
      </w:r>
    </w:p>
    <w:p w:rsidR="00D60E95" w:rsidRDefault="00D60E95" w:rsidP="00D60E95">
      <w:pPr>
        <w:pStyle w:val="Heading6"/>
        <w:rPr>
          <w:sz w:val="18"/>
        </w:rPr>
      </w:pPr>
      <w:r>
        <w:t>Heating Penalty</w:t>
      </w:r>
    </w:p>
    <w:p w:rsidR="00D60E95" w:rsidRDefault="00D60E95" w:rsidP="00D60E95">
      <w:pPr>
        <w:rPr>
          <w:rFonts w:cstheme="minorHAnsi"/>
        </w:rPr>
      </w:pPr>
      <w:r>
        <w:rPr>
          <w:rFonts w:cstheme="minorHAnsi"/>
        </w:rPr>
        <w:t>If electric heated home (if heating fuel is unknown assume gas, see Natural Gas section):</w:t>
      </w:r>
    </w:p>
    <w:p w:rsidR="00D60E95" w:rsidRDefault="00D60E95" w:rsidP="00D60E95">
      <w:pPr>
        <w:ind w:left="1440"/>
        <w:rPr>
          <w:rFonts w:cstheme="minorHAnsi"/>
        </w:rPr>
      </w:pPr>
      <w:r>
        <w:rPr>
          <w:rFonts w:cstheme="minorHAnsi"/>
        </w:rPr>
        <w:t>∆kWh</w:t>
      </w:r>
      <w:r>
        <w:rPr>
          <w:rStyle w:val="FootnoteReference"/>
          <w:rFonts w:eastAsiaTheme="majorEastAsia"/>
        </w:rPr>
        <w:footnoteReference w:id="28"/>
      </w:r>
      <w:r>
        <w:rPr>
          <w:rFonts w:cstheme="minorHAnsi"/>
        </w:rPr>
        <w:t xml:space="preserve">  = - (((WattsBase - WattsEE) / 1000) * ISR * Hours * HF) / ηHeat  </w:t>
      </w:r>
    </w:p>
    <w:p w:rsidR="00D60E95" w:rsidRDefault="00D60E95" w:rsidP="00D60E95">
      <w:pPr>
        <w:ind w:left="720" w:hanging="720"/>
        <w:rPr>
          <w:rFonts w:cstheme="minorHAnsi"/>
          <w:lang w:val="nl-NL"/>
        </w:rPr>
      </w:pPr>
      <w:r>
        <w:rPr>
          <w:rFonts w:cstheme="minorHAnsi"/>
          <w:lang w:val="nl-NL"/>
        </w:rPr>
        <w:t>Where:</w:t>
      </w:r>
    </w:p>
    <w:p w:rsidR="00D60E95" w:rsidRDefault="00D60E95" w:rsidP="00D60E95">
      <w:pPr>
        <w:ind w:left="720"/>
        <w:rPr>
          <w:rFonts w:cstheme="minorHAnsi"/>
          <w:lang w:val="nl-NL"/>
        </w:rPr>
      </w:pPr>
      <w:r>
        <w:rPr>
          <w:rFonts w:cstheme="minorHAnsi"/>
          <w:lang w:val="nl-NL"/>
        </w:rPr>
        <w:t>HF</w:t>
      </w:r>
      <w:r>
        <w:rPr>
          <w:rFonts w:cstheme="minorHAnsi"/>
          <w:lang w:val="nl-NL"/>
        </w:rPr>
        <w:tab/>
        <w:t>= Heating Factor or percentage of light savings that must be heated</w:t>
      </w:r>
    </w:p>
    <w:p w:rsidR="00D60E95" w:rsidRDefault="00D60E95" w:rsidP="00D60E95">
      <w:pPr>
        <w:ind w:left="720" w:firstLine="720"/>
        <w:rPr>
          <w:rFonts w:cstheme="minorHAnsi"/>
          <w:lang w:val="nl-NL"/>
        </w:rPr>
      </w:pPr>
      <w:r>
        <w:rPr>
          <w:rFonts w:cstheme="minorHAnsi"/>
          <w:lang w:val="nl-NL"/>
        </w:rPr>
        <w:t>= 49%</w:t>
      </w:r>
      <w:r>
        <w:rPr>
          <w:rStyle w:val="FootnoteReference"/>
          <w:rFonts w:eastAsiaTheme="majorEastAsia"/>
          <w:lang w:val="nl-NL"/>
        </w:rPr>
        <w:footnoteReference w:id="29"/>
      </w:r>
      <w:r>
        <w:rPr>
          <w:rFonts w:cstheme="minorHAnsi"/>
          <w:lang w:val="nl-NL"/>
        </w:rPr>
        <w:t xml:space="preserve"> for interior </w:t>
      </w:r>
      <w:r>
        <w:rPr>
          <w:rFonts w:cstheme="minorHAnsi"/>
        </w:rPr>
        <w:t>or unknown</w:t>
      </w:r>
      <w:r>
        <w:rPr>
          <w:rFonts w:cstheme="minorHAnsi"/>
          <w:lang w:val="nl-NL"/>
        </w:rPr>
        <w:t xml:space="preserve"> location</w:t>
      </w:r>
    </w:p>
    <w:p w:rsidR="00D60E95" w:rsidRDefault="00D60E95" w:rsidP="00D60E95">
      <w:pPr>
        <w:ind w:left="720" w:firstLine="720"/>
        <w:rPr>
          <w:rFonts w:cstheme="minorHAnsi"/>
          <w:lang w:val="nl-NL"/>
        </w:rPr>
      </w:pPr>
      <w:r>
        <w:rPr>
          <w:rFonts w:cstheme="minorHAnsi"/>
          <w:lang w:val="nl-NL"/>
        </w:rPr>
        <w:t>= 0% for exterior location</w:t>
      </w:r>
    </w:p>
    <w:p w:rsidR="00D60E95" w:rsidRDefault="00D60E95" w:rsidP="00D60E95">
      <w:pPr>
        <w:ind w:firstLine="720"/>
        <w:rPr>
          <w:rFonts w:cstheme="minorHAnsi"/>
        </w:rPr>
      </w:pPr>
      <w:r>
        <w:rPr>
          <w:rFonts w:cstheme="minorHAnsi"/>
        </w:rPr>
        <w:t xml:space="preserve">ηHeat </w:t>
      </w:r>
      <w:r>
        <w:rPr>
          <w:rFonts w:cstheme="minorHAnsi"/>
        </w:rPr>
        <w:tab/>
        <w:t xml:space="preserve">= Efficiency in COP of Heating equipment </w:t>
      </w:r>
    </w:p>
    <w:p w:rsidR="00D60E95" w:rsidRDefault="00D60E95" w:rsidP="00D60E95">
      <w:pPr>
        <w:ind w:left="720" w:firstLine="720"/>
        <w:rPr>
          <w:rFonts w:cstheme="minorHAnsi"/>
        </w:rPr>
      </w:pPr>
      <w:r>
        <w:rPr>
          <w:rFonts w:cstheme="minorHAnsi"/>
        </w:rPr>
        <w:t>= actual. If not available use</w:t>
      </w:r>
      <w:r>
        <w:rPr>
          <w:rStyle w:val="FootnoteReference"/>
          <w:rFonts w:eastAsiaTheme="majorEastAsia"/>
        </w:rPr>
        <w:footnoteReference w:id="30"/>
      </w:r>
      <w:r>
        <w:rPr>
          <w:rFonts w:cstheme="minorHAnsi"/>
        </w:rPr>
        <w:t>:</w:t>
      </w:r>
    </w:p>
    <w:tbl>
      <w:tblPr>
        <w:tblW w:w="0" w:type="auto"/>
        <w:tblInd w:w="2448" w:type="dxa"/>
        <w:tblCellMar>
          <w:left w:w="0" w:type="dxa"/>
          <w:right w:w="0" w:type="dxa"/>
        </w:tblCellMar>
        <w:tblLook w:val="04A0" w:firstRow="1" w:lastRow="0" w:firstColumn="1" w:lastColumn="0" w:noHBand="0" w:noVBand="1"/>
      </w:tblPr>
      <w:tblGrid>
        <w:gridCol w:w="1350"/>
        <w:gridCol w:w="1732"/>
        <w:gridCol w:w="1379"/>
        <w:gridCol w:w="1479"/>
      </w:tblGrid>
      <w:tr w:rsidR="00D60E95" w:rsidTr="00C81356">
        <w:tc>
          <w:tcPr>
            <w:tcW w:w="135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System Type</w:t>
            </w:r>
          </w:p>
        </w:tc>
        <w:tc>
          <w:tcPr>
            <w:tcW w:w="1732"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Age of Equipment</w:t>
            </w:r>
          </w:p>
        </w:tc>
        <w:tc>
          <w:tcPr>
            <w:tcW w:w="13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HSPF Estimate</w:t>
            </w:r>
          </w:p>
        </w:tc>
        <w:tc>
          <w:tcPr>
            <w:tcW w:w="1479"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hideMark/>
          </w:tcPr>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ηHeat</w:t>
            </w:r>
          </w:p>
          <w:p w:rsidR="00D60E95" w:rsidRDefault="00D60E95" w:rsidP="00C81356">
            <w:pPr>
              <w:spacing w:line="276" w:lineRule="auto"/>
              <w:jc w:val="center"/>
              <w:rPr>
                <w:rFonts w:cstheme="minorHAnsi"/>
                <w:b/>
                <w:color w:val="FFFFFF" w:themeColor="background1"/>
              </w:rPr>
            </w:pPr>
            <w:r>
              <w:rPr>
                <w:rFonts w:cstheme="minorHAnsi"/>
                <w:b/>
                <w:color w:val="FFFFFF" w:themeColor="background1"/>
              </w:rPr>
              <w:t>(COP Estimate)</w:t>
            </w:r>
          </w:p>
        </w:tc>
      </w:tr>
      <w:tr w:rsidR="00D60E95" w:rsidTr="00C81356">
        <w:trPr>
          <w:trHeight w:val="323"/>
        </w:trPr>
        <w:tc>
          <w:tcPr>
            <w:tcW w:w="1350" w:type="dxa"/>
            <w:vMerge w:val="restart"/>
            <w:tcBorders>
              <w:top w:val="nil"/>
              <w:left w:val="single" w:sz="8" w:space="0" w:color="auto"/>
              <w:right w:val="single" w:sz="8" w:space="0" w:color="auto"/>
            </w:tcBorders>
            <w:tcMar>
              <w:top w:w="0" w:type="dxa"/>
              <w:left w:w="108" w:type="dxa"/>
              <w:bottom w:w="0" w:type="dxa"/>
              <w:right w:w="108" w:type="dxa"/>
            </w:tcMar>
            <w:hideMark/>
          </w:tcPr>
          <w:p w:rsidR="00D60E95" w:rsidRDefault="00D60E95" w:rsidP="00C81356">
            <w:r>
              <w:t>Heat Pump</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rPr>
                <w:szCs w:val="16"/>
              </w:rPr>
            </w:pPr>
            <w:r>
              <w:t>Before 2006</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jc w:val="center"/>
              <w:rPr>
                <w:szCs w:val="16"/>
              </w:rPr>
            </w:pPr>
            <w:r>
              <w:t>6.8</w:t>
            </w:r>
          </w:p>
        </w:tc>
        <w:tc>
          <w:tcPr>
            <w:tcW w:w="1479"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jc w:val="center"/>
              <w:rPr>
                <w:szCs w:val="16"/>
              </w:rPr>
            </w:pPr>
            <w:r>
              <w:t>2.00</w:t>
            </w:r>
          </w:p>
        </w:tc>
      </w:tr>
      <w:tr w:rsidR="00D60E95" w:rsidTr="00C81356">
        <w:tc>
          <w:tcPr>
            <w:tcW w:w="0" w:type="auto"/>
            <w:vMerge/>
            <w:tcBorders>
              <w:left w:val="single" w:sz="8" w:space="0" w:color="auto"/>
              <w:right w:val="single" w:sz="8" w:space="0" w:color="auto"/>
            </w:tcBorders>
            <w:vAlign w:val="center"/>
            <w:hideMark/>
          </w:tcPr>
          <w:p w:rsidR="00D60E95" w:rsidRDefault="00D60E95" w:rsidP="00C81356">
            <w:pPr>
              <w:widowControl/>
              <w:jc w:val="left"/>
              <w:rPr>
                <w:rFonts w:cs="Arial"/>
                <w:noProof/>
                <w:szCs w:val="18"/>
                <w:lang w:val="en"/>
              </w:rPr>
            </w:pP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rPr>
                <w:szCs w:val="16"/>
              </w:rPr>
            </w:pPr>
            <w:r>
              <w:t>2006 - 2014</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jc w:val="center"/>
              <w:rPr>
                <w:szCs w:val="16"/>
              </w:rPr>
            </w:pPr>
            <w:r>
              <w:t>7.7</w:t>
            </w:r>
          </w:p>
        </w:tc>
        <w:tc>
          <w:tcPr>
            <w:tcW w:w="1479"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jc w:val="center"/>
              <w:rPr>
                <w:szCs w:val="16"/>
              </w:rPr>
            </w:pPr>
            <w:r>
              <w:t>2.26</w:t>
            </w:r>
          </w:p>
        </w:tc>
      </w:tr>
      <w:tr w:rsidR="00D60E95" w:rsidTr="00C81356">
        <w:trPr>
          <w:trHeight w:val="260"/>
        </w:trPr>
        <w:tc>
          <w:tcPr>
            <w:tcW w:w="1350" w:type="dxa"/>
            <w:vMerge/>
            <w:tcBorders>
              <w:left w:val="single" w:sz="8" w:space="0" w:color="auto"/>
              <w:bottom w:val="single" w:sz="8" w:space="0" w:color="auto"/>
              <w:right w:val="single" w:sz="8" w:space="0" w:color="auto"/>
            </w:tcBorders>
            <w:tcMar>
              <w:top w:w="0" w:type="dxa"/>
              <w:left w:w="108" w:type="dxa"/>
              <w:bottom w:w="0" w:type="dxa"/>
              <w:right w:w="108" w:type="dxa"/>
            </w:tcMar>
          </w:tcPr>
          <w:p w:rsidR="00D60E95" w:rsidRDefault="00D60E95" w:rsidP="00C81356"/>
        </w:tc>
        <w:tc>
          <w:tcPr>
            <w:tcW w:w="1732" w:type="dxa"/>
            <w:tcBorders>
              <w:top w:val="nil"/>
              <w:left w:val="nil"/>
              <w:bottom w:val="single" w:sz="8" w:space="0" w:color="auto"/>
              <w:right w:val="single" w:sz="8" w:space="0" w:color="auto"/>
            </w:tcBorders>
            <w:tcMar>
              <w:top w:w="0" w:type="dxa"/>
              <w:left w:w="108" w:type="dxa"/>
              <w:bottom w:w="0" w:type="dxa"/>
              <w:right w:w="108" w:type="dxa"/>
            </w:tcMar>
          </w:tcPr>
          <w:p w:rsidR="00D60E95" w:rsidRDefault="00D60E95" w:rsidP="00C81356">
            <w:pPr>
              <w:rPr>
                <w:szCs w:val="16"/>
              </w:rPr>
            </w:pPr>
            <w:r>
              <w:t xml:space="preserve">2015 on </w:t>
            </w:r>
          </w:p>
        </w:tc>
        <w:tc>
          <w:tcPr>
            <w:tcW w:w="1379" w:type="dxa"/>
            <w:tcBorders>
              <w:top w:val="nil"/>
              <w:left w:val="nil"/>
              <w:bottom w:val="single" w:sz="8" w:space="0" w:color="auto"/>
              <w:right w:val="single" w:sz="8" w:space="0" w:color="auto"/>
            </w:tcBorders>
            <w:tcMar>
              <w:top w:w="0" w:type="dxa"/>
              <w:left w:w="108" w:type="dxa"/>
              <w:bottom w:w="0" w:type="dxa"/>
              <w:right w:w="108" w:type="dxa"/>
            </w:tcMar>
          </w:tcPr>
          <w:p w:rsidR="00D60E95" w:rsidRDefault="00D60E95" w:rsidP="00C81356">
            <w:pPr>
              <w:jc w:val="center"/>
              <w:rPr>
                <w:szCs w:val="16"/>
              </w:rPr>
            </w:pPr>
            <w:r>
              <w:t>8.2</w:t>
            </w:r>
          </w:p>
        </w:tc>
        <w:tc>
          <w:tcPr>
            <w:tcW w:w="1479" w:type="dxa"/>
            <w:tcBorders>
              <w:top w:val="nil"/>
              <w:left w:val="nil"/>
              <w:bottom w:val="single" w:sz="8" w:space="0" w:color="auto"/>
              <w:right w:val="single" w:sz="8" w:space="0" w:color="auto"/>
            </w:tcBorders>
            <w:tcMar>
              <w:top w:w="0" w:type="dxa"/>
              <w:left w:w="108" w:type="dxa"/>
              <w:bottom w:w="0" w:type="dxa"/>
              <w:right w:w="108" w:type="dxa"/>
            </w:tcMar>
          </w:tcPr>
          <w:p w:rsidR="00D60E95" w:rsidRDefault="00D60E95" w:rsidP="00C81356">
            <w:pPr>
              <w:jc w:val="center"/>
              <w:rPr>
                <w:szCs w:val="16"/>
              </w:rPr>
            </w:pPr>
            <w:r>
              <w:t>2.40</w:t>
            </w:r>
          </w:p>
        </w:tc>
      </w:tr>
      <w:tr w:rsidR="00D60E95" w:rsidTr="00C81356">
        <w:trPr>
          <w:trHeight w:val="260"/>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60E95" w:rsidRDefault="00D60E95" w:rsidP="00C81356">
            <w:pPr>
              <w:rPr>
                <w:szCs w:val="16"/>
              </w:rPr>
            </w:pPr>
            <w:r>
              <w:t>Resistance</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rPr>
                <w:szCs w:val="16"/>
              </w:rPr>
            </w:pPr>
            <w:r>
              <w:t>N/A</w:t>
            </w:r>
          </w:p>
        </w:tc>
        <w:tc>
          <w:tcPr>
            <w:tcW w:w="1379"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jc w:val="center"/>
              <w:rPr>
                <w:szCs w:val="16"/>
              </w:rPr>
            </w:pPr>
            <w:r>
              <w:t>N/A</w:t>
            </w:r>
          </w:p>
        </w:tc>
        <w:tc>
          <w:tcPr>
            <w:tcW w:w="1479" w:type="dxa"/>
            <w:tcBorders>
              <w:top w:val="nil"/>
              <w:left w:val="nil"/>
              <w:bottom w:val="single" w:sz="8" w:space="0" w:color="auto"/>
              <w:right w:val="single" w:sz="8" w:space="0" w:color="auto"/>
            </w:tcBorders>
            <w:tcMar>
              <w:top w:w="0" w:type="dxa"/>
              <w:left w:w="108" w:type="dxa"/>
              <w:bottom w:w="0" w:type="dxa"/>
              <w:right w:w="108" w:type="dxa"/>
            </w:tcMar>
            <w:hideMark/>
          </w:tcPr>
          <w:p w:rsidR="00D60E95" w:rsidRDefault="00D60E95" w:rsidP="00C81356">
            <w:pPr>
              <w:jc w:val="center"/>
              <w:rPr>
                <w:szCs w:val="16"/>
              </w:rPr>
            </w:pPr>
            <w:r>
              <w:t>1.00</w:t>
            </w:r>
          </w:p>
        </w:tc>
      </w:tr>
    </w:tbl>
    <w:p w:rsidR="00D60E95" w:rsidRDefault="00D60E95" w:rsidP="00D60E95">
      <w:pPr>
        <w:ind w:left="1440" w:hanging="720"/>
        <w:rPr>
          <w:rFonts w:eastAsiaTheme="minorHAnsi" w:cstheme="minorHAnsi"/>
          <w:b/>
          <w:bCs/>
          <w:szCs w:val="20"/>
        </w:rPr>
      </w:pPr>
    </w:p>
    <w:p w:rsidR="00D60E95" w:rsidRDefault="00D60E95" w:rsidP="00D60E95">
      <w:pPr>
        <w:ind w:left="1440" w:hanging="1440"/>
        <w:rPr>
          <w:rFonts w:eastAsiaTheme="minorHAnsi" w:cstheme="minorHAnsi"/>
          <w:b/>
          <w:bCs/>
          <w:szCs w:val="20"/>
        </w:rPr>
      </w:pPr>
      <w:r>
        <w:rPr>
          <w:noProof/>
        </w:rPr>
        <w:lastRenderedPageBreak/>
        <mc:AlternateContent>
          <mc:Choice Requires="wps">
            <w:drawing>
              <wp:inline distT="0" distB="0" distL="0" distR="0" wp14:anchorId="35DC60F6" wp14:editId="628080A7">
                <wp:extent cx="5873115" cy="1233377"/>
                <wp:effectExtent l="0" t="0" r="13335" b="24130"/>
                <wp:docPr id="483"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115" cy="1233377"/>
                        </a:xfrm>
                        <a:prstGeom prst="rect">
                          <a:avLst/>
                        </a:prstGeom>
                        <a:solidFill>
                          <a:srgbClr val="FFFFFF"/>
                        </a:solidFill>
                        <a:ln w="9525">
                          <a:solidFill>
                            <a:srgbClr val="000000"/>
                          </a:solidFill>
                          <a:miter lim="800000"/>
                          <a:headEnd/>
                          <a:tailEnd/>
                        </a:ln>
                      </wps:spPr>
                      <wps:txbx>
                        <w:txbxContent>
                          <w:p w:rsidR="00D60E95" w:rsidRDefault="00D60E95" w:rsidP="00D60E95">
                            <w:pPr>
                              <w:rPr>
                                <w:rFonts w:cstheme="minorHAnsi"/>
                                <w:sz w:val="22"/>
                              </w:rPr>
                            </w:pPr>
                            <w:r>
                              <w:rPr>
                                <w:rFonts w:cstheme="minorHAnsi"/>
                              </w:rPr>
                              <w:t>For example, a 15W globe CFL replacing a 60W incandescent specialty bulb installed in home with 2.0 COP Heat Pump:</w:t>
                            </w:r>
                          </w:p>
                          <w:p w:rsidR="00D60E95" w:rsidRDefault="00D60E95" w:rsidP="00D60E95">
                            <w:pPr>
                              <w:ind w:firstLine="720"/>
                              <w:rPr>
                                <w:rFonts w:cstheme="minorHAnsi"/>
                              </w:rPr>
                            </w:pPr>
                            <w:r>
                              <w:rPr>
                                <w:rFonts w:cstheme="minorHAnsi"/>
                                <w:noProof/>
                              </w:rPr>
                              <w:t>∆</w:t>
                            </w:r>
                            <w:r>
                              <w:rPr>
                                <w:rFonts w:cstheme="minorHAnsi"/>
                              </w:rPr>
                              <w:t>kWh</w:t>
                            </w:r>
                            <w:r>
                              <w:rPr>
                                <w:rFonts w:cstheme="minorHAnsi"/>
                                <w:vertAlign w:val="subscript"/>
                              </w:rPr>
                              <w:t>1st year</w:t>
                            </w:r>
                            <w:r>
                              <w:rPr>
                                <w:rFonts w:cstheme="minorHAnsi"/>
                              </w:rPr>
                              <w:t xml:space="preserve">    </w:t>
                            </w:r>
                            <w:r>
                              <w:rPr>
                                <w:rFonts w:cstheme="minorHAnsi"/>
                              </w:rPr>
                              <w:tab/>
                              <w:t>= - (((60 - 15) / 1000) * 0.823 * 639 * 0.49) / 2.0</w:t>
                            </w:r>
                          </w:p>
                          <w:p w:rsidR="00D60E95" w:rsidRDefault="00D60E95" w:rsidP="00D60E95">
                            <w:pPr>
                              <w:ind w:left="1440" w:firstLine="720"/>
                              <w:rPr>
                                <w:rFonts w:cstheme="minorHAnsi"/>
                              </w:rPr>
                            </w:pPr>
                            <w:r>
                              <w:rPr>
                                <w:rFonts w:cstheme="minorHAnsi"/>
                              </w:rPr>
                              <w:t>= - 5.8 kWh</w:t>
                            </w:r>
                          </w:p>
                          <w:p w:rsidR="00D60E95" w:rsidRDefault="00D60E95" w:rsidP="00D60E95">
                            <w:pPr>
                              <w:rPr>
                                <w:rFonts w:cstheme="minorHAnsi"/>
                              </w:rPr>
                            </w:pPr>
                            <w:r>
                              <w:rPr>
                                <w:rFonts w:cstheme="minorHAnsi"/>
                              </w:rPr>
                              <w:t xml:space="preserve">Second and third year savings should be calculated using the appropriate ISR. </w:t>
                            </w:r>
                          </w:p>
                          <w:p w:rsidR="00D60E95" w:rsidRDefault="00D60E95" w:rsidP="00D60E95"/>
                        </w:txbxContent>
                      </wps:txbx>
                      <wps:bodyPr rot="0" vert="horz" wrap="square" lIns="91440" tIns="45720" rIns="91440" bIns="45720" anchor="t" anchorCtr="0">
                        <a:noAutofit/>
                      </wps:bodyPr>
                    </wps:wsp>
                  </a:graphicData>
                </a:graphic>
              </wp:inline>
            </w:drawing>
          </mc:Choice>
          <mc:Fallback>
            <w:pict>
              <v:shape id="Text Box 483" o:spid="_x0000_s1027" type="#_x0000_t202" style="width:462.45pt;height:9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">
                <v:textbox>
                  <w:txbxContent>
                    <w:p w:rsidR="00D60E95" w:rsidRDefault="00D60E95" w:rsidP="00D60E95">
                      <w:pPr>
                        <w:rPr>
                          <w:rFonts w:cstheme="minorHAnsi"/>
                          <w:sz w:val="22"/>
                        </w:rPr>
                      </w:pPr>
                      <w:r>
                        <w:rPr>
                          <w:rFonts w:cstheme="minorHAnsi"/>
                        </w:rPr>
                        <w:t>For example, a 15W globe CFL replacing a 60W incandescent specialty bulb installed in home with 2.0 COP Heat Pump:</w:t>
                      </w:r>
                    </w:p>
                    <w:p w:rsidR="00D60E95" w:rsidRDefault="00D60E95" w:rsidP="00D60E95">
                      <w:pPr>
                        <w:ind w:firstLine="720"/>
                        <w:rPr>
                          <w:rFonts w:cstheme="minorHAnsi"/>
                        </w:rPr>
                      </w:pPr>
                      <w:r>
                        <w:rPr>
                          <w:rFonts w:cstheme="minorHAnsi"/>
                          <w:noProof/>
                        </w:rPr>
                        <w:t>∆</w:t>
                      </w:r>
                      <w:r>
                        <w:rPr>
                          <w:rFonts w:cstheme="minorHAnsi"/>
                        </w:rPr>
                        <w:t>kWh</w:t>
                      </w:r>
                      <w:r>
                        <w:rPr>
                          <w:rFonts w:cstheme="minorHAnsi"/>
                          <w:vertAlign w:val="subscript"/>
                        </w:rPr>
                        <w:t>1st year</w:t>
                      </w:r>
                      <w:r>
                        <w:rPr>
                          <w:rFonts w:cstheme="minorHAnsi"/>
                        </w:rPr>
                        <w:t xml:space="preserve">    </w:t>
                      </w:r>
                      <w:r>
                        <w:rPr>
                          <w:rFonts w:cstheme="minorHAnsi"/>
                        </w:rPr>
                        <w:tab/>
                        <w:t>= - (((60 - 15) / 1000) * 0.823 * 639 * 0.49) / 2.0</w:t>
                      </w:r>
                    </w:p>
                    <w:p w:rsidR="00D60E95" w:rsidRDefault="00D60E95" w:rsidP="00D60E95">
                      <w:pPr>
                        <w:ind w:left="1440" w:firstLine="720"/>
                        <w:rPr>
                          <w:rFonts w:cstheme="minorHAnsi"/>
                        </w:rPr>
                      </w:pPr>
                      <w:r>
                        <w:rPr>
                          <w:rFonts w:cstheme="minorHAnsi"/>
                        </w:rPr>
                        <w:t>= - 5.8 kWh</w:t>
                      </w:r>
                    </w:p>
                    <w:p w:rsidR="00D60E95" w:rsidRDefault="00D60E95" w:rsidP="00D60E95">
                      <w:pPr>
                        <w:rPr>
                          <w:rFonts w:cstheme="minorHAnsi"/>
                        </w:rPr>
                      </w:pPr>
                      <w:r>
                        <w:rPr>
                          <w:rFonts w:cstheme="minorHAnsi"/>
                        </w:rPr>
                        <w:t xml:space="preserve">Second and third year savings should be calculated using the appropriate ISR. </w:t>
                      </w:r>
                    </w:p>
                    <w:p w:rsidR="00D60E95" w:rsidRDefault="00D60E95" w:rsidP="00D60E95"/>
                  </w:txbxContent>
                </v:textbox>
                <w10:anchorlock/>
              </v:shape>
            </w:pict>
          </mc:Fallback>
        </mc:AlternateContent>
      </w:r>
    </w:p>
    <w:p w:rsidR="00D60E95" w:rsidRDefault="00D60E95" w:rsidP="00D60E95">
      <w:pPr>
        <w:pStyle w:val="Heading6"/>
      </w:pPr>
      <w:r>
        <w:t>Summer Coincident Peak Demand Savings</w:t>
      </w:r>
    </w:p>
    <w:p w:rsidR="00D60E95" w:rsidRDefault="00D60E95" w:rsidP="00D60E95">
      <w:pPr>
        <w:ind w:left="1440" w:hanging="720"/>
        <w:rPr>
          <w:rFonts w:cstheme="minorHAnsi"/>
          <w:noProof/>
          <w:szCs w:val="20"/>
          <w:lang w:val="nl-NL"/>
        </w:rPr>
      </w:pPr>
      <w:r>
        <w:rPr>
          <w:rFonts w:cstheme="minorHAnsi"/>
          <w:noProof/>
        </w:rPr>
        <w:t>∆kW</w:t>
      </w:r>
      <w:r>
        <w:rPr>
          <w:rFonts w:cstheme="minorHAnsi"/>
          <w:noProof/>
        </w:rPr>
        <w:tab/>
        <w:t>=((WattsBase - WattsEE) / 1000) * ISR * WHFd * CF</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rsidR="00D60E95" w:rsidRDefault="00D60E95" w:rsidP="00D60E95">
      <w:pPr>
        <w:widowControl/>
        <w:jc w:val="left"/>
        <w:rPr>
          <w:rFonts w:cstheme="minorHAnsi"/>
          <w:noProof/>
          <w:lang w:val="nl-NL"/>
        </w:rPr>
      </w:pPr>
      <w:r>
        <w:rPr>
          <w:rFonts w:cstheme="minorHAnsi"/>
          <w:noProof/>
          <w:lang w:val="nl-NL"/>
        </w:rPr>
        <w:t>Where:</w:t>
      </w:r>
    </w:p>
    <w:p w:rsidR="00D60E95" w:rsidRDefault="00D60E95" w:rsidP="00D60E95">
      <w:pPr>
        <w:widowControl/>
        <w:ind w:left="1440" w:hanging="720"/>
        <w:jc w:val="left"/>
        <w:rPr>
          <w:rFonts w:cstheme="minorHAnsi"/>
          <w:noProof/>
        </w:rPr>
      </w:pPr>
      <w:r>
        <w:rPr>
          <w:rFonts w:cstheme="minorHAnsi"/>
          <w:noProof/>
        </w:rPr>
        <w:t>WHFd</w:t>
      </w:r>
      <w:r>
        <w:rPr>
          <w:rFonts w:cstheme="minorHAnsi"/>
          <w:noProof/>
        </w:rPr>
        <w:tab/>
        <w:t xml:space="preserve">= Waste heat factor for demand to account for cooling savings from efficient lighting. </w:t>
      </w:r>
    </w:p>
    <w:tbl>
      <w:tblPr>
        <w:tblStyle w:val="TableGrid"/>
        <w:tblW w:w="0" w:type="auto"/>
        <w:tblInd w:w="2160" w:type="dxa"/>
        <w:tblLook w:val="04A0" w:firstRow="1" w:lastRow="0" w:firstColumn="1" w:lastColumn="0" w:noHBand="0" w:noVBand="1"/>
      </w:tblPr>
      <w:tblGrid>
        <w:gridCol w:w="3888"/>
        <w:gridCol w:w="1440"/>
      </w:tblGrid>
      <w:tr w:rsidR="00D60E95" w:rsidRPr="0077765A" w:rsidTr="00C81356">
        <w:trPr>
          <w:tblHeader/>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Bulb Location</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60E95" w:rsidRPr="0077765A" w:rsidRDefault="00D60E95" w:rsidP="00C81356">
            <w:pPr>
              <w:jc w:val="center"/>
              <w:rPr>
                <w:rFonts w:asciiTheme="minorHAnsi" w:hAnsiTheme="minorHAnsi"/>
                <w:b/>
                <w:color w:val="FFFFFF" w:themeColor="background1"/>
              </w:rPr>
            </w:pPr>
            <w:r w:rsidRPr="0077765A">
              <w:rPr>
                <w:rFonts w:asciiTheme="minorHAnsi" w:hAnsiTheme="minorHAnsi"/>
                <w:b/>
                <w:color w:val="FFFFFF" w:themeColor="background1"/>
              </w:rPr>
              <w:t>WHFd</w:t>
            </w:r>
          </w:p>
        </w:tc>
      </w:tr>
      <w:tr w:rsidR="00D60E95" w:rsidRPr="0077765A" w:rsidTr="00C81356">
        <w:tc>
          <w:tcPr>
            <w:tcW w:w="3888"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rPr>
                <w:rFonts w:asciiTheme="minorHAnsi" w:hAnsiTheme="minorHAnsi"/>
              </w:rPr>
            </w:pPr>
            <w:r w:rsidRPr="0077765A">
              <w:rPr>
                <w:rFonts w:asciiTheme="minorHAnsi" w:hAnsiTheme="minorHAnsi"/>
              </w:rPr>
              <w:t>Interior single family or unknown location</w:t>
            </w:r>
          </w:p>
        </w:tc>
        <w:tc>
          <w:tcPr>
            <w:tcW w:w="1440"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jc w:val="center"/>
              <w:rPr>
                <w:rFonts w:asciiTheme="minorHAnsi" w:hAnsiTheme="minorHAnsi"/>
                <w:szCs w:val="22"/>
              </w:rPr>
            </w:pPr>
            <w:r w:rsidRPr="0077765A">
              <w:rPr>
                <w:rFonts w:asciiTheme="minorHAnsi" w:hAnsiTheme="minorHAnsi"/>
              </w:rPr>
              <w:t>1.11</w:t>
            </w:r>
            <w:r w:rsidRPr="009C362B">
              <w:rPr>
                <w:rFonts w:eastAsiaTheme="majorEastAsia"/>
                <w:vertAlign w:val="superscript"/>
              </w:rPr>
              <w:footnoteReference w:id="31"/>
            </w:r>
          </w:p>
        </w:tc>
      </w:tr>
      <w:tr w:rsidR="00D60E95" w:rsidRPr="0077765A" w:rsidTr="00C81356">
        <w:tc>
          <w:tcPr>
            <w:tcW w:w="3888"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rPr>
                <w:rFonts w:asciiTheme="minorHAnsi" w:hAnsiTheme="minorHAnsi"/>
              </w:rPr>
            </w:pPr>
            <w:r w:rsidRPr="0077765A">
              <w:rPr>
                <w:rFonts w:asciiTheme="minorHAnsi" w:hAnsiTheme="minorHAnsi"/>
              </w:rPr>
              <w:t>Multi family in unit</w:t>
            </w:r>
          </w:p>
        </w:tc>
        <w:tc>
          <w:tcPr>
            <w:tcW w:w="1440"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jc w:val="center"/>
              <w:rPr>
                <w:rFonts w:asciiTheme="minorHAnsi" w:hAnsiTheme="minorHAnsi"/>
                <w:szCs w:val="22"/>
              </w:rPr>
            </w:pPr>
            <w:r w:rsidRPr="0077765A">
              <w:rPr>
                <w:rFonts w:asciiTheme="minorHAnsi" w:hAnsiTheme="minorHAnsi"/>
              </w:rPr>
              <w:t>1.07</w:t>
            </w:r>
            <w:r w:rsidRPr="009C362B">
              <w:rPr>
                <w:rFonts w:eastAsiaTheme="majorEastAsia"/>
                <w:vertAlign w:val="superscript"/>
              </w:rPr>
              <w:footnoteReference w:id="32"/>
            </w:r>
          </w:p>
        </w:tc>
      </w:tr>
      <w:tr w:rsidR="00D60E95" w:rsidRPr="0077765A" w:rsidTr="00C81356">
        <w:tc>
          <w:tcPr>
            <w:tcW w:w="3888"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rPr>
                <w:rFonts w:asciiTheme="minorHAnsi" w:hAnsiTheme="minorHAnsi"/>
              </w:rPr>
            </w:pPr>
            <w:r w:rsidRPr="0077765A">
              <w:rPr>
                <w:rFonts w:asciiTheme="minorHAnsi" w:hAnsiTheme="minorHAnsi"/>
              </w:rPr>
              <w:t>Exterior or uncooled location</w:t>
            </w:r>
          </w:p>
        </w:tc>
        <w:tc>
          <w:tcPr>
            <w:tcW w:w="1440" w:type="dxa"/>
            <w:tcBorders>
              <w:top w:val="single" w:sz="4" w:space="0" w:color="auto"/>
              <w:left w:val="single" w:sz="4" w:space="0" w:color="auto"/>
              <w:bottom w:val="single" w:sz="4" w:space="0" w:color="auto"/>
              <w:right w:val="single" w:sz="4" w:space="0" w:color="auto"/>
            </w:tcBorders>
            <w:hideMark/>
          </w:tcPr>
          <w:p w:rsidR="00D60E95" w:rsidRPr="0077765A" w:rsidRDefault="00D60E95" w:rsidP="00C81356">
            <w:pPr>
              <w:jc w:val="center"/>
              <w:rPr>
                <w:rFonts w:asciiTheme="minorHAnsi" w:hAnsiTheme="minorHAnsi"/>
                <w:szCs w:val="22"/>
              </w:rPr>
            </w:pPr>
            <w:r w:rsidRPr="0077765A">
              <w:rPr>
                <w:rFonts w:asciiTheme="minorHAnsi" w:hAnsiTheme="minorHAnsi"/>
              </w:rPr>
              <w:t>1.0</w:t>
            </w:r>
          </w:p>
        </w:tc>
      </w:tr>
    </w:tbl>
    <w:p w:rsidR="00D60E95" w:rsidRDefault="00D60E95" w:rsidP="00D60E95">
      <w:pPr>
        <w:spacing w:before="240"/>
        <w:ind w:left="2160" w:hanging="1440"/>
        <w:rPr>
          <w:rFonts w:cstheme="minorHAnsi"/>
        </w:rPr>
      </w:pPr>
      <w:r>
        <w:rPr>
          <w:rFonts w:cstheme="minorHAnsi"/>
          <w:noProof/>
        </w:rPr>
        <w:t xml:space="preserve">CF </w:t>
      </w:r>
      <w:r>
        <w:rPr>
          <w:rFonts w:cstheme="minorHAnsi"/>
          <w:noProof/>
        </w:rPr>
        <w:tab/>
        <w:t xml:space="preserve">= Summer Peak Coincidence Factor for measure. </w:t>
      </w:r>
      <w:r>
        <w:rPr>
          <w:rFonts w:cstheme="minorHAnsi"/>
        </w:rPr>
        <w:t>Coincidence factors by bulb types are presented below</w:t>
      </w:r>
      <w:r>
        <w:rPr>
          <w:rStyle w:val="FootnoteReference"/>
          <w:rFonts w:eastAsiaTheme="majorEastAsia"/>
        </w:rPr>
        <w:footnoteReference w:id="33"/>
      </w:r>
      <w:r>
        <w:rPr>
          <w:rFonts w:cstheme="minorHAnsi"/>
        </w:rPr>
        <w:t xml:space="preserve">  </w:t>
      </w:r>
    </w:p>
    <w:tbl>
      <w:tblPr>
        <w:tblW w:w="7295" w:type="dxa"/>
        <w:jc w:val="center"/>
        <w:tblInd w:w="103" w:type="dxa"/>
        <w:tblLook w:val="04A0" w:firstRow="1" w:lastRow="0" w:firstColumn="1" w:lastColumn="0" w:noHBand="0" w:noVBand="1"/>
      </w:tblPr>
      <w:tblGrid>
        <w:gridCol w:w="5945"/>
        <w:gridCol w:w="1350"/>
      </w:tblGrid>
      <w:tr w:rsidR="00D60E95" w:rsidRPr="00E4628C" w:rsidTr="00C81356">
        <w:trPr>
          <w:trHeight w:val="20"/>
          <w:tblHeader/>
          <w:jc w:val="center"/>
        </w:trPr>
        <w:tc>
          <w:tcPr>
            <w:tcW w:w="594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60E95" w:rsidRPr="00E4628C" w:rsidRDefault="00D60E95" w:rsidP="00C81356">
            <w:pPr>
              <w:spacing w:line="276" w:lineRule="auto"/>
              <w:jc w:val="center"/>
              <w:rPr>
                <w:rFonts w:cstheme="minorHAnsi"/>
                <w:b/>
                <w:color w:val="FFFFFF" w:themeColor="background1"/>
              </w:rPr>
            </w:pPr>
            <w:r w:rsidRPr="00E4628C">
              <w:rPr>
                <w:rFonts w:cstheme="minorHAnsi"/>
                <w:b/>
                <w:color w:val="FFFFFF" w:themeColor="background1"/>
              </w:rPr>
              <w:t>Bulb Type</w:t>
            </w:r>
          </w:p>
        </w:tc>
        <w:tc>
          <w:tcPr>
            <w:tcW w:w="1350" w:type="dxa"/>
            <w:tcBorders>
              <w:top w:val="single" w:sz="4" w:space="0" w:color="auto"/>
              <w:left w:val="nil"/>
              <w:bottom w:val="single" w:sz="4" w:space="0" w:color="auto"/>
              <w:right w:val="single" w:sz="4" w:space="0" w:color="auto"/>
            </w:tcBorders>
            <w:shd w:val="clear" w:color="auto" w:fill="7F7F7F" w:themeFill="text1" w:themeFillTint="80"/>
            <w:vAlign w:val="bottom"/>
            <w:hideMark/>
          </w:tcPr>
          <w:p w:rsidR="00D60E95" w:rsidRPr="00E4628C" w:rsidRDefault="00D60E95" w:rsidP="00C81356">
            <w:pPr>
              <w:spacing w:line="276" w:lineRule="auto"/>
              <w:jc w:val="center"/>
              <w:rPr>
                <w:rFonts w:cstheme="minorHAnsi"/>
                <w:b/>
                <w:color w:val="FFFFFF" w:themeColor="background1"/>
              </w:rPr>
            </w:pPr>
            <w:r w:rsidRPr="00E4628C">
              <w:rPr>
                <w:rFonts w:cstheme="minorHAnsi"/>
                <w:b/>
                <w:color w:val="FFFFFF" w:themeColor="background1"/>
              </w:rPr>
              <w:t>Peak CF</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r w:rsidRPr="00E4628C">
              <w:t>Three-way</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0.078</w:t>
            </w:r>
            <w:r w:rsidRPr="009C362B">
              <w:rPr>
                <w:rStyle w:val="FootnoteReference"/>
              </w:rPr>
              <w:footnoteReference w:id="34"/>
            </w:r>
          </w:p>
        </w:tc>
      </w:tr>
      <w:tr w:rsidR="00D60E95" w:rsidRPr="00E4628C" w:rsidTr="00C81356">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Dimmable</w:t>
            </w:r>
          </w:p>
        </w:tc>
        <w:tc>
          <w:tcPr>
            <w:tcW w:w="1350" w:type="dxa"/>
            <w:tcBorders>
              <w:top w:val="single" w:sz="4" w:space="0" w:color="auto"/>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0.078</w:t>
            </w:r>
            <w:r w:rsidRPr="009C362B">
              <w:rPr>
                <w:rStyle w:val="FootnoteReference"/>
              </w:rPr>
              <w:footnoteReference w:id="35"/>
            </w:r>
          </w:p>
        </w:tc>
      </w:tr>
      <w:tr w:rsidR="00D60E95" w:rsidRPr="00E4628C" w:rsidTr="00C81356">
        <w:trPr>
          <w:trHeight w:val="20"/>
          <w:jc w:val="center"/>
        </w:trPr>
        <w:tc>
          <w:tcPr>
            <w:tcW w:w="5945" w:type="dxa"/>
            <w:tcBorders>
              <w:top w:val="single" w:sz="4" w:space="0" w:color="auto"/>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Interior reflector (incl. dimmable)</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0.091</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Exterior reflector</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0.273</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Candelabra base and candle medium and intermediate base</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0.121</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Bug light</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0.273</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Post light (&gt;100W)</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0.273</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Daylight</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0.081</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Plant light</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0.081</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lastRenderedPageBreak/>
              <w:t>Globe</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0.075</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Vibration or shatterproof</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0.081</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Standard Spiral &gt;=2601 lumens, Residential, Multi-family in unit</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0.071</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tcPr>
          <w:p w:rsidR="00D60E95" w:rsidRPr="00E4628C" w:rsidRDefault="00D60E95" w:rsidP="00C81356">
            <w:pPr>
              <w:rPr>
                <w:szCs w:val="16"/>
              </w:rPr>
            </w:pPr>
            <w:r w:rsidRPr="00E4628C">
              <w:t>Standard spirals &gt;= 2601 lumens, unknown</w:t>
            </w:r>
          </w:p>
        </w:tc>
        <w:tc>
          <w:tcPr>
            <w:tcW w:w="1350" w:type="dxa"/>
            <w:tcBorders>
              <w:top w:val="nil"/>
              <w:left w:val="nil"/>
              <w:bottom w:val="single" w:sz="4" w:space="0" w:color="auto"/>
              <w:right w:val="single" w:sz="4" w:space="0" w:color="auto"/>
            </w:tcBorders>
            <w:noWrap/>
            <w:vAlign w:val="bottom"/>
          </w:tcPr>
          <w:p w:rsidR="00D60E95" w:rsidRPr="00E4628C" w:rsidRDefault="00D60E95" w:rsidP="00C81356">
            <w:pPr>
              <w:jc w:val="center"/>
              <w:rPr>
                <w:szCs w:val="16"/>
              </w:rPr>
            </w:pPr>
            <w:r w:rsidRPr="00E4628C">
              <w:t>0.081</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tcPr>
          <w:p w:rsidR="00D60E95" w:rsidRPr="00E4628C" w:rsidRDefault="00D60E95" w:rsidP="00C81356">
            <w:pPr>
              <w:rPr>
                <w:szCs w:val="16"/>
              </w:rPr>
            </w:pPr>
            <w:r w:rsidRPr="00E4628C">
              <w:t>Standard spirals &gt;= 2601 lumens, exterior</w:t>
            </w:r>
          </w:p>
        </w:tc>
        <w:tc>
          <w:tcPr>
            <w:tcW w:w="1350" w:type="dxa"/>
            <w:tcBorders>
              <w:top w:val="nil"/>
              <w:left w:val="nil"/>
              <w:bottom w:val="single" w:sz="4" w:space="0" w:color="auto"/>
              <w:right w:val="single" w:sz="4" w:space="0" w:color="auto"/>
            </w:tcBorders>
            <w:noWrap/>
            <w:vAlign w:val="bottom"/>
          </w:tcPr>
          <w:p w:rsidR="00D60E95" w:rsidRPr="00E4628C" w:rsidRDefault="00D60E95" w:rsidP="00C81356">
            <w:pPr>
              <w:jc w:val="center"/>
              <w:rPr>
                <w:szCs w:val="16"/>
              </w:rPr>
            </w:pPr>
            <w:r w:rsidRPr="00E4628C">
              <w:t>0.273</w:t>
            </w:r>
          </w:p>
        </w:tc>
      </w:tr>
      <w:tr w:rsidR="00D60E95" w:rsidRPr="00E4628C" w:rsidTr="00C81356">
        <w:trPr>
          <w:trHeight w:val="20"/>
          <w:jc w:val="center"/>
        </w:trPr>
        <w:tc>
          <w:tcPr>
            <w:tcW w:w="5945" w:type="dxa"/>
            <w:tcBorders>
              <w:top w:val="nil"/>
              <w:left w:val="single" w:sz="4" w:space="0" w:color="auto"/>
              <w:bottom w:val="single" w:sz="4" w:space="0" w:color="auto"/>
              <w:right w:val="single" w:sz="4" w:space="0" w:color="auto"/>
            </w:tcBorders>
            <w:vAlign w:val="center"/>
            <w:hideMark/>
          </w:tcPr>
          <w:p w:rsidR="00D60E95" w:rsidRPr="00E4628C" w:rsidRDefault="00D60E95" w:rsidP="00C81356">
            <w:pPr>
              <w:rPr>
                <w:szCs w:val="16"/>
              </w:rPr>
            </w:pPr>
            <w:r w:rsidRPr="00E4628C">
              <w:t>Specialty - Generic</w:t>
            </w:r>
          </w:p>
        </w:tc>
        <w:tc>
          <w:tcPr>
            <w:tcW w:w="1350" w:type="dxa"/>
            <w:tcBorders>
              <w:top w:val="nil"/>
              <w:left w:val="nil"/>
              <w:bottom w:val="single" w:sz="4" w:space="0" w:color="auto"/>
              <w:right w:val="single" w:sz="4" w:space="0" w:color="auto"/>
            </w:tcBorders>
            <w:noWrap/>
            <w:vAlign w:val="bottom"/>
            <w:hideMark/>
          </w:tcPr>
          <w:p w:rsidR="00D60E95" w:rsidRPr="00E4628C" w:rsidRDefault="00D60E95" w:rsidP="00C81356">
            <w:pPr>
              <w:jc w:val="center"/>
              <w:rPr>
                <w:szCs w:val="16"/>
              </w:rPr>
            </w:pPr>
            <w:r w:rsidRPr="00E4628C">
              <w:t>0.081</w:t>
            </w:r>
          </w:p>
        </w:tc>
      </w:tr>
    </w:tbl>
    <w:p w:rsidR="00D60E95" w:rsidRDefault="00D60E95" w:rsidP="00D60E95">
      <w:pPr>
        <w:ind w:left="720" w:firstLine="720"/>
        <w:rPr>
          <w:rFonts w:cstheme="minorHAnsi"/>
        </w:rPr>
      </w:pPr>
    </w:p>
    <w:p w:rsidR="00D60E95" w:rsidRDefault="00D60E95" w:rsidP="00D60E95">
      <w:pPr>
        <w:ind w:left="720" w:firstLine="720"/>
        <w:rPr>
          <w:rFonts w:cstheme="minorHAnsi"/>
        </w:rPr>
      </w:pPr>
      <w:r>
        <w:rPr>
          <w:rFonts w:cstheme="minorHAnsi"/>
        </w:rPr>
        <w:t>Other factors as defined above</w:t>
      </w:r>
    </w:p>
    <w:p w:rsidR="00D60E95" w:rsidRDefault="00D60E95" w:rsidP="00D60E95">
      <w:pPr>
        <w:rPr>
          <w:rFonts w:cstheme="minorHAnsi"/>
        </w:rPr>
      </w:pPr>
      <w:r>
        <w:rPr>
          <w:noProof/>
        </w:rPr>
        <mc:AlternateContent>
          <mc:Choice Requires="wps">
            <w:drawing>
              <wp:inline distT="0" distB="0" distL="0" distR="0" wp14:anchorId="3EA4ACEA" wp14:editId="4E8A748F">
                <wp:extent cx="5604510" cy="1076325"/>
                <wp:effectExtent l="0" t="0" r="15240" b="28575"/>
                <wp:docPr id="484"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4510" cy="1076325"/>
                        </a:xfrm>
                        <a:prstGeom prst="rect">
                          <a:avLst/>
                        </a:prstGeom>
                        <a:solidFill>
                          <a:srgbClr val="FFFFFF"/>
                        </a:solidFill>
                        <a:ln w="9525">
                          <a:solidFill>
                            <a:srgbClr val="000000"/>
                          </a:solidFill>
                          <a:miter lim="800000"/>
                          <a:headEnd/>
                          <a:tailEnd/>
                        </a:ln>
                      </wps:spPr>
                      <wps:txbx>
                        <w:txbxContent>
                          <w:p w:rsidR="00D60E95" w:rsidRDefault="00D60E95" w:rsidP="00D60E95">
                            <w:pPr>
                              <w:rPr>
                                <w:rFonts w:cstheme="minorHAnsi"/>
                              </w:rPr>
                            </w:pPr>
                            <w:r>
                              <w:rPr>
                                <w:rFonts w:cstheme="minorHAnsi"/>
                              </w:rPr>
                              <w:t>For example, a 15W specialty CFL replacing a 60W incandescent specialty bulb:</w:t>
                            </w:r>
                          </w:p>
                          <w:p w:rsidR="00D60E95" w:rsidRDefault="00D60E95" w:rsidP="00D60E95">
                            <w:pPr>
                              <w:ind w:firstLine="720"/>
                              <w:rPr>
                                <w:rFonts w:cstheme="minorHAnsi"/>
                                <w:noProof/>
                              </w:rPr>
                            </w:pPr>
                            <w:r>
                              <w:rPr>
                                <w:rFonts w:cstheme="minorHAnsi"/>
                                <w:noProof/>
                              </w:rPr>
                              <w:t>ΔkW</w:t>
                            </w:r>
                            <w:r>
                              <w:rPr>
                                <w:rFonts w:cstheme="minorHAnsi"/>
                                <w:noProof/>
                                <w:vertAlign w:val="subscript"/>
                              </w:rPr>
                              <w:t>1st year</w:t>
                            </w:r>
                            <w:r>
                              <w:rPr>
                                <w:rFonts w:cstheme="minorHAnsi"/>
                              </w:rPr>
                              <w:t xml:space="preserve"> </w:t>
                            </w:r>
                            <w:r>
                              <w:rPr>
                                <w:rFonts w:cstheme="minorHAnsi"/>
                              </w:rPr>
                              <w:tab/>
                              <w:t>= (</w:t>
                            </w:r>
                            <w:r>
                              <w:rPr>
                                <w:rFonts w:cstheme="minorHAnsi"/>
                                <w:noProof/>
                              </w:rPr>
                              <w:t>(60 - 15) / 1000) * 0.823 * 1.11 * 0.081</w:t>
                            </w:r>
                          </w:p>
                          <w:p w:rsidR="00D60E95" w:rsidRDefault="00D60E95" w:rsidP="00D60E95">
                            <w:pPr>
                              <w:ind w:left="1440" w:firstLine="720"/>
                              <w:rPr>
                                <w:rFonts w:cstheme="minorHAnsi"/>
                              </w:rPr>
                            </w:pPr>
                            <w:r>
                              <w:rPr>
                                <w:rFonts w:cstheme="minorHAnsi"/>
                              </w:rPr>
                              <w:t>= 0.003 kW</w:t>
                            </w:r>
                          </w:p>
                          <w:p w:rsidR="00D60E95" w:rsidRDefault="00D60E95" w:rsidP="00D60E95">
                            <w:pPr>
                              <w:rPr>
                                <w:rFonts w:cstheme="minorHAnsi"/>
                              </w:rPr>
                            </w:pPr>
                            <w:r>
                              <w:rPr>
                                <w:rFonts w:cstheme="minorHAnsi"/>
                              </w:rPr>
                              <w:t>Second and third year savings should be calculated using the appropriate ISR.</w:t>
                            </w:r>
                          </w:p>
                          <w:p w:rsidR="00D60E95" w:rsidRDefault="00D60E95" w:rsidP="00D60E95"/>
                        </w:txbxContent>
                      </wps:txbx>
                      <wps:bodyPr rot="0" vert="horz" wrap="square" lIns="91440" tIns="45720" rIns="91440" bIns="45720" anchor="t" anchorCtr="0">
                        <a:noAutofit/>
                      </wps:bodyPr>
                    </wps:wsp>
                  </a:graphicData>
                </a:graphic>
              </wp:inline>
            </w:drawing>
          </mc:Choice>
          <mc:Fallback>
            <w:pict>
              <v:shape id="Text Box 484" o:spid="_x0000_s1028" type="#_x0000_t202" style="width:441.3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">
                <v:textbox>
                  <w:txbxContent>
                    <w:p w:rsidR="00D60E95" w:rsidRDefault="00D60E95" w:rsidP="00D60E95">
                      <w:pPr>
                        <w:rPr>
                          <w:rFonts w:cstheme="minorHAnsi"/>
                        </w:rPr>
                      </w:pPr>
                      <w:r>
                        <w:rPr>
                          <w:rFonts w:cstheme="minorHAnsi"/>
                        </w:rPr>
                        <w:t>For example, a 15W specialty CFL replacing a 60W incandescent specialty bulb:</w:t>
                      </w:r>
                    </w:p>
                    <w:p w:rsidR="00D60E95" w:rsidRDefault="00D60E95" w:rsidP="00D60E95">
                      <w:pPr>
                        <w:ind w:firstLine="720"/>
                        <w:rPr>
                          <w:rFonts w:cstheme="minorHAnsi"/>
                          <w:noProof/>
                        </w:rPr>
                      </w:pPr>
                      <w:r>
                        <w:rPr>
                          <w:rFonts w:cstheme="minorHAnsi"/>
                          <w:noProof/>
                        </w:rPr>
                        <w:t>ΔkW</w:t>
                      </w:r>
                      <w:r>
                        <w:rPr>
                          <w:rFonts w:cstheme="minorHAnsi"/>
                          <w:noProof/>
                          <w:vertAlign w:val="subscript"/>
                        </w:rPr>
                        <w:t>1st year</w:t>
                      </w:r>
                      <w:r>
                        <w:rPr>
                          <w:rFonts w:cstheme="minorHAnsi"/>
                        </w:rPr>
                        <w:t xml:space="preserve"> </w:t>
                      </w:r>
                      <w:r>
                        <w:rPr>
                          <w:rFonts w:cstheme="minorHAnsi"/>
                        </w:rPr>
                        <w:tab/>
                        <w:t>= (</w:t>
                      </w:r>
                      <w:r>
                        <w:rPr>
                          <w:rFonts w:cstheme="minorHAnsi"/>
                          <w:noProof/>
                        </w:rPr>
                        <w:t>(60 - 15) / 1000) * 0.823 * 1.11 * 0.081</w:t>
                      </w:r>
                    </w:p>
                    <w:p w:rsidR="00D60E95" w:rsidRDefault="00D60E95" w:rsidP="00D60E95">
                      <w:pPr>
                        <w:ind w:left="1440" w:firstLine="720"/>
                        <w:rPr>
                          <w:rFonts w:cstheme="minorHAnsi"/>
                        </w:rPr>
                      </w:pPr>
                      <w:r>
                        <w:rPr>
                          <w:rFonts w:cstheme="minorHAnsi"/>
                        </w:rPr>
                        <w:t>= 0.003 kW</w:t>
                      </w:r>
                    </w:p>
                    <w:p w:rsidR="00D60E95" w:rsidRDefault="00D60E95" w:rsidP="00D60E95">
                      <w:pPr>
                        <w:rPr>
                          <w:rFonts w:cstheme="minorHAnsi"/>
                        </w:rPr>
                      </w:pPr>
                      <w:r>
                        <w:rPr>
                          <w:rFonts w:cstheme="minorHAnsi"/>
                        </w:rPr>
                        <w:t>Second and third year savings should be calculated using the appropriate ISR.</w:t>
                      </w:r>
                    </w:p>
                    <w:p w:rsidR="00D60E95" w:rsidRDefault="00D60E95" w:rsidP="00D60E95"/>
                  </w:txbxContent>
                </v:textbox>
                <w10:anchorlock/>
              </v:shape>
            </w:pict>
          </mc:Fallback>
        </mc:AlternateContent>
      </w:r>
    </w:p>
    <w:p w:rsidR="00D60E95" w:rsidRDefault="00D60E95" w:rsidP="00D60E95">
      <w:pPr>
        <w:pStyle w:val="Heading6"/>
      </w:pPr>
      <w:r>
        <w:t>Natural Gas Savings</w:t>
      </w:r>
    </w:p>
    <w:p w:rsidR="00D60E95" w:rsidRDefault="00D60E95" w:rsidP="00D60E95">
      <w:pPr>
        <w:rPr>
          <w:rFonts w:cstheme="minorHAnsi"/>
        </w:rPr>
      </w:pPr>
      <w:r>
        <w:rPr>
          <w:rFonts w:cstheme="minorHAnsi"/>
        </w:rPr>
        <w:t>Heating Penalty if Natural Gas heated home (or if heating fuel is unknown):</w:t>
      </w:r>
    </w:p>
    <w:p w:rsidR="00D60E95" w:rsidRDefault="00D60E95" w:rsidP="00D60E95">
      <w:pPr>
        <w:ind w:left="1440" w:hanging="720"/>
        <w:rPr>
          <w:rFonts w:cstheme="minorHAnsi"/>
          <w:noProof/>
        </w:rPr>
      </w:pPr>
      <w:r>
        <w:rPr>
          <w:rFonts w:cstheme="minorHAnsi"/>
          <w:noProof/>
        </w:rPr>
        <w:t>∆Therms</w:t>
      </w:r>
      <w:r>
        <w:rPr>
          <w:rStyle w:val="FootnoteReference"/>
          <w:rFonts w:eastAsiaTheme="majorEastAsia"/>
        </w:rPr>
        <w:footnoteReference w:id="36"/>
      </w:r>
      <w:r>
        <w:rPr>
          <w:rFonts w:cstheme="minorHAnsi"/>
          <w:noProof/>
        </w:rPr>
        <w:t xml:space="preserve">  = - (((WattsBase - WattsEE) / 1000) * ISR * Hours * HF * 0.03412) / ηHeat</w:t>
      </w:r>
      <w:r>
        <w:rPr>
          <w:rFonts w:cstheme="minorHAnsi"/>
          <w:noProof/>
        </w:rPr>
        <w:tab/>
      </w:r>
    </w:p>
    <w:p w:rsidR="00D60E95" w:rsidRDefault="00D60E95" w:rsidP="00D60E95">
      <w:pPr>
        <w:ind w:left="720" w:hanging="720"/>
        <w:rPr>
          <w:rFonts w:cstheme="minorHAnsi"/>
          <w:noProof/>
          <w:lang w:val="nl-NL"/>
        </w:rPr>
      </w:pPr>
      <w:r>
        <w:rPr>
          <w:rFonts w:cstheme="minorHAnsi"/>
          <w:noProof/>
          <w:lang w:val="nl-NL"/>
        </w:rPr>
        <w:t>Where:</w:t>
      </w:r>
    </w:p>
    <w:p w:rsidR="00D60E95" w:rsidRDefault="00D60E95" w:rsidP="00D60E95">
      <w:pPr>
        <w:ind w:left="720" w:hanging="720"/>
        <w:rPr>
          <w:rFonts w:cstheme="minorHAnsi"/>
          <w:noProof/>
          <w:lang w:val="nl-NL"/>
        </w:rPr>
      </w:pPr>
      <w:r>
        <w:rPr>
          <w:rFonts w:cstheme="minorHAnsi"/>
          <w:noProof/>
          <w:lang w:val="nl-NL"/>
        </w:rPr>
        <w:tab/>
        <w:t>HF</w:t>
      </w:r>
      <w:r>
        <w:rPr>
          <w:rFonts w:cstheme="minorHAnsi"/>
          <w:noProof/>
          <w:lang w:val="nl-NL"/>
        </w:rPr>
        <w:tab/>
      </w:r>
      <w:r>
        <w:rPr>
          <w:rFonts w:cstheme="minorHAnsi"/>
          <w:noProof/>
          <w:lang w:val="nl-NL"/>
        </w:rPr>
        <w:tab/>
        <w:t>= Heating Factor or percentage of light savings that must be heated</w:t>
      </w:r>
    </w:p>
    <w:p w:rsidR="00D60E95" w:rsidRDefault="00D60E95" w:rsidP="00D60E95">
      <w:pPr>
        <w:ind w:left="720" w:hanging="720"/>
        <w:rPr>
          <w:rFonts w:cstheme="minorHAnsi"/>
          <w:lang w:val="nl-NL"/>
        </w:rPr>
      </w:pPr>
      <w:r>
        <w:rPr>
          <w:rFonts w:cstheme="minorHAnsi"/>
          <w:noProof/>
          <w:lang w:val="nl-NL"/>
        </w:rPr>
        <w:tab/>
      </w:r>
      <w:r>
        <w:rPr>
          <w:rFonts w:cstheme="minorHAnsi"/>
          <w:noProof/>
          <w:lang w:val="nl-NL"/>
        </w:rPr>
        <w:tab/>
      </w:r>
      <w:r>
        <w:rPr>
          <w:rFonts w:cstheme="minorHAnsi"/>
          <w:noProof/>
          <w:lang w:val="nl-NL"/>
        </w:rPr>
        <w:tab/>
        <w:t>= 49%</w:t>
      </w:r>
      <w:r>
        <w:rPr>
          <w:rStyle w:val="FootnoteReference"/>
          <w:rFonts w:eastAsiaTheme="majorEastAsia"/>
          <w:lang w:val="nl-NL"/>
        </w:rPr>
        <w:footnoteReference w:id="37"/>
      </w:r>
      <w:r>
        <w:rPr>
          <w:rFonts w:cstheme="minorHAnsi"/>
          <w:noProof/>
          <w:lang w:val="nl-NL"/>
        </w:rPr>
        <w:t xml:space="preserve"> </w:t>
      </w:r>
      <w:r>
        <w:rPr>
          <w:rFonts w:cstheme="minorHAnsi"/>
          <w:lang w:val="nl-NL"/>
        </w:rPr>
        <w:t xml:space="preserve">for interior </w:t>
      </w:r>
      <w:r>
        <w:rPr>
          <w:rFonts w:cstheme="minorHAnsi"/>
        </w:rPr>
        <w:t>or unknown</w:t>
      </w:r>
      <w:r>
        <w:rPr>
          <w:rFonts w:cstheme="minorHAnsi"/>
          <w:lang w:val="nl-NL"/>
        </w:rPr>
        <w:t xml:space="preserve"> location</w:t>
      </w:r>
    </w:p>
    <w:p w:rsidR="00D60E95" w:rsidRDefault="00D60E95" w:rsidP="00D60E95">
      <w:pPr>
        <w:ind w:left="720" w:hanging="720"/>
        <w:rPr>
          <w:rFonts w:cstheme="minorHAnsi"/>
          <w:lang w:val="nl-NL"/>
        </w:rPr>
      </w:pPr>
      <w:r>
        <w:rPr>
          <w:rFonts w:cstheme="minorHAnsi"/>
          <w:lang w:val="nl-NL"/>
        </w:rPr>
        <w:tab/>
      </w:r>
      <w:r>
        <w:rPr>
          <w:rFonts w:cstheme="minorHAnsi"/>
          <w:lang w:val="nl-NL"/>
        </w:rPr>
        <w:tab/>
      </w:r>
      <w:r>
        <w:rPr>
          <w:rFonts w:cstheme="minorHAnsi"/>
          <w:lang w:val="nl-NL"/>
        </w:rPr>
        <w:tab/>
        <w:t>= 0% for exterior location</w:t>
      </w:r>
    </w:p>
    <w:p w:rsidR="00D60E95" w:rsidRDefault="00D60E95" w:rsidP="00D60E95">
      <w:pPr>
        <w:ind w:left="720"/>
        <w:rPr>
          <w:rFonts w:cstheme="minorHAnsi"/>
          <w:noProof/>
          <w:lang w:val="nl-NL"/>
        </w:rPr>
      </w:pPr>
      <w:r>
        <w:rPr>
          <w:rFonts w:cstheme="minorHAnsi"/>
          <w:noProof/>
          <w:lang w:val="nl-NL"/>
        </w:rPr>
        <w:t>0.03412</w:t>
      </w:r>
      <w:r>
        <w:rPr>
          <w:rFonts w:cstheme="minorHAnsi"/>
          <w:noProof/>
          <w:lang w:val="nl-NL"/>
        </w:rPr>
        <w:tab/>
      </w:r>
      <w:r>
        <w:rPr>
          <w:rFonts w:cstheme="minorHAnsi"/>
          <w:noProof/>
          <w:lang w:val="nl-NL"/>
        </w:rPr>
        <w:tab/>
        <w:t>=Converts kWh to Therms</w:t>
      </w:r>
    </w:p>
    <w:p w:rsidR="00D60E95" w:rsidRDefault="00D60E95" w:rsidP="00D60E95">
      <w:pPr>
        <w:ind w:left="720"/>
        <w:rPr>
          <w:rFonts w:cstheme="minorHAnsi"/>
          <w:noProof/>
        </w:rPr>
      </w:pPr>
      <w:r>
        <w:rPr>
          <w:rFonts w:cstheme="minorHAnsi"/>
          <w:noProof/>
        </w:rPr>
        <w:t>ηHeat</w:t>
      </w:r>
      <w:r>
        <w:rPr>
          <w:rFonts w:cstheme="minorHAnsi"/>
          <w:noProof/>
        </w:rPr>
        <w:tab/>
      </w:r>
      <w:r>
        <w:rPr>
          <w:rFonts w:cstheme="minorHAnsi"/>
          <w:noProof/>
        </w:rPr>
        <w:tab/>
        <w:t>= Efficiency of heating system</w:t>
      </w:r>
    </w:p>
    <w:p w:rsidR="00D60E95" w:rsidRDefault="00D60E95" w:rsidP="00D60E95">
      <w:pPr>
        <w:rPr>
          <w:rFonts w:cstheme="minorHAnsi"/>
          <w:b/>
          <w:szCs w:val="20"/>
        </w:rPr>
      </w:pPr>
      <w:r>
        <w:rPr>
          <w:rFonts w:cstheme="minorHAnsi"/>
          <w:noProof/>
        </w:rPr>
        <w:tab/>
      </w:r>
      <w:r>
        <w:rPr>
          <w:rFonts w:cstheme="minorHAnsi"/>
          <w:noProof/>
        </w:rPr>
        <w:tab/>
      </w:r>
      <w:r>
        <w:rPr>
          <w:rFonts w:cstheme="minorHAnsi"/>
          <w:noProof/>
        </w:rPr>
        <w:tab/>
        <w:t>=70%</w:t>
      </w:r>
      <w:r>
        <w:rPr>
          <w:rStyle w:val="FootnoteReference"/>
          <w:rFonts w:eastAsiaTheme="majorEastAsia"/>
        </w:rPr>
        <w:footnoteReference w:id="38"/>
      </w:r>
      <w:r>
        <w:rPr>
          <w:rFonts w:cstheme="minorHAnsi"/>
          <w:noProof/>
        </w:rPr>
        <w:tab/>
      </w:r>
    </w:p>
    <w:p w:rsidR="00D60E95" w:rsidRDefault="00D60E95" w:rsidP="00D60E95">
      <w:pPr>
        <w:rPr>
          <w:rFonts w:cstheme="minorHAnsi"/>
        </w:rPr>
      </w:pPr>
    </w:p>
    <w:p w:rsidR="00D60E95" w:rsidRDefault="00D60E95" w:rsidP="00D60E95">
      <w:pPr>
        <w:rPr>
          <w:rFonts w:cstheme="minorHAnsi"/>
        </w:rPr>
      </w:pPr>
      <w:r>
        <w:rPr>
          <w:noProof/>
        </w:rPr>
        <w:lastRenderedPageBreak/>
        <mc:AlternateContent>
          <mc:Choice Requires="wps">
            <w:drawing>
              <wp:inline distT="0" distB="0" distL="0" distR="0" wp14:anchorId="32D46DF0" wp14:editId="1A8A5426">
                <wp:extent cx="5636895" cy="1041991"/>
                <wp:effectExtent l="0" t="0" r="20955" b="25400"/>
                <wp:docPr id="485"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041991"/>
                        </a:xfrm>
                        <a:prstGeom prst="rect">
                          <a:avLst/>
                        </a:prstGeom>
                        <a:solidFill>
                          <a:srgbClr val="FFFFFF"/>
                        </a:solidFill>
                        <a:ln w="9525">
                          <a:solidFill>
                            <a:srgbClr val="000000"/>
                          </a:solidFill>
                          <a:miter lim="800000"/>
                          <a:headEnd/>
                          <a:tailEnd/>
                        </a:ln>
                      </wps:spPr>
                      <wps:txbx>
                        <w:txbxContent>
                          <w:p w:rsidR="00D60E95" w:rsidRDefault="00D60E95" w:rsidP="00D60E95">
                            <w:pPr>
                              <w:rPr>
                                <w:rFonts w:cstheme="minorHAnsi"/>
                              </w:rPr>
                            </w:pPr>
                            <w:r>
                              <w:rPr>
                                <w:rFonts w:cstheme="minorHAnsi"/>
                              </w:rPr>
                              <w:t>For example, a 15W Globe specialty CFL replacing a 60W incandescent specialty bulb:</w:t>
                            </w:r>
                          </w:p>
                          <w:p w:rsidR="00D60E95" w:rsidRDefault="00D60E95" w:rsidP="00D60E95">
                            <w:pPr>
                              <w:ind w:firstLine="720"/>
                              <w:rPr>
                                <w:rFonts w:cstheme="minorHAnsi"/>
                                <w:noProof/>
                              </w:rPr>
                            </w:pPr>
                            <w:r>
                              <w:rPr>
                                <w:rFonts w:cstheme="minorHAnsi"/>
                                <w:noProof/>
                              </w:rPr>
                              <w:t xml:space="preserve">∆Therms  </w:t>
                            </w:r>
                            <w:r>
                              <w:rPr>
                                <w:rFonts w:cstheme="minorHAnsi"/>
                                <w:noProof/>
                              </w:rPr>
                              <w:tab/>
                              <w:t>= - (((60 - 15) / 1000) * 0. 823 * 639 * 0.49 * 0.03412) / 0.7</w:t>
                            </w:r>
                          </w:p>
                          <w:p w:rsidR="00D60E95" w:rsidRDefault="00D60E95" w:rsidP="00D60E95">
                            <w:pPr>
                              <w:rPr>
                                <w:rFonts w:cstheme="minorHAnsi"/>
                              </w:rPr>
                            </w:pPr>
                            <w:r>
                              <w:rPr>
                                <w:rFonts w:cstheme="minorHAnsi"/>
                              </w:rPr>
                              <w:tab/>
                            </w:r>
                            <w:r>
                              <w:rPr>
                                <w:rFonts w:cstheme="minorHAnsi"/>
                              </w:rPr>
                              <w:tab/>
                            </w:r>
                            <w:r>
                              <w:rPr>
                                <w:rFonts w:cstheme="minorHAnsi"/>
                              </w:rPr>
                              <w:tab/>
                              <w:t>= - 0.57 Therms</w:t>
                            </w:r>
                          </w:p>
                          <w:p w:rsidR="00D60E95" w:rsidRDefault="00D60E95" w:rsidP="00D60E95">
                            <w:pPr>
                              <w:rPr>
                                <w:rFonts w:cstheme="minorHAnsi"/>
                              </w:rPr>
                            </w:pPr>
                            <w:r>
                              <w:rPr>
                                <w:rFonts w:cstheme="minorHAnsi"/>
                              </w:rPr>
                              <w:t>Second and third year savings should be calculated using the appropriate ISR.</w:t>
                            </w:r>
                          </w:p>
                          <w:p w:rsidR="00D60E95" w:rsidRDefault="00D60E95" w:rsidP="00D60E95"/>
                        </w:txbxContent>
                      </wps:txbx>
                      <wps:bodyPr rot="0" vert="horz" wrap="square" lIns="91440" tIns="45720" rIns="91440" bIns="45720" anchor="t" anchorCtr="0">
                        <a:noAutofit/>
                      </wps:bodyPr>
                    </wps:wsp>
                  </a:graphicData>
                </a:graphic>
              </wp:inline>
            </w:drawing>
          </mc:Choice>
          <mc:Fallback>
            <w:pict>
              <v:shape id="Text Box 485" o:spid="_x0000_s1029" type="#_x0000_t202" style="width:443.85pt;height:8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0WwKQIAAFAEAAAOAAAAZHJzL2Uyb0RvYy54bWysVNuO2yAQfa/Uf0C8N3aySZp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">
                <v:textbox>
                  <w:txbxContent>
                    <w:p w:rsidR="00D60E95" w:rsidRDefault="00D60E95" w:rsidP="00D60E95">
                      <w:pPr>
                        <w:rPr>
                          <w:rFonts w:cstheme="minorHAnsi"/>
                        </w:rPr>
                      </w:pPr>
                      <w:r>
                        <w:rPr>
                          <w:rFonts w:cstheme="minorHAnsi"/>
                        </w:rPr>
                        <w:t>For example, a 15W Globe specialty CFL replacing a 60W incandescent specialty bulb:</w:t>
                      </w:r>
                    </w:p>
                    <w:p w:rsidR="00D60E95" w:rsidRDefault="00D60E95" w:rsidP="00D60E95">
                      <w:pPr>
                        <w:ind w:firstLine="720"/>
                        <w:rPr>
                          <w:rFonts w:cstheme="minorHAnsi"/>
                          <w:noProof/>
                        </w:rPr>
                      </w:pPr>
                      <w:r>
                        <w:rPr>
                          <w:rFonts w:cstheme="minorHAnsi"/>
                          <w:noProof/>
                        </w:rPr>
                        <w:t xml:space="preserve">∆Therms  </w:t>
                      </w:r>
                      <w:r>
                        <w:rPr>
                          <w:rFonts w:cstheme="minorHAnsi"/>
                          <w:noProof/>
                        </w:rPr>
                        <w:tab/>
                        <w:t>= - (((60 - 15) / 1000) * 0. 823 * 639 * 0.49 * 0.03412) / 0.7</w:t>
                      </w:r>
                    </w:p>
                    <w:p w:rsidR="00D60E95" w:rsidRDefault="00D60E95" w:rsidP="00D60E95">
                      <w:pPr>
                        <w:rPr>
                          <w:rFonts w:cstheme="minorHAnsi"/>
                        </w:rPr>
                      </w:pPr>
                      <w:r>
                        <w:rPr>
                          <w:rFonts w:cstheme="minorHAnsi"/>
                        </w:rPr>
                        <w:tab/>
                      </w:r>
                      <w:r>
                        <w:rPr>
                          <w:rFonts w:cstheme="minorHAnsi"/>
                        </w:rPr>
                        <w:tab/>
                      </w:r>
                      <w:r>
                        <w:rPr>
                          <w:rFonts w:cstheme="minorHAnsi"/>
                        </w:rPr>
                        <w:tab/>
                        <w:t>= - 0.57 Therms</w:t>
                      </w:r>
                    </w:p>
                    <w:p w:rsidR="00D60E95" w:rsidRDefault="00D60E95" w:rsidP="00D60E95">
                      <w:pPr>
                        <w:rPr>
                          <w:rFonts w:cstheme="minorHAnsi"/>
                        </w:rPr>
                      </w:pPr>
                      <w:r>
                        <w:rPr>
                          <w:rFonts w:cstheme="minorHAnsi"/>
                        </w:rPr>
                        <w:t>Second and third year savings should be calculated using the appropriate ISR.</w:t>
                      </w:r>
                    </w:p>
                    <w:p w:rsidR="00D60E95" w:rsidRDefault="00D60E95" w:rsidP="00D60E95"/>
                  </w:txbxContent>
                </v:textbox>
                <w10:anchorlock/>
              </v:shape>
            </w:pict>
          </mc:Fallback>
        </mc:AlternateContent>
      </w:r>
    </w:p>
    <w:p w:rsidR="00D60E95" w:rsidRDefault="00D60E95" w:rsidP="00D60E95">
      <w:pPr>
        <w:pStyle w:val="Heading6"/>
      </w:pPr>
      <w:r>
        <w:t xml:space="preserve">Water Impact Descriptions and Calculation  </w:t>
      </w:r>
    </w:p>
    <w:p w:rsidR="00D60E95" w:rsidRDefault="00D60E95" w:rsidP="00D60E95">
      <w:pPr>
        <w:rPr>
          <w:rFonts w:cstheme="minorHAnsi"/>
        </w:rPr>
      </w:pPr>
      <w:r>
        <w:rPr>
          <w:rFonts w:cstheme="minorHAnsi"/>
        </w:rPr>
        <w:t>N/A</w:t>
      </w:r>
    </w:p>
    <w:p w:rsidR="00D60E95" w:rsidRDefault="00D60E95" w:rsidP="00D60E95">
      <w:pPr>
        <w:pStyle w:val="Heading6"/>
      </w:pPr>
      <w:r>
        <w:t>Deemed O&amp;M Cost Adjustment Calculation</w:t>
      </w:r>
    </w:p>
    <w:p w:rsidR="00D60E95" w:rsidRDefault="00D60E95" w:rsidP="00D60E95">
      <w:pPr>
        <w:rPr>
          <w:rFonts w:cstheme="minorHAnsi"/>
        </w:rPr>
      </w:pPr>
      <w:r>
        <w:rPr>
          <w:rFonts w:cstheme="minorHAnsi"/>
        </w:rPr>
        <w:t>For those bulbs types exempt from EISA the following O&amp;M assumptions should be used: Life of the baseline bulb is assumed to be 1.32 year</w:t>
      </w:r>
      <w:r>
        <w:rPr>
          <w:rStyle w:val="FootnoteReference"/>
          <w:rFonts w:eastAsiaTheme="majorEastAsia"/>
          <w:iCs/>
        </w:rPr>
        <w:footnoteReference w:id="39"/>
      </w:r>
      <w:r>
        <w:rPr>
          <w:rFonts w:cstheme="minorHAnsi"/>
        </w:rPr>
        <w:t>; baseline replacement cost is assumed to be $3.5</w:t>
      </w:r>
      <w:r>
        <w:rPr>
          <w:rStyle w:val="FootnoteReference"/>
          <w:rFonts w:eastAsiaTheme="majorEastAsia"/>
        </w:rPr>
        <w:footnoteReference w:id="40"/>
      </w:r>
      <w:r>
        <w:rPr>
          <w:rFonts w:cstheme="minorHAnsi"/>
        </w:rPr>
        <w:t>.</w:t>
      </w:r>
    </w:p>
    <w:p w:rsidR="00D60E95" w:rsidRDefault="00D60E95" w:rsidP="00D60E95">
      <w:pPr>
        <w:jc w:val="left"/>
        <w:rPr>
          <w:rFonts w:cstheme="minorHAnsi"/>
        </w:rPr>
      </w:pPr>
      <w:r>
        <w:rPr>
          <w:rFonts w:cstheme="minorHAnsi"/>
        </w:rPr>
        <w:t>For non-exempt EISA bulb types defined above, the following O&amp;M assumptions should be used: Life of the baseline bulb is assumed to be 1.32 year</w:t>
      </w:r>
      <w:r>
        <w:rPr>
          <w:rStyle w:val="FootnoteReference"/>
          <w:rFonts w:eastAsiaTheme="majorEastAsia"/>
          <w:iCs/>
        </w:rPr>
        <w:footnoteReference w:id="41"/>
      </w:r>
      <w:r>
        <w:rPr>
          <w:rFonts w:cstheme="minorHAnsi"/>
        </w:rPr>
        <w:t>; baseline replacement cost is assumed to be $5</w:t>
      </w:r>
      <w:r>
        <w:rPr>
          <w:rStyle w:val="FootnoteReference"/>
          <w:rFonts w:eastAsiaTheme="majorEastAsia"/>
        </w:rPr>
        <w:footnoteReference w:id="42"/>
      </w:r>
      <w:r>
        <w:rPr>
          <w:rFonts w:cstheme="minorHAnsi"/>
        </w:rPr>
        <w:t>.</w:t>
      </w:r>
    </w:p>
    <w:p w:rsidR="00D60E95" w:rsidRPr="006E6456" w:rsidRDefault="00D60E95" w:rsidP="00D60E95">
      <w:pPr>
        <w:pStyle w:val="Heading6"/>
      </w:pPr>
      <w:r>
        <w:t>Measure Code: RS-LTG-ESCC-V0</w:t>
      </w:r>
      <w:del w:id="7" w:author="Samuel Dent" w:date="2015-10-08T09:30:00Z">
        <w:r w:rsidDel="00C53F13">
          <w:delText>3</w:delText>
        </w:r>
      </w:del>
      <w:ins w:id="8" w:author="Samuel Dent" w:date="2015-10-08T09:30:00Z">
        <w:r w:rsidR="00C53F13">
          <w:t>4</w:t>
        </w:r>
      </w:ins>
      <w:r>
        <w:t>-1</w:t>
      </w:r>
      <w:del w:id="9" w:author="Samuel Dent" w:date="2015-10-08T09:30:00Z">
        <w:r w:rsidDel="00C53F13">
          <w:delText>5</w:delText>
        </w:r>
      </w:del>
      <w:ins w:id="10" w:author="Samuel Dent" w:date="2015-10-08T09:30:00Z">
        <w:r w:rsidR="00C53F13">
          <w:t>6</w:t>
        </w:r>
      </w:ins>
      <w:bookmarkStart w:id="11" w:name="_GoBack"/>
      <w:bookmarkEnd w:id="11"/>
      <w:r>
        <w:t>0601</w:t>
      </w:r>
    </w:p>
    <w:p w:rsidR="00D60E95" w:rsidRPr="000B7BB6" w:rsidRDefault="00D60E95" w:rsidP="00D60E95">
      <w:pPr>
        <w:rPr>
          <w:rFonts w:cstheme="minorHAnsi"/>
        </w:rPr>
      </w:pPr>
    </w:p>
    <w:p w:rsidR="00D60E95" w:rsidRDefault="00D60E95" w:rsidP="00D60E95">
      <w:pPr>
        <w:widowControl/>
        <w:spacing w:after="200" w:line="276" w:lineRule="auto"/>
        <w:jc w:val="left"/>
        <w:rPr>
          <w:rFonts w:eastAsiaTheme="minorEastAsia" w:cstheme="minorHAnsi"/>
          <w:bCs/>
          <w:sz w:val="24"/>
          <w:szCs w:val="24"/>
        </w:rPr>
        <w:sectPr w:rsidR="00D60E95" w:rsidSect="00B64B6A">
          <w:headerReference w:type="default" r:id="rId9"/>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E95" w:rsidRDefault="00D60E95" w:rsidP="00D60E95">
      <w:pPr>
        <w:spacing w:after="0"/>
      </w:pPr>
      <w:r>
        <w:separator/>
      </w:r>
    </w:p>
  </w:endnote>
  <w:endnote w:type="continuationSeparator" w:id="0">
    <w:p w:rsidR="00D60E95" w:rsidRDefault="00D60E95" w:rsidP="00D60E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E95" w:rsidRDefault="00D60E95" w:rsidP="00D60E95">
      <w:pPr>
        <w:spacing w:after="0"/>
      </w:pPr>
      <w:r>
        <w:separator/>
      </w:r>
    </w:p>
  </w:footnote>
  <w:footnote w:type="continuationSeparator" w:id="0">
    <w:p w:rsidR="00D60E95" w:rsidRDefault="00D60E95" w:rsidP="00D60E95">
      <w:pPr>
        <w:spacing w:after="0"/>
      </w:pPr>
      <w:r>
        <w:continuationSeparator/>
      </w:r>
    </w:p>
  </w:footnote>
  <w:footnote w:id="1">
    <w:p w:rsidR="00D60E95" w:rsidRPr="009C362B" w:rsidRDefault="00D60E95" w:rsidP="00D60E95">
      <w:pPr>
        <w:pStyle w:val="Footnote"/>
        <w:rPr>
          <w:szCs w:val="18"/>
        </w:rPr>
      </w:pPr>
      <w:r w:rsidRPr="009C362B">
        <w:rPr>
          <w:rStyle w:val="FootnoteReference"/>
          <w:rFonts w:eastAsiaTheme="majorEastAsia"/>
          <w:szCs w:val="18"/>
        </w:rPr>
        <w:footnoteRef/>
      </w:r>
      <w:r w:rsidRPr="009C362B">
        <w:rPr>
          <w:szCs w:val="18"/>
        </w:rPr>
        <w:t xml:space="preserve"> RES v C&amp;I split is based on a weighted (by sales volume) average of ComEd PY4, PY5 and PY6 and Ameren PY5 and PY6 in store intercept survey results. See ‘RESvCI Split_122014.xls’.</w:t>
      </w:r>
    </w:p>
  </w:footnote>
  <w:footnote w:id="2">
    <w:p w:rsidR="00D60E95" w:rsidRPr="009C362B" w:rsidRDefault="00D60E95" w:rsidP="00D60E95">
      <w:pPr>
        <w:pStyle w:val="Footnote"/>
        <w:rPr>
          <w:szCs w:val="18"/>
        </w:rPr>
      </w:pPr>
      <w:r w:rsidRPr="009C362B">
        <w:rPr>
          <w:rStyle w:val="FootnoteReference"/>
          <w:szCs w:val="18"/>
        </w:rPr>
        <w:footnoteRef/>
      </w:r>
      <w:r w:rsidRPr="009C362B">
        <w:rPr>
          <w:szCs w:val="18"/>
        </w:rPr>
        <w:t xml:space="preserve"> The assumed measure life for the specialty bulb measure characterization was reported in "Residential Lighting Measure Life Study", Nexus Market Research, June 4, 2008 (measure life for markdown bulbs). Measure life estimate does not distinguish between equipment life and measure persistence. Measure life includes products that were installed and operated until failure (i.e., equipment life) as well as those that were retired early and permanently removed from service for any reason, be it early failure, breakage, or the respondent not liking the product (i.e., measure persistence).</w:t>
      </w:r>
    </w:p>
  </w:footnote>
  <w:footnote w:id="3">
    <w:p w:rsidR="00D60E95" w:rsidRPr="009C362B" w:rsidRDefault="00D60E95" w:rsidP="00D60E95">
      <w:pPr>
        <w:pStyle w:val="Footnote"/>
        <w:rPr>
          <w:szCs w:val="18"/>
        </w:rPr>
      </w:pPr>
      <w:r w:rsidRPr="009C362B">
        <w:rPr>
          <w:rStyle w:val="FootnoteReference"/>
          <w:rFonts w:eastAsiaTheme="majorEastAsia"/>
          <w:szCs w:val="18"/>
        </w:rPr>
        <w:footnoteRef/>
      </w:r>
      <w:r w:rsidRPr="009C362B">
        <w:rPr>
          <w:szCs w:val="18"/>
        </w:rPr>
        <w:t xml:space="preserve"> Based on using 8,000 hour rated life assumption since more switching and use ourdoors. 8,000/2475 = 3.2years</w:t>
      </w:r>
    </w:p>
  </w:footnote>
  <w:footnote w:id="4">
    <w:p w:rsidR="00D60E95" w:rsidRPr="009C362B" w:rsidRDefault="00D60E95" w:rsidP="00D60E95">
      <w:pPr>
        <w:pStyle w:val="Footnote"/>
        <w:rPr>
          <w:szCs w:val="18"/>
        </w:rPr>
      </w:pPr>
      <w:r w:rsidRPr="009C362B">
        <w:rPr>
          <w:rStyle w:val="FootnoteReference"/>
          <w:szCs w:val="18"/>
        </w:rPr>
        <w:footnoteRef/>
      </w:r>
      <w:r w:rsidRPr="009C362B">
        <w:rPr>
          <w:szCs w:val="18"/>
        </w:rPr>
        <w:t xml:space="preserve"> NEEP Residential Lighting Survey, 2011</w:t>
      </w:r>
    </w:p>
  </w:footnote>
  <w:footnote w:id="5">
    <w:p w:rsidR="00D60E95" w:rsidRPr="00D53442" w:rsidRDefault="00D60E95" w:rsidP="00D60E95">
      <w:pPr>
        <w:pStyle w:val="Footnote"/>
        <w:rPr>
          <w:szCs w:val="18"/>
        </w:rPr>
      </w:pPr>
      <w:r w:rsidRPr="00225B09">
        <w:rPr>
          <w:rStyle w:val="FootnoteReference"/>
          <w:rFonts w:eastAsiaTheme="majorEastAsia"/>
          <w:szCs w:val="18"/>
        </w:rPr>
        <w:footnoteRef/>
      </w:r>
      <w:r w:rsidRPr="007A07C8">
        <w:rPr>
          <w:szCs w:val="18"/>
        </w:rPr>
        <w:t xml:space="preserve"> Based on 15 minutes at $20 per hour.</w:t>
      </w:r>
    </w:p>
  </w:footnote>
  <w:footnote w:id="6">
    <w:p w:rsidR="00D60E95" w:rsidRPr="009C362B" w:rsidRDefault="00D60E95" w:rsidP="00D60E95">
      <w:pPr>
        <w:pStyle w:val="Footnote"/>
        <w:rPr>
          <w:szCs w:val="18"/>
        </w:rPr>
      </w:pPr>
      <w:r w:rsidRPr="009C362B">
        <w:rPr>
          <w:rStyle w:val="FootnoteReference"/>
          <w:szCs w:val="18"/>
        </w:rPr>
        <w:footnoteRef/>
      </w:r>
      <w:r w:rsidRPr="009C362B">
        <w:rPr>
          <w:szCs w:val="18"/>
        </w:rPr>
        <w:t xml:space="preserve"> Based on lighting logger study conducted as part of the PY5/6 ComEd Residential Lighting Program evaluation.</w:t>
      </w:r>
    </w:p>
  </w:footnote>
  <w:footnote w:id="7">
    <w:p w:rsidR="00D60E95" w:rsidRPr="0075793C" w:rsidRDefault="00D60E95" w:rsidP="00D60E95">
      <w:pPr>
        <w:pStyle w:val="Footnote"/>
        <w:rPr>
          <w:szCs w:val="18"/>
        </w:rPr>
      </w:pPr>
      <w:r w:rsidRPr="00225B09">
        <w:rPr>
          <w:rStyle w:val="FootnoteReference"/>
          <w:szCs w:val="18"/>
        </w:rPr>
        <w:footnoteRef/>
      </w:r>
      <w:r w:rsidRPr="007A07C8">
        <w:rPr>
          <w:szCs w:val="18"/>
        </w:rPr>
        <w:t xml:space="preserve"> Based on average of bedroom, dining room, office and living room results from the lighting logger study conducted as part of the PY5/6</w:t>
      </w:r>
      <w:r w:rsidRPr="00D53442">
        <w:rPr>
          <w:rFonts w:eastAsiaTheme="minorHAnsi" w:cs="Calibri"/>
          <w:szCs w:val="18"/>
        </w:rPr>
        <w:t xml:space="preserve"> ComEd Residential Lighting Program evaluation</w:t>
      </w:r>
      <w:r w:rsidRPr="005D0D50">
        <w:rPr>
          <w:szCs w:val="18"/>
        </w:rPr>
        <w:t>.</w:t>
      </w:r>
    </w:p>
  </w:footnote>
  <w:footnote w:id="8">
    <w:p w:rsidR="00D60E95" w:rsidRPr="009C362B" w:rsidRDefault="00D60E95" w:rsidP="00D60E95">
      <w:pPr>
        <w:pStyle w:val="Footnote"/>
        <w:rPr>
          <w:szCs w:val="18"/>
        </w:rPr>
      </w:pPr>
      <w:r w:rsidRPr="009C362B">
        <w:rPr>
          <w:rStyle w:val="FootnoteReference"/>
          <w:szCs w:val="18"/>
        </w:rPr>
        <w:footnoteRef/>
      </w:r>
      <w:r w:rsidRPr="009C362B">
        <w:rPr>
          <w:szCs w:val="18"/>
        </w:rPr>
        <w:t xml:space="preserve"> Ibid</w:t>
      </w:r>
    </w:p>
  </w:footnote>
  <w:footnote w:id="9">
    <w:p w:rsidR="00D60E95" w:rsidRPr="009C362B" w:rsidRDefault="00D60E95" w:rsidP="00D60E95">
      <w:pPr>
        <w:pStyle w:val="Footnote"/>
        <w:rPr>
          <w:szCs w:val="18"/>
        </w:rPr>
      </w:pPr>
      <w:r w:rsidRPr="009C362B">
        <w:rPr>
          <w:szCs w:val="18"/>
          <w:vertAlign w:val="superscript"/>
        </w:rPr>
        <w:footnoteRef/>
      </w:r>
      <w:r w:rsidRPr="009C362B">
        <w:rPr>
          <w:szCs w:val="18"/>
        </w:rPr>
        <w:t xml:space="preserve"> Based upon the draft ENERGY STAR specification for lamps (</w:t>
      </w:r>
      <w:hyperlink r:id="rId1" w:history="1">
        <w:r w:rsidRPr="009C362B">
          <w:rPr>
            <w:rStyle w:val="Hyperlink"/>
            <w:szCs w:val="18"/>
          </w:rPr>
          <w:t>http://energystar.gov/products/specs/sites/products/files/ENERGY_STAR_Lamps_V1_0_Draft%203.pdf</w:t>
        </w:r>
      </w:hyperlink>
      <w:r w:rsidRPr="009C362B">
        <w:rPr>
          <w:szCs w:val="18"/>
        </w:rPr>
        <w:t>) and the Energy Policy and Conservation Act of 2012.</w:t>
      </w:r>
    </w:p>
  </w:footnote>
  <w:footnote w:id="10">
    <w:p w:rsidR="00D60E95" w:rsidRPr="009C362B" w:rsidRDefault="00D60E95" w:rsidP="00D60E95">
      <w:pPr>
        <w:pStyle w:val="Footnote"/>
        <w:rPr>
          <w:szCs w:val="18"/>
        </w:rPr>
      </w:pPr>
      <w:r w:rsidRPr="009C362B">
        <w:rPr>
          <w:szCs w:val="18"/>
          <w:vertAlign w:val="superscript"/>
        </w:rPr>
        <w:footnoteRef/>
      </w:r>
      <w:r w:rsidRPr="009C362B">
        <w:rPr>
          <w:szCs w:val="18"/>
        </w:rPr>
        <w:t xml:space="preserve"> A 2006-2008 California Upstream Lighting Evaluation found an average incandescent wattage of 61.7 Watts (KEMA, Inc, The Cadmus Group, Itron, Inc, PA Consulting Group, Jai J. Mitchell Analytics, Draft Evaluation Report: Upstream Lighting Program. Prepared for the California Public Utilities Commission, Energy Division. December 10, 2009)</w:t>
      </w:r>
    </w:p>
  </w:footnote>
  <w:footnote w:id="11">
    <w:p w:rsidR="00D60E95" w:rsidRPr="009C362B" w:rsidRDefault="00D60E95" w:rsidP="00D60E95">
      <w:pPr>
        <w:pStyle w:val="FootnoteText"/>
        <w:spacing w:after="0"/>
        <w:rPr>
          <w:sz w:val="18"/>
          <w:szCs w:val="18"/>
        </w:rPr>
      </w:pPr>
      <w:r w:rsidRPr="009C362B">
        <w:rPr>
          <w:rStyle w:val="FootnoteReference"/>
          <w:sz w:val="18"/>
          <w:szCs w:val="18"/>
        </w:rPr>
        <w:footnoteRef/>
      </w:r>
      <w:r w:rsidRPr="009C362B">
        <w:rPr>
          <w:sz w:val="18"/>
          <w:szCs w:val="18"/>
        </w:rPr>
        <w:t xml:space="preserve"> From pg 10 of the Energy Star Specification for lamps v1.1</w:t>
      </w:r>
    </w:p>
  </w:footnote>
  <w:footnote w:id="12">
    <w:p w:rsidR="00D60E95" w:rsidRPr="009C362B" w:rsidRDefault="00D60E95" w:rsidP="00D60E95">
      <w:pPr>
        <w:pStyle w:val="FootnoteText"/>
        <w:spacing w:after="0"/>
        <w:rPr>
          <w:sz w:val="18"/>
          <w:szCs w:val="18"/>
        </w:rPr>
      </w:pPr>
      <w:r w:rsidRPr="009C362B">
        <w:rPr>
          <w:rStyle w:val="FootnoteReference"/>
          <w:sz w:val="18"/>
          <w:szCs w:val="18"/>
        </w:rPr>
        <w:footnoteRef/>
      </w:r>
      <w:r w:rsidRPr="009C362B">
        <w:rPr>
          <w:sz w:val="18"/>
          <w:szCs w:val="18"/>
        </w:rPr>
        <w:t xml:space="preserve"> From pg 11 of the Energy Star Specification for lamps v1.1</w:t>
      </w:r>
    </w:p>
  </w:footnote>
  <w:footnote w:id="13">
    <w:p w:rsidR="00D60E95" w:rsidRPr="009C362B" w:rsidRDefault="00D60E95" w:rsidP="00D60E95">
      <w:pPr>
        <w:spacing w:after="0"/>
        <w:rPr>
          <w:sz w:val="18"/>
          <w:szCs w:val="18"/>
        </w:rPr>
      </w:pPr>
    </w:p>
  </w:footnote>
  <w:footnote w:id="14">
    <w:p w:rsidR="00D60E95" w:rsidRPr="009C362B" w:rsidRDefault="00D60E95" w:rsidP="00D60E95">
      <w:pPr>
        <w:pStyle w:val="FootnoteText"/>
        <w:spacing w:after="0"/>
        <w:rPr>
          <w:sz w:val="18"/>
          <w:szCs w:val="18"/>
        </w:rPr>
      </w:pPr>
      <w:r w:rsidRPr="009C362B">
        <w:rPr>
          <w:rStyle w:val="FootnoteReference"/>
          <w:sz w:val="18"/>
          <w:szCs w:val="18"/>
        </w:rPr>
        <w:footnoteRef/>
      </w:r>
      <w:r w:rsidRPr="009C362B">
        <w:rPr>
          <w:sz w:val="18"/>
          <w:szCs w:val="18"/>
        </w:rPr>
        <w:t xml:space="preserve"> </w:t>
      </w:r>
      <w:r w:rsidRPr="007A07C8">
        <w:rPr>
          <w:rFonts w:eastAsiaTheme="minorEastAsia" w:cstheme="minorHAnsi"/>
          <w:sz w:val="18"/>
          <w:szCs w:val="18"/>
        </w:rPr>
        <w:t>http://energystar.supportportal.com/link/portal/23002/23018/Article/32655/</w:t>
      </w:r>
    </w:p>
  </w:footnote>
  <w:footnote w:id="15">
    <w:p w:rsidR="00D60E95" w:rsidRDefault="00D60E95" w:rsidP="00D60E95">
      <w:pPr>
        <w:pStyle w:val="FootnoteText"/>
        <w:rPr>
          <w:ins w:id="4" w:author="Samuel Dent" w:date="2015-10-08T09:16:00Z"/>
        </w:rPr>
      </w:pPr>
      <w:ins w:id="5" w:author="Samuel Dent" w:date="2015-10-08T09:16:00Z">
        <w:r>
          <w:rPr>
            <w:rStyle w:val="FootnoteReference"/>
          </w:rPr>
          <w:footnoteRef/>
        </w:r>
        <w:r>
          <w:t xml:space="preserve"> The Energy Star Center Beam Candle Power tool does not accurately model baseline wattages for lamps with certain bulb characteristic combinations – specifically for lamps with very high CBCP.</w:t>
        </w:r>
      </w:ins>
    </w:p>
  </w:footnote>
  <w:footnote w:id="16">
    <w:p w:rsidR="00D60E95" w:rsidRPr="009C362B" w:rsidRDefault="00D60E95" w:rsidP="00D60E95">
      <w:pPr>
        <w:pStyle w:val="Footnote"/>
        <w:rPr>
          <w:szCs w:val="18"/>
        </w:rPr>
      </w:pPr>
      <w:r w:rsidRPr="009C362B">
        <w:rPr>
          <w:szCs w:val="18"/>
          <w:vertAlign w:val="superscript"/>
        </w:rPr>
        <w:footnoteRef/>
      </w:r>
      <w:r w:rsidRPr="009C362B">
        <w:rPr>
          <w:szCs w:val="18"/>
        </w:rPr>
        <w:t xml:space="preserve"> An evaluation (Energy Efficiency / Demand Response Plan: Plan Year 2 (6/1/2009-5/31/2010) Evaluation Report: Residential Energy Star ® Lighting</w:t>
      </w:r>
    </w:p>
    <w:p w:rsidR="00D60E95" w:rsidRPr="009C362B" w:rsidRDefault="00C53F13" w:rsidP="00D60E95">
      <w:pPr>
        <w:pStyle w:val="Footnote"/>
        <w:rPr>
          <w:szCs w:val="18"/>
        </w:rPr>
      </w:pPr>
      <w:hyperlink r:id="rId2" w:history="1">
        <w:r w:rsidR="00D60E95" w:rsidRPr="009C362B">
          <w:rPr>
            <w:rStyle w:val="Hyperlink"/>
            <w:szCs w:val="18"/>
          </w:rPr>
          <w:t>http://ilsag.org/yahoo_site_admin/assets/docs/ComEd_Res_Lighting_PY2_Evaluation_Report_2010-12-21_Final.12113928.pdf</w:t>
        </w:r>
      </w:hyperlink>
      <w:r w:rsidR="00D60E95" w:rsidRPr="009C362B">
        <w:rPr>
          <w:szCs w:val="18"/>
        </w:rPr>
        <w:t xml:space="preserve"> ) reported 13-17W as the most common specialty CFL wattage (69% of program bulbs). 2009 California data also reported an average CFL wattage of 15.5 Watts (KEMA, Inc, The Cadmus Group, Itron, Inc, PA Consulting Group, Jai J. Mitchell Analytics, Draft Evaluation Report: Upstream Lighting Program, Prepared for the California Public Utilities Commission, Energy Division. December 10, 2009).</w:t>
      </w:r>
    </w:p>
  </w:footnote>
  <w:footnote w:id="17">
    <w:p w:rsidR="00D60E95" w:rsidRPr="009C362B" w:rsidRDefault="00D60E95" w:rsidP="00D60E95">
      <w:pPr>
        <w:pStyle w:val="Footnote"/>
        <w:rPr>
          <w:szCs w:val="18"/>
        </w:rPr>
      </w:pPr>
      <w:r w:rsidRPr="009C362B">
        <w:rPr>
          <w:szCs w:val="18"/>
          <w:vertAlign w:val="superscript"/>
        </w:rPr>
        <w:footnoteRef/>
      </w:r>
      <w:r w:rsidRPr="009C362B">
        <w:rPr>
          <w:szCs w:val="18"/>
        </w:rPr>
        <w:t xml:space="preserve"> 1</w:t>
      </w:r>
      <w:r w:rsidRPr="009C362B">
        <w:rPr>
          <w:szCs w:val="18"/>
          <w:vertAlign w:val="superscript"/>
        </w:rPr>
        <w:t>st</w:t>
      </w:r>
      <w:r w:rsidRPr="009C362B">
        <w:rPr>
          <w:szCs w:val="18"/>
        </w:rPr>
        <w:t xml:space="preserve"> year in service rate is based upon review of PY4-6 evaluations from ComEd and PY5-6 from Ameren (see ‘IL RES Lighting ISR_122014.xls’ for more information. The average first year ISR was calculated weighted by the number of bulbs in the each year’s survey. </w:t>
      </w:r>
    </w:p>
  </w:footnote>
  <w:footnote w:id="18">
    <w:p w:rsidR="00D60E95" w:rsidRPr="009C362B" w:rsidRDefault="00D60E95" w:rsidP="00D60E95">
      <w:pPr>
        <w:pStyle w:val="Footnote"/>
        <w:rPr>
          <w:szCs w:val="18"/>
        </w:rPr>
      </w:pPr>
      <w:r w:rsidRPr="007A07C8">
        <w:rPr>
          <w:rStyle w:val="FootnoteReference"/>
          <w:rFonts w:eastAsiaTheme="majorEastAsia"/>
          <w:szCs w:val="18"/>
        </w:rPr>
        <w:footnoteRef/>
      </w:r>
      <w:r w:rsidRPr="00D53442">
        <w:rPr>
          <w:szCs w:val="18"/>
        </w:rPr>
        <w:t xml:space="preserve"> The 98% Lifetime ISR assumptio</w:t>
      </w:r>
      <w:r w:rsidRPr="005D0D50">
        <w:rPr>
          <w:szCs w:val="18"/>
        </w:rPr>
        <w:t xml:space="preserve">n is consistent with the assumption for standard CFLs (in the absence of evidence that it should be different for this </w:t>
      </w:r>
      <w:r w:rsidRPr="0075793C">
        <w:rPr>
          <w:szCs w:val="18"/>
        </w:rPr>
        <w:t>bulb type) based upon review of two evaluations:</w:t>
      </w:r>
    </w:p>
    <w:p w:rsidR="00D60E95" w:rsidRPr="009C362B" w:rsidRDefault="00D60E95" w:rsidP="00D60E95">
      <w:pPr>
        <w:pStyle w:val="Footnote"/>
        <w:rPr>
          <w:szCs w:val="18"/>
        </w:rPr>
      </w:pPr>
      <w:r w:rsidRPr="009C362B">
        <w:rPr>
          <w:szCs w:val="18"/>
        </w:rPr>
        <w:t>‘Nexus Market Research, RLW Analytics and GDS Associates study; “New England Residential Lighting Markdown Impact Evaluation, January 20, 2009’ and ‘KEMA Inc, Feb 2010, Final Evaluation Report:, Upstream Lighting Program, Volume 1.’ This implies that only 2% of bulbs purchased are never installed. The second and third year installations are based upon Ameren analysis of the Californian KEMA study showing that 54% of future installs occur in year 2 and 46% in year 3. The 2</w:t>
      </w:r>
      <w:r w:rsidRPr="009C362B">
        <w:rPr>
          <w:szCs w:val="18"/>
          <w:vertAlign w:val="superscript"/>
        </w:rPr>
        <w:t>nd</w:t>
      </w:r>
      <w:r w:rsidRPr="009C362B">
        <w:rPr>
          <w:szCs w:val="18"/>
        </w:rPr>
        <w:t xml:space="preserve"> and 3</w:t>
      </w:r>
      <w:r w:rsidRPr="009C362B">
        <w:rPr>
          <w:szCs w:val="18"/>
          <w:vertAlign w:val="superscript"/>
        </w:rPr>
        <w:t>rd</w:t>
      </w:r>
      <w:r w:rsidRPr="009C362B">
        <w:rPr>
          <w:szCs w:val="18"/>
        </w:rPr>
        <w:t xml:space="preserve"> year installations should be counted as part of those future program year savings.</w:t>
      </w:r>
    </w:p>
  </w:footnote>
  <w:footnote w:id="19">
    <w:p w:rsidR="00D60E95" w:rsidRPr="009C362B" w:rsidRDefault="00D60E95" w:rsidP="00D60E95">
      <w:pPr>
        <w:pStyle w:val="Footnote"/>
        <w:rPr>
          <w:szCs w:val="18"/>
        </w:rPr>
      </w:pPr>
      <w:r w:rsidRPr="009C362B">
        <w:rPr>
          <w:rStyle w:val="FootnoteReference"/>
          <w:szCs w:val="18"/>
        </w:rPr>
        <w:footnoteRef/>
      </w:r>
      <w:r w:rsidRPr="009C362B">
        <w:rPr>
          <w:szCs w:val="18"/>
        </w:rPr>
        <w:t xml:space="preserve"> Consistent with assumption for standard CFLs (in the absence of evidence that it should be different for this bulb type). Based upon review of the PY2 and PY3 ComEd Direct Install program surveys. This value includes bulb failures in the 1st year to be consistent with the Commission approval of annualization of savings for first year savings claims. ComEd PY2 All Electric Single Family Home Energy Performance Tune-Up Program Evaluation, Navigant Consulting, December 21, 2010. </w:t>
      </w:r>
      <w:hyperlink r:id="rId3" w:history="1">
        <w:r w:rsidRPr="009C362B">
          <w:rPr>
            <w:rStyle w:val="Hyperlink"/>
            <w:szCs w:val="18"/>
          </w:rPr>
          <w:t>http://www.icc.illinois.gov/downloads/public/edocket/287090.pdf</w:t>
        </w:r>
      </w:hyperlink>
      <w:r w:rsidRPr="009C362B">
        <w:rPr>
          <w:szCs w:val="18"/>
        </w:rPr>
        <w:t>.</w:t>
      </w:r>
    </w:p>
  </w:footnote>
  <w:footnote w:id="20">
    <w:p w:rsidR="00D60E95" w:rsidRPr="009C362B" w:rsidRDefault="00D60E95" w:rsidP="00D60E95">
      <w:pPr>
        <w:pStyle w:val="Footnote"/>
        <w:rPr>
          <w:szCs w:val="18"/>
        </w:rPr>
      </w:pPr>
      <w:r w:rsidRPr="007A07C8">
        <w:rPr>
          <w:rStyle w:val="FootnoteReference"/>
          <w:szCs w:val="18"/>
        </w:rPr>
        <w:footnoteRef/>
      </w:r>
      <w:r w:rsidRPr="00D53442">
        <w:rPr>
          <w:szCs w:val="18"/>
        </w:rPr>
        <w:t xml:space="preserve"> In Service Rates provided are for the bulb within a kit only.</w:t>
      </w:r>
      <w:r w:rsidRPr="005D0D50">
        <w:rPr>
          <w:szCs w:val="18"/>
        </w:rPr>
        <w:t xml:space="preserve"> Given the significant differences in program design and the level of education provided through Efficiency Kits programs, the evaluators should apply the ISR estimated through evaluations (either past evaluations or the curre</w:t>
      </w:r>
      <w:r w:rsidRPr="0075793C">
        <w:rPr>
          <w:szCs w:val="18"/>
        </w:rPr>
        <w:t>nt program year evaluation) of the specific Effi</w:t>
      </w:r>
      <w:r w:rsidRPr="009C362B">
        <w:rPr>
          <w:szCs w:val="18"/>
        </w:rPr>
        <w:t>ciency Kits program.  In cases where program-specific evaluation results for an ISR are unavailable, the default ISR values for Efficiency Kits provide may be used.</w:t>
      </w:r>
    </w:p>
  </w:footnote>
  <w:footnote w:id="21">
    <w:p w:rsidR="00D60E95" w:rsidRPr="009C362B" w:rsidRDefault="00D60E95" w:rsidP="00D60E95">
      <w:pPr>
        <w:pStyle w:val="Footnote"/>
        <w:rPr>
          <w:szCs w:val="18"/>
        </w:rPr>
      </w:pPr>
      <w:r w:rsidRPr="009C362B">
        <w:rPr>
          <w:rStyle w:val="FootnoteReference"/>
          <w:szCs w:val="18"/>
        </w:rPr>
        <w:footnoteRef/>
      </w:r>
      <w:r w:rsidRPr="009C362B">
        <w:rPr>
          <w:szCs w:val="18"/>
        </w:rPr>
        <w:t xml:space="preserve"> </w:t>
      </w:r>
      <w:r w:rsidRPr="009C362B">
        <w:rPr>
          <w:color w:val="000000"/>
          <w:szCs w:val="18"/>
        </w:rPr>
        <w:t>Free bulbs provided without request, with little or no education. Consistent with Standard CFL assumptions.</w:t>
      </w:r>
    </w:p>
  </w:footnote>
  <w:footnote w:id="22">
    <w:p w:rsidR="00D60E95" w:rsidRPr="009C362B" w:rsidRDefault="00D60E95" w:rsidP="00D60E95">
      <w:pPr>
        <w:pStyle w:val="Footnote"/>
        <w:rPr>
          <w:szCs w:val="18"/>
        </w:rPr>
      </w:pPr>
      <w:r w:rsidRPr="009C362B">
        <w:rPr>
          <w:rStyle w:val="FootnoteReference"/>
          <w:szCs w:val="18"/>
        </w:rPr>
        <w:footnoteRef/>
      </w:r>
      <w:r w:rsidRPr="009C362B">
        <w:rPr>
          <w:szCs w:val="18"/>
        </w:rPr>
        <w:t xml:space="preserve"> </w:t>
      </w:r>
      <w:r w:rsidRPr="009C362B">
        <w:rPr>
          <w:color w:val="000000"/>
          <w:szCs w:val="18"/>
        </w:rPr>
        <w:t>Kits provided free to students through school, with education program. Consistent with Standard CFL assumptions.</w:t>
      </w:r>
    </w:p>
  </w:footnote>
  <w:footnote w:id="23">
    <w:p w:rsidR="00D60E95" w:rsidRPr="009C362B" w:rsidRDefault="00D60E95" w:rsidP="00D60E95">
      <w:pPr>
        <w:pStyle w:val="Footnote"/>
        <w:rPr>
          <w:szCs w:val="18"/>
        </w:rPr>
      </w:pPr>
      <w:r w:rsidRPr="009C362B">
        <w:rPr>
          <w:rStyle w:val="FootnoteReference"/>
          <w:szCs w:val="18"/>
        </w:rPr>
        <w:footnoteRef/>
      </w:r>
      <w:r w:rsidRPr="009C362B">
        <w:rPr>
          <w:szCs w:val="18"/>
        </w:rPr>
        <w:t xml:space="preserve"> </w:t>
      </w:r>
      <w:r w:rsidRPr="009C362B">
        <w:rPr>
          <w:color w:val="000000"/>
          <w:szCs w:val="18"/>
        </w:rPr>
        <w:t>Opt-in program to receive kits via mail, with little or no education. Consistent with Standard CFL assumptions.</w:t>
      </w:r>
    </w:p>
  </w:footnote>
  <w:footnote w:id="24">
    <w:p w:rsidR="00D60E95" w:rsidRPr="009C362B" w:rsidRDefault="00D60E95" w:rsidP="00D60E95">
      <w:pPr>
        <w:pStyle w:val="Footnote"/>
        <w:rPr>
          <w:szCs w:val="18"/>
        </w:rPr>
      </w:pPr>
      <w:r w:rsidRPr="009C362B">
        <w:rPr>
          <w:rStyle w:val="FootnoteReference"/>
          <w:szCs w:val="18"/>
        </w:rPr>
        <w:footnoteRef/>
      </w:r>
      <w:r w:rsidRPr="009C362B">
        <w:rPr>
          <w:rFonts w:eastAsiaTheme="minorHAnsi" w:cs="Calibri"/>
          <w:szCs w:val="18"/>
        </w:rPr>
        <w:t xml:space="preserve"> Using a leakage estimate from the current program year evaluation, from past evaluation results, or a rolling average of leakage estimates from previous years.</w:t>
      </w:r>
    </w:p>
  </w:footnote>
  <w:footnote w:id="25">
    <w:p w:rsidR="00D60E95" w:rsidRPr="009C362B" w:rsidRDefault="00D60E95" w:rsidP="00D60E95">
      <w:pPr>
        <w:pStyle w:val="Footnote"/>
        <w:rPr>
          <w:szCs w:val="18"/>
        </w:rPr>
      </w:pPr>
      <w:r w:rsidRPr="009C362B">
        <w:rPr>
          <w:rStyle w:val="FootnoteReference"/>
          <w:szCs w:val="18"/>
        </w:rPr>
        <w:footnoteRef/>
      </w:r>
      <w:r w:rsidRPr="009C362B">
        <w:rPr>
          <w:szCs w:val="18"/>
        </w:rPr>
        <w:t xml:space="preserve"> Hours of use by specialty bulb type calculated using the average hours of use in locations or rooms where each type of specialty bulb is most commonly found. Values for Reflector, Decorative and Globe are taken directly from the lighting logger study conducted as part of the PY5/6 ComEd Residential Lighting Program evaluation. All other hours have been updated based on the room specific hours of use from the PY5/PY6 logger study. </w:t>
      </w:r>
    </w:p>
  </w:footnote>
  <w:footnote w:id="26">
    <w:p w:rsidR="00D60E95" w:rsidRPr="009C362B" w:rsidRDefault="00D60E95" w:rsidP="00D60E95">
      <w:pPr>
        <w:pStyle w:val="Footnote"/>
        <w:rPr>
          <w:szCs w:val="18"/>
        </w:rPr>
      </w:pPr>
      <w:r w:rsidRPr="007A07C8">
        <w:rPr>
          <w:rStyle w:val="FootnoteReference"/>
          <w:szCs w:val="18"/>
        </w:rPr>
        <w:footnoteRef/>
      </w:r>
      <w:r w:rsidRPr="009C362B">
        <w:rPr>
          <w:szCs w:val="18"/>
        </w:rPr>
        <w:t xml:space="preserve"> The value is estimated at 1.06 (calculated as 1 + (0.66*(0.27 / 2.8)).  Based on cooling loads decreasing by 27% of the lighting savings (average result from REMRate modeling of several different configurations and IL locations of homes), assuming typical cooling system operating efficiency of 2.8 COP (starting from standard assumption of SEER 10.5 central AC unit, converted to 9.5 EER using algorithm (-0.02 * SEER2) + (1.12 * SEER) (from Wassmer, M. (2003). A Component-Based Model for Residential Air Conditioner and Heat Pump Energy Calculations. Masters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4" w:history="1">
        <w:r w:rsidRPr="009C362B">
          <w:rPr>
            <w:rStyle w:val="Hyperlink"/>
            <w:szCs w:val="18"/>
          </w:rPr>
          <w:t>http://www.eia.gov/consumption/residential/data/2009/xls/HC7.9%20Air%20Conditioning%20in%20Midwest%20Region.xls</w:t>
        </w:r>
      </w:hyperlink>
      <w:r w:rsidRPr="009C362B">
        <w:rPr>
          <w:szCs w:val="18"/>
        </w:rPr>
        <w:t xml:space="preserve"> )</w:t>
      </w:r>
    </w:p>
  </w:footnote>
  <w:footnote w:id="27">
    <w:p w:rsidR="00D60E95" w:rsidRPr="009C362B" w:rsidRDefault="00D60E95" w:rsidP="00D60E95">
      <w:pPr>
        <w:pStyle w:val="Footnote"/>
        <w:rPr>
          <w:szCs w:val="18"/>
        </w:rPr>
      </w:pPr>
      <w:r w:rsidRPr="007A07C8">
        <w:rPr>
          <w:rStyle w:val="FootnoteReference"/>
          <w:szCs w:val="18"/>
        </w:rPr>
        <w:footnoteRef/>
      </w:r>
      <w:r w:rsidRPr="009C362B">
        <w:rPr>
          <w:szCs w:val="18"/>
        </w:rPr>
        <w:t xml:space="preserve"> As above but using estimate of 45% of multi family buildings in Illinois having central cooling (based on data from “Table HC7.1  Air Conditioning in U.S. Homes, By Housing Unit Type, 2009” which is for the whole of the US, scaled to IL air conditioning prevalence compared to US average); </w:t>
      </w:r>
      <w:hyperlink r:id="rId5" w:history="1">
        <w:r w:rsidRPr="009C362B">
          <w:rPr>
            <w:rStyle w:val="Hyperlink"/>
            <w:szCs w:val="18"/>
          </w:rPr>
          <w:t>http://205.254.135.7/consumption/residential/data/2009/xls/HC7.1%20Air%20Conditioning%20by%20Housing%20Unit%20Type.xls</w:t>
        </w:r>
      </w:hyperlink>
      <w:r w:rsidRPr="009C362B">
        <w:rPr>
          <w:szCs w:val="18"/>
        </w:rPr>
        <w:t xml:space="preserve"> </w:t>
      </w:r>
    </w:p>
  </w:footnote>
  <w:footnote w:id="28">
    <w:p w:rsidR="00D60E95" w:rsidRPr="009C362B" w:rsidRDefault="00D60E95" w:rsidP="00D60E95">
      <w:pPr>
        <w:pStyle w:val="Footnote"/>
        <w:rPr>
          <w:szCs w:val="18"/>
        </w:rPr>
      </w:pPr>
      <w:r w:rsidRPr="007A07C8">
        <w:rPr>
          <w:rStyle w:val="FootnoteReference"/>
          <w:szCs w:val="18"/>
        </w:rPr>
        <w:footnoteRef/>
      </w:r>
      <w:r w:rsidRPr="009C362B">
        <w:rPr>
          <w:szCs w:val="18"/>
        </w:rPr>
        <w:t xml:space="preserve"> Negative value because this is an increase in heating consumption due to the efficient lighting.</w:t>
      </w:r>
    </w:p>
  </w:footnote>
  <w:footnote w:id="29">
    <w:p w:rsidR="00D60E95" w:rsidRPr="009C362B" w:rsidRDefault="00D60E95" w:rsidP="00D60E95">
      <w:pPr>
        <w:pStyle w:val="Footnote"/>
        <w:rPr>
          <w:szCs w:val="18"/>
        </w:rPr>
      </w:pPr>
      <w:r w:rsidRPr="007A07C8">
        <w:rPr>
          <w:rStyle w:val="FootnoteReference"/>
          <w:szCs w:val="18"/>
        </w:rPr>
        <w:footnoteRef/>
      </w:r>
      <w:r w:rsidRPr="009C362B">
        <w:rPr>
          <w:szCs w:val="18"/>
        </w:rPr>
        <w:t xml:space="preserve"> This means that heating loads increase by 49% of the lighting savings. This is based on the average result from REMRate modeling of several different configurations and IL locations of homes.</w:t>
      </w:r>
    </w:p>
  </w:footnote>
  <w:footnote w:id="30">
    <w:p w:rsidR="00D60E95" w:rsidRPr="009C362B" w:rsidRDefault="00D60E95" w:rsidP="00D60E95">
      <w:pPr>
        <w:pStyle w:val="Footnote"/>
        <w:rPr>
          <w:szCs w:val="18"/>
        </w:rPr>
      </w:pPr>
      <w:r w:rsidRPr="007A07C8">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31">
    <w:p w:rsidR="00D60E95" w:rsidRPr="009C362B" w:rsidRDefault="00D60E95" w:rsidP="00D60E95">
      <w:pPr>
        <w:pStyle w:val="Footnote"/>
        <w:rPr>
          <w:szCs w:val="18"/>
        </w:rPr>
      </w:pPr>
      <w:r w:rsidRPr="007A07C8">
        <w:rPr>
          <w:rStyle w:val="FootnoteReference"/>
          <w:szCs w:val="18"/>
        </w:rPr>
        <w:footnoteRef/>
      </w:r>
      <w:r w:rsidRPr="009C362B">
        <w:rPr>
          <w:szCs w:val="18"/>
        </w:rPr>
        <w:t xml:space="preserve"> The value is estimated at 1.11 (calculated as 1 + (0.66 * 0.466 / 2.8)). See footnote relating to WHFe for details. Note the 46.6% factor represents the average Residential cooling coincidence factor calculated by dividing average load during the peak hours divided by the maximum cooling load. </w:t>
      </w:r>
    </w:p>
  </w:footnote>
  <w:footnote w:id="32">
    <w:p w:rsidR="00D60E95" w:rsidRPr="009C362B" w:rsidRDefault="00D60E95" w:rsidP="00D60E95">
      <w:pPr>
        <w:pStyle w:val="Footnote"/>
        <w:rPr>
          <w:szCs w:val="18"/>
        </w:rPr>
      </w:pPr>
      <w:r w:rsidRPr="007A07C8">
        <w:rPr>
          <w:rStyle w:val="FootnoteReference"/>
          <w:szCs w:val="18"/>
        </w:rPr>
        <w:footnoteRef/>
      </w:r>
      <w:r w:rsidRPr="009C362B">
        <w:rPr>
          <w:szCs w:val="18"/>
        </w:rPr>
        <w:t xml:space="preserve"> As above but using estimate of 45% of multifamily buildings in Illinois having central cooling (based on data from “Table HC7.1  Air Conditioning in U.S. Homes, By Housing Unit Type, 2009” which is for the whole of the US, scaled to IL air conditioning prevalence compared to US average); </w:t>
      </w:r>
      <w:hyperlink r:id="rId6" w:history="1">
        <w:r w:rsidRPr="009C362B">
          <w:rPr>
            <w:rStyle w:val="Hyperlink"/>
            <w:szCs w:val="18"/>
          </w:rPr>
          <w:t>http://205.254.135.7/consumption/residential/data/2009/xls/HC7.1%20Air%20Conditioning%20by%20Housing%20Unit%20Type.xls</w:t>
        </w:r>
      </w:hyperlink>
      <w:r w:rsidRPr="009C362B">
        <w:rPr>
          <w:szCs w:val="18"/>
        </w:rPr>
        <w:t xml:space="preserve">. </w:t>
      </w:r>
    </w:p>
  </w:footnote>
  <w:footnote w:id="33">
    <w:p w:rsidR="00D60E95" w:rsidRPr="009C362B" w:rsidRDefault="00D60E95" w:rsidP="00D60E95">
      <w:pPr>
        <w:pStyle w:val="Footnote"/>
        <w:rPr>
          <w:szCs w:val="18"/>
        </w:rPr>
      </w:pPr>
      <w:r w:rsidRPr="007A07C8">
        <w:rPr>
          <w:rStyle w:val="FootnoteReference"/>
          <w:szCs w:val="18"/>
        </w:rPr>
        <w:footnoteRef/>
      </w:r>
      <w:r w:rsidRPr="009C362B">
        <w:rPr>
          <w:szCs w:val="18"/>
        </w:rPr>
        <w:t xml:space="preserve">  Based on lighting logger study conducted as part of the PY5/6 ComEd Residential Lighting Program evaluation.</w:t>
      </w:r>
    </w:p>
  </w:footnote>
  <w:footnote w:id="34">
    <w:p w:rsidR="00D60E95" w:rsidRPr="009C362B" w:rsidRDefault="00D60E95" w:rsidP="00D60E95">
      <w:pPr>
        <w:pStyle w:val="Footnote"/>
        <w:rPr>
          <w:szCs w:val="18"/>
        </w:rPr>
      </w:pPr>
      <w:r w:rsidRPr="007A07C8">
        <w:rPr>
          <w:rStyle w:val="FootnoteReference"/>
          <w:szCs w:val="18"/>
        </w:rPr>
        <w:footnoteRef/>
      </w:r>
      <w:r w:rsidRPr="00D53442">
        <w:rPr>
          <w:szCs w:val="18"/>
        </w:rPr>
        <w:t xml:space="preserve"> </w:t>
      </w:r>
      <w:r w:rsidRPr="005D0D50">
        <w:rPr>
          <w:szCs w:val="18"/>
        </w:rPr>
        <w:t>Based on</w:t>
      </w:r>
      <w:r w:rsidRPr="0075793C">
        <w:rPr>
          <w:szCs w:val="18"/>
        </w:rPr>
        <w:t xml:space="preserve"> average of bedroom, dining room, office and living room results from the lighting logger study conducted as part of the PY5/6</w:t>
      </w:r>
      <w:r w:rsidRPr="009C362B">
        <w:rPr>
          <w:rFonts w:eastAsiaTheme="minorHAnsi" w:cs="Calibri"/>
          <w:szCs w:val="18"/>
        </w:rPr>
        <w:t xml:space="preserve"> ComEd Residential Lighting Program evaluation</w:t>
      </w:r>
      <w:r w:rsidRPr="009C362B">
        <w:rPr>
          <w:szCs w:val="18"/>
        </w:rPr>
        <w:t>.</w:t>
      </w:r>
    </w:p>
  </w:footnote>
  <w:footnote w:id="35">
    <w:p w:rsidR="00D60E95" w:rsidRPr="009C362B" w:rsidRDefault="00D60E95" w:rsidP="00D60E95">
      <w:pPr>
        <w:pStyle w:val="Footnote"/>
        <w:rPr>
          <w:szCs w:val="18"/>
        </w:rPr>
      </w:pPr>
      <w:r w:rsidRPr="009C362B">
        <w:rPr>
          <w:rStyle w:val="FootnoteReference"/>
          <w:szCs w:val="18"/>
        </w:rPr>
        <w:footnoteRef/>
      </w:r>
      <w:r w:rsidRPr="009C362B">
        <w:rPr>
          <w:szCs w:val="18"/>
        </w:rPr>
        <w:t xml:space="preserve"> Ibid</w:t>
      </w:r>
    </w:p>
  </w:footnote>
  <w:footnote w:id="36">
    <w:p w:rsidR="00D60E95" w:rsidRPr="009C362B" w:rsidRDefault="00D60E95" w:rsidP="00D60E95">
      <w:pPr>
        <w:pStyle w:val="Footnote"/>
        <w:rPr>
          <w:szCs w:val="18"/>
        </w:rPr>
      </w:pPr>
      <w:r w:rsidRPr="009C362B">
        <w:rPr>
          <w:rStyle w:val="FootnoteReference"/>
          <w:szCs w:val="18"/>
        </w:rPr>
        <w:footnoteRef/>
      </w:r>
      <w:r w:rsidRPr="009C362B">
        <w:rPr>
          <w:szCs w:val="18"/>
        </w:rPr>
        <w:t xml:space="preserve"> Negative value because this is an increase in heating consumption due to the efficient lighting.</w:t>
      </w:r>
    </w:p>
  </w:footnote>
  <w:footnote w:id="37">
    <w:p w:rsidR="00D60E95" w:rsidRPr="009C362B" w:rsidRDefault="00D60E95" w:rsidP="00D60E95">
      <w:pPr>
        <w:pStyle w:val="Footnote"/>
        <w:rPr>
          <w:szCs w:val="18"/>
        </w:rPr>
      </w:pPr>
      <w:r w:rsidRPr="007A07C8">
        <w:rPr>
          <w:rStyle w:val="FootnoteReference"/>
          <w:szCs w:val="18"/>
        </w:rPr>
        <w:footnoteRef/>
      </w:r>
      <w:r w:rsidRPr="009C362B">
        <w:rPr>
          <w:szCs w:val="18"/>
        </w:rPr>
        <w:t xml:space="preserve"> This means that heating loads increase by 49% of the lighting savings. This is based on the average result from REMRate modeling of several different configurations and IL locations of homes.</w:t>
      </w:r>
    </w:p>
  </w:footnote>
  <w:footnote w:id="38">
    <w:p w:rsidR="00D60E95" w:rsidRPr="009C362B" w:rsidRDefault="00D60E95" w:rsidP="00D60E95">
      <w:pPr>
        <w:pStyle w:val="Footnote"/>
        <w:rPr>
          <w:szCs w:val="18"/>
        </w:rPr>
      </w:pPr>
      <w:r w:rsidRPr="007A07C8">
        <w:rPr>
          <w:rStyle w:val="FootnoteReference"/>
          <w:szCs w:val="18"/>
        </w:rPr>
        <w:footnoteRef/>
      </w:r>
      <w:r w:rsidRPr="009C362B">
        <w:rPr>
          <w:szCs w:val="18"/>
        </w:rPr>
        <w:t xml:space="preserve"> This has been estimated assuming that natural gas central furnace heating is typical for Illinois residences (66% of Illinois homes have a Natural Gas Furnace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p w:rsidR="00D60E95" w:rsidRPr="009C362B" w:rsidRDefault="00D60E95" w:rsidP="00D60E95">
      <w:pPr>
        <w:pStyle w:val="Footnote"/>
        <w:rPr>
          <w:szCs w:val="18"/>
        </w:rPr>
      </w:pPr>
      <w:r w:rsidRPr="009C362B">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D60E95" w:rsidRPr="009C362B" w:rsidRDefault="00D60E95" w:rsidP="00D60E95">
      <w:pPr>
        <w:pStyle w:val="Footnote"/>
        <w:rPr>
          <w:szCs w:val="18"/>
        </w:rPr>
      </w:pPr>
      <w:r w:rsidRPr="009C362B">
        <w:rPr>
          <w:szCs w:val="18"/>
        </w:rPr>
        <w:t>(0.24*0.92) + (0.76*0.8) * (1-0.15) =  0.70</w:t>
      </w:r>
    </w:p>
  </w:footnote>
  <w:footnote w:id="39">
    <w:p w:rsidR="00D60E95" w:rsidRPr="009C362B" w:rsidRDefault="00D60E95" w:rsidP="00D60E95">
      <w:pPr>
        <w:pStyle w:val="Footnote"/>
        <w:rPr>
          <w:szCs w:val="18"/>
        </w:rPr>
      </w:pPr>
      <w:r w:rsidRPr="007A07C8">
        <w:rPr>
          <w:rStyle w:val="FootnoteReference"/>
          <w:rFonts w:eastAsiaTheme="majorEastAsia"/>
          <w:szCs w:val="18"/>
        </w:rPr>
        <w:footnoteRef/>
      </w:r>
      <w:r w:rsidRPr="009C362B">
        <w:rPr>
          <w:szCs w:val="18"/>
        </w:rPr>
        <w:t xml:space="preserve"> Assuming 1000 hour rated life for incandescent bulb: 1000/759 = 1.32</w:t>
      </w:r>
    </w:p>
  </w:footnote>
  <w:footnote w:id="40">
    <w:p w:rsidR="00D60E95" w:rsidRPr="009C362B" w:rsidRDefault="00D60E95" w:rsidP="00D60E95">
      <w:pPr>
        <w:pStyle w:val="Footnote"/>
        <w:rPr>
          <w:szCs w:val="18"/>
        </w:rPr>
      </w:pPr>
      <w:r w:rsidRPr="007A07C8">
        <w:rPr>
          <w:rStyle w:val="FootnoteReference"/>
          <w:rFonts w:eastAsiaTheme="majorEastAsia"/>
          <w:szCs w:val="18"/>
        </w:rPr>
        <w:footnoteRef/>
      </w:r>
      <w:r w:rsidRPr="009C362B">
        <w:rPr>
          <w:szCs w:val="18"/>
        </w:rPr>
        <w:t xml:space="preserve"> NEEP Residential Lighting Survey, 2011</w:t>
      </w:r>
    </w:p>
  </w:footnote>
  <w:footnote w:id="41">
    <w:p w:rsidR="00D60E95" w:rsidRPr="009C362B" w:rsidRDefault="00D60E95" w:rsidP="00D60E95">
      <w:pPr>
        <w:pStyle w:val="Footnote"/>
        <w:rPr>
          <w:szCs w:val="18"/>
        </w:rPr>
      </w:pPr>
      <w:r w:rsidRPr="007A07C8">
        <w:rPr>
          <w:rStyle w:val="FootnoteReference"/>
          <w:rFonts w:eastAsiaTheme="majorEastAsia"/>
          <w:szCs w:val="18"/>
        </w:rPr>
        <w:footnoteRef/>
      </w:r>
      <w:r w:rsidRPr="009C362B">
        <w:rPr>
          <w:szCs w:val="18"/>
        </w:rPr>
        <w:t xml:space="preserve"> Assuming 1000 hour rated life for halogen bulb: 1000/759 = 1.32</w:t>
      </w:r>
    </w:p>
  </w:footnote>
  <w:footnote w:id="42">
    <w:p w:rsidR="00D60E95" w:rsidRPr="009C362B" w:rsidRDefault="00D60E95" w:rsidP="00D60E95">
      <w:pPr>
        <w:pStyle w:val="Footnote"/>
        <w:rPr>
          <w:szCs w:val="18"/>
        </w:rPr>
      </w:pPr>
      <w:r w:rsidRPr="007A07C8">
        <w:rPr>
          <w:rStyle w:val="FootnoteReference"/>
          <w:rFonts w:eastAsiaTheme="majorEastAsia"/>
          <w:szCs w:val="18"/>
        </w:rPr>
        <w:footnoteRef/>
      </w:r>
      <w:r w:rsidRPr="009C362B">
        <w:rPr>
          <w:szCs w:val="18"/>
        </w:rPr>
        <w:t xml:space="preserve"> NEEP Residential Lighting Survey,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E95" w:rsidRPr="008A26DF" w:rsidRDefault="00D60E95" w:rsidP="00645A06">
    <w:pPr>
      <w:pStyle w:val="HeaderIL"/>
    </w:pPr>
    <w:r w:rsidRPr="009F3C46">
      <w:t xml:space="preserve">Illinois Statewide Technical Reference Manual - </w:t>
    </w:r>
    <w:r>
      <w:fldChar w:fldCharType="begin"/>
    </w:r>
    <w:r>
      <w:instrText xml:space="preserve"> REF _Ref353865714 \r \h </w:instrText>
    </w:r>
    <w:r>
      <w:fldChar w:fldCharType="separate"/>
    </w:r>
    <w:r>
      <w:t>5.5.2</w:t>
    </w:r>
    <w:r>
      <w:fldChar w:fldCharType="end"/>
    </w:r>
    <w:r>
      <w:t xml:space="preserve"> </w:t>
    </w:r>
    <w:r>
      <w:fldChar w:fldCharType="begin"/>
    </w:r>
    <w:r>
      <w:instrText xml:space="preserve"> REF _Ref353865720 \h </w:instrText>
    </w:r>
    <w:r>
      <w:fldChar w:fldCharType="separate"/>
    </w:r>
    <w:r w:rsidRPr="000B7BB6">
      <w:t>ENERGY STAR Specialty Compact Fluorescent Lamp (CFL)</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F334557"/>
    <w:multiLevelType w:val="multilevel"/>
    <w:tmpl w:val="A2C04D48"/>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95"/>
    <w:rsid w:val="00C53F13"/>
    <w:rsid w:val="00D5281E"/>
    <w:rsid w:val="00D60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9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60E9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60E9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60E9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60E9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60E95"/>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60E95"/>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60E9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60E9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60E9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60E9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60E9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60E9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60E95"/>
    <w:rPr>
      <w:rFonts w:ascii="Calibri" w:eastAsiaTheme="minorEastAsia" w:hAnsi="Calibri" w:cs="Arial"/>
      <w:bCs/>
      <w:i/>
      <w:noProof/>
    </w:rPr>
  </w:style>
  <w:style w:type="character" w:customStyle="1" w:styleId="Heading5Char">
    <w:name w:val="Heading 5 Char"/>
    <w:basedOn w:val="DefaultParagraphFont"/>
    <w:link w:val="Heading5"/>
    <w:uiPriority w:val="99"/>
    <w:rsid w:val="00D60E95"/>
    <w:rPr>
      <w:rFonts w:ascii="Calibri" w:eastAsia="Times New Roman" w:hAnsi="Calibri" w:cs="Times New Roman"/>
      <w:sz w:val="20"/>
    </w:rPr>
  </w:style>
  <w:style w:type="character" w:customStyle="1" w:styleId="Heading6Char">
    <w:name w:val="Heading 6 Char"/>
    <w:basedOn w:val="DefaultParagraphFont"/>
    <w:link w:val="Heading6"/>
    <w:uiPriority w:val="9"/>
    <w:rsid w:val="00D60E95"/>
    <w:rPr>
      <w:rFonts w:eastAsia="Times New Roman" w:cs="Calibri"/>
      <w:b/>
      <w:smallCaps/>
    </w:rPr>
  </w:style>
  <w:style w:type="character" w:customStyle="1" w:styleId="Heading7Char">
    <w:name w:val="Heading 7 Char"/>
    <w:basedOn w:val="DefaultParagraphFont"/>
    <w:link w:val="Heading7"/>
    <w:uiPriority w:val="99"/>
    <w:rsid w:val="00D60E9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60E9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60E95"/>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D60E95"/>
    <w:rPr>
      <w:rFonts w:ascii="Calibri" w:eastAsiaTheme="minorEastAsia" w:hAnsi="Calibri" w:cs="Times New Roman"/>
      <w:bCs/>
      <w:sz w:val="24"/>
      <w:szCs w:val="24"/>
    </w:rPr>
  </w:style>
  <w:style w:type="table" w:styleId="TableGrid">
    <w:name w:val="Table Grid"/>
    <w:basedOn w:val="TableNormal"/>
    <w:uiPriority w:val="59"/>
    <w:rsid w:val="00D60E9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60E95"/>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60E95"/>
    <w:rPr>
      <w:rFonts w:eastAsia="Times New Roman" w:cs="Times New Roman"/>
      <w:sz w:val="20"/>
    </w:rPr>
  </w:style>
  <w:style w:type="character" w:styleId="FootnoteReference">
    <w:name w:val="footnote reference"/>
    <w:aliases w:val="Footnote_Reference,o,fr"/>
    <w:uiPriority w:val="99"/>
    <w:qFormat/>
    <w:rsid w:val="00D60E95"/>
    <w:rPr>
      <w:rFonts w:ascii="Arial" w:hAnsi="Arial" w:cs="Times New Roman"/>
      <w:sz w:val="20"/>
      <w:vertAlign w:val="superscript"/>
    </w:rPr>
  </w:style>
  <w:style w:type="character" w:styleId="Hyperlink">
    <w:name w:val="Hyperlink"/>
    <w:uiPriority w:val="99"/>
    <w:rsid w:val="00D60E95"/>
    <w:rPr>
      <w:rFonts w:cs="Times New Roman"/>
      <w:color w:val="0000FF"/>
      <w:u w:val="single"/>
    </w:rPr>
  </w:style>
  <w:style w:type="character" w:customStyle="1" w:styleId="FootnoteChar">
    <w:name w:val="Footnote Char"/>
    <w:basedOn w:val="DefaultParagraphFont"/>
    <w:link w:val="Footnote"/>
    <w:rsid w:val="00D60E95"/>
    <w:rPr>
      <w:rFonts w:eastAsiaTheme="minorEastAsia" w:cstheme="minorHAnsi"/>
      <w:sz w:val="18"/>
      <w:szCs w:val="20"/>
    </w:rPr>
  </w:style>
  <w:style w:type="paragraph" w:customStyle="1" w:styleId="AlgorithmHeading">
    <w:name w:val="Algorithm Heading"/>
    <w:basedOn w:val="Normal"/>
    <w:link w:val="AlgorithmHeadingChar"/>
    <w:qFormat/>
    <w:rsid w:val="00D60E95"/>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60E95"/>
    <w:rPr>
      <w:rFonts w:eastAsia="Times New Roman" w:cstheme="minorHAnsi"/>
      <w:b/>
      <w:sz w:val="20"/>
      <w:szCs w:val="20"/>
    </w:rPr>
  </w:style>
  <w:style w:type="paragraph" w:customStyle="1" w:styleId="HeaderIL">
    <w:name w:val="Header IL"/>
    <w:basedOn w:val="Header"/>
    <w:link w:val="HeaderILChar"/>
    <w:qFormat/>
    <w:rsid w:val="00D60E95"/>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D60E95"/>
    <w:rPr>
      <w:rFonts w:eastAsia="Times New Roman" w:cs="Times New Roman"/>
      <w:sz w:val="20"/>
    </w:rPr>
  </w:style>
  <w:style w:type="paragraph" w:customStyle="1" w:styleId="Footnote">
    <w:name w:val="Footnote"/>
    <w:basedOn w:val="FootnoteText"/>
    <w:link w:val="FootnoteChar"/>
    <w:autoRedefine/>
    <w:qFormat/>
    <w:rsid w:val="00D60E95"/>
    <w:pPr>
      <w:spacing w:after="0"/>
      <w:jc w:val="left"/>
    </w:pPr>
    <w:rPr>
      <w:rFonts w:eastAsiaTheme="minorEastAsia" w:cstheme="minorHAnsi"/>
      <w:sz w:val="18"/>
      <w:szCs w:val="20"/>
    </w:rPr>
  </w:style>
  <w:style w:type="paragraph" w:styleId="Header">
    <w:name w:val="header"/>
    <w:basedOn w:val="Normal"/>
    <w:link w:val="HeaderChar"/>
    <w:uiPriority w:val="99"/>
    <w:semiHidden/>
    <w:unhideWhenUsed/>
    <w:rsid w:val="00D60E95"/>
    <w:pPr>
      <w:tabs>
        <w:tab w:val="center" w:pos="4680"/>
        <w:tab w:val="right" w:pos="9360"/>
      </w:tabs>
      <w:spacing w:after="0"/>
    </w:pPr>
  </w:style>
  <w:style w:type="character" w:customStyle="1" w:styleId="HeaderChar">
    <w:name w:val="Header Char"/>
    <w:basedOn w:val="DefaultParagraphFont"/>
    <w:link w:val="Header"/>
    <w:uiPriority w:val="99"/>
    <w:semiHidden/>
    <w:rsid w:val="00D60E95"/>
    <w:rPr>
      <w:rFonts w:eastAsia="Times New Roman" w:cs="Times New Roman"/>
      <w:sz w:val="20"/>
    </w:rPr>
  </w:style>
  <w:style w:type="paragraph" w:styleId="BalloonText">
    <w:name w:val="Balloon Text"/>
    <w:basedOn w:val="Normal"/>
    <w:link w:val="BalloonTextChar"/>
    <w:uiPriority w:val="99"/>
    <w:semiHidden/>
    <w:unhideWhenUsed/>
    <w:rsid w:val="00D60E9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E9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E9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60E9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60E9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60E9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60E9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60E95"/>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60E95"/>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60E9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60E9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60E9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60E9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60E9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60E9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60E95"/>
    <w:rPr>
      <w:rFonts w:ascii="Calibri" w:eastAsiaTheme="minorEastAsia" w:hAnsi="Calibri" w:cs="Arial"/>
      <w:bCs/>
      <w:i/>
      <w:noProof/>
    </w:rPr>
  </w:style>
  <w:style w:type="character" w:customStyle="1" w:styleId="Heading5Char">
    <w:name w:val="Heading 5 Char"/>
    <w:basedOn w:val="DefaultParagraphFont"/>
    <w:link w:val="Heading5"/>
    <w:uiPriority w:val="99"/>
    <w:rsid w:val="00D60E95"/>
    <w:rPr>
      <w:rFonts w:ascii="Calibri" w:eastAsia="Times New Roman" w:hAnsi="Calibri" w:cs="Times New Roman"/>
      <w:sz w:val="20"/>
    </w:rPr>
  </w:style>
  <w:style w:type="character" w:customStyle="1" w:styleId="Heading6Char">
    <w:name w:val="Heading 6 Char"/>
    <w:basedOn w:val="DefaultParagraphFont"/>
    <w:link w:val="Heading6"/>
    <w:uiPriority w:val="9"/>
    <w:rsid w:val="00D60E95"/>
    <w:rPr>
      <w:rFonts w:eastAsia="Times New Roman" w:cs="Calibri"/>
      <w:b/>
      <w:smallCaps/>
    </w:rPr>
  </w:style>
  <w:style w:type="character" w:customStyle="1" w:styleId="Heading7Char">
    <w:name w:val="Heading 7 Char"/>
    <w:basedOn w:val="DefaultParagraphFont"/>
    <w:link w:val="Heading7"/>
    <w:uiPriority w:val="99"/>
    <w:rsid w:val="00D60E9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60E9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60E95"/>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D60E95"/>
    <w:rPr>
      <w:rFonts w:ascii="Calibri" w:eastAsiaTheme="minorEastAsia" w:hAnsi="Calibri" w:cs="Times New Roman"/>
      <w:bCs/>
      <w:sz w:val="24"/>
      <w:szCs w:val="24"/>
    </w:rPr>
  </w:style>
  <w:style w:type="table" w:styleId="TableGrid">
    <w:name w:val="Table Grid"/>
    <w:basedOn w:val="TableNormal"/>
    <w:uiPriority w:val="59"/>
    <w:rsid w:val="00D60E9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60E95"/>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60E95"/>
    <w:rPr>
      <w:rFonts w:eastAsia="Times New Roman" w:cs="Times New Roman"/>
      <w:sz w:val="20"/>
    </w:rPr>
  </w:style>
  <w:style w:type="character" w:styleId="FootnoteReference">
    <w:name w:val="footnote reference"/>
    <w:aliases w:val="Footnote_Reference,o,fr"/>
    <w:uiPriority w:val="99"/>
    <w:qFormat/>
    <w:rsid w:val="00D60E95"/>
    <w:rPr>
      <w:rFonts w:ascii="Arial" w:hAnsi="Arial" w:cs="Times New Roman"/>
      <w:sz w:val="20"/>
      <w:vertAlign w:val="superscript"/>
    </w:rPr>
  </w:style>
  <w:style w:type="character" w:styleId="Hyperlink">
    <w:name w:val="Hyperlink"/>
    <w:uiPriority w:val="99"/>
    <w:rsid w:val="00D60E95"/>
    <w:rPr>
      <w:rFonts w:cs="Times New Roman"/>
      <w:color w:val="0000FF"/>
      <w:u w:val="single"/>
    </w:rPr>
  </w:style>
  <w:style w:type="character" w:customStyle="1" w:styleId="FootnoteChar">
    <w:name w:val="Footnote Char"/>
    <w:basedOn w:val="DefaultParagraphFont"/>
    <w:link w:val="Footnote"/>
    <w:rsid w:val="00D60E95"/>
    <w:rPr>
      <w:rFonts w:eastAsiaTheme="minorEastAsia" w:cstheme="minorHAnsi"/>
      <w:sz w:val="18"/>
      <w:szCs w:val="20"/>
    </w:rPr>
  </w:style>
  <w:style w:type="paragraph" w:customStyle="1" w:styleId="AlgorithmHeading">
    <w:name w:val="Algorithm Heading"/>
    <w:basedOn w:val="Normal"/>
    <w:link w:val="AlgorithmHeadingChar"/>
    <w:qFormat/>
    <w:rsid w:val="00D60E95"/>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60E95"/>
    <w:rPr>
      <w:rFonts w:eastAsia="Times New Roman" w:cstheme="minorHAnsi"/>
      <w:b/>
      <w:sz w:val="20"/>
      <w:szCs w:val="20"/>
    </w:rPr>
  </w:style>
  <w:style w:type="paragraph" w:customStyle="1" w:styleId="HeaderIL">
    <w:name w:val="Header IL"/>
    <w:basedOn w:val="Header"/>
    <w:link w:val="HeaderILChar"/>
    <w:qFormat/>
    <w:rsid w:val="00D60E95"/>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D60E95"/>
    <w:rPr>
      <w:rFonts w:eastAsia="Times New Roman" w:cs="Times New Roman"/>
      <w:sz w:val="20"/>
    </w:rPr>
  </w:style>
  <w:style w:type="paragraph" w:customStyle="1" w:styleId="Footnote">
    <w:name w:val="Footnote"/>
    <w:basedOn w:val="FootnoteText"/>
    <w:link w:val="FootnoteChar"/>
    <w:autoRedefine/>
    <w:qFormat/>
    <w:rsid w:val="00D60E95"/>
    <w:pPr>
      <w:spacing w:after="0"/>
      <w:jc w:val="left"/>
    </w:pPr>
    <w:rPr>
      <w:rFonts w:eastAsiaTheme="minorEastAsia" w:cstheme="minorHAnsi"/>
      <w:sz w:val="18"/>
      <w:szCs w:val="20"/>
    </w:rPr>
  </w:style>
  <w:style w:type="paragraph" w:styleId="Header">
    <w:name w:val="header"/>
    <w:basedOn w:val="Normal"/>
    <w:link w:val="HeaderChar"/>
    <w:uiPriority w:val="99"/>
    <w:semiHidden/>
    <w:unhideWhenUsed/>
    <w:rsid w:val="00D60E95"/>
    <w:pPr>
      <w:tabs>
        <w:tab w:val="center" w:pos="4680"/>
        <w:tab w:val="right" w:pos="9360"/>
      </w:tabs>
      <w:spacing w:after="0"/>
    </w:pPr>
  </w:style>
  <w:style w:type="character" w:customStyle="1" w:styleId="HeaderChar">
    <w:name w:val="Header Char"/>
    <w:basedOn w:val="DefaultParagraphFont"/>
    <w:link w:val="Header"/>
    <w:uiPriority w:val="99"/>
    <w:semiHidden/>
    <w:rsid w:val="00D60E95"/>
    <w:rPr>
      <w:rFonts w:eastAsia="Times New Roman" w:cs="Times New Roman"/>
      <w:sz w:val="20"/>
    </w:rPr>
  </w:style>
  <w:style w:type="paragraph" w:styleId="BalloonText">
    <w:name w:val="Balloon Text"/>
    <w:basedOn w:val="Normal"/>
    <w:link w:val="BalloonTextChar"/>
    <w:uiPriority w:val="99"/>
    <w:semiHidden/>
    <w:unhideWhenUsed/>
    <w:rsid w:val="00D60E9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E9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ergystar.gov/products/specs/sites/products/files/ENERGY_STAR_Lamps_V1_0_Draft%203.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illinois.gov/downloads/public/edocket/287090.pdf" TargetMode="External"/><Relationship Id="rId2" Type="http://schemas.openxmlformats.org/officeDocument/2006/relationships/hyperlink" Target="http://ilsag.org/yahoo_site_admin/assets/docs/ComEd_Res_Lighting_PY2_Evaluation_Report_2010-12-21_Final.12113928.pdf" TargetMode="External"/><Relationship Id="rId1" Type="http://schemas.openxmlformats.org/officeDocument/2006/relationships/hyperlink" Target="http://energystar.gov/products/specs/sites/products/files/ENERGY_STAR_Lamps_V1_0_Draft%203.pdf" TargetMode="External"/><Relationship Id="rId6" Type="http://schemas.openxmlformats.org/officeDocument/2006/relationships/hyperlink" Target="http://205.254.135.7/consumption/residential/data/2009/xls/HC7.1%20Air%20Conditioning%20by%20Housing%20Unit%20Type.xls" TargetMode="External"/><Relationship Id="rId5" Type="http://schemas.openxmlformats.org/officeDocument/2006/relationships/hyperlink" Target="http://205.254.135.7/consumption/residential/data/2009/xls/HC7.1%20Air%20Conditioning%20by%20Housing%20Unit%20Type.xls" TargetMode="External"/><Relationship Id="rId4" Type="http://schemas.openxmlformats.org/officeDocument/2006/relationships/hyperlink" Target="http://www.eia.gov/consumption/residential/data/2009/xls/HC7.9%20Air%20Conditioning%20in%20Midwest%20Region.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F2B1BDAD</Template>
  <TotalTime>0</TotalTime>
  <Pages>13</Pages>
  <Words>1672</Words>
  <Characters>9532</Characters>
  <Application>Microsoft Office Word</Application>
  <DocSecurity>0</DocSecurity>
  <Lines>79</Lines>
  <Paragraphs>22</Paragraphs>
  <ScaleCrop>false</ScaleCrop>
  <Company>VEIC</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2015-10-08T13:15:00Z</dcterms:created>
  <dcterms:modified xsi:type="dcterms:W3CDTF">2015-10-08T13:30:00Z</dcterms:modified>
</cp:coreProperties>
</file>