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49D" w:rsidRPr="0024549D" w:rsidRDefault="0024549D" w:rsidP="0024549D">
      <w:pPr>
        <w:jc w:val="center"/>
        <w:rPr>
          <w:rFonts w:ascii="Verdana" w:hAnsi="Verdana"/>
          <w:smallCaps/>
          <w:color w:val="003366"/>
          <w:sz w:val="40"/>
          <w:szCs w:val="40"/>
        </w:rPr>
      </w:pPr>
      <w:r w:rsidRPr="0024549D">
        <w:rPr>
          <w:rFonts w:ascii="Verdana" w:hAnsi="Verdana"/>
          <w:b/>
          <w:smallCaps/>
          <w:noProof/>
          <w:color w:val="003366"/>
          <w:sz w:val="40"/>
          <w:szCs w:val="40"/>
        </w:rPr>
        <w:drawing>
          <wp:inline distT="0" distB="0" distL="0" distR="0">
            <wp:extent cx="1943100" cy="892810"/>
            <wp:effectExtent l="19050" t="0" r="0" b="0"/>
            <wp:docPr id="6" name="Picture 4" descr="odc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dc_rgb"/>
                    <pic:cNvPicPr>
                      <a:picLocks noChangeAspect="1" noChangeArrowheads="1"/>
                    </pic:cNvPicPr>
                  </pic:nvPicPr>
                  <pic:blipFill>
                    <a:blip r:embed="rId11" cstate="print"/>
                    <a:srcRect/>
                    <a:stretch>
                      <a:fillRect/>
                    </a:stretch>
                  </pic:blipFill>
                  <pic:spPr bwMode="auto">
                    <a:xfrm>
                      <a:off x="0" y="0"/>
                      <a:ext cx="1943100" cy="892810"/>
                    </a:xfrm>
                    <a:prstGeom prst="rect">
                      <a:avLst/>
                    </a:prstGeom>
                    <a:noFill/>
                  </pic:spPr>
                </pic:pic>
              </a:graphicData>
            </a:graphic>
          </wp:inline>
        </w:drawing>
      </w:r>
    </w:p>
    <w:p w:rsidR="00547A46" w:rsidRPr="005F6E14" w:rsidRDefault="00547A46" w:rsidP="00547A46">
      <w:pPr>
        <w:jc w:val="left"/>
        <w:rPr>
          <w:sz w:val="22"/>
        </w:rPr>
      </w:pPr>
    </w:p>
    <w:tbl>
      <w:tblPr>
        <w:tblW w:w="0" w:type="auto"/>
        <w:tblLook w:val="01E0"/>
      </w:tblPr>
      <w:tblGrid>
        <w:gridCol w:w="9418"/>
      </w:tblGrid>
      <w:tr w:rsidR="00547A46" w:rsidRPr="005F6E14" w:rsidTr="00547A46">
        <w:trPr>
          <w:trHeight w:val="3744"/>
        </w:trPr>
        <w:tc>
          <w:tcPr>
            <w:tcW w:w="9418" w:type="dxa"/>
            <w:shd w:val="clear" w:color="auto" w:fill="FFFFFF"/>
            <w:vAlign w:val="bottom"/>
          </w:tcPr>
          <w:p w:rsidR="00547A46" w:rsidRPr="005F6E14" w:rsidRDefault="00547A46" w:rsidP="00547A46">
            <w:pPr>
              <w:pStyle w:val="Title"/>
              <w:rPr>
                <w:rFonts w:ascii="Verdana" w:hAnsi="Verdana"/>
              </w:rPr>
            </w:pPr>
            <w:r w:rsidRPr="005F6E14">
              <w:rPr>
                <w:rFonts w:ascii="Verdana" w:hAnsi="Verdana"/>
              </w:rPr>
              <w:br/>
            </w:r>
            <w:r w:rsidR="00777036">
              <w:rPr>
                <w:rFonts w:ascii="Verdana" w:hAnsi="Verdana"/>
              </w:rPr>
              <w:t>PY4</w:t>
            </w:r>
            <w:r w:rsidRPr="005F6E14">
              <w:rPr>
                <w:rFonts w:ascii="Verdana" w:hAnsi="Verdana"/>
              </w:rPr>
              <w:t xml:space="preserve"> </w:t>
            </w:r>
            <w:r w:rsidR="00777036">
              <w:rPr>
                <w:rFonts w:ascii="Verdana" w:hAnsi="Verdana"/>
              </w:rPr>
              <w:t xml:space="preserve">Appliance Recycling Program PJM Post </w:t>
            </w:r>
            <w:proofErr w:type="gramStart"/>
            <w:r w:rsidR="00777036">
              <w:rPr>
                <w:rFonts w:ascii="Verdana" w:hAnsi="Verdana"/>
              </w:rPr>
              <w:t>Install  M</w:t>
            </w:r>
            <w:proofErr w:type="gramEnd"/>
            <w:r w:rsidR="00777036">
              <w:rPr>
                <w:rFonts w:ascii="Verdana" w:hAnsi="Verdana"/>
              </w:rPr>
              <w:t>&amp;V Demand Analysis Report</w:t>
            </w:r>
          </w:p>
          <w:p w:rsidR="00547A46" w:rsidRPr="005F6E14" w:rsidRDefault="00777036" w:rsidP="00777036">
            <w:pPr>
              <w:pStyle w:val="Title"/>
              <w:rPr>
                <w:rFonts w:ascii="Verdana" w:hAnsi="Verdana"/>
              </w:rPr>
            </w:pPr>
            <w:r>
              <w:rPr>
                <w:rFonts w:ascii="Verdana" w:hAnsi="Verdana"/>
              </w:rPr>
              <w:t>Draft</w:t>
            </w:r>
          </w:p>
        </w:tc>
      </w:tr>
    </w:tbl>
    <w:p w:rsidR="00547A46" w:rsidRPr="005F6E14" w:rsidRDefault="00547A46" w:rsidP="00547A46">
      <w:pPr>
        <w:pStyle w:val="TitleItalics"/>
        <w:tabs>
          <w:tab w:val="left" w:pos="2910"/>
          <w:tab w:val="center" w:pos="4680"/>
        </w:tabs>
        <w:spacing w:before="900"/>
        <w:jc w:val="left"/>
        <w:rPr>
          <w:rFonts w:ascii="Franklin Gothic Book" w:hAnsi="Franklin Gothic Book"/>
          <w:sz w:val="22"/>
        </w:rPr>
      </w:pPr>
      <w:r w:rsidRPr="005F6E14">
        <w:rPr>
          <w:rFonts w:ascii="Franklin Gothic Book" w:hAnsi="Franklin Gothic Book"/>
          <w:sz w:val="22"/>
        </w:rPr>
        <w:tab/>
      </w:r>
      <w:r w:rsidRPr="005F6E14">
        <w:rPr>
          <w:rFonts w:ascii="Franklin Gothic Book" w:hAnsi="Franklin Gothic Book"/>
          <w:sz w:val="22"/>
        </w:rPr>
        <w:tab/>
        <w:t>Prepared for:</w:t>
      </w:r>
    </w:p>
    <w:p w:rsidR="00547A46" w:rsidRPr="005F6E14" w:rsidRDefault="00777036" w:rsidP="00547A46">
      <w:pPr>
        <w:pStyle w:val="TitleCompanies"/>
        <w:rPr>
          <w:rFonts w:ascii="Franklin Gothic Book" w:hAnsi="Franklin Gothic Book"/>
        </w:rPr>
      </w:pPr>
      <w:r>
        <w:rPr>
          <w:rFonts w:ascii="Franklin Gothic Book" w:hAnsi="Franklin Gothic Book"/>
        </w:rPr>
        <w:t>Commonwealth Edison Company</w:t>
      </w:r>
    </w:p>
    <w:p w:rsidR="00547A46" w:rsidRPr="005F6E14" w:rsidRDefault="00547A46" w:rsidP="00547A46">
      <w:pPr>
        <w:pStyle w:val="TitleCompanies"/>
        <w:rPr>
          <w:rFonts w:ascii="Franklin Gothic Book" w:hAnsi="Franklin Gothic Book"/>
        </w:rPr>
      </w:pPr>
    </w:p>
    <w:p w:rsidR="00547A46" w:rsidRPr="005F6E14" w:rsidRDefault="00547A46" w:rsidP="00547A46">
      <w:pPr>
        <w:pStyle w:val="TitleItalics2"/>
        <w:rPr>
          <w:rFonts w:ascii="Franklin Gothic Book" w:hAnsi="Franklin Gothic Book"/>
          <w:sz w:val="22"/>
        </w:rPr>
      </w:pPr>
      <w:r w:rsidRPr="005F6E14">
        <w:rPr>
          <w:rFonts w:ascii="Franklin Gothic Book" w:hAnsi="Franklin Gothic Book"/>
          <w:sz w:val="22"/>
        </w:rPr>
        <w:t>Prepared by:</w:t>
      </w:r>
    </w:p>
    <w:p w:rsidR="00547A46" w:rsidRPr="005F6E14" w:rsidRDefault="00547A46" w:rsidP="00547A46">
      <w:pPr>
        <w:pStyle w:val="TitleCompanies"/>
        <w:rPr>
          <w:rFonts w:ascii="Franklin Gothic Book" w:hAnsi="Franklin Gothic Book"/>
        </w:rPr>
      </w:pPr>
      <w:r w:rsidRPr="005F6E14">
        <w:rPr>
          <w:rFonts w:ascii="Franklin Gothic Book" w:hAnsi="Franklin Gothic Book"/>
        </w:rPr>
        <w:t xml:space="preserve">Opinion Dynamics Corporation, </w:t>
      </w:r>
      <w:r w:rsidRPr="005F6E14">
        <w:rPr>
          <w:rFonts w:ascii="Franklin Gothic Book" w:hAnsi="Franklin Gothic Book"/>
        </w:rPr>
        <w:br/>
      </w:r>
    </w:p>
    <w:p w:rsidR="00547A46" w:rsidRPr="005F6E14" w:rsidRDefault="00547A46" w:rsidP="00547A46">
      <w:pPr>
        <w:jc w:val="center"/>
        <w:rPr>
          <w:sz w:val="22"/>
        </w:rPr>
      </w:pPr>
      <w:r w:rsidRPr="005F6E14">
        <w:rPr>
          <w:sz w:val="22"/>
        </w:rPr>
        <w:t xml:space="preserve">April </w:t>
      </w:r>
      <w:r w:rsidR="00777036">
        <w:rPr>
          <w:sz w:val="22"/>
        </w:rPr>
        <w:t>20</w:t>
      </w:r>
      <w:r w:rsidRPr="005F6E14">
        <w:rPr>
          <w:sz w:val="22"/>
        </w:rPr>
        <w:t>, 2012</w:t>
      </w:r>
    </w:p>
    <w:p w:rsidR="00777036" w:rsidRDefault="00777036">
      <w:pPr>
        <w:spacing w:after="0"/>
        <w:jc w:val="left"/>
        <w:rPr>
          <w:rFonts w:ascii="Verdana" w:hAnsi="Verdana"/>
          <w:b/>
          <w:smallCaps/>
          <w:color w:val="003366"/>
          <w:sz w:val="40"/>
          <w:szCs w:val="20"/>
        </w:rPr>
      </w:pPr>
      <w:r>
        <w:br w:type="page"/>
      </w:r>
    </w:p>
    <w:p w:rsidR="00AE7540" w:rsidRDefault="00AE7540" w:rsidP="00065FF0">
      <w:pPr>
        <w:pStyle w:val="Heading1"/>
      </w:pPr>
      <w:r>
        <w:lastRenderedPageBreak/>
        <w:t>I</w:t>
      </w:r>
      <w:r w:rsidR="00065FF0">
        <w:t>.</w:t>
      </w:r>
      <w:r w:rsidR="00065FF0">
        <w:tab/>
        <w:t>Executive Summary</w:t>
      </w:r>
    </w:p>
    <w:p w:rsidR="00065FF0" w:rsidRDefault="00065FF0" w:rsidP="00065FF0">
      <w:pPr>
        <w:pStyle w:val="Heading1"/>
      </w:pPr>
      <w:r>
        <w:t>II.</w:t>
      </w:r>
      <w:r>
        <w:tab/>
        <w:t>Schedule/Timeline for M&amp;V Activities</w:t>
      </w:r>
    </w:p>
    <w:p w:rsidR="00EF34CB" w:rsidRDefault="00EF34CB" w:rsidP="004D267A">
      <w:pPr>
        <w:rPr>
          <w:rFonts w:eastAsiaTheme="minorHAnsi"/>
        </w:rPr>
      </w:pPr>
      <w:r>
        <w:rPr>
          <w:rFonts w:eastAsiaTheme="minorHAnsi"/>
        </w:rPr>
        <w:t xml:space="preserve">Installations (removals of equipment) occurred from June 2008 through May 2011, in three program </w:t>
      </w:r>
      <w:proofErr w:type="spellStart"/>
      <w:r>
        <w:rPr>
          <w:rFonts w:eastAsiaTheme="minorHAnsi"/>
        </w:rPr>
        <w:t>program</w:t>
      </w:r>
      <w:proofErr w:type="spellEnd"/>
      <w:r>
        <w:rPr>
          <w:rFonts w:eastAsiaTheme="minorHAnsi"/>
        </w:rPr>
        <w:t xml:space="preserve"> years.</w:t>
      </w:r>
    </w:p>
    <w:p w:rsidR="00EF34CB" w:rsidRDefault="009124B2" w:rsidP="00EF34CB">
      <w:pPr>
        <w:pStyle w:val="Caption"/>
        <w:rPr>
          <w:rFonts w:eastAsiaTheme="minorHAnsi"/>
        </w:rPr>
      </w:pPr>
      <w:proofErr w:type="gramStart"/>
      <w:r>
        <w:t xml:space="preserve">Table </w:t>
      </w:r>
      <w:fldSimple w:instr=" SEQ Table \* ARABIC ">
        <w:r>
          <w:rPr>
            <w:noProof/>
          </w:rPr>
          <w:t>1</w:t>
        </w:r>
      </w:fldSimple>
      <w:r>
        <w:t>.</w:t>
      </w:r>
      <w:proofErr w:type="gramEnd"/>
      <w:r>
        <w:t xml:space="preserve"> </w:t>
      </w:r>
      <w:r w:rsidR="00EF34CB">
        <w:t>Equipment Removal Dates</w:t>
      </w:r>
    </w:p>
    <w:tbl>
      <w:tblPr>
        <w:tblStyle w:val="TableGrid"/>
        <w:tblW w:w="0" w:type="auto"/>
        <w:jc w:val="center"/>
        <w:tblInd w:w="-476" w:type="dxa"/>
        <w:tblLook w:val="04A0"/>
      </w:tblPr>
      <w:tblGrid>
        <w:gridCol w:w="2671"/>
        <w:gridCol w:w="1475"/>
        <w:gridCol w:w="2397"/>
      </w:tblGrid>
      <w:tr w:rsidR="00220B9C" w:rsidRPr="00EF34CB" w:rsidTr="001E7143">
        <w:trPr>
          <w:trHeight w:val="450"/>
          <w:jc w:val="center"/>
        </w:trPr>
        <w:tc>
          <w:tcPr>
            <w:tcW w:w="2671" w:type="dxa"/>
            <w:shd w:val="clear" w:color="auto" w:fill="D9D9D9" w:themeFill="background1" w:themeFillShade="D9"/>
            <w:vAlign w:val="center"/>
          </w:tcPr>
          <w:p w:rsidR="00220B9C" w:rsidRPr="00EF34CB" w:rsidRDefault="00220B9C" w:rsidP="001E7143">
            <w:pPr>
              <w:pStyle w:val="ListParagraph"/>
              <w:spacing w:after="40"/>
              <w:ind w:left="0"/>
              <w:jc w:val="left"/>
              <w:rPr>
                <w:b/>
                <w:sz w:val="22"/>
                <w:szCs w:val="22"/>
              </w:rPr>
            </w:pPr>
            <w:r w:rsidRPr="00EF34CB">
              <w:rPr>
                <w:b/>
                <w:sz w:val="22"/>
                <w:szCs w:val="22"/>
              </w:rPr>
              <w:t>Program Dates</w:t>
            </w:r>
          </w:p>
        </w:tc>
        <w:tc>
          <w:tcPr>
            <w:tcW w:w="1475" w:type="dxa"/>
            <w:shd w:val="clear" w:color="auto" w:fill="D9D9D9" w:themeFill="background1" w:themeFillShade="D9"/>
            <w:vAlign w:val="center"/>
          </w:tcPr>
          <w:p w:rsidR="00220B9C" w:rsidRPr="00EF34CB" w:rsidRDefault="00220B9C" w:rsidP="001E7143">
            <w:pPr>
              <w:pStyle w:val="ListParagraph"/>
              <w:spacing w:after="40"/>
              <w:ind w:left="0"/>
              <w:jc w:val="left"/>
              <w:rPr>
                <w:b/>
                <w:sz w:val="22"/>
                <w:szCs w:val="22"/>
              </w:rPr>
            </w:pPr>
            <w:r w:rsidRPr="00EF34CB">
              <w:rPr>
                <w:b/>
                <w:sz w:val="22"/>
                <w:szCs w:val="22"/>
              </w:rPr>
              <w:t>Program Year</w:t>
            </w:r>
          </w:p>
        </w:tc>
        <w:tc>
          <w:tcPr>
            <w:tcW w:w="2397" w:type="dxa"/>
            <w:shd w:val="clear" w:color="auto" w:fill="D9D9D9" w:themeFill="background1" w:themeFillShade="D9"/>
            <w:vAlign w:val="center"/>
          </w:tcPr>
          <w:p w:rsidR="00220B9C" w:rsidRPr="00EF34CB" w:rsidRDefault="00220B9C" w:rsidP="001E7143">
            <w:pPr>
              <w:pStyle w:val="ListParagraph"/>
              <w:spacing w:after="40"/>
              <w:ind w:left="0"/>
              <w:jc w:val="left"/>
              <w:rPr>
                <w:b/>
                <w:sz w:val="22"/>
                <w:szCs w:val="22"/>
              </w:rPr>
            </w:pPr>
            <w:r w:rsidRPr="00EF34CB">
              <w:rPr>
                <w:b/>
                <w:sz w:val="22"/>
                <w:szCs w:val="22"/>
              </w:rPr>
              <w:t>Delivery Years</w:t>
            </w:r>
          </w:p>
        </w:tc>
      </w:tr>
      <w:tr w:rsidR="00220B9C" w:rsidRPr="00EF34CB" w:rsidTr="001E7143">
        <w:trPr>
          <w:trHeight w:val="493"/>
          <w:jc w:val="center"/>
        </w:trPr>
        <w:tc>
          <w:tcPr>
            <w:tcW w:w="2671" w:type="dxa"/>
            <w:vAlign w:val="center"/>
          </w:tcPr>
          <w:p w:rsidR="00220B9C" w:rsidRPr="00EF34CB" w:rsidRDefault="00220B9C" w:rsidP="001E7143">
            <w:pPr>
              <w:pStyle w:val="ListParagraph"/>
              <w:spacing w:after="40"/>
              <w:ind w:left="0"/>
              <w:jc w:val="left"/>
              <w:rPr>
                <w:sz w:val="22"/>
                <w:szCs w:val="22"/>
              </w:rPr>
            </w:pPr>
            <w:r w:rsidRPr="00EF34CB">
              <w:rPr>
                <w:sz w:val="22"/>
                <w:szCs w:val="22"/>
              </w:rPr>
              <w:t>6/1/2008 – 5/31/2009</w:t>
            </w:r>
          </w:p>
        </w:tc>
        <w:tc>
          <w:tcPr>
            <w:tcW w:w="1475" w:type="dxa"/>
            <w:vAlign w:val="center"/>
          </w:tcPr>
          <w:p w:rsidR="00220B9C" w:rsidRPr="00EF34CB" w:rsidRDefault="00220B9C" w:rsidP="001E7143">
            <w:pPr>
              <w:pStyle w:val="ListParagraph"/>
              <w:spacing w:after="40"/>
              <w:ind w:left="0"/>
              <w:jc w:val="left"/>
              <w:rPr>
                <w:sz w:val="22"/>
                <w:szCs w:val="22"/>
              </w:rPr>
            </w:pPr>
            <w:r w:rsidRPr="00EF34CB">
              <w:rPr>
                <w:sz w:val="22"/>
                <w:szCs w:val="22"/>
              </w:rPr>
              <w:t>PY1</w:t>
            </w:r>
          </w:p>
        </w:tc>
        <w:tc>
          <w:tcPr>
            <w:tcW w:w="2397" w:type="dxa"/>
            <w:vAlign w:val="center"/>
          </w:tcPr>
          <w:p w:rsidR="00220B9C" w:rsidRPr="00EF34CB" w:rsidRDefault="00220B9C" w:rsidP="001E7143">
            <w:pPr>
              <w:pStyle w:val="ListParagraph"/>
              <w:spacing w:after="40"/>
              <w:ind w:left="0"/>
              <w:jc w:val="left"/>
              <w:rPr>
                <w:sz w:val="22"/>
                <w:szCs w:val="22"/>
              </w:rPr>
            </w:pPr>
            <w:r w:rsidRPr="00EF34CB">
              <w:rPr>
                <w:sz w:val="22"/>
                <w:szCs w:val="22"/>
              </w:rPr>
              <w:t>2009, 2010, 2011</w:t>
            </w:r>
          </w:p>
        </w:tc>
      </w:tr>
      <w:tr w:rsidR="00220B9C" w:rsidRPr="00EF34CB" w:rsidTr="001E7143">
        <w:trPr>
          <w:trHeight w:val="460"/>
          <w:jc w:val="center"/>
        </w:trPr>
        <w:tc>
          <w:tcPr>
            <w:tcW w:w="2671" w:type="dxa"/>
            <w:vAlign w:val="center"/>
          </w:tcPr>
          <w:p w:rsidR="00220B9C" w:rsidRPr="00EF34CB" w:rsidRDefault="00220B9C" w:rsidP="001E7143">
            <w:pPr>
              <w:pStyle w:val="ListParagraph"/>
              <w:spacing w:after="40"/>
              <w:ind w:left="0"/>
              <w:jc w:val="left"/>
              <w:rPr>
                <w:sz w:val="22"/>
                <w:szCs w:val="22"/>
              </w:rPr>
            </w:pPr>
            <w:r w:rsidRPr="00EF34CB">
              <w:rPr>
                <w:sz w:val="22"/>
                <w:szCs w:val="22"/>
              </w:rPr>
              <w:t>6/1/2009 – 5/31/2010</w:t>
            </w:r>
          </w:p>
        </w:tc>
        <w:tc>
          <w:tcPr>
            <w:tcW w:w="1475" w:type="dxa"/>
            <w:vAlign w:val="center"/>
          </w:tcPr>
          <w:p w:rsidR="00220B9C" w:rsidRPr="00EF34CB" w:rsidRDefault="00220B9C" w:rsidP="001E7143">
            <w:pPr>
              <w:pStyle w:val="ListParagraph"/>
              <w:spacing w:after="40"/>
              <w:ind w:left="0"/>
              <w:jc w:val="left"/>
              <w:rPr>
                <w:sz w:val="22"/>
                <w:szCs w:val="22"/>
              </w:rPr>
            </w:pPr>
            <w:r w:rsidRPr="00EF34CB">
              <w:rPr>
                <w:sz w:val="22"/>
                <w:szCs w:val="22"/>
              </w:rPr>
              <w:t>PY2</w:t>
            </w:r>
          </w:p>
        </w:tc>
        <w:tc>
          <w:tcPr>
            <w:tcW w:w="2397" w:type="dxa"/>
            <w:vAlign w:val="center"/>
          </w:tcPr>
          <w:p w:rsidR="00220B9C" w:rsidRPr="00EF34CB" w:rsidRDefault="00220B9C" w:rsidP="001E7143">
            <w:pPr>
              <w:pStyle w:val="ListParagraph"/>
              <w:spacing w:after="40"/>
              <w:ind w:left="0"/>
              <w:jc w:val="left"/>
              <w:rPr>
                <w:sz w:val="22"/>
                <w:szCs w:val="22"/>
              </w:rPr>
            </w:pPr>
            <w:r w:rsidRPr="00EF34CB">
              <w:rPr>
                <w:sz w:val="22"/>
                <w:szCs w:val="22"/>
              </w:rPr>
              <w:t>2010, 2011</w:t>
            </w:r>
          </w:p>
        </w:tc>
      </w:tr>
      <w:tr w:rsidR="00220B9C" w:rsidRPr="00EF34CB" w:rsidTr="001E7143">
        <w:trPr>
          <w:trHeight w:val="460"/>
          <w:jc w:val="center"/>
        </w:trPr>
        <w:tc>
          <w:tcPr>
            <w:tcW w:w="2671" w:type="dxa"/>
            <w:vAlign w:val="center"/>
          </w:tcPr>
          <w:p w:rsidR="00220B9C" w:rsidRPr="00EF34CB" w:rsidRDefault="00220B9C" w:rsidP="001E7143">
            <w:pPr>
              <w:pStyle w:val="ListParagraph"/>
              <w:spacing w:after="40"/>
              <w:ind w:left="0"/>
              <w:jc w:val="left"/>
              <w:rPr>
                <w:sz w:val="22"/>
                <w:szCs w:val="22"/>
              </w:rPr>
            </w:pPr>
            <w:r w:rsidRPr="00EF34CB">
              <w:rPr>
                <w:sz w:val="22"/>
                <w:szCs w:val="22"/>
              </w:rPr>
              <w:t>6/1/2010 – 5/31/2011</w:t>
            </w:r>
          </w:p>
        </w:tc>
        <w:tc>
          <w:tcPr>
            <w:tcW w:w="1475" w:type="dxa"/>
            <w:vAlign w:val="center"/>
          </w:tcPr>
          <w:p w:rsidR="00220B9C" w:rsidRPr="00EF34CB" w:rsidRDefault="00220B9C" w:rsidP="001E7143">
            <w:pPr>
              <w:pStyle w:val="ListParagraph"/>
              <w:spacing w:after="40"/>
              <w:ind w:left="0"/>
              <w:jc w:val="left"/>
              <w:rPr>
                <w:sz w:val="22"/>
                <w:szCs w:val="22"/>
              </w:rPr>
            </w:pPr>
            <w:r w:rsidRPr="00EF34CB">
              <w:rPr>
                <w:sz w:val="22"/>
                <w:szCs w:val="22"/>
              </w:rPr>
              <w:t>PY3</w:t>
            </w:r>
          </w:p>
        </w:tc>
        <w:tc>
          <w:tcPr>
            <w:tcW w:w="2397" w:type="dxa"/>
            <w:vAlign w:val="center"/>
          </w:tcPr>
          <w:p w:rsidR="00220B9C" w:rsidRPr="00EF34CB" w:rsidRDefault="00220B9C" w:rsidP="001E7143">
            <w:pPr>
              <w:pStyle w:val="ListParagraph"/>
              <w:spacing w:after="40"/>
              <w:ind w:left="0"/>
              <w:jc w:val="left"/>
              <w:rPr>
                <w:sz w:val="22"/>
                <w:szCs w:val="22"/>
              </w:rPr>
            </w:pPr>
            <w:r w:rsidRPr="00EF34CB">
              <w:rPr>
                <w:sz w:val="22"/>
                <w:szCs w:val="22"/>
              </w:rPr>
              <w:t>2011</w:t>
            </w:r>
          </w:p>
        </w:tc>
      </w:tr>
    </w:tbl>
    <w:p w:rsidR="00EF34CB" w:rsidRDefault="00EF34CB" w:rsidP="004D267A">
      <w:pPr>
        <w:rPr>
          <w:rFonts w:eastAsiaTheme="minorHAnsi"/>
        </w:rPr>
      </w:pPr>
    </w:p>
    <w:p w:rsidR="004D267A" w:rsidRPr="004D267A" w:rsidRDefault="004D267A" w:rsidP="004D267A">
      <w:r>
        <w:rPr>
          <w:rFonts w:eastAsiaTheme="minorHAnsi"/>
        </w:rPr>
        <w:t xml:space="preserve">Metering was conducted on a staggered basis </w:t>
      </w:r>
      <w:proofErr w:type="gramStart"/>
      <w:r>
        <w:rPr>
          <w:rFonts w:eastAsiaTheme="minorHAnsi"/>
        </w:rPr>
        <w:t>between July 2011 to March 2012</w:t>
      </w:r>
      <w:proofErr w:type="gramEnd"/>
      <w:r>
        <w:rPr>
          <w:rFonts w:eastAsiaTheme="minorHAnsi"/>
        </w:rPr>
        <w:t>.</w:t>
      </w:r>
    </w:p>
    <w:p w:rsidR="00065FF0" w:rsidRDefault="00065FF0" w:rsidP="00065FF0">
      <w:pPr>
        <w:pStyle w:val="Heading1"/>
      </w:pPr>
      <w:r>
        <w:t xml:space="preserve">Summary of Changes from Original Plan </w:t>
      </w:r>
    </w:p>
    <w:p w:rsidR="00942F2C" w:rsidRDefault="00377D8A" w:rsidP="00942F2C">
      <w:pPr>
        <w:pStyle w:val="BodyText"/>
      </w:pPr>
      <w:r>
        <w:t>The m</w:t>
      </w:r>
      <w:r w:rsidR="00942F2C">
        <w:t>etering period was extended</w:t>
      </w:r>
      <w:r w:rsidR="007C6A0F">
        <w:t>. Metering began in July 2011 and ended March 2012.</w:t>
      </w:r>
      <w:r>
        <w:t xml:space="preserve"> The original plan called for metering to be completed in January 2012, but difficulties in scheduling installations and equipment failures, required additional time in the field.</w:t>
      </w:r>
    </w:p>
    <w:p w:rsidR="00942F2C" w:rsidRDefault="00377D8A" w:rsidP="00942F2C">
      <w:pPr>
        <w:pStyle w:val="BodyText"/>
      </w:pPr>
      <w:r>
        <w:t>The l</w:t>
      </w:r>
      <w:r w:rsidR="00942F2C">
        <w:t xml:space="preserve">ength of metering per unit was lowered from 4 weeks to average of </w:t>
      </w:r>
      <w:r w:rsidR="00A24019">
        <w:t>3</w:t>
      </w:r>
      <w:r w:rsidR="00942F2C">
        <w:t xml:space="preserve"> weeks</w:t>
      </w:r>
      <w:r>
        <w:t>, primarily because the number of participants willing to have their appliance metered for the longer period of time was insufficient</w:t>
      </w:r>
      <w:r w:rsidR="00942F2C">
        <w:t>.</w:t>
      </w:r>
    </w:p>
    <w:p w:rsidR="00942F2C" w:rsidRDefault="0065198E" w:rsidP="00942F2C">
      <w:pPr>
        <w:pStyle w:val="BodyText"/>
      </w:pPr>
      <w:r>
        <w:t>The f</w:t>
      </w:r>
      <w:r w:rsidR="00942F2C">
        <w:t xml:space="preserve">inal number of metered units </w:t>
      </w:r>
      <w:r w:rsidR="001E7143">
        <w:t xml:space="preserve">changed </w:t>
      </w:r>
      <w:r w:rsidR="00942F2C">
        <w:t>slightly</w:t>
      </w:r>
      <w:r w:rsidR="001E7143">
        <w:t xml:space="preserve"> from original plan</w:t>
      </w:r>
      <w:r w:rsidR="00377D8A">
        <w:t xml:space="preserve"> (Table 2) as </w:t>
      </w:r>
      <w:r>
        <w:t>difficulties in scheduling installations and equipment failures reduced the actual appliances with useable data</w:t>
      </w:r>
      <w:r w:rsidR="00942F2C">
        <w:t>.</w:t>
      </w:r>
    </w:p>
    <w:p w:rsidR="001E7143" w:rsidRPr="001E7143" w:rsidRDefault="009124B2" w:rsidP="001E7143">
      <w:pPr>
        <w:pStyle w:val="BodyText"/>
        <w:ind w:left="1440"/>
        <w:rPr>
          <w:b/>
        </w:rPr>
      </w:pPr>
      <w:proofErr w:type="gramStart"/>
      <w:r w:rsidRPr="009124B2">
        <w:rPr>
          <w:b/>
        </w:rPr>
        <w:t xml:space="preserve">Table </w:t>
      </w:r>
      <w:r w:rsidR="00AE2BB9" w:rsidRPr="009124B2">
        <w:rPr>
          <w:b/>
        </w:rPr>
        <w:fldChar w:fldCharType="begin"/>
      </w:r>
      <w:r w:rsidRPr="009124B2">
        <w:rPr>
          <w:b/>
        </w:rPr>
        <w:instrText xml:space="preserve"> SEQ Table \* ARABIC </w:instrText>
      </w:r>
      <w:r w:rsidR="00AE2BB9" w:rsidRPr="009124B2">
        <w:rPr>
          <w:b/>
        </w:rPr>
        <w:fldChar w:fldCharType="separate"/>
      </w:r>
      <w:r>
        <w:rPr>
          <w:b/>
          <w:noProof/>
        </w:rPr>
        <w:t>2</w:t>
      </w:r>
      <w:r w:rsidR="00AE2BB9" w:rsidRPr="009124B2">
        <w:rPr>
          <w:b/>
        </w:rPr>
        <w:fldChar w:fldCharType="end"/>
      </w:r>
      <w:r w:rsidRPr="009124B2">
        <w:rPr>
          <w:b/>
        </w:rPr>
        <w:t>.</w:t>
      </w:r>
      <w:proofErr w:type="gramEnd"/>
      <w:r>
        <w:t xml:space="preserve"> </w:t>
      </w:r>
      <w:r w:rsidR="001E7143" w:rsidRPr="001E7143">
        <w:rPr>
          <w:b/>
        </w:rPr>
        <w:t>Metered Appliances – Original Plan vs. Actual</w:t>
      </w:r>
    </w:p>
    <w:tbl>
      <w:tblPr>
        <w:tblStyle w:val="TableGrid"/>
        <w:tblW w:w="0" w:type="auto"/>
        <w:jc w:val="center"/>
        <w:tblInd w:w="-476" w:type="dxa"/>
        <w:tblLook w:val="04A0"/>
      </w:tblPr>
      <w:tblGrid>
        <w:gridCol w:w="2671"/>
        <w:gridCol w:w="1681"/>
        <w:gridCol w:w="2191"/>
      </w:tblGrid>
      <w:tr w:rsidR="001E7143" w:rsidRPr="00EF34CB" w:rsidTr="001E7143">
        <w:trPr>
          <w:trHeight w:val="450"/>
          <w:jc w:val="center"/>
        </w:trPr>
        <w:tc>
          <w:tcPr>
            <w:tcW w:w="2671" w:type="dxa"/>
            <w:shd w:val="clear" w:color="auto" w:fill="D9D9D9" w:themeFill="background1" w:themeFillShade="D9"/>
            <w:vAlign w:val="center"/>
          </w:tcPr>
          <w:p w:rsidR="001E7143" w:rsidRPr="00EF34CB" w:rsidRDefault="001E7143" w:rsidP="001E7143">
            <w:pPr>
              <w:pStyle w:val="ListParagraph"/>
              <w:spacing w:after="40"/>
              <w:ind w:left="0"/>
              <w:jc w:val="left"/>
              <w:rPr>
                <w:b/>
                <w:sz w:val="22"/>
                <w:szCs w:val="22"/>
              </w:rPr>
            </w:pPr>
            <w:r>
              <w:rPr>
                <w:b/>
                <w:sz w:val="22"/>
                <w:szCs w:val="22"/>
              </w:rPr>
              <w:t>Appliance Type</w:t>
            </w:r>
          </w:p>
        </w:tc>
        <w:tc>
          <w:tcPr>
            <w:tcW w:w="1681" w:type="dxa"/>
            <w:shd w:val="clear" w:color="auto" w:fill="D9D9D9" w:themeFill="background1" w:themeFillShade="D9"/>
            <w:vAlign w:val="center"/>
          </w:tcPr>
          <w:p w:rsidR="001E7143" w:rsidRPr="00EF34CB" w:rsidRDefault="001E7143" w:rsidP="001E7143">
            <w:pPr>
              <w:pStyle w:val="ListParagraph"/>
              <w:spacing w:after="40"/>
              <w:ind w:left="0"/>
              <w:jc w:val="left"/>
              <w:rPr>
                <w:b/>
                <w:sz w:val="22"/>
                <w:szCs w:val="22"/>
              </w:rPr>
            </w:pPr>
            <w:r>
              <w:rPr>
                <w:b/>
                <w:sz w:val="22"/>
                <w:szCs w:val="22"/>
              </w:rPr>
              <w:t>Original Plan</w:t>
            </w:r>
          </w:p>
        </w:tc>
        <w:tc>
          <w:tcPr>
            <w:tcW w:w="2191" w:type="dxa"/>
            <w:shd w:val="clear" w:color="auto" w:fill="D9D9D9" w:themeFill="background1" w:themeFillShade="D9"/>
            <w:vAlign w:val="center"/>
          </w:tcPr>
          <w:p w:rsidR="001E7143" w:rsidRPr="00EF34CB" w:rsidRDefault="001E7143" w:rsidP="001E7143">
            <w:pPr>
              <w:pStyle w:val="ListParagraph"/>
              <w:spacing w:after="40"/>
              <w:ind w:left="0"/>
              <w:jc w:val="left"/>
              <w:rPr>
                <w:b/>
                <w:sz w:val="22"/>
                <w:szCs w:val="22"/>
              </w:rPr>
            </w:pPr>
            <w:r>
              <w:rPr>
                <w:b/>
                <w:sz w:val="22"/>
                <w:szCs w:val="22"/>
              </w:rPr>
              <w:t>Actual</w:t>
            </w:r>
          </w:p>
        </w:tc>
      </w:tr>
      <w:tr w:rsidR="001E7143" w:rsidRPr="00EF34CB" w:rsidTr="001E7143">
        <w:trPr>
          <w:trHeight w:val="493"/>
          <w:jc w:val="center"/>
        </w:trPr>
        <w:tc>
          <w:tcPr>
            <w:tcW w:w="2671" w:type="dxa"/>
            <w:vAlign w:val="center"/>
          </w:tcPr>
          <w:p w:rsidR="001E7143" w:rsidRPr="00EF34CB" w:rsidRDefault="001E7143" w:rsidP="001E7143">
            <w:pPr>
              <w:pStyle w:val="ListParagraph"/>
              <w:spacing w:after="40"/>
              <w:ind w:left="0"/>
              <w:jc w:val="left"/>
              <w:rPr>
                <w:sz w:val="22"/>
                <w:szCs w:val="22"/>
              </w:rPr>
            </w:pPr>
            <w:r>
              <w:rPr>
                <w:sz w:val="22"/>
                <w:szCs w:val="22"/>
              </w:rPr>
              <w:t>Refrigerator</w:t>
            </w:r>
          </w:p>
        </w:tc>
        <w:tc>
          <w:tcPr>
            <w:tcW w:w="1681" w:type="dxa"/>
            <w:vAlign w:val="center"/>
          </w:tcPr>
          <w:p w:rsidR="001E7143" w:rsidRPr="00EF34CB" w:rsidRDefault="001E7143" w:rsidP="001E7143">
            <w:pPr>
              <w:pStyle w:val="ListParagraph"/>
              <w:spacing w:after="40"/>
              <w:ind w:left="0"/>
              <w:jc w:val="left"/>
              <w:rPr>
                <w:sz w:val="22"/>
                <w:szCs w:val="22"/>
              </w:rPr>
            </w:pPr>
            <w:r>
              <w:rPr>
                <w:sz w:val="22"/>
                <w:szCs w:val="22"/>
              </w:rPr>
              <w:t>100</w:t>
            </w:r>
          </w:p>
        </w:tc>
        <w:tc>
          <w:tcPr>
            <w:tcW w:w="2191" w:type="dxa"/>
            <w:vAlign w:val="center"/>
          </w:tcPr>
          <w:p w:rsidR="001E7143" w:rsidRPr="00EF34CB" w:rsidRDefault="00377D8A" w:rsidP="001E7143">
            <w:pPr>
              <w:pStyle w:val="ListParagraph"/>
              <w:spacing w:after="40"/>
              <w:ind w:left="0"/>
              <w:jc w:val="left"/>
              <w:rPr>
                <w:sz w:val="22"/>
                <w:szCs w:val="22"/>
              </w:rPr>
            </w:pPr>
            <w:r>
              <w:rPr>
                <w:sz w:val="22"/>
                <w:szCs w:val="22"/>
              </w:rPr>
              <w:t>102</w:t>
            </w:r>
          </w:p>
        </w:tc>
      </w:tr>
      <w:tr w:rsidR="001E7143" w:rsidRPr="00EF34CB" w:rsidTr="001E7143">
        <w:trPr>
          <w:trHeight w:val="460"/>
          <w:jc w:val="center"/>
        </w:trPr>
        <w:tc>
          <w:tcPr>
            <w:tcW w:w="2671" w:type="dxa"/>
            <w:vAlign w:val="center"/>
          </w:tcPr>
          <w:p w:rsidR="001E7143" w:rsidRPr="00EF34CB" w:rsidRDefault="001E7143" w:rsidP="001E7143">
            <w:pPr>
              <w:pStyle w:val="ListParagraph"/>
              <w:spacing w:after="40"/>
              <w:ind w:left="0"/>
              <w:jc w:val="left"/>
              <w:rPr>
                <w:sz w:val="22"/>
                <w:szCs w:val="22"/>
              </w:rPr>
            </w:pPr>
            <w:r>
              <w:rPr>
                <w:sz w:val="22"/>
                <w:szCs w:val="22"/>
              </w:rPr>
              <w:t>Freezer</w:t>
            </w:r>
          </w:p>
        </w:tc>
        <w:tc>
          <w:tcPr>
            <w:tcW w:w="1681" w:type="dxa"/>
            <w:vAlign w:val="center"/>
          </w:tcPr>
          <w:p w:rsidR="001E7143" w:rsidRPr="00EF34CB" w:rsidRDefault="001E7143" w:rsidP="001E7143">
            <w:pPr>
              <w:pStyle w:val="ListParagraph"/>
              <w:spacing w:after="40"/>
              <w:ind w:left="0"/>
              <w:jc w:val="left"/>
              <w:rPr>
                <w:sz w:val="22"/>
                <w:szCs w:val="22"/>
              </w:rPr>
            </w:pPr>
            <w:r>
              <w:rPr>
                <w:sz w:val="22"/>
                <w:szCs w:val="22"/>
              </w:rPr>
              <w:t>35</w:t>
            </w:r>
          </w:p>
        </w:tc>
        <w:tc>
          <w:tcPr>
            <w:tcW w:w="2191" w:type="dxa"/>
            <w:vAlign w:val="center"/>
          </w:tcPr>
          <w:p w:rsidR="001E7143" w:rsidRPr="00EF34CB" w:rsidRDefault="00377D8A" w:rsidP="001E7143">
            <w:pPr>
              <w:pStyle w:val="ListParagraph"/>
              <w:spacing w:after="40"/>
              <w:ind w:left="0"/>
              <w:jc w:val="left"/>
              <w:rPr>
                <w:sz w:val="22"/>
                <w:szCs w:val="22"/>
              </w:rPr>
            </w:pPr>
            <w:r>
              <w:rPr>
                <w:sz w:val="22"/>
                <w:szCs w:val="22"/>
              </w:rPr>
              <w:t>28</w:t>
            </w:r>
          </w:p>
        </w:tc>
      </w:tr>
      <w:tr w:rsidR="001E7143" w:rsidRPr="00EF34CB" w:rsidTr="001E7143">
        <w:trPr>
          <w:trHeight w:val="460"/>
          <w:jc w:val="center"/>
        </w:trPr>
        <w:tc>
          <w:tcPr>
            <w:tcW w:w="2671" w:type="dxa"/>
            <w:vAlign w:val="center"/>
          </w:tcPr>
          <w:p w:rsidR="001E7143" w:rsidRPr="00EF34CB" w:rsidRDefault="001E7143" w:rsidP="001E7143">
            <w:pPr>
              <w:pStyle w:val="ListParagraph"/>
              <w:spacing w:after="40"/>
              <w:ind w:left="0"/>
              <w:jc w:val="left"/>
              <w:rPr>
                <w:sz w:val="22"/>
                <w:szCs w:val="22"/>
              </w:rPr>
            </w:pPr>
            <w:r>
              <w:rPr>
                <w:sz w:val="22"/>
                <w:szCs w:val="22"/>
              </w:rPr>
              <w:t>Total</w:t>
            </w:r>
          </w:p>
        </w:tc>
        <w:tc>
          <w:tcPr>
            <w:tcW w:w="1681" w:type="dxa"/>
            <w:vAlign w:val="center"/>
          </w:tcPr>
          <w:p w:rsidR="001E7143" w:rsidRPr="00EF34CB" w:rsidRDefault="001E7143" w:rsidP="001E7143">
            <w:pPr>
              <w:pStyle w:val="ListParagraph"/>
              <w:spacing w:after="40"/>
              <w:ind w:left="0"/>
              <w:jc w:val="left"/>
              <w:rPr>
                <w:sz w:val="22"/>
                <w:szCs w:val="22"/>
              </w:rPr>
            </w:pPr>
            <w:r>
              <w:rPr>
                <w:sz w:val="22"/>
                <w:szCs w:val="22"/>
              </w:rPr>
              <w:t>135</w:t>
            </w:r>
          </w:p>
        </w:tc>
        <w:tc>
          <w:tcPr>
            <w:tcW w:w="2191" w:type="dxa"/>
            <w:vAlign w:val="center"/>
          </w:tcPr>
          <w:p w:rsidR="001E7143" w:rsidRPr="00EF34CB" w:rsidRDefault="00377D8A" w:rsidP="001E7143">
            <w:pPr>
              <w:pStyle w:val="ListParagraph"/>
              <w:spacing w:after="40"/>
              <w:ind w:left="0"/>
              <w:jc w:val="left"/>
              <w:rPr>
                <w:sz w:val="22"/>
                <w:szCs w:val="22"/>
              </w:rPr>
            </w:pPr>
            <w:r>
              <w:rPr>
                <w:sz w:val="22"/>
                <w:szCs w:val="22"/>
              </w:rPr>
              <w:t>130</w:t>
            </w:r>
          </w:p>
        </w:tc>
      </w:tr>
    </w:tbl>
    <w:p w:rsidR="001E7143" w:rsidRDefault="001E7143" w:rsidP="00942F2C">
      <w:pPr>
        <w:pStyle w:val="BodyText"/>
      </w:pPr>
    </w:p>
    <w:p w:rsidR="00942F2C" w:rsidRPr="00942F2C" w:rsidRDefault="00942F2C" w:rsidP="00942F2C">
      <w:pPr>
        <w:pStyle w:val="BodyText"/>
      </w:pPr>
    </w:p>
    <w:p w:rsidR="00065FF0" w:rsidRDefault="00065FF0" w:rsidP="00065FF0">
      <w:pPr>
        <w:pStyle w:val="Heading1"/>
      </w:pPr>
      <w:r>
        <w:lastRenderedPageBreak/>
        <w:t xml:space="preserve">III. </w:t>
      </w:r>
      <w:r>
        <w:tab/>
        <w:t>Equipment Specifications and Documentation</w:t>
      </w:r>
    </w:p>
    <w:p w:rsidR="00065FF0" w:rsidRPr="00065FF0" w:rsidRDefault="00065FF0" w:rsidP="00065FF0">
      <w:pPr>
        <w:pStyle w:val="Heading1"/>
      </w:pPr>
      <w:r>
        <w:t>IV. Measurement and Verification Approach</w:t>
      </w:r>
    </w:p>
    <w:p w:rsidR="00065FF0" w:rsidRDefault="00065FF0" w:rsidP="00EF34CB">
      <w:pPr>
        <w:pStyle w:val="Heading2"/>
        <w:numPr>
          <w:ilvl w:val="0"/>
          <w:numId w:val="8"/>
        </w:numPr>
      </w:pPr>
      <w:r>
        <w:t>Measurement and Verification Methodology</w:t>
      </w:r>
    </w:p>
    <w:p w:rsidR="00302A2B" w:rsidRDefault="00302A2B" w:rsidP="00302A2B">
      <w:r>
        <w:t>The evaluation approach for the Residential Appliance Recycling Program follows IPMVP Option B: Retrofit Isolation/Metered Equipment (Metering Study) &amp; IPMVP Option D: Calibrated Simulation (Regression Analysis).</w:t>
      </w:r>
    </w:p>
    <w:p w:rsidR="00302A2B" w:rsidRDefault="00302A2B" w:rsidP="00065FF0">
      <w:r>
        <w:t xml:space="preserve">Equipment metering occurred in </w:t>
      </w:r>
      <w:proofErr w:type="spellStart"/>
      <w:r>
        <w:t>in</w:t>
      </w:r>
      <w:proofErr w:type="spellEnd"/>
      <w:r>
        <w:t xml:space="preserve"> situ, among appliances still in us</w:t>
      </w:r>
      <w:r w:rsidR="00550287">
        <w:t>e among participating customers, and involved power, internal temperature and light loggers. Other data collection included</w:t>
      </w:r>
      <w:r>
        <w:t xml:space="preserve"> participant self-report of space conditioning, </w:t>
      </w:r>
      <w:r w:rsidR="00550287">
        <w:t xml:space="preserve">and </w:t>
      </w:r>
      <w:r>
        <w:t>technician report of appliance c</w:t>
      </w:r>
      <w:r w:rsidR="00550287">
        <w:t xml:space="preserve">haracteristics. Verification of metered data involved assessment of appliance internal temperature, ambient (outside) temperature, and technician records. </w:t>
      </w:r>
      <w:proofErr w:type="gramStart"/>
      <w:r>
        <w:t>and</w:t>
      </w:r>
      <w:proofErr w:type="gramEnd"/>
      <w:r>
        <w:t xml:space="preserve"> verification of appliance characteristics using program tracking data.</w:t>
      </w:r>
    </w:p>
    <w:p w:rsidR="00A62678" w:rsidRDefault="00A62678" w:rsidP="00065FF0">
      <w:r w:rsidRPr="00A62678">
        <w:t xml:space="preserve">Demand analysis followed a two-stage </w:t>
      </w:r>
      <w:r w:rsidR="00550287">
        <w:t xml:space="preserve">regression-based </w:t>
      </w:r>
      <w:r w:rsidRPr="00A62678">
        <w:t>modeling process. During the first stage we estimate the relationship between observed demand and weather, peak hours and non-weekend holidays, which allows us to predict what demand would be during PJM performance hours. During the second stage we estimate</w:t>
      </w:r>
      <w:r w:rsidR="00302A2B">
        <w:t>d</w:t>
      </w:r>
      <w:r w:rsidRPr="00A62678">
        <w:t xml:space="preserve"> the relationship between peak demand (as predicted in first-stage models) and unit characteristics. Using the coefficients from the relationships established in the second-stage model, we can estimate</w:t>
      </w:r>
      <w:r w:rsidR="00550287">
        <w:t xml:space="preserve"> average</w:t>
      </w:r>
      <w:r w:rsidRPr="00A62678">
        <w:t xml:space="preserve"> </w:t>
      </w:r>
      <w:r w:rsidR="00550287">
        <w:t xml:space="preserve">per unit </w:t>
      </w:r>
      <w:r w:rsidRPr="00A62678">
        <w:t>demand for each program year’s participant population (using summary statistics).</w:t>
      </w:r>
    </w:p>
    <w:p w:rsidR="00550287" w:rsidRDefault="00550287" w:rsidP="00065FF0">
      <w:r>
        <w:t xml:space="preserve">The part-use factor used to adjust the gross kW savings (to account for the proportion of the year </w:t>
      </w:r>
      <w:proofErr w:type="gramStart"/>
      <w:r>
        <w:t>that EE resources</w:t>
      </w:r>
      <w:proofErr w:type="gramEnd"/>
      <w:r>
        <w:t xml:space="preserve"> would have been in use) was estimated using participant surveys.</w:t>
      </w:r>
    </w:p>
    <w:p w:rsidR="00065FF0" w:rsidRDefault="00065FF0" w:rsidP="00065FF0">
      <w:r>
        <w:t>The evaluation approach for the Residential Appliance Recycling Program follows IPMVP Option B: Retrofit Isolation/Metered Equipment (Metering Study) &amp; IPMVP Option D: Calibrated Simulation (Regression Analysis).</w:t>
      </w:r>
    </w:p>
    <w:p w:rsidR="00065FF0" w:rsidRDefault="00065FF0" w:rsidP="00EF34CB">
      <w:pPr>
        <w:pStyle w:val="Heading2"/>
        <w:numPr>
          <w:ilvl w:val="0"/>
          <w:numId w:val="8"/>
        </w:numPr>
      </w:pPr>
      <w:r>
        <w:t>Measurement Activity Description</w:t>
      </w:r>
    </w:p>
    <w:p w:rsidR="00065FF0" w:rsidRPr="00065FF0" w:rsidRDefault="00065FF0" w:rsidP="00065FF0">
      <w:pPr>
        <w:rPr>
          <w:rFonts w:eastAsiaTheme="minorHAnsi"/>
        </w:rPr>
      </w:pPr>
      <w:r w:rsidRPr="00065FF0">
        <w:rPr>
          <w:rFonts w:eastAsiaTheme="minorHAnsi"/>
        </w:rPr>
        <w:t xml:space="preserve">Measurement activities for this EE resource include </w:t>
      </w:r>
      <w:r w:rsidR="00302A2B">
        <w:rPr>
          <w:rFonts w:eastAsiaTheme="minorHAnsi"/>
        </w:rPr>
        <w:t xml:space="preserve">an </w:t>
      </w:r>
      <w:r w:rsidRPr="00065FF0">
        <w:rPr>
          <w:rFonts w:eastAsiaTheme="minorHAnsi"/>
        </w:rPr>
        <w:t xml:space="preserve">in-situ metering study, regression analysis and telephone survey to determine part use factor. </w:t>
      </w:r>
    </w:p>
    <w:p w:rsidR="00065FF0" w:rsidRDefault="00065FF0" w:rsidP="00EF34CB">
      <w:pPr>
        <w:pStyle w:val="Heading3"/>
        <w:numPr>
          <w:ilvl w:val="0"/>
          <w:numId w:val="9"/>
        </w:numPr>
      </w:pPr>
      <w:r>
        <w:t>Measured Parameters and Variables</w:t>
      </w:r>
    </w:p>
    <w:p w:rsidR="00EE7DD8" w:rsidRDefault="00EE7DD8" w:rsidP="00EE7DD8">
      <w:bookmarkStart w:id="0" w:name="_Ref314647933"/>
      <w:bookmarkStart w:id="1" w:name="_Ref317001011"/>
      <w:r w:rsidRPr="00EE7DD8">
        <w:t>Table</w:t>
      </w:r>
      <w:r w:rsidR="009124B2">
        <w:t xml:space="preserve"> 3</w:t>
      </w:r>
      <w:r w:rsidRPr="00EE7DD8">
        <w:t xml:space="preserve"> below includes parameters and variables measured for this EE resource.</w:t>
      </w:r>
    </w:p>
    <w:p w:rsidR="00EE7DD8" w:rsidRDefault="009124B2" w:rsidP="00EE7DD8">
      <w:pPr>
        <w:pStyle w:val="Caption"/>
        <w:ind w:left="360"/>
        <w:jc w:val="both"/>
      </w:pPr>
      <w:proofErr w:type="gramStart"/>
      <w:r>
        <w:lastRenderedPageBreak/>
        <w:t xml:space="preserve">Table </w:t>
      </w:r>
      <w:fldSimple w:instr=" SEQ Table \* ARABIC ">
        <w:r>
          <w:rPr>
            <w:noProof/>
          </w:rPr>
          <w:t>3</w:t>
        </w:r>
      </w:fldSimple>
      <w:r>
        <w:t>.</w:t>
      </w:r>
      <w:proofErr w:type="gramEnd"/>
      <w:r>
        <w:t xml:space="preserve"> </w:t>
      </w:r>
      <w:bookmarkEnd w:id="0"/>
      <w:r w:rsidR="00EE7DD8">
        <w:t>Data Collected During Appliance Recycling Metering Study</w:t>
      </w:r>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3704"/>
        <w:gridCol w:w="2254"/>
      </w:tblGrid>
      <w:tr w:rsidR="00EE7DD8" w:rsidRPr="00F82D74" w:rsidTr="00220B9C">
        <w:trPr>
          <w:trHeight w:val="449"/>
        </w:trPr>
        <w:tc>
          <w:tcPr>
            <w:tcW w:w="3510" w:type="dxa"/>
            <w:shd w:val="clear" w:color="auto" w:fill="D9D9D9" w:themeFill="background1" w:themeFillShade="D9"/>
            <w:vAlign w:val="center"/>
          </w:tcPr>
          <w:p w:rsidR="00EE7DD8" w:rsidRPr="00EE7DD8" w:rsidRDefault="00EE7DD8" w:rsidP="00220B9C">
            <w:pPr>
              <w:spacing w:after="80"/>
              <w:jc w:val="left"/>
              <w:rPr>
                <w:b/>
                <w:sz w:val="20"/>
                <w:szCs w:val="20"/>
              </w:rPr>
            </w:pPr>
            <w:r w:rsidRPr="00EE7DD8">
              <w:rPr>
                <w:b/>
                <w:sz w:val="20"/>
                <w:szCs w:val="20"/>
              </w:rPr>
              <w:t>Data Point</w:t>
            </w:r>
          </w:p>
        </w:tc>
        <w:tc>
          <w:tcPr>
            <w:tcW w:w="3704" w:type="dxa"/>
            <w:shd w:val="clear" w:color="auto" w:fill="D9D9D9" w:themeFill="background1" w:themeFillShade="D9"/>
            <w:vAlign w:val="center"/>
          </w:tcPr>
          <w:p w:rsidR="00EE7DD8" w:rsidRPr="00EE7DD8" w:rsidRDefault="00EE7DD8" w:rsidP="00220B9C">
            <w:pPr>
              <w:spacing w:after="80"/>
              <w:jc w:val="left"/>
              <w:rPr>
                <w:b/>
                <w:sz w:val="20"/>
                <w:szCs w:val="20"/>
              </w:rPr>
            </w:pPr>
            <w:r w:rsidRPr="00EE7DD8">
              <w:rPr>
                <w:b/>
                <w:sz w:val="20"/>
                <w:szCs w:val="20"/>
              </w:rPr>
              <w:t>Application</w:t>
            </w:r>
          </w:p>
        </w:tc>
        <w:tc>
          <w:tcPr>
            <w:tcW w:w="0" w:type="auto"/>
            <w:shd w:val="clear" w:color="auto" w:fill="D9D9D9" w:themeFill="background1" w:themeFillShade="D9"/>
            <w:vAlign w:val="center"/>
          </w:tcPr>
          <w:p w:rsidR="00EE7DD8" w:rsidRPr="00EE7DD8" w:rsidRDefault="00EE7DD8" w:rsidP="00220B9C">
            <w:pPr>
              <w:spacing w:after="80"/>
              <w:jc w:val="left"/>
              <w:rPr>
                <w:b/>
                <w:sz w:val="20"/>
                <w:szCs w:val="20"/>
              </w:rPr>
            </w:pPr>
            <w:r w:rsidRPr="00EE7DD8">
              <w:rPr>
                <w:b/>
                <w:sz w:val="20"/>
                <w:szCs w:val="20"/>
              </w:rPr>
              <w:t>Data</w:t>
            </w:r>
            <w:r>
              <w:rPr>
                <w:b/>
                <w:sz w:val="20"/>
                <w:szCs w:val="20"/>
              </w:rPr>
              <w:t xml:space="preserve"> </w:t>
            </w:r>
            <w:r w:rsidRPr="00EE7DD8">
              <w:rPr>
                <w:b/>
                <w:sz w:val="20"/>
                <w:szCs w:val="20"/>
              </w:rPr>
              <w:t>collection method</w:t>
            </w:r>
            <w:r>
              <w:rPr>
                <w:b/>
                <w:sz w:val="20"/>
                <w:szCs w:val="20"/>
              </w:rPr>
              <w:t xml:space="preserve"> </w:t>
            </w:r>
          </w:p>
        </w:tc>
      </w:tr>
      <w:tr w:rsidR="00EE7DD8" w:rsidRPr="00F82D74" w:rsidTr="00220B9C">
        <w:tc>
          <w:tcPr>
            <w:tcW w:w="3510"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Power (5 minute interval)</w:t>
            </w:r>
          </w:p>
        </w:tc>
        <w:tc>
          <w:tcPr>
            <w:tcW w:w="3704"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Energy usage and demand</w:t>
            </w:r>
          </w:p>
        </w:tc>
        <w:tc>
          <w:tcPr>
            <w:tcW w:w="0" w:type="auto"/>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Meters</w:t>
            </w:r>
          </w:p>
        </w:tc>
      </w:tr>
      <w:tr w:rsidR="00EE7DD8" w:rsidRPr="00F82D74" w:rsidTr="00220B9C">
        <w:tc>
          <w:tcPr>
            <w:tcW w:w="3510"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Internal temperature (5 minute interval)</w:t>
            </w:r>
          </w:p>
        </w:tc>
        <w:tc>
          <w:tcPr>
            <w:tcW w:w="3704"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QA/QC power data (e.g., start and end dates/time of unit usage)</w:t>
            </w:r>
          </w:p>
        </w:tc>
        <w:tc>
          <w:tcPr>
            <w:tcW w:w="0" w:type="auto"/>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Meters</w:t>
            </w:r>
          </w:p>
        </w:tc>
      </w:tr>
      <w:tr w:rsidR="00EE7DD8" w:rsidRPr="00F82D74" w:rsidTr="00220B9C">
        <w:tc>
          <w:tcPr>
            <w:tcW w:w="3510"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Light usage (on/off)</w:t>
            </w:r>
          </w:p>
        </w:tc>
        <w:tc>
          <w:tcPr>
            <w:tcW w:w="3704"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QA/QC power data (e.g., determine that unit was used during metering period)</w:t>
            </w:r>
          </w:p>
        </w:tc>
        <w:tc>
          <w:tcPr>
            <w:tcW w:w="0" w:type="auto"/>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Meters</w:t>
            </w:r>
          </w:p>
        </w:tc>
      </w:tr>
      <w:tr w:rsidR="00EE7DD8" w:rsidRPr="00F82D74" w:rsidTr="00220B9C">
        <w:tc>
          <w:tcPr>
            <w:tcW w:w="3510"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Metering start and end dates &amp; times</w:t>
            </w:r>
          </w:p>
        </w:tc>
        <w:tc>
          <w:tcPr>
            <w:tcW w:w="3704"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Clean power data and append weather</w:t>
            </w:r>
          </w:p>
        </w:tc>
        <w:tc>
          <w:tcPr>
            <w:tcW w:w="0" w:type="auto"/>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Technician report</w:t>
            </w:r>
          </w:p>
        </w:tc>
      </w:tr>
      <w:tr w:rsidR="00EE7DD8" w:rsidRPr="00F82D74" w:rsidTr="00220B9C">
        <w:tc>
          <w:tcPr>
            <w:tcW w:w="3510"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Participant address and ZIP</w:t>
            </w:r>
          </w:p>
        </w:tc>
        <w:tc>
          <w:tcPr>
            <w:tcW w:w="3704"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Look up local weather data</w:t>
            </w:r>
          </w:p>
        </w:tc>
        <w:tc>
          <w:tcPr>
            <w:tcW w:w="0" w:type="auto"/>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Participant self-report and technician verification</w:t>
            </w:r>
          </w:p>
        </w:tc>
      </w:tr>
      <w:tr w:rsidR="00EE7DD8" w:rsidRPr="00F82D74" w:rsidTr="00220B9C">
        <w:trPr>
          <w:trHeight w:val="66"/>
        </w:trPr>
        <w:tc>
          <w:tcPr>
            <w:tcW w:w="3510"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Unit configuration</w:t>
            </w:r>
          </w:p>
        </w:tc>
        <w:tc>
          <w:tcPr>
            <w:tcW w:w="3704"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Potential  association with energy consumption</w:t>
            </w:r>
          </w:p>
        </w:tc>
        <w:tc>
          <w:tcPr>
            <w:tcW w:w="0" w:type="auto"/>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Participant self-report and technician verification</w:t>
            </w:r>
          </w:p>
        </w:tc>
      </w:tr>
      <w:tr w:rsidR="00EE7DD8" w:rsidRPr="00F82D74" w:rsidTr="00220B9C">
        <w:trPr>
          <w:trHeight w:val="66"/>
        </w:trPr>
        <w:tc>
          <w:tcPr>
            <w:tcW w:w="3510"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Frost-free/manual defrost</w:t>
            </w:r>
          </w:p>
        </w:tc>
        <w:tc>
          <w:tcPr>
            <w:tcW w:w="3704"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Potential  association with energy consumption</w:t>
            </w:r>
          </w:p>
        </w:tc>
        <w:tc>
          <w:tcPr>
            <w:tcW w:w="0" w:type="auto"/>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Participant self-report and technician verification</w:t>
            </w:r>
          </w:p>
        </w:tc>
      </w:tr>
      <w:tr w:rsidR="00EE7DD8" w:rsidRPr="00F82D74" w:rsidTr="00220B9C">
        <w:trPr>
          <w:trHeight w:val="66"/>
        </w:trPr>
        <w:tc>
          <w:tcPr>
            <w:tcW w:w="3510"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Through-door features</w:t>
            </w:r>
          </w:p>
        </w:tc>
        <w:tc>
          <w:tcPr>
            <w:tcW w:w="3704"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Potential  association with energy consumption</w:t>
            </w:r>
          </w:p>
        </w:tc>
        <w:tc>
          <w:tcPr>
            <w:tcW w:w="0" w:type="auto"/>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Participant self-report and technician verification</w:t>
            </w:r>
          </w:p>
        </w:tc>
      </w:tr>
      <w:tr w:rsidR="00EE7DD8" w:rsidRPr="00F82D74" w:rsidTr="00220B9C">
        <w:tc>
          <w:tcPr>
            <w:tcW w:w="3510"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Estimated Age</w:t>
            </w:r>
          </w:p>
        </w:tc>
        <w:tc>
          <w:tcPr>
            <w:tcW w:w="3704"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Potential  association with energy consumption</w:t>
            </w:r>
          </w:p>
        </w:tc>
        <w:tc>
          <w:tcPr>
            <w:tcW w:w="0" w:type="auto"/>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Participant self-report and technician verification</w:t>
            </w:r>
          </w:p>
        </w:tc>
      </w:tr>
      <w:tr w:rsidR="00EE7DD8" w:rsidRPr="00F82D74" w:rsidTr="00220B9C">
        <w:tc>
          <w:tcPr>
            <w:tcW w:w="3510"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Estimated Internal Capacity (size)</w:t>
            </w:r>
          </w:p>
        </w:tc>
        <w:tc>
          <w:tcPr>
            <w:tcW w:w="3704"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Potential  association with energy consumption</w:t>
            </w:r>
          </w:p>
        </w:tc>
        <w:tc>
          <w:tcPr>
            <w:tcW w:w="0" w:type="auto"/>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Participant self-report and technician verification</w:t>
            </w:r>
          </w:p>
        </w:tc>
      </w:tr>
      <w:tr w:rsidR="00EE7DD8" w:rsidRPr="00F82D74" w:rsidTr="00220B9C">
        <w:tc>
          <w:tcPr>
            <w:tcW w:w="3510"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Nameplate information</w:t>
            </w:r>
          </w:p>
        </w:tc>
        <w:tc>
          <w:tcPr>
            <w:tcW w:w="3704"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Look up additional information, if needed</w:t>
            </w:r>
          </w:p>
        </w:tc>
        <w:tc>
          <w:tcPr>
            <w:tcW w:w="0" w:type="auto"/>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Technician report</w:t>
            </w:r>
          </w:p>
        </w:tc>
      </w:tr>
      <w:tr w:rsidR="00EE7DD8" w:rsidRPr="00F82D74" w:rsidTr="00220B9C">
        <w:tc>
          <w:tcPr>
            <w:tcW w:w="3510"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Primary/secondary unit</w:t>
            </w:r>
          </w:p>
        </w:tc>
        <w:tc>
          <w:tcPr>
            <w:tcW w:w="3704"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Study qualification; Potential  association with energy consumption</w:t>
            </w:r>
          </w:p>
        </w:tc>
        <w:tc>
          <w:tcPr>
            <w:tcW w:w="0" w:type="auto"/>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Participant self-report</w:t>
            </w:r>
          </w:p>
        </w:tc>
      </w:tr>
      <w:tr w:rsidR="00EE7DD8" w:rsidRPr="00F82D74" w:rsidTr="00220B9C">
        <w:tc>
          <w:tcPr>
            <w:tcW w:w="3510"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Location in home</w:t>
            </w:r>
          </w:p>
        </w:tc>
        <w:tc>
          <w:tcPr>
            <w:tcW w:w="3704"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Potential  association with energy consumption</w:t>
            </w:r>
          </w:p>
        </w:tc>
        <w:tc>
          <w:tcPr>
            <w:tcW w:w="0" w:type="auto"/>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Participant self-report and technician verification</w:t>
            </w:r>
          </w:p>
        </w:tc>
      </w:tr>
      <w:tr w:rsidR="00EE7DD8" w:rsidRPr="00F82D74" w:rsidTr="00220B9C">
        <w:tc>
          <w:tcPr>
            <w:tcW w:w="3510"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Air conditioned space (in summer)</w:t>
            </w:r>
          </w:p>
        </w:tc>
        <w:tc>
          <w:tcPr>
            <w:tcW w:w="3704"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Potential  association with energy consumption</w:t>
            </w:r>
          </w:p>
        </w:tc>
        <w:tc>
          <w:tcPr>
            <w:tcW w:w="0" w:type="auto"/>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Participant self-report and technician verification</w:t>
            </w:r>
          </w:p>
        </w:tc>
      </w:tr>
      <w:tr w:rsidR="00EE7DD8" w:rsidRPr="00F82D74" w:rsidTr="00220B9C">
        <w:tc>
          <w:tcPr>
            <w:tcW w:w="3510"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Heated space (in winter)</w:t>
            </w:r>
          </w:p>
        </w:tc>
        <w:tc>
          <w:tcPr>
            <w:tcW w:w="3704"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Potential  association with energy consumption</w:t>
            </w:r>
          </w:p>
        </w:tc>
        <w:tc>
          <w:tcPr>
            <w:tcW w:w="0" w:type="auto"/>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Participant self-report and technician verification</w:t>
            </w:r>
          </w:p>
        </w:tc>
      </w:tr>
      <w:tr w:rsidR="00EE7DD8" w:rsidRPr="00F82D74" w:rsidTr="00220B9C">
        <w:tc>
          <w:tcPr>
            <w:tcW w:w="3510"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Household occupants (#)</w:t>
            </w:r>
          </w:p>
        </w:tc>
        <w:tc>
          <w:tcPr>
            <w:tcW w:w="3704"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Potential  association with energy consumption</w:t>
            </w:r>
          </w:p>
        </w:tc>
        <w:tc>
          <w:tcPr>
            <w:tcW w:w="0" w:type="auto"/>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Participant self-report</w:t>
            </w:r>
          </w:p>
        </w:tc>
      </w:tr>
      <w:tr w:rsidR="00EE7DD8" w:rsidRPr="00F82D74" w:rsidTr="00220B9C">
        <w:tc>
          <w:tcPr>
            <w:tcW w:w="3510"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Occupants by age group</w:t>
            </w:r>
          </w:p>
        </w:tc>
        <w:tc>
          <w:tcPr>
            <w:tcW w:w="3704"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Potential  association with energy consumption</w:t>
            </w:r>
          </w:p>
        </w:tc>
        <w:tc>
          <w:tcPr>
            <w:tcW w:w="0" w:type="auto"/>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Participant self-report</w:t>
            </w:r>
          </w:p>
        </w:tc>
      </w:tr>
      <w:tr w:rsidR="00EE7DD8" w:rsidRPr="00F82D74" w:rsidTr="00220B9C">
        <w:trPr>
          <w:trHeight w:val="422"/>
        </w:trPr>
        <w:tc>
          <w:tcPr>
            <w:tcW w:w="3510"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Part-Use Factors</w:t>
            </w:r>
          </w:p>
        </w:tc>
        <w:tc>
          <w:tcPr>
            <w:tcW w:w="3704"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Energy use and demand calculations</w:t>
            </w:r>
          </w:p>
        </w:tc>
        <w:tc>
          <w:tcPr>
            <w:tcW w:w="0" w:type="auto"/>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Participant Surveys</w:t>
            </w:r>
          </w:p>
        </w:tc>
      </w:tr>
      <w:tr w:rsidR="00EE7DD8" w:rsidRPr="00F82D74" w:rsidTr="00220B9C">
        <w:trPr>
          <w:trHeight w:val="422"/>
        </w:trPr>
        <w:tc>
          <w:tcPr>
            <w:tcW w:w="3510" w:type="dxa"/>
            <w:vAlign w:val="center"/>
          </w:tcPr>
          <w:p w:rsidR="00EE7DD8" w:rsidRPr="00690D12" w:rsidRDefault="00EE7DD8" w:rsidP="00220B9C">
            <w:pPr>
              <w:spacing w:after="80"/>
              <w:jc w:val="left"/>
              <w:rPr>
                <w:rFonts w:ascii="Arial Narrow" w:hAnsi="Arial Narrow"/>
                <w:sz w:val="20"/>
                <w:szCs w:val="20"/>
              </w:rPr>
            </w:pPr>
            <w:r w:rsidRPr="00690D12">
              <w:rPr>
                <w:rFonts w:ascii="Arial Narrow" w:hAnsi="Arial Narrow"/>
                <w:sz w:val="20"/>
                <w:szCs w:val="20"/>
              </w:rPr>
              <w:t xml:space="preserve">Hourly temperature and relative humidity data </w:t>
            </w:r>
            <w:r w:rsidR="00690D12">
              <w:rPr>
                <w:rFonts w:ascii="Arial Narrow" w:hAnsi="Arial Narrow"/>
                <w:sz w:val="20"/>
                <w:szCs w:val="20"/>
              </w:rPr>
              <w:t>to c</w:t>
            </w:r>
            <w:r w:rsidR="00690D12" w:rsidRPr="00690D12">
              <w:rPr>
                <w:rFonts w:ascii="Arial Narrow" w:hAnsi="Arial Narrow"/>
                <w:sz w:val="20"/>
                <w:szCs w:val="20"/>
              </w:rPr>
              <w:t>alculated WTHI  using PJM guidelines</w:t>
            </w:r>
          </w:p>
        </w:tc>
        <w:tc>
          <w:tcPr>
            <w:tcW w:w="3704" w:type="dxa"/>
            <w:vAlign w:val="center"/>
          </w:tcPr>
          <w:p w:rsidR="00EE7DD8" w:rsidRPr="00690D12" w:rsidRDefault="00690D12" w:rsidP="00220B9C">
            <w:pPr>
              <w:spacing w:after="80"/>
              <w:jc w:val="left"/>
              <w:rPr>
                <w:rFonts w:ascii="Arial Narrow" w:hAnsi="Arial Narrow"/>
                <w:sz w:val="20"/>
                <w:szCs w:val="20"/>
              </w:rPr>
            </w:pPr>
            <w:r w:rsidRPr="00690D12">
              <w:rPr>
                <w:rFonts w:ascii="Arial Narrow" w:hAnsi="Arial Narrow"/>
                <w:sz w:val="20"/>
                <w:szCs w:val="20"/>
              </w:rPr>
              <w:t>Potential  association with energy consumption</w:t>
            </w:r>
          </w:p>
        </w:tc>
        <w:tc>
          <w:tcPr>
            <w:tcW w:w="0" w:type="auto"/>
            <w:vAlign w:val="center"/>
          </w:tcPr>
          <w:p w:rsidR="00EE7DD8" w:rsidRPr="00690D12" w:rsidRDefault="00690D12" w:rsidP="00220B9C">
            <w:pPr>
              <w:spacing w:after="80"/>
              <w:jc w:val="left"/>
              <w:rPr>
                <w:rFonts w:ascii="Arial Narrow" w:hAnsi="Arial Narrow"/>
                <w:sz w:val="20"/>
                <w:szCs w:val="20"/>
              </w:rPr>
            </w:pPr>
            <w:r w:rsidRPr="00690D12">
              <w:rPr>
                <w:rFonts w:ascii="Arial Narrow" w:hAnsi="Arial Narrow"/>
                <w:sz w:val="20"/>
                <w:szCs w:val="20"/>
              </w:rPr>
              <w:t>Rockford and O’Hare airports</w:t>
            </w:r>
            <w:r>
              <w:t xml:space="preserve"> </w:t>
            </w:r>
            <w:r w:rsidRPr="00690D12">
              <w:rPr>
                <w:rFonts w:ascii="Arial Narrow" w:hAnsi="Arial Narrow"/>
                <w:sz w:val="20"/>
                <w:szCs w:val="20"/>
              </w:rPr>
              <w:t>weather stations</w:t>
            </w:r>
          </w:p>
        </w:tc>
      </w:tr>
    </w:tbl>
    <w:p w:rsidR="00EE7DD8" w:rsidRPr="00CC591D" w:rsidRDefault="00EE7DD8" w:rsidP="00EE7DD8">
      <w:pPr>
        <w:pStyle w:val="BodyText"/>
        <w:ind w:firstLine="360"/>
        <w:rPr>
          <w:sz w:val="22"/>
          <w:szCs w:val="22"/>
        </w:rPr>
      </w:pPr>
      <w:r w:rsidRPr="00CC591D">
        <w:rPr>
          <w:rFonts w:eastAsiaTheme="minorHAnsi"/>
          <w:i/>
          <w:sz w:val="22"/>
          <w:szCs w:val="22"/>
        </w:rPr>
        <w:t>Source:  Appliance Recycling EM&amp;V Team</w:t>
      </w:r>
    </w:p>
    <w:p w:rsidR="00065FF0" w:rsidRDefault="00065FF0" w:rsidP="00EF34CB">
      <w:pPr>
        <w:pStyle w:val="Heading3"/>
        <w:numPr>
          <w:ilvl w:val="0"/>
          <w:numId w:val="9"/>
        </w:numPr>
      </w:pPr>
      <w:r>
        <w:t>Equipment Used in Measurement Activities</w:t>
      </w:r>
    </w:p>
    <w:p w:rsidR="00CC591D" w:rsidRPr="00CC591D" w:rsidRDefault="00CC591D" w:rsidP="00CC591D">
      <w:pPr>
        <w:pStyle w:val="BodyText"/>
      </w:pPr>
      <w:proofErr w:type="gramStart"/>
      <w:r>
        <w:t xml:space="preserve">The metering study </w:t>
      </w:r>
      <w:proofErr w:type="spellStart"/>
      <w:r>
        <w:t>utililzed</w:t>
      </w:r>
      <w:proofErr w:type="spellEnd"/>
      <w:r>
        <w:t xml:space="preserve"> the following measurement equipment, which meet the requirements of Section 12 of PJM’s Manual 18B.</w:t>
      </w:r>
      <w:proofErr w:type="gramEnd"/>
    </w:p>
    <w:p w:rsidR="00690D12" w:rsidRPr="00690D12" w:rsidRDefault="00690D12" w:rsidP="00EF34CB">
      <w:pPr>
        <w:pStyle w:val="ListParagraph"/>
        <w:numPr>
          <w:ilvl w:val="0"/>
          <w:numId w:val="10"/>
        </w:numPr>
        <w:rPr>
          <w:rFonts w:eastAsiaTheme="minorHAnsi"/>
        </w:rPr>
      </w:pPr>
      <w:r w:rsidRPr="00690D12">
        <w:rPr>
          <w:rFonts w:eastAsiaTheme="minorHAnsi"/>
        </w:rPr>
        <w:t xml:space="preserve">Dent Elite power loggers – to measure power and power factor. The logger continuously samples the kW and averages it every 5 minutes.  </w:t>
      </w:r>
    </w:p>
    <w:p w:rsidR="00690D12" w:rsidRPr="00690D12" w:rsidRDefault="00690D12" w:rsidP="00EF34CB">
      <w:pPr>
        <w:pStyle w:val="ListParagraph"/>
        <w:numPr>
          <w:ilvl w:val="0"/>
          <w:numId w:val="10"/>
        </w:numPr>
        <w:rPr>
          <w:rFonts w:eastAsiaTheme="minorHAnsi"/>
        </w:rPr>
      </w:pPr>
      <w:r w:rsidRPr="00690D12">
        <w:rPr>
          <w:rFonts w:eastAsiaTheme="minorHAnsi"/>
        </w:rPr>
        <w:t xml:space="preserve">Hobo U12-012 temperature loggers – to measure cooling temperature inside the </w:t>
      </w:r>
      <w:r w:rsidRPr="00690D12">
        <w:rPr>
          <w:rFonts w:eastAsiaTheme="minorHAnsi"/>
        </w:rPr>
        <w:lastRenderedPageBreak/>
        <w:t xml:space="preserve">refrigerator. Takes a sample temperature every 5 minutes and stores it with a time stamp.  </w:t>
      </w:r>
    </w:p>
    <w:p w:rsidR="00690D12" w:rsidRPr="00690D12" w:rsidRDefault="00690D12" w:rsidP="00EF34CB">
      <w:pPr>
        <w:pStyle w:val="ListParagraph"/>
        <w:numPr>
          <w:ilvl w:val="0"/>
          <w:numId w:val="10"/>
        </w:numPr>
        <w:rPr>
          <w:rFonts w:eastAsiaTheme="minorHAnsi"/>
        </w:rPr>
      </w:pPr>
      <w:r w:rsidRPr="00690D12">
        <w:rPr>
          <w:rFonts w:eastAsiaTheme="minorHAnsi"/>
        </w:rPr>
        <w:t>Dent TOU light loggers – to measure door openings/closings by detecting the light going off and on.</w:t>
      </w:r>
    </w:p>
    <w:p w:rsidR="00065FF0" w:rsidRDefault="00065FF0" w:rsidP="00EF34CB">
      <w:pPr>
        <w:pStyle w:val="Heading3"/>
        <w:numPr>
          <w:ilvl w:val="0"/>
          <w:numId w:val="9"/>
        </w:numPr>
      </w:pPr>
      <w:r>
        <w:t>Metering Study Monitoring Interval</w:t>
      </w:r>
    </w:p>
    <w:p w:rsidR="00690D12" w:rsidRDefault="00690D12" w:rsidP="00690D12">
      <w:r w:rsidRPr="00473E3F">
        <w:t xml:space="preserve">A metering study was conducted consistent with Option B: Retrofit Isolation/Metered Equipment.  </w:t>
      </w:r>
      <w:r>
        <w:t>The Appliance Recycling metering study collected 5-minute interval demand and average kWh (from power meters), 5-minute interval internal temperature data, and light usage (on/off) from approximately 102 refrigerators and 28 freezers, between summer 2011 and winter 2012.</w:t>
      </w:r>
      <w:r>
        <w:rPr>
          <w:rStyle w:val="FootnoteReference"/>
        </w:rPr>
        <w:footnoteReference w:id="1"/>
      </w:r>
      <w:r>
        <w:t xml:space="preserve"> The study team also recorded unit characteristics that have been associated with energy consumption in previous metering studies.  Each unit was metered for a minimum of two weeks before being removed for recycling through the Appliance Recycling program.</w:t>
      </w:r>
    </w:p>
    <w:p w:rsidR="00065FF0" w:rsidRDefault="00EE7DD8" w:rsidP="00EF34CB">
      <w:pPr>
        <w:pStyle w:val="Heading3"/>
        <w:numPr>
          <w:ilvl w:val="0"/>
          <w:numId w:val="9"/>
        </w:numPr>
      </w:pPr>
      <w:r>
        <w:t>Sample Size and Statistical Accuracy</w:t>
      </w:r>
    </w:p>
    <w:p w:rsidR="00620936" w:rsidRPr="004A6478" w:rsidRDefault="00377D8A" w:rsidP="00377D8A">
      <w:pPr>
        <w:rPr>
          <w:rFonts w:eastAsiaTheme="minorHAnsi"/>
          <w:i/>
          <w:sz w:val="20"/>
        </w:rPr>
      </w:pPr>
      <w:r>
        <w:t>A</w:t>
      </w:r>
      <w:r w:rsidR="00620936" w:rsidRPr="00620936">
        <w:t xml:space="preserve"> sample size of approximately </w:t>
      </w:r>
      <w:r w:rsidR="00620936">
        <w:t>55</w:t>
      </w:r>
      <w:r w:rsidR="00620936" w:rsidRPr="00620936">
        <w:t xml:space="preserve"> refrigerators and </w:t>
      </w:r>
      <w:r w:rsidR="00620936">
        <w:t>18</w:t>
      </w:r>
      <w:r w:rsidR="00620936" w:rsidRPr="00620936">
        <w:t xml:space="preserve"> freezers is needed to estimate the unit energy consumption (UEC) of the recycled units with a</w:t>
      </w:r>
      <w:r w:rsidR="00A5287D" w:rsidRPr="00A5287D">
        <w:t xml:space="preserve"> </w:t>
      </w:r>
      <w:r w:rsidR="00A5287D" w:rsidRPr="00620936">
        <w:t>one-tailed 90% confidence level (equivalent to two-tailed 80% confidence level) and 10% relative precision</w:t>
      </w:r>
      <w:r w:rsidR="00620936" w:rsidRPr="00620936">
        <w:t>. However, to account for data attrition and propagation of error from the variance around part-use</w:t>
      </w:r>
      <w:r w:rsidR="00A5287D">
        <w:t xml:space="preserve">, and to obtain a </w:t>
      </w:r>
      <w:r w:rsidR="00A5287D" w:rsidRPr="00620936">
        <w:t xml:space="preserve">confidence/precision level of 90/10, using a </w:t>
      </w:r>
      <w:r w:rsidR="00A5287D">
        <w:t>two</w:t>
      </w:r>
      <w:r w:rsidR="00A5287D" w:rsidRPr="00620936">
        <w:t>-tailed test</w:t>
      </w:r>
      <w:r w:rsidR="00A5287D">
        <w:t xml:space="preserve"> needed for ComEd’s energy savings analyses,</w:t>
      </w:r>
      <w:r w:rsidR="00A5287D" w:rsidRPr="00620936">
        <w:t xml:space="preserve"> </w:t>
      </w:r>
      <w:r w:rsidR="00620936" w:rsidRPr="00620936">
        <w:t>we recommend</w:t>
      </w:r>
      <w:r w:rsidR="00A5287D">
        <w:t>ed</w:t>
      </w:r>
      <w:r w:rsidR="00620936" w:rsidRPr="00620936">
        <w:t xml:space="preserve"> a sample size of 135 (100 refrigerators and 35 freezers)</w:t>
      </w:r>
      <w:r w:rsidR="00A5287D">
        <w:t xml:space="preserve">. </w:t>
      </w:r>
    </w:p>
    <w:p w:rsidR="00620936" w:rsidRDefault="00AA313D" w:rsidP="00690D12">
      <w:r>
        <w:t xml:space="preserve">Participants were recruited and screened in a telephone survey. The evaluation team used a monetary incentive and multiple contact attempts to increase response rate and minimize non-response and selectivity bias. </w:t>
      </w:r>
    </w:p>
    <w:p w:rsidR="00EE7DD8" w:rsidRPr="00A62678" w:rsidRDefault="00690D12" w:rsidP="00690D12">
      <w:r>
        <w:t xml:space="preserve">Table </w:t>
      </w:r>
      <w:r w:rsidR="009124B2">
        <w:t>4</w:t>
      </w:r>
      <w:r>
        <w:t xml:space="preserve"> summarize</w:t>
      </w:r>
      <w:r w:rsidR="00CE7325">
        <w:t>s</w:t>
      </w:r>
      <w:r>
        <w:t xml:space="preserve"> the units metered and the final metered sample</w:t>
      </w:r>
      <w:r w:rsidR="00A5287D">
        <w:t xml:space="preserve"> after accounting for </w:t>
      </w:r>
      <w:proofErr w:type="spellStart"/>
      <w:r w:rsidR="00A5287D">
        <w:t>unuseable</w:t>
      </w:r>
      <w:proofErr w:type="spellEnd"/>
      <w:r w:rsidR="00A5287D">
        <w:t xml:space="preserve"> data associated with logger malfunctions</w:t>
      </w:r>
      <w:r>
        <w:t>.</w:t>
      </w:r>
    </w:p>
    <w:p w:rsidR="0022703E" w:rsidRPr="00A62678" w:rsidRDefault="009124B2" w:rsidP="0022703E">
      <w:pPr>
        <w:pStyle w:val="Caption"/>
      </w:pPr>
      <w:proofErr w:type="gramStart"/>
      <w:r>
        <w:t xml:space="preserve">Table </w:t>
      </w:r>
      <w:fldSimple w:instr=" SEQ Table \* ARABIC ">
        <w:r>
          <w:rPr>
            <w:noProof/>
          </w:rPr>
          <w:t>4</w:t>
        </w:r>
      </w:fldSimple>
      <w:r>
        <w:t>.</w:t>
      </w:r>
      <w:proofErr w:type="gramEnd"/>
      <w:r>
        <w:t xml:space="preserve"> </w:t>
      </w:r>
      <w:r w:rsidR="0022703E">
        <w:t>Metering Sample Frame and Final Sample</w:t>
      </w:r>
    </w:p>
    <w:tbl>
      <w:tblPr>
        <w:tblStyle w:val="ODCTable"/>
        <w:tblW w:w="9441" w:type="dxa"/>
        <w:tblLook w:val="04A0"/>
      </w:tblPr>
      <w:tblGrid>
        <w:gridCol w:w="5550"/>
        <w:gridCol w:w="1436"/>
        <w:gridCol w:w="1334"/>
        <w:gridCol w:w="1121"/>
      </w:tblGrid>
      <w:tr w:rsidR="00A62678" w:rsidRPr="00A62678" w:rsidTr="0022703E">
        <w:trPr>
          <w:cnfStyle w:val="100000000000"/>
          <w:trHeight w:val="288"/>
        </w:trPr>
        <w:tc>
          <w:tcPr>
            <w:cnfStyle w:val="001000000000"/>
            <w:tcW w:w="5550" w:type="dxa"/>
            <w:noWrap/>
            <w:hideMark/>
          </w:tcPr>
          <w:p w:rsidR="00A62678" w:rsidRPr="0022703E" w:rsidRDefault="00A62678" w:rsidP="00A62678">
            <w:pPr>
              <w:pStyle w:val="BodyText"/>
              <w:rPr>
                <w:b/>
              </w:rPr>
            </w:pPr>
          </w:p>
        </w:tc>
        <w:tc>
          <w:tcPr>
            <w:tcW w:w="1436" w:type="dxa"/>
            <w:noWrap/>
            <w:hideMark/>
          </w:tcPr>
          <w:p w:rsidR="00A62678" w:rsidRPr="0022703E" w:rsidRDefault="0022703E" w:rsidP="00A62678">
            <w:pPr>
              <w:pStyle w:val="BodyText"/>
              <w:cnfStyle w:val="100000000000"/>
              <w:rPr>
                <w:b/>
              </w:rPr>
            </w:pPr>
            <w:r>
              <w:rPr>
                <w:b/>
              </w:rPr>
              <w:t>Refrigerator</w:t>
            </w:r>
          </w:p>
        </w:tc>
        <w:tc>
          <w:tcPr>
            <w:tcW w:w="1334" w:type="dxa"/>
            <w:noWrap/>
            <w:hideMark/>
          </w:tcPr>
          <w:p w:rsidR="00A62678" w:rsidRPr="0022703E" w:rsidRDefault="0022703E" w:rsidP="00A62678">
            <w:pPr>
              <w:pStyle w:val="BodyText"/>
              <w:cnfStyle w:val="100000000000"/>
              <w:rPr>
                <w:b/>
              </w:rPr>
            </w:pPr>
            <w:r>
              <w:rPr>
                <w:b/>
              </w:rPr>
              <w:t>Freezer</w:t>
            </w:r>
          </w:p>
        </w:tc>
        <w:tc>
          <w:tcPr>
            <w:tcW w:w="1121" w:type="dxa"/>
            <w:noWrap/>
            <w:hideMark/>
          </w:tcPr>
          <w:p w:rsidR="00A62678" w:rsidRPr="0022703E" w:rsidRDefault="00A62678" w:rsidP="00A62678">
            <w:pPr>
              <w:pStyle w:val="BodyText"/>
              <w:cnfStyle w:val="100000000000"/>
              <w:rPr>
                <w:b/>
              </w:rPr>
            </w:pPr>
            <w:r w:rsidRPr="0022703E">
              <w:rPr>
                <w:b/>
              </w:rPr>
              <w:t>Total</w:t>
            </w:r>
          </w:p>
        </w:tc>
      </w:tr>
      <w:tr w:rsidR="00A62678" w:rsidRPr="00A62678" w:rsidTr="0022703E">
        <w:trPr>
          <w:trHeight w:val="538"/>
        </w:trPr>
        <w:tc>
          <w:tcPr>
            <w:cnfStyle w:val="001000000000"/>
            <w:tcW w:w="5550" w:type="dxa"/>
            <w:noWrap/>
            <w:hideMark/>
          </w:tcPr>
          <w:p w:rsidR="00A62678" w:rsidRPr="00220B9C" w:rsidRDefault="00A62678" w:rsidP="00A62678">
            <w:pPr>
              <w:pStyle w:val="BodyText"/>
              <w:rPr>
                <w:b/>
                <w:iCs/>
              </w:rPr>
            </w:pPr>
            <w:r w:rsidRPr="00220B9C">
              <w:rPr>
                <w:b/>
                <w:iCs/>
              </w:rPr>
              <w:t>Total Metered Units</w:t>
            </w:r>
          </w:p>
        </w:tc>
        <w:tc>
          <w:tcPr>
            <w:tcW w:w="1436" w:type="dxa"/>
            <w:noWrap/>
            <w:hideMark/>
          </w:tcPr>
          <w:p w:rsidR="00A62678" w:rsidRPr="00220B9C" w:rsidRDefault="00A62678" w:rsidP="00A62678">
            <w:pPr>
              <w:pStyle w:val="BodyText"/>
              <w:cnfStyle w:val="000000000000"/>
              <w:rPr>
                <w:b/>
                <w:bCs/>
                <w:iCs/>
              </w:rPr>
            </w:pPr>
            <w:r w:rsidRPr="00220B9C">
              <w:rPr>
                <w:b/>
                <w:bCs/>
                <w:iCs/>
              </w:rPr>
              <w:t>121</w:t>
            </w:r>
          </w:p>
        </w:tc>
        <w:tc>
          <w:tcPr>
            <w:tcW w:w="1334" w:type="dxa"/>
            <w:noWrap/>
            <w:hideMark/>
          </w:tcPr>
          <w:p w:rsidR="00A62678" w:rsidRPr="00220B9C" w:rsidRDefault="00A62678" w:rsidP="00A62678">
            <w:pPr>
              <w:pStyle w:val="BodyText"/>
              <w:cnfStyle w:val="000000000000"/>
              <w:rPr>
                <w:b/>
                <w:bCs/>
                <w:iCs/>
              </w:rPr>
            </w:pPr>
            <w:r w:rsidRPr="00220B9C">
              <w:rPr>
                <w:b/>
                <w:bCs/>
                <w:iCs/>
              </w:rPr>
              <w:t>34</w:t>
            </w:r>
          </w:p>
        </w:tc>
        <w:tc>
          <w:tcPr>
            <w:tcW w:w="1121" w:type="dxa"/>
            <w:noWrap/>
            <w:hideMark/>
          </w:tcPr>
          <w:p w:rsidR="00A62678" w:rsidRPr="00220B9C" w:rsidRDefault="00A62678" w:rsidP="00A62678">
            <w:pPr>
              <w:pStyle w:val="BodyText"/>
              <w:cnfStyle w:val="000000000000"/>
              <w:rPr>
                <w:b/>
              </w:rPr>
            </w:pPr>
            <w:r w:rsidRPr="00220B9C">
              <w:rPr>
                <w:b/>
              </w:rPr>
              <w:t>155</w:t>
            </w:r>
          </w:p>
        </w:tc>
      </w:tr>
      <w:tr w:rsidR="00A62678" w:rsidRPr="00A62678" w:rsidTr="0022703E">
        <w:trPr>
          <w:trHeight w:val="288"/>
        </w:trPr>
        <w:tc>
          <w:tcPr>
            <w:cnfStyle w:val="001000000000"/>
            <w:tcW w:w="5550" w:type="dxa"/>
            <w:noWrap/>
            <w:hideMark/>
          </w:tcPr>
          <w:p w:rsidR="00A62678" w:rsidRPr="00220B9C" w:rsidRDefault="0022703E" w:rsidP="0022703E">
            <w:pPr>
              <w:pStyle w:val="BodyText"/>
            </w:pPr>
            <w:r w:rsidRPr="00220B9C">
              <w:t xml:space="preserve">   Complete logger </w:t>
            </w:r>
            <w:proofErr w:type="spellStart"/>
            <w:r w:rsidRPr="00220B9C">
              <w:t>failure</w:t>
            </w:r>
            <w:r w:rsidRPr="00220B9C">
              <w:rPr>
                <w:vertAlign w:val="superscript"/>
              </w:rPr>
              <w:t>a</w:t>
            </w:r>
            <w:proofErr w:type="spellEnd"/>
          </w:p>
        </w:tc>
        <w:tc>
          <w:tcPr>
            <w:tcW w:w="1436" w:type="dxa"/>
            <w:noWrap/>
            <w:hideMark/>
          </w:tcPr>
          <w:p w:rsidR="00A62678" w:rsidRPr="00220B9C" w:rsidRDefault="0022703E" w:rsidP="00A62678">
            <w:pPr>
              <w:pStyle w:val="BodyText"/>
              <w:cnfStyle w:val="000000000000"/>
            </w:pPr>
            <w:r w:rsidRPr="00220B9C">
              <w:t>13</w:t>
            </w:r>
          </w:p>
        </w:tc>
        <w:tc>
          <w:tcPr>
            <w:tcW w:w="1334" w:type="dxa"/>
            <w:noWrap/>
            <w:hideMark/>
          </w:tcPr>
          <w:p w:rsidR="00A62678" w:rsidRPr="00220B9C" w:rsidRDefault="0022703E" w:rsidP="00A62678">
            <w:pPr>
              <w:pStyle w:val="BodyText"/>
              <w:cnfStyle w:val="000000000000"/>
            </w:pPr>
            <w:r w:rsidRPr="00220B9C">
              <w:t>6</w:t>
            </w:r>
          </w:p>
        </w:tc>
        <w:tc>
          <w:tcPr>
            <w:tcW w:w="1121" w:type="dxa"/>
            <w:noWrap/>
            <w:hideMark/>
          </w:tcPr>
          <w:p w:rsidR="00A62678" w:rsidRPr="00220B9C" w:rsidRDefault="0022703E" w:rsidP="00A62678">
            <w:pPr>
              <w:pStyle w:val="BodyText"/>
              <w:cnfStyle w:val="000000000000"/>
            </w:pPr>
            <w:r w:rsidRPr="00220B9C">
              <w:t>19</w:t>
            </w:r>
          </w:p>
        </w:tc>
      </w:tr>
      <w:tr w:rsidR="00A62678" w:rsidRPr="00A62678" w:rsidTr="0022703E">
        <w:trPr>
          <w:trHeight w:val="288"/>
        </w:trPr>
        <w:tc>
          <w:tcPr>
            <w:cnfStyle w:val="001000000000"/>
            <w:tcW w:w="5550" w:type="dxa"/>
            <w:noWrap/>
            <w:hideMark/>
          </w:tcPr>
          <w:p w:rsidR="00A62678" w:rsidRPr="00220B9C" w:rsidRDefault="0022703E" w:rsidP="0022703E">
            <w:pPr>
              <w:pStyle w:val="BodyText"/>
            </w:pPr>
            <w:r w:rsidRPr="00220B9C">
              <w:t xml:space="preserve">   Partial logger </w:t>
            </w:r>
            <w:proofErr w:type="spellStart"/>
            <w:r w:rsidRPr="00220B9C">
              <w:t>failure</w:t>
            </w:r>
            <w:r w:rsidRPr="00220B9C">
              <w:rPr>
                <w:vertAlign w:val="superscript"/>
              </w:rPr>
              <w:t>b</w:t>
            </w:r>
            <w:proofErr w:type="spellEnd"/>
            <w:r w:rsidRPr="00220B9C">
              <w:t xml:space="preserve"> </w:t>
            </w:r>
          </w:p>
        </w:tc>
        <w:tc>
          <w:tcPr>
            <w:tcW w:w="1436" w:type="dxa"/>
            <w:noWrap/>
            <w:hideMark/>
          </w:tcPr>
          <w:p w:rsidR="00A62678" w:rsidRPr="00220B9C" w:rsidRDefault="00A62678" w:rsidP="00A62678">
            <w:pPr>
              <w:pStyle w:val="BodyText"/>
              <w:cnfStyle w:val="000000000000"/>
            </w:pPr>
            <w:r w:rsidRPr="00220B9C">
              <w:t>6</w:t>
            </w:r>
          </w:p>
        </w:tc>
        <w:tc>
          <w:tcPr>
            <w:tcW w:w="1334" w:type="dxa"/>
            <w:noWrap/>
            <w:hideMark/>
          </w:tcPr>
          <w:p w:rsidR="00A62678" w:rsidRPr="00220B9C" w:rsidRDefault="00A62678" w:rsidP="00A62678">
            <w:pPr>
              <w:pStyle w:val="BodyText"/>
              <w:cnfStyle w:val="000000000000"/>
            </w:pPr>
            <w:r w:rsidRPr="00220B9C">
              <w:t>0</w:t>
            </w:r>
          </w:p>
        </w:tc>
        <w:tc>
          <w:tcPr>
            <w:tcW w:w="1121" w:type="dxa"/>
            <w:noWrap/>
            <w:hideMark/>
          </w:tcPr>
          <w:p w:rsidR="00A62678" w:rsidRPr="00220B9C" w:rsidRDefault="00A62678" w:rsidP="00A62678">
            <w:pPr>
              <w:pStyle w:val="BodyText"/>
              <w:cnfStyle w:val="000000000000"/>
            </w:pPr>
            <w:r w:rsidRPr="00220B9C">
              <w:t>6</w:t>
            </w:r>
          </w:p>
        </w:tc>
      </w:tr>
      <w:tr w:rsidR="00A62678" w:rsidRPr="00A62678" w:rsidTr="0022703E">
        <w:trPr>
          <w:trHeight w:val="288"/>
        </w:trPr>
        <w:tc>
          <w:tcPr>
            <w:cnfStyle w:val="001000000000"/>
            <w:tcW w:w="5550" w:type="dxa"/>
            <w:noWrap/>
            <w:hideMark/>
          </w:tcPr>
          <w:p w:rsidR="00A62678" w:rsidRPr="00220B9C" w:rsidRDefault="00A62678" w:rsidP="00A62678">
            <w:pPr>
              <w:pStyle w:val="BodyText"/>
              <w:rPr>
                <w:b/>
                <w:iCs/>
              </w:rPr>
            </w:pPr>
            <w:r w:rsidRPr="00220B9C">
              <w:rPr>
                <w:b/>
                <w:iCs/>
              </w:rPr>
              <w:t>Units with valid power data</w:t>
            </w:r>
          </w:p>
        </w:tc>
        <w:tc>
          <w:tcPr>
            <w:tcW w:w="1436" w:type="dxa"/>
            <w:noWrap/>
            <w:hideMark/>
          </w:tcPr>
          <w:p w:rsidR="00A62678" w:rsidRPr="00220B9C" w:rsidRDefault="00A62678" w:rsidP="00A62678">
            <w:pPr>
              <w:pStyle w:val="BodyText"/>
              <w:cnfStyle w:val="000000000000"/>
              <w:rPr>
                <w:b/>
                <w:bCs/>
                <w:iCs/>
              </w:rPr>
            </w:pPr>
            <w:r w:rsidRPr="00220B9C">
              <w:rPr>
                <w:b/>
                <w:bCs/>
                <w:iCs/>
              </w:rPr>
              <w:t>102</w:t>
            </w:r>
          </w:p>
        </w:tc>
        <w:tc>
          <w:tcPr>
            <w:tcW w:w="1334" w:type="dxa"/>
            <w:noWrap/>
            <w:hideMark/>
          </w:tcPr>
          <w:p w:rsidR="00A62678" w:rsidRPr="00220B9C" w:rsidRDefault="00A62678" w:rsidP="00A62678">
            <w:pPr>
              <w:pStyle w:val="BodyText"/>
              <w:cnfStyle w:val="000000000000"/>
              <w:rPr>
                <w:b/>
                <w:bCs/>
                <w:iCs/>
              </w:rPr>
            </w:pPr>
            <w:r w:rsidRPr="00220B9C">
              <w:rPr>
                <w:b/>
                <w:bCs/>
                <w:iCs/>
              </w:rPr>
              <w:t>28</w:t>
            </w:r>
          </w:p>
        </w:tc>
        <w:tc>
          <w:tcPr>
            <w:tcW w:w="1121" w:type="dxa"/>
            <w:noWrap/>
            <w:hideMark/>
          </w:tcPr>
          <w:p w:rsidR="00A62678" w:rsidRPr="00220B9C" w:rsidRDefault="00A62678" w:rsidP="00A62678">
            <w:pPr>
              <w:pStyle w:val="BodyText"/>
              <w:cnfStyle w:val="000000000000"/>
              <w:rPr>
                <w:b/>
              </w:rPr>
            </w:pPr>
            <w:r w:rsidRPr="00220B9C">
              <w:rPr>
                <w:b/>
              </w:rPr>
              <w:t>130</w:t>
            </w:r>
          </w:p>
        </w:tc>
      </w:tr>
    </w:tbl>
    <w:p w:rsidR="00A62678" w:rsidRPr="00690D12" w:rsidRDefault="0022703E" w:rsidP="0022703E">
      <w:pPr>
        <w:pStyle w:val="BodyText"/>
        <w:spacing w:after="40"/>
        <w:ind w:left="548" w:hanging="274"/>
        <w:rPr>
          <w:sz w:val="20"/>
          <w:szCs w:val="20"/>
        </w:rPr>
      </w:pPr>
      <w:proofErr w:type="gramStart"/>
      <w:r w:rsidRPr="0022703E">
        <w:rPr>
          <w:sz w:val="22"/>
          <w:vertAlign w:val="superscript"/>
        </w:rPr>
        <w:t>a</w:t>
      </w:r>
      <w:proofErr w:type="gramEnd"/>
      <w:r w:rsidRPr="0022703E">
        <w:rPr>
          <w:sz w:val="22"/>
        </w:rPr>
        <w:t xml:space="preserve"> </w:t>
      </w:r>
      <w:r w:rsidRPr="00690D12">
        <w:rPr>
          <w:sz w:val="20"/>
          <w:szCs w:val="20"/>
        </w:rPr>
        <w:t>Meter did not record any power data</w:t>
      </w:r>
    </w:p>
    <w:p w:rsidR="0022703E" w:rsidRPr="00690D12" w:rsidRDefault="0022703E" w:rsidP="0022703E">
      <w:pPr>
        <w:pStyle w:val="BodyText"/>
        <w:ind w:left="540" w:hanging="270"/>
        <w:rPr>
          <w:sz w:val="20"/>
          <w:szCs w:val="20"/>
        </w:rPr>
      </w:pPr>
      <w:proofErr w:type="gramStart"/>
      <w:r w:rsidRPr="00690D12">
        <w:rPr>
          <w:sz w:val="20"/>
          <w:szCs w:val="20"/>
          <w:vertAlign w:val="superscript"/>
        </w:rPr>
        <w:t>b</w:t>
      </w:r>
      <w:proofErr w:type="gramEnd"/>
      <w:r w:rsidRPr="00690D12">
        <w:rPr>
          <w:sz w:val="20"/>
          <w:szCs w:val="20"/>
        </w:rPr>
        <w:t xml:space="preserve"> Meter either (a) recorded less than 1 day of data, or (b) recorded dates &amp; times that could not be aligned with installation times)</w:t>
      </w:r>
    </w:p>
    <w:p w:rsidR="00690D12" w:rsidRDefault="00690D12" w:rsidP="00A62678">
      <w:pPr>
        <w:pStyle w:val="BodyText"/>
      </w:pPr>
    </w:p>
    <w:p w:rsidR="0006272F" w:rsidRPr="00220B9C" w:rsidRDefault="0006272F" w:rsidP="0006272F">
      <w:pPr>
        <w:rPr>
          <w:rFonts w:eastAsiaTheme="minorHAnsi"/>
        </w:rPr>
      </w:pPr>
      <w:r w:rsidRPr="000D3355">
        <w:rPr>
          <w:rFonts w:eastAsiaTheme="minorHAnsi"/>
        </w:rPr>
        <w:t>A telephone survey of program par</w:t>
      </w:r>
      <w:r>
        <w:rPr>
          <w:rFonts w:eastAsiaTheme="minorHAnsi"/>
        </w:rPr>
        <w:t>ticipants was used to estimate</w:t>
      </w:r>
      <w:r w:rsidRPr="000D3355">
        <w:rPr>
          <w:rFonts w:eastAsiaTheme="minorHAnsi"/>
        </w:rPr>
        <w:t xml:space="preserve"> part-use factor</w:t>
      </w:r>
      <w:r w:rsidR="00A5287D">
        <w:rPr>
          <w:rFonts w:eastAsiaTheme="minorHAnsi"/>
        </w:rPr>
        <w:t>s</w:t>
      </w:r>
      <w:r w:rsidRPr="000D3355">
        <w:rPr>
          <w:rFonts w:eastAsiaTheme="minorHAnsi"/>
        </w:rPr>
        <w:t>.</w:t>
      </w:r>
      <w:r>
        <w:rPr>
          <w:rFonts w:eastAsiaTheme="minorHAnsi"/>
        </w:rPr>
        <w:t xml:space="preserve"> </w:t>
      </w:r>
      <w:r w:rsidRPr="000D3355">
        <w:rPr>
          <w:rFonts w:eastAsiaTheme="minorHAnsi"/>
        </w:rPr>
        <w:t>Th</w:t>
      </w:r>
      <w:r w:rsidR="00A5287D">
        <w:rPr>
          <w:rFonts w:eastAsiaTheme="minorHAnsi"/>
        </w:rPr>
        <w:t>e</w:t>
      </w:r>
      <w:r w:rsidRPr="000D3355">
        <w:rPr>
          <w:rFonts w:eastAsiaTheme="minorHAnsi"/>
        </w:rPr>
        <w:t>s</w:t>
      </w:r>
      <w:r w:rsidR="00A5287D">
        <w:rPr>
          <w:rFonts w:eastAsiaTheme="minorHAnsi"/>
        </w:rPr>
        <w:t>e</w:t>
      </w:r>
      <w:r w:rsidRPr="000D3355">
        <w:rPr>
          <w:rFonts w:eastAsiaTheme="minorHAnsi"/>
        </w:rPr>
        <w:t xml:space="preserve"> factor</w:t>
      </w:r>
      <w:r w:rsidR="00A5287D">
        <w:rPr>
          <w:rFonts w:eastAsiaTheme="minorHAnsi"/>
        </w:rPr>
        <w:t>s</w:t>
      </w:r>
      <w:r w:rsidRPr="000D3355">
        <w:rPr>
          <w:rFonts w:eastAsiaTheme="minorHAnsi"/>
        </w:rPr>
        <w:t xml:space="preserve"> </w:t>
      </w:r>
      <w:r>
        <w:rPr>
          <w:rFonts w:eastAsiaTheme="minorHAnsi"/>
        </w:rPr>
        <w:t>w</w:t>
      </w:r>
      <w:r w:rsidR="00A5287D">
        <w:rPr>
          <w:rFonts w:eastAsiaTheme="minorHAnsi"/>
        </w:rPr>
        <w:t>ere</w:t>
      </w:r>
      <w:r w:rsidRPr="000D3355">
        <w:rPr>
          <w:rFonts w:eastAsiaTheme="minorHAnsi"/>
        </w:rPr>
        <w:t xml:space="preserve"> used to adjust the annualized UEC estimates to reflect the number of months the recycled unit would have been operated absent the program.</w:t>
      </w:r>
      <w:r>
        <w:rPr>
          <w:rFonts w:eastAsiaTheme="minorHAnsi"/>
        </w:rPr>
        <w:t xml:space="preserve"> The participant telephone </w:t>
      </w:r>
      <w:r w:rsidRPr="00220B9C">
        <w:rPr>
          <w:rFonts w:eastAsiaTheme="minorHAnsi"/>
        </w:rPr>
        <w:t xml:space="preserve">survey was also used for verification activity. </w:t>
      </w:r>
    </w:p>
    <w:p w:rsidR="00A62AC5" w:rsidRDefault="00A62AC5" w:rsidP="00A62AC5">
      <w:pPr>
        <w:rPr>
          <w:rFonts w:cstheme="minorHAnsi"/>
          <w:b/>
        </w:rPr>
      </w:pPr>
      <w:r w:rsidRPr="00220B9C">
        <w:t>For the participant telephone survey,</w:t>
      </w:r>
      <w:r w:rsidR="00116A1D" w:rsidRPr="00220B9C">
        <w:t xml:space="preserve"> the</w:t>
      </w:r>
      <w:r w:rsidRPr="00220B9C">
        <w:t xml:space="preserve"> sample size</w:t>
      </w:r>
      <w:r w:rsidR="00116A1D" w:rsidRPr="00220B9C">
        <w:t xml:space="preserve"> was selected to account for data attrition and propagation of error from the variance around part-use factors in each program year. </w:t>
      </w:r>
      <w:r w:rsidR="00220B9C" w:rsidRPr="00220B9C">
        <w:t xml:space="preserve">The proportion of refrigerators and freezers was selected to align with recycled units. </w:t>
      </w:r>
      <w:r w:rsidR="00AE2BB9" w:rsidRPr="00220B9C">
        <w:fldChar w:fldCharType="begin"/>
      </w:r>
      <w:r w:rsidR="00220B9C" w:rsidRPr="00220B9C">
        <w:instrText xml:space="preserve"> REF _Ref322672380 \h </w:instrText>
      </w:r>
      <w:r w:rsidR="00220B9C">
        <w:instrText xml:space="preserve"> \* MERGEFORMAT </w:instrText>
      </w:r>
      <w:r w:rsidR="00AE2BB9" w:rsidRPr="00220B9C">
        <w:fldChar w:fldCharType="end"/>
      </w:r>
      <w:r w:rsidR="00AE2BB9">
        <w:fldChar w:fldCharType="begin"/>
      </w:r>
      <w:r w:rsidR="00DE2A35">
        <w:instrText xml:space="preserve"> REF _Ref322672383 \h </w:instrText>
      </w:r>
      <w:r w:rsidR="00AE2BB9">
        <w:fldChar w:fldCharType="separate"/>
      </w:r>
      <w:r w:rsidR="00DE2A35">
        <w:t xml:space="preserve">Table </w:t>
      </w:r>
      <w:r w:rsidR="00DE2A35">
        <w:rPr>
          <w:noProof/>
        </w:rPr>
        <w:t>5</w:t>
      </w:r>
      <w:r w:rsidR="00AE2BB9">
        <w:fldChar w:fldCharType="end"/>
      </w:r>
      <w:r w:rsidR="00220B9C" w:rsidRPr="00220B9C">
        <w:t xml:space="preserve"> displays sample refrigerator and freezer sample sizes used to estimate part-use factors in each year.</w:t>
      </w:r>
    </w:p>
    <w:p w:rsidR="00116A1D" w:rsidRDefault="00116A1D" w:rsidP="00116A1D">
      <w:pPr>
        <w:pStyle w:val="Caption"/>
      </w:pPr>
      <w:bookmarkStart w:id="2" w:name="_Ref322672383"/>
      <w:bookmarkStart w:id="3" w:name="_Ref322672380"/>
      <w:proofErr w:type="gramStart"/>
      <w:r>
        <w:t xml:space="preserve">Table </w:t>
      </w:r>
      <w:r w:rsidR="00AE2BB9">
        <w:fldChar w:fldCharType="begin"/>
      </w:r>
      <w:r w:rsidR="005F53FD">
        <w:instrText xml:space="preserve"> SEQ Table \* ARABIC </w:instrText>
      </w:r>
      <w:r w:rsidR="00AE2BB9">
        <w:fldChar w:fldCharType="separate"/>
      </w:r>
      <w:r w:rsidR="009124B2">
        <w:rPr>
          <w:noProof/>
        </w:rPr>
        <w:t>5</w:t>
      </w:r>
      <w:r w:rsidR="00AE2BB9">
        <w:fldChar w:fldCharType="end"/>
      </w:r>
      <w:bookmarkEnd w:id="2"/>
      <w:r>
        <w:t>.</w:t>
      </w:r>
      <w:proofErr w:type="gramEnd"/>
      <w:r>
        <w:t xml:space="preserve"> Part-Use Factor Telephone Survey Sample Sizes</w:t>
      </w:r>
      <w:bookmarkEnd w:id="3"/>
    </w:p>
    <w:tbl>
      <w:tblPr>
        <w:tblStyle w:val="TableGrid"/>
        <w:tblW w:w="0" w:type="auto"/>
        <w:jc w:val="center"/>
        <w:tblLook w:val="04A0"/>
      </w:tblPr>
      <w:tblGrid>
        <w:gridCol w:w="2696"/>
        <w:gridCol w:w="1769"/>
        <w:gridCol w:w="1769"/>
        <w:gridCol w:w="1769"/>
      </w:tblGrid>
      <w:tr w:rsidR="00116A1D" w:rsidRPr="00116A1D" w:rsidTr="00116A1D">
        <w:trPr>
          <w:trHeight w:val="288"/>
          <w:jc w:val="center"/>
        </w:trPr>
        <w:tc>
          <w:tcPr>
            <w:tcW w:w="2696" w:type="dxa"/>
            <w:shd w:val="clear" w:color="auto" w:fill="D9D9D9" w:themeFill="background1" w:themeFillShade="D9"/>
            <w:noWrap/>
            <w:hideMark/>
          </w:tcPr>
          <w:p w:rsidR="00116A1D" w:rsidRPr="00116A1D" w:rsidRDefault="00116A1D" w:rsidP="00116A1D">
            <w:pPr>
              <w:pStyle w:val="BodyText"/>
              <w:rPr>
                <w:b/>
              </w:rPr>
            </w:pPr>
          </w:p>
        </w:tc>
        <w:tc>
          <w:tcPr>
            <w:tcW w:w="1769" w:type="dxa"/>
            <w:shd w:val="clear" w:color="auto" w:fill="D9D9D9" w:themeFill="background1" w:themeFillShade="D9"/>
            <w:noWrap/>
            <w:hideMark/>
          </w:tcPr>
          <w:p w:rsidR="00116A1D" w:rsidRPr="00116A1D" w:rsidRDefault="00116A1D" w:rsidP="00116A1D">
            <w:pPr>
              <w:pStyle w:val="BodyText"/>
              <w:jc w:val="center"/>
              <w:rPr>
                <w:b/>
              </w:rPr>
            </w:pPr>
            <w:r w:rsidRPr="00116A1D">
              <w:rPr>
                <w:b/>
              </w:rPr>
              <w:t>Program Year 1</w:t>
            </w:r>
          </w:p>
        </w:tc>
        <w:tc>
          <w:tcPr>
            <w:tcW w:w="1769" w:type="dxa"/>
            <w:shd w:val="clear" w:color="auto" w:fill="D9D9D9" w:themeFill="background1" w:themeFillShade="D9"/>
            <w:noWrap/>
            <w:hideMark/>
          </w:tcPr>
          <w:p w:rsidR="00116A1D" w:rsidRPr="00116A1D" w:rsidRDefault="00116A1D" w:rsidP="00116A1D">
            <w:pPr>
              <w:pStyle w:val="BodyText"/>
              <w:jc w:val="center"/>
              <w:rPr>
                <w:b/>
              </w:rPr>
            </w:pPr>
            <w:r w:rsidRPr="00116A1D">
              <w:rPr>
                <w:b/>
              </w:rPr>
              <w:t>Program Year 2</w:t>
            </w:r>
          </w:p>
        </w:tc>
        <w:tc>
          <w:tcPr>
            <w:tcW w:w="1769" w:type="dxa"/>
            <w:shd w:val="clear" w:color="auto" w:fill="D9D9D9" w:themeFill="background1" w:themeFillShade="D9"/>
            <w:noWrap/>
            <w:hideMark/>
          </w:tcPr>
          <w:p w:rsidR="00116A1D" w:rsidRPr="00116A1D" w:rsidRDefault="00116A1D" w:rsidP="00116A1D">
            <w:pPr>
              <w:pStyle w:val="BodyText"/>
              <w:jc w:val="center"/>
              <w:rPr>
                <w:b/>
              </w:rPr>
            </w:pPr>
            <w:r w:rsidRPr="00116A1D">
              <w:rPr>
                <w:b/>
              </w:rPr>
              <w:t>Program Year 3</w:t>
            </w:r>
          </w:p>
        </w:tc>
      </w:tr>
      <w:tr w:rsidR="00116A1D" w:rsidRPr="00116A1D" w:rsidTr="00116A1D">
        <w:trPr>
          <w:trHeight w:val="288"/>
          <w:jc w:val="center"/>
        </w:trPr>
        <w:tc>
          <w:tcPr>
            <w:tcW w:w="2696" w:type="dxa"/>
            <w:noWrap/>
            <w:hideMark/>
          </w:tcPr>
          <w:p w:rsidR="00116A1D" w:rsidRPr="00116A1D" w:rsidRDefault="00116A1D" w:rsidP="00116A1D">
            <w:pPr>
              <w:pStyle w:val="BodyText"/>
              <w:rPr>
                <w:b/>
              </w:rPr>
            </w:pPr>
            <w:r w:rsidRPr="00116A1D">
              <w:rPr>
                <w:b/>
              </w:rPr>
              <w:t>Refrigerator n</w:t>
            </w:r>
          </w:p>
        </w:tc>
        <w:tc>
          <w:tcPr>
            <w:tcW w:w="1769" w:type="dxa"/>
            <w:noWrap/>
            <w:hideMark/>
          </w:tcPr>
          <w:p w:rsidR="00116A1D" w:rsidRPr="00116A1D" w:rsidRDefault="00116A1D" w:rsidP="00116A1D">
            <w:pPr>
              <w:pStyle w:val="BodyText"/>
              <w:jc w:val="center"/>
            </w:pPr>
            <w:r w:rsidRPr="00116A1D">
              <w:t>70</w:t>
            </w:r>
          </w:p>
        </w:tc>
        <w:tc>
          <w:tcPr>
            <w:tcW w:w="1769" w:type="dxa"/>
            <w:noWrap/>
            <w:hideMark/>
          </w:tcPr>
          <w:p w:rsidR="00116A1D" w:rsidRPr="00116A1D" w:rsidRDefault="00116A1D" w:rsidP="00116A1D">
            <w:pPr>
              <w:pStyle w:val="BodyText"/>
              <w:jc w:val="center"/>
            </w:pPr>
            <w:r w:rsidRPr="00116A1D">
              <w:t>114</w:t>
            </w:r>
          </w:p>
        </w:tc>
        <w:tc>
          <w:tcPr>
            <w:tcW w:w="1769" w:type="dxa"/>
            <w:noWrap/>
            <w:hideMark/>
          </w:tcPr>
          <w:p w:rsidR="00116A1D" w:rsidRPr="00116A1D" w:rsidRDefault="00116A1D" w:rsidP="00116A1D">
            <w:pPr>
              <w:pStyle w:val="BodyText"/>
              <w:jc w:val="center"/>
            </w:pPr>
            <w:r w:rsidRPr="00116A1D">
              <w:t>144</w:t>
            </w:r>
          </w:p>
        </w:tc>
      </w:tr>
      <w:tr w:rsidR="00116A1D" w:rsidRPr="00116A1D" w:rsidTr="00116A1D">
        <w:trPr>
          <w:trHeight w:val="288"/>
          <w:jc w:val="center"/>
        </w:trPr>
        <w:tc>
          <w:tcPr>
            <w:tcW w:w="2696" w:type="dxa"/>
            <w:noWrap/>
            <w:hideMark/>
          </w:tcPr>
          <w:p w:rsidR="00116A1D" w:rsidRPr="00116A1D" w:rsidRDefault="00116A1D" w:rsidP="00116A1D">
            <w:pPr>
              <w:pStyle w:val="BodyText"/>
              <w:rPr>
                <w:b/>
              </w:rPr>
            </w:pPr>
            <w:r w:rsidRPr="00116A1D">
              <w:rPr>
                <w:b/>
              </w:rPr>
              <w:t>Freezer n</w:t>
            </w:r>
          </w:p>
        </w:tc>
        <w:tc>
          <w:tcPr>
            <w:tcW w:w="1769" w:type="dxa"/>
            <w:noWrap/>
            <w:hideMark/>
          </w:tcPr>
          <w:p w:rsidR="00116A1D" w:rsidRPr="00116A1D" w:rsidRDefault="00116A1D" w:rsidP="00116A1D">
            <w:pPr>
              <w:pStyle w:val="BodyText"/>
              <w:jc w:val="center"/>
            </w:pPr>
            <w:r w:rsidRPr="00116A1D">
              <w:t>30</w:t>
            </w:r>
          </w:p>
        </w:tc>
        <w:tc>
          <w:tcPr>
            <w:tcW w:w="1769" w:type="dxa"/>
            <w:noWrap/>
            <w:hideMark/>
          </w:tcPr>
          <w:p w:rsidR="00116A1D" w:rsidRPr="00116A1D" w:rsidRDefault="00116A1D" w:rsidP="00116A1D">
            <w:pPr>
              <w:pStyle w:val="BodyText"/>
              <w:jc w:val="center"/>
            </w:pPr>
            <w:r w:rsidRPr="00116A1D">
              <w:t>38</w:t>
            </w:r>
          </w:p>
        </w:tc>
        <w:tc>
          <w:tcPr>
            <w:tcW w:w="1769" w:type="dxa"/>
            <w:noWrap/>
            <w:hideMark/>
          </w:tcPr>
          <w:p w:rsidR="00116A1D" w:rsidRPr="00116A1D" w:rsidRDefault="00116A1D" w:rsidP="00116A1D">
            <w:pPr>
              <w:pStyle w:val="BodyText"/>
              <w:jc w:val="center"/>
            </w:pPr>
            <w:r w:rsidRPr="00116A1D">
              <w:t>52</w:t>
            </w:r>
          </w:p>
        </w:tc>
      </w:tr>
      <w:tr w:rsidR="00116A1D" w:rsidRPr="00116A1D" w:rsidTr="00116A1D">
        <w:trPr>
          <w:trHeight w:val="288"/>
          <w:jc w:val="center"/>
        </w:trPr>
        <w:tc>
          <w:tcPr>
            <w:tcW w:w="2696" w:type="dxa"/>
            <w:noWrap/>
            <w:hideMark/>
          </w:tcPr>
          <w:p w:rsidR="00116A1D" w:rsidRPr="00116A1D" w:rsidRDefault="00116A1D" w:rsidP="00116A1D">
            <w:pPr>
              <w:pStyle w:val="BodyText"/>
              <w:rPr>
                <w:b/>
                <w:bCs/>
              </w:rPr>
            </w:pPr>
            <w:r w:rsidRPr="00116A1D">
              <w:rPr>
                <w:b/>
                <w:bCs/>
              </w:rPr>
              <w:t>Total n</w:t>
            </w:r>
          </w:p>
        </w:tc>
        <w:tc>
          <w:tcPr>
            <w:tcW w:w="1769" w:type="dxa"/>
            <w:noWrap/>
            <w:hideMark/>
          </w:tcPr>
          <w:p w:rsidR="00116A1D" w:rsidRPr="00116A1D" w:rsidRDefault="00116A1D" w:rsidP="00116A1D">
            <w:pPr>
              <w:pStyle w:val="BodyText"/>
              <w:jc w:val="center"/>
              <w:rPr>
                <w:b/>
                <w:bCs/>
              </w:rPr>
            </w:pPr>
            <w:r w:rsidRPr="00116A1D">
              <w:rPr>
                <w:b/>
                <w:bCs/>
              </w:rPr>
              <w:t>100</w:t>
            </w:r>
          </w:p>
        </w:tc>
        <w:tc>
          <w:tcPr>
            <w:tcW w:w="1769" w:type="dxa"/>
            <w:noWrap/>
            <w:hideMark/>
          </w:tcPr>
          <w:p w:rsidR="00116A1D" w:rsidRPr="00116A1D" w:rsidRDefault="00116A1D" w:rsidP="00116A1D">
            <w:pPr>
              <w:pStyle w:val="BodyText"/>
              <w:jc w:val="center"/>
              <w:rPr>
                <w:b/>
                <w:bCs/>
              </w:rPr>
            </w:pPr>
            <w:r w:rsidRPr="00116A1D">
              <w:rPr>
                <w:b/>
                <w:bCs/>
              </w:rPr>
              <w:t>152</w:t>
            </w:r>
          </w:p>
        </w:tc>
        <w:tc>
          <w:tcPr>
            <w:tcW w:w="1769" w:type="dxa"/>
            <w:noWrap/>
            <w:hideMark/>
          </w:tcPr>
          <w:p w:rsidR="00116A1D" w:rsidRPr="00116A1D" w:rsidRDefault="00116A1D" w:rsidP="00116A1D">
            <w:pPr>
              <w:pStyle w:val="BodyText"/>
              <w:jc w:val="center"/>
              <w:rPr>
                <w:b/>
                <w:bCs/>
              </w:rPr>
            </w:pPr>
            <w:r w:rsidRPr="00116A1D">
              <w:rPr>
                <w:b/>
                <w:bCs/>
              </w:rPr>
              <w:t>196</w:t>
            </w:r>
          </w:p>
        </w:tc>
      </w:tr>
    </w:tbl>
    <w:p w:rsidR="00A62AC5" w:rsidRDefault="00A62AC5" w:rsidP="00A62678">
      <w:pPr>
        <w:pStyle w:val="BodyText"/>
      </w:pPr>
    </w:p>
    <w:p w:rsidR="002C5DD5" w:rsidRDefault="002C5DD5" w:rsidP="00EF34CB">
      <w:pPr>
        <w:pStyle w:val="Heading2"/>
        <w:numPr>
          <w:ilvl w:val="0"/>
          <w:numId w:val="8"/>
        </w:numPr>
      </w:pPr>
      <w:r>
        <w:t>Verification Activity Description</w:t>
      </w:r>
    </w:p>
    <w:p w:rsidR="00220B9C" w:rsidRDefault="00492251" w:rsidP="002C5DD5">
      <w:pPr>
        <w:rPr>
          <w:rFonts w:eastAsiaTheme="minorHAnsi"/>
        </w:rPr>
      </w:pPr>
      <w:r w:rsidRPr="00492251">
        <w:rPr>
          <w:rFonts w:eastAsiaTheme="minorHAnsi"/>
        </w:rPr>
        <w:t xml:space="preserve">To verify the removal of specific refrigerators </w:t>
      </w:r>
      <w:r>
        <w:rPr>
          <w:rFonts w:eastAsiaTheme="minorHAnsi"/>
        </w:rPr>
        <w:t xml:space="preserve">and freezers </w:t>
      </w:r>
      <w:r w:rsidRPr="00492251">
        <w:rPr>
          <w:rFonts w:eastAsiaTheme="minorHAnsi"/>
        </w:rPr>
        <w:t xml:space="preserve">detailed in </w:t>
      </w:r>
      <w:r>
        <w:rPr>
          <w:rFonts w:eastAsiaTheme="minorHAnsi"/>
        </w:rPr>
        <w:t>the C</w:t>
      </w:r>
      <w:r w:rsidR="0065198E">
        <w:rPr>
          <w:rFonts w:eastAsiaTheme="minorHAnsi"/>
        </w:rPr>
        <w:t>om</w:t>
      </w:r>
      <w:r>
        <w:rPr>
          <w:rFonts w:eastAsiaTheme="minorHAnsi"/>
        </w:rPr>
        <w:t>Ed</w:t>
      </w:r>
      <w:r w:rsidRPr="00492251">
        <w:rPr>
          <w:rFonts w:eastAsiaTheme="minorHAnsi"/>
        </w:rPr>
        <w:t xml:space="preserve"> program database, the evaluation surveyed participants </w:t>
      </w:r>
      <w:r>
        <w:rPr>
          <w:rFonts w:eastAsiaTheme="minorHAnsi"/>
        </w:rPr>
        <w:t xml:space="preserve">each year </w:t>
      </w:r>
      <w:r w:rsidRPr="00492251">
        <w:rPr>
          <w:rFonts w:eastAsiaTheme="minorHAnsi"/>
        </w:rPr>
        <w:t>and asked each respondent to verify their participation.</w:t>
      </w:r>
    </w:p>
    <w:p w:rsidR="002C5DD5" w:rsidRDefault="00220B9C" w:rsidP="002C5DD5">
      <w:pPr>
        <w:rPr>
          <w:rFonts w:eastAsiaTheme="minorHAnsi"/>
          <w:b/>
        </w:rPr>
      </w:pPr>
      <w:r>
        <w:rPr>
          <w:rFonts w:eastAsiaTheme="minorHAnsi"/>
        </w:rPr>
        <w:t>Measurement v</w:t>
      </w:r>
      <w:r w:rsidR="002C5DD5" w:rsidRPr="002C5DD5">
        <w:rPr>
          <w:rFonts w:eastAsiaTheme="minorHAnsi"/>
        </w:rPr>
        <w:t>erification activities</w:t>
      </w:r>
      <w:r>
        <w:rPr>
          <w:rFonts w:eastAsiaTheme="minorHAnsi"/>
        </w:rPr>
        <w:t xml:space="preserve"> for appliance characteristics</w:t>
      </w:r>
      <w:r w:rsidR="002C5DD5" w:rsidRPr="002C5DD5">
        <w:rPr>
          <w:rFonts w:eastAsiaTheme="minorHAnsi"/>
        </w:rPr>
        <w:t xml:space="preserve"> included a review of </w:t>
      </w:r>
      <w:r>
        <w:rPr>
          <w:rFonts w:eastAsiaTheme="minorHAnsi"/>
        </w:rPr>
        <w:t>metering equipment technician records to verify that participant report</w:t>
      </w:r>
      <w:r w:rsidR="0065198E">
        <w:rPr>
          <w:rFonts w:eastAsiaTheme="minorHAnsi"/>
        </w:rPr>
        <w:t>ed</w:t>
      </w:r>
      <w:r>
        <w:rPr>
          <w:rFonts w:eastAsiaTheme="minorHAnsi"/>
        </w:rPr>
        <w:t xml:space="preserve"> unit location and</w:t>
      </w:r>
      <w:r w:rsidR="00563B8C">
        <w:rPr>
          <w:rFonts w:eastAsiaTheme="minorHAnsi"/>
        </w:rPr>
        <w:t xml:space="preserve"> space conditioning (reported through telephone surveys) was accurate, as well as a review of the</w:t>
      </w:r>
      <w:r w:rsidR="002C5DD5" w:rsidRPr="002C5DD5">
        <w:rPr>
          <w:rFonts w:eastAsiaTheme="minorHAnsi"/>
        </w:rPr>
        <w:t xml:space="preserve"> program tracking database</w:t>
      </w:r>
      <w:r w:rsidR="00563B8C">
        <w:rPr>
          <w:rFonts w:eastAsiaTheme="minorHAnsi"/>
        </w:rPr>
        <w:t xml:space="preserve"> (with</w:t>
      </w:r>
      <w:r w:rsidR="002C5DD5" w:rsidRPr="002C5DD5">
        <w:rPr>
          <w:rFonts w:eastAsiaTheme="minorHAnsi"/>
        </w:rPr>
        <w:t xml:space="preserve"> implementation contractor records</w:t>
      </w:r>
      <w:r w:rsidR="00563B8C">
        <w:rPr>
          <w:rFonts w:eastAsiaTheme="minorHAnsi"/>
        </w:rPr>
        <w:t xml:space="preserve"> of appliance characteristics)</w:t>
      </w:r>
      <w:r w:rsidR="002C5DD5" w:rsidRPr="002C5DD5">
        <w:rPr>
          <w:rFonts w:eastAsiaTheme="minorHAnsi"/>
        </w:rPr>
        <w:t xml:space="preserve">, to verify </w:t>
      </w:r>
      <w:r w:rsidR="00116A1D">
        <w:rPr>
          <w:rFonts w:eastAsiaTheme="minorHAnsi"/>
        </w:rPr>
        <w:t xml:space="preserve">that </w:t>
      </w:r>
      <w:r w:rsidR="00563B8C">
        <w:rPr>
          <w:rFonts w:eastAsiaTheme="minorHAnsi"/>
        </w:rPr>
        <w:t>technician reports</w:t>
      </w:r>
      <w:r w:rsidR="002C5DD5" w:rsidRPr="002C5DD5">
        <w:rPr>
          <w:rFonts w:eastAsiaTheme="minorHAnsi"/>
        </w:rPr>
        <w:t xml:space="preserve"> were consistent with appliances that were recycled.</w:t>
      </w:r>
      <w:r w:rsidR="002C5DD5" w:rsidRPr="002C5DD5">
        <w:rPr>
          <w:rFonts w:eastAsiaTheme="minorHAnsi"/>
          <w:b/>
        </w:rPr>
        <w:t xml:space="preserve">  </w:t>
      </w:r>
    </w:p>
    <w:p w:rsidR="00220B9C" w:rsidRPr="00220B9C" w:rsidRDefault="00220B9C" w:rsidP="002C5DD5">
      <w:pPr>
        <w:rPr>
          <w:rFonts w:eastAsiaTheme="minorHAnsi"/>
        </w:rPr>
      </w:pPr>
      <w:r w:rsidRPr="00220B9C">
        <w:rPr>
          <w:rFonts w:eastAsiaTheme="minorHAnsi"/>
        </w:rPr>
        <w:t>Measurement verification activities for power logger data included a review of each unit’s internal temperature and light logger data – in the context of ambient weather conditions and the unit’s location in the home – to verify that the unit was in use, and the power logger recorded power.</w:t>
      </w:r>
    </w:p>
    <w:p w:rsidR="00220B9C" w:rsidRPr="00220B9C" w:rsidRDefault="00220B9C" w:rsidP="002C5DD5">
      <w:pPr>
        <w:rPr>
          <w:rFonts w:eastAsiaTheme="minorHAnsi"/>
        </w:rPr>
      </w:pPr>
      <w:r w:rsidRPr="00220B9C">
        <w:rPr>
          <w:rFonts w:eastAsiaTheme="minorHAnsi"/>
        </w:rPr>
        <w:t>Regression modeling verification activities included model diagnostics</w:t>
      </w:r>
      <w:r>
        <w:rPr>
          <w:rFonts w:eastAsiaTheme="minorHAnsi"/>
        </w:rPr>
        <w:t xml:space="preserve"> and</w:t>
      </w:r>
      <w:r w:rsidRPr="00220B9C">
        <w:rPr>
          <w:rFonts w:eastAsiaTheme="minorHAnsi"/>
        </w:rPr>
        <w:t xml:space="preserve"> sensitivity analysis (of functional form and model specification) in each stage of modeling. </w:t>
      </w:r>
    </w:p>
    <w:p w:rsidR="002C5DD5" w:rsidRDefault="002C5DD5" w:rsidP="00EF34CB">
      <w:pPr>
        <w:pStyle w:val="Heading2"/>
        <w:numPr>
          <w:ilvl w:val="0"/>
          <w:numId w:val="8"/>
        </w:numPr>
      </w:pPr>
      <w:r>
        <w:t>Nominated EE Value Calculations</w:t>
      </w:r>
    </w:p>
    <w:p w:rsidR="000048FA" w:rsidRPr="000048FA" w:rsidRDefault="009720DB" w:rsidP="000048FA">
      <w:r>
        <w:t>T</w:t>
      </w:r>
      <w:r w:rsidR="000048FA">
        <w:t>he d</w:t>
      </w:r>
      <w:r w:rsidR="000048FA" w:rsidRPr="00A62678">
        <w:t xml:space="preserve">emand </w:t>
      </w:r>
      <w:r w:rsidR="000048FA">
        <w:t xml:space="preserve">savings were calculated </w:t>
      </w:r>
      <w:r w:rsidR="000048FA" w:rsidRPr="00A62678">
        <w:t>follow</w:t>
      </w:r>
      <w:r w:rsidR="000048FA">
        <w:t>ing</w:t>
      </w:r>
      <w:r w:rsidR="000048FA" w:rsidRPr="00A62678">
        <w:t xml:space="preserve"> a two-stage modeling process. During the first stage we estimate the relationship between observed demand and weather, peak </w:t>
      </w:r>
      <w:r w:rsidR="000048FA" w:rsidRPr="00A62678">
        <w:lastRenderedPageBreak/>
        <w:t>hours</w:t>
      </w:r>
      <w:r w:rsidR="00A8446B">
        <w:t>,</w:t>
      </w:r>
      <w:r w:rsidR="000048FA" w:rsidRPr="00A62678">
        <w:t xml:space="preserve"> and non-weekend holidays, which allows us to predict what demand would be during PJM performance hours. During the second stage we estimate the relationship between peak demand (as predicted in first-stage models) and unit characteristics. Using the coefficients from the second-stage model, </w:t>
      </w:r>
      <w:proofErr w:type="gramStart"/>
      <w:r w:rsidR="000048FA" w:rsidRPr="00A62678">
        <w:t>we  estimate</w:t>
      </w:r>
      <w:r>
        <w:t>d</w:t>
      </w:r>
      <w:proofErr w:type="gramEnd"/>
      <w:r w:rsidR="000048FA" w:rsidRPr="00A62678">
        <w:t xml:space="preserve"> demand for each year’s participant </w:t>
      </w:r>
      <w:proofErr w:type="spellStart"/>
      <w:r w:rsidR="000048FA" w:rsidRPr="00A62678">
        <w:t>populationusing</w:t>
      </w:r>
      <w:proofErr w:type="spellEnd"/>
      <w:r w:rsidR="000048FA" w:rsidRPr="00A62678">
        <w:t xml:space="preserve"> </w:t>
      </w:r>
      <w:r>
        <w:t>mean values of appliance characteristics</w:t>
      </w:r>
      <w:r w:rsidR="000048FA" w:rsidRPr="00A62678">
        <w:t>.</w:t>
      </w:r>
      <w:r w:rsidR="000048FA">
        <w:t xml:space="preserve"> Because the demand savings are generated through the removal of existing equipment (appliances), the nominated EE value calculations utilize the “Current Load” Baseline approach. Below, we provide more detail on the calculations used in this analysis.</w:t>
      </w:r>
    </w:p>
    <w:p w:rsidR="00130A07" w:rsidRPr="002C5DD5" w:rsidRDefault="00130A07" w:rsidP="00FA43E1">
      <w:pPr>
        <w:pStyle w:val="Heading3"/>
        <w:numPr>
          <w:ilvl w:val="0"/>
          <w:numId w:val="11"/>
        </w:numPr>
        <w:ind w:left="1080" w:hanging="540"/>
      </w:pPr>
      <w:r w:rsidRPr="002C5DD5">
        <w:t>First-Stage Models</w:t>
      </w:r>
    </w:p>
    <w:p w:rsidR="00130A07" w:rsidRPr="00A62678" w:rsidRDefault="00130A07" w:rsidP="00A62678">
      <w:pPr>
        <w:pStyle w:val="BodyText"/>
      </w:pPr>
      <w:r w:rsidRPr="00A62678">
        <w:t>Since appliance metering was staggered throughout 2011 and early 2012, not all appliances were meter</w:t>
      </w:r>
      <w:r>
        <w:t>ed</w:t>
      </w:r>
      <w:r w:rsidRPr="00A62678">
        <w:t xml:space="preserve"> during peak </w:t>
      </w:r>
      <w:r>
        <w:t>performance hours</w:t>
      </w:r>
      <w:r w:rsidRPr="00A62678">
        <w:t>.</w:t>
      </w:r>
      <w:r>
        <w:rPr>
          <w:rStyle w:val="FootnoteReference"/>
        </w:rPr>
        <w:footnoteReference w:id="2"/>
      </w:r>
      <w:r w:rsidRPr="00A62678">
        <w:t xml:space="preserve"> Therefore we first </w:t>
      </w:r>
      <w:r>
        <w:t>estimated</w:t>
      </w:r>
      <w:r w:rsidRPr="00A62678">
        <w:t xml:space="preserve"> what peak demand would be for each unit in the sample. </w:t>
      </w:r>
      <w:r>
        <w:t xml:space="preserve">Two steps to predicting demand from first-stage </w:t>
      </w:r>
    </w:p>
    <w:p w:rsidR="00A62678" w:rsidRPr="00A62678" w:rsidRDefault="00A62678" w:rsidP="00EF34CB">
      <w:pPr>
        <w:pStyle w:val="BodyText"/>
        <w:numPr>
          <w:ilvl w:val="0"/>
          <w:numId w:val="5"/>
        </w:numPr>
      </w:pPr>
      <w:r w:rsidRPr="00A62678">
        <w:rPr>
          <w:b/>
        </w:rPr>
        <w:t>Model peak demand for each unit in the meter sample:</w:t>
      </w:r>
      <w:r w:rsidRPr="00A62678">
        <w:t xml:space="preserve"> We </w:t>
      </w:r>
      <w:r w:rsidR="00130A07">
        <w:t xml:space="preserve">first established the relationship between demand and characteristics that defined “PJM performance hours” for each unit in the sample, using ordinary least squares (OLS) regressions for each unit. </w:t>
      </w:r>
      <w:r w:rsidRPr="00A62678">
        <w:t xml:space="preserve"> In these models, average hourly kW </w:t>
      </w:r>
      <w:r w:rsidR="00130A07">
        <w:t>is</w:t>
      </w:r>
      <w:r w:rsidRPr="00A62678">
        <w:t xml:space="preserve"> regressed on weather (daily WTHI)</w:t>
      </w:r>
      <w:r w:rsidR="009720DB">
        <w:t>,</w:t>
      </w:r>
      <w:r w:rsidR="00130A07">
        <w:rPr>
          <w:vertAlign w:val="superscript"/>
        </w:rPr>
        <w:t xml:space="preserve"> </w:t>
      </w:r>
      <w:r w:rsidR="00130A07">
        <w:t xml:space="preserve">a dummy variable defining peak hours, and a dummy variable for weekend/holiday days. </w:t>
      </w:r>
      <w:r w:rsidR="009720DB">
        <w:t>Some appliance’s first-stage models included interaction terms among these variables to correctly specify each unit’s relationship with each of these factors.</w:t>
      </w:r>
    </w:p>
    <w:p w:rsidR="00A62678" w:rsidRDefault="00A62678" w:rsidP="00EF34CB">
      <w:pPr>
        <w:pStyle w:val="BodyText"/>
        <w:numPr>
          <w:ilvl w:val="0"/>
          <w:numId w:val="5"/>
        </w:numPr>
      </w:pPr>
      <w:r w:rsidRPr="00A62678">
        <w:rPr>
          <w:b/>
        </w:rPr>
        <w:t>Predict average demand during PJM performance hours for each unit in the meter sample -</w:t>
      </w:r>
      <w:r w:rsidRPr="00A62678">
        <w:t xml:space="preserve"> The models from step 1 w</w:t>
      </w:r>
      <w:r w:rsidR="00A8446B">
        <w:t>ere</w:t>
      </w:r>
      <w:r w:rsidRPr="00A62678">
        <w:t xml:space="preserve"> used to predict peak demand during PJM performance hours for each unit, </w:t>
      </w:r>
      <w:r w:rsidR="005203B1">
        <w:t xml:space="preserve">assuming </w:t>
      </w:r>
      <w:r>
        <w:t xml:space="preserve">the </w:t>
      </w:r>
      <w:r w:rsidRPr="00A62678">
        <w:t xml:space="preserve">WTHI </w:t>
      </w:r>
      <w:r>
        <w:t>value</w:t>
      </w:r>
      <w:r w:rsidRPr="00A62678">
        <w:t xml:space="preserve"> for the ComEd region</w:t>
      </w:r>
      <w:r>
        <w:t xml:space="preserve"> posted by PJM</w:t>
      </w:r>
      <w:r w:rsidR="005203B1">
        <w:t xml:space="preserve"> (80.8)</w:t>
      </w:r>
      <w:r>
        <w:t>, peak hours, and non-holiday weekends.</w:t>
      </w:r>
    </w:p>
    <w:p w:rsidR="00130A07" w:rsidRDefault="00130A07" w:rsidP="002C5DD5">
      <w:pPr>
        <w:pStyle w:val="Heading4"/>
      </w:pPr>
      <w:r>
        <w:t>Model Specification</w:t>
      </w:r>
    </w:p>
    <w:p w:rsidR="00220B9C" w:rsidRDefault="005203B1">
      <w:pPr>
        <w:pStyle w:val="BodyText"/>
      </w:pPr>
      <w:r>
        <w:t>The goal of modeling was to best-fit the relationship between all three variables that define PJM performance hours. The basic form of each unit’s model is:</w:t>
      </w:r>
    </w:p>
    <w:p w:rsidR="00220B9C" w:rsidRPr="006E407D" w:rsidRDefault="006E407D" w:rsidP="006E407D">
      <w:pPr>
        <w:pStyle w:val="BodyText"/>
        <w:jc w:val="center"/>
        <w:rPr>
          <w:i/>
        </w:rPr>
      </w:pPr>
      <w:proofErr w:type="spellStart"/>
      <w:r w:rsidRPr="006E407D">
        <w:rPr>
          <w:i/>
        </w:rPr>
        <w:t>AvekW</w:t>
      </w:r>
      <w:r w:rsidR="005203B1" w:rsidRPr="006E407D">
        <w:rPr>
          <w:i/>
          <w:vertAlign w:val="subscript"/>
        </w:rPr>
        <w:t>t</w:t>
      </w:r>
      <w:proofErr w:type="spellEnd"/>
      <w:r w:rsidR="005203B1" w:rsidRPr="006E407D">
        <w:rPr>
          <w:i/>
        </w:rPr>
        <w:t xml:space="preserve"> = </w:t>
      </w:r>
      <w:proofErr w:type="spellStart"/>
      <w:r w:rsidR="005203B1" w:rsidRPr="006E407D">
        <w:rPr>
          <w:i/>
        </w:rPr>
        <w:t>WTHI</w:t>
      </w:r>
      <w:r w:rsidR="005203B1" w:rsidRPr="006E407D">
        <w:rPr>
          <w:i/>
          <w:vertAlign w:val="subscript"/>
        </w:rPr>
        <w:t>t</w:t>
      </w:r>
      <w:proofErr w:type="spellEnd"/>
      <w:r w:rsidR="005203B1" w:rsidRPr="006E407D">
        <w:rPr>
          <w:i/>
          <w:vertAlign w:val="subscript"/>
        </w:rPr>
        <w:t xml:space="preserve"> </w:t>
      </w:r>
      <w:r w:rsidR="005203B1" w:rsidRPr="006E407D">
        <w:rPr>
          <w:i/>
        </w:rPr>
        <w:t xml:space="preserve">+ </w:t>
      </w:r>
      <w:proofErr w:type="spellStart"/>
      <w:r w:rsidR="005203B1" w:rsidRPr="006E407D">
        <w:rPr>
          <w:i/>
        </w:rPr>
        <w:t>PeakHour</w:t>
      </w:r>
      <w:r w:rsidR="005203B1" w:rsidRPr="006E407D">
        <w:rPr>
          <w:i/>
          <w:vertAlign w:val="subscript"/>
        </w:rPr>
        <w:t>t</w:t>
      </w:r>
      <w:proofErr w:type="spellEnd"/>
      <w:r w:rsidR="005203B1" w:rsidRPr="006E407D">
        <w:rPr>
          <w:i/>
        </w:rPr>
        <w:t xml:space="preserve"> + </w:t>
      </w:r>
      <w:proofErr w:type="spellStart"/>
      <w:r w:rsidR="005203B1" w:rsidRPr="006E407D">
        <w:rPr>
          <w:i/>
        </w:rPr>
        <w:t>WeekendHoliday</w:t>
      </w:r>
      <w:r w:rsidR="005203B1" w:rsidRPr="006E407D">
        <w:rPr>
          <w:i/>
          <w:vertAlign w:val="subscript"/>
        </w:rPr>
        <w:t>t</w:t>
      </w:r>
      <w:proofErr w:type="spellEnd"/>
      <w:r w:rsidR="005203B1" w:rsidRPr="006E407D">
        <w:rPr>
          <w:i/>
        </w:rPr>
        <w:t xml:space="preserve"> + </w:t>
      </w:r>
      <w:proofErr w:type="spellStart"/>
      <w:proofErr w:type="gramStart"/>
      <w:r>
        <w:rPr>
          <w:i/>
        </w:rPr>
        <w:t>ε</w:t>
      </w:r>
      <w:r w:rsidR="005203B1" w:rsidRPr="006E407D">
        <w:rPr>
          <w:i/>
          <w:vertAlign w:val="subscript"/>
        </w:rPr>
        <w:t>t</w:t>
      </w:r>
      <w:proofErr w:type="spellEnd"/>
      <w:proofErr w:type="gramEnd"/>
    </w:p>
    <w:p w:rsidR="00220B9C" w:rsidRDefault="005203B1">
      <w:pPr>
        <w:pStyle w:val="BodyText"/>
      </w:pPr>
      <w:r>
        <w:t>With parameters defined as:</w:t>
      </w:r>
    </w:p>
    <w:p w:rsidR="00220B9C" w:rsidRDefault="005203B1" w:rsidP="006E407D">
      <w:pPr>
        <w:pStyle w:val="BodyText"/>
        <w:tabs>
          <w:tab w:val="left" w:pos="1980"/>
        </w:tabs>
        <w:ind w:left="1980" w:hanging="1260"/>
      </w:pPr>
      <w:r>
        <w:t xml:space="preserve"> </w:t>
      </w:r>
      <w:proofErr w:type="spellStart"/>
      <w:r w:rsidRPr="006E407D">
        <w:rPr>
          <w:i/>
        </w:rPr>
        <w:t>AveKW</w:t>
      </w:r>
      <w:r w:rsidR="001577AD" w:rsidRPr="006E407D">
        <w:rPr>
          <w:i/>
          <w:vertAlign w:val="subscript"/>
        </w:rPr>
        <w:t>t</w:t>
      </w:r>
      <w:proofErr w:type="spellEnd"/>
      <w:r>
        <w:t>: Average kW at hour t, based on average of 5-minute interval kW reads across hour</w:t>
      </w:r>
    </w:p>
    <w:p w:rsidR="00220B9C" w:rsidRDefault="00CF4861" w:rsidP="006E407D">
      <w:pPr>
        <w:pStyle w:val="BodyText"/>
        <w:tabs>
          <w:tab w:val="left" w:pos="1980"/>
        </w:tabs>
        <w:ind w:left="1980" w:hanging="1260"/>
      </w:pPr>
      <w:proofErr w:type="spellStart"/>
      <w:r w:rsidRPr="006E407D">
        <w:rPr>
          <w:i/>
        </w:rPr>
        <w:t>WTHI</w:t>
      </w:r>
      <w:r w:rsidR="001577AD" w:rsidRPr="006E407D">
        <w:rPr>
          <w:i/>
          <w:vertAlign w:val="subscript"/>
        </w:rPr>
        <w:t>t</w:t>
      </w:r>
      <w:proofErr w:type="spellEnd"/>
      <w:r>
        <w:t xml:space="preserve">: </w:t>
      </w:r>
      <w:r w:rsidR="006E407D">
        <w:tab/>
      </w:r>
      <w:r>
        <w:t>Daily weighted temperature and humidity index</w:t>
      </w:r>
      <w:r w:rsidR="005203B1">
        <w:t xml:space="preserve"> at time t</w:t>
      </w:r>
      <w:r w:rsidR="00F72432">
        <w:t>.</w:t>
      </w:r>
      <w:r>
        <w:rPr>
          <w:rStyle w:val="FootnoteReference"/>
        </w:rPr>
        <w:footnoteReference w:id="3"/>
      </w:r>
      <w:r w:rsidR="00F72432">
        <w:t xml:space="preserve"> A WTHI value of 80.8 is </w:t>
      </w:r>
      <w:r w:rsidR="00F72432" w:rsidRPr="00F72432">
        <w:t>coincident with</w:t>
      </w:r>
      <w:r w:rsidR="00F72432">
        <w:t xml:space="preserve"> PJM RTO peak hour in</w:t>
      </w:r>
      <w:r w:rsidR="00F72432" w:rsidRPr="00F72432">
        <w:t xml:space="preserve"> </w:t>
      </w:r>
      <w:r w:rsidR="00F72432">
        <w:t>ComEd territory.</w:t>
      </w:r>
      <w:r w:rsidR="00F72432">
        <w:rPr>
          <w:rStyle w:val="FootnoteReference"/>
        </w:rPr>
        <w:footnoteReference w:id="4"/>
      </w:r>
    </w:p>
    <w:p w:rsidR="00CF4861" w:rsidRDefault="00CF4861" w:rsidP="006E407D">
      <w:pPr>
        <w:pStyle w:val="BodyText"/>
        <w:tabs>
          <w:tab w:val="left" w:pos="1980"/>
        </w:tabs>
        <w:ind w:left="1980" w:hanging="1260"/>
      </w:pPr>
      <w:proofErr w:type="spellStart"/>
      <w:r w:rsidRPr="006E407D">
        <w:rPr>
          <w:i/>
        </w:rPr>
        <w:lastRenderedPageBreak/>
        <w:t>PeakHour</w:t>
      </w:r>
      <w:r w:rsidR="001577AD" w:rsidRPr="006E407D">
        <w:rPr>
          <w:i/>
          <w:vertAlign w:val="subscript"/>
        </w:rPr>
        <w:t>t</w:t>
      </w:r>
      <w:proofErr w:type="spellEnd"/>
      <w:r>
        <w:t xml:space="preserve">: </w:t>
      </w:r>
      <w:r w:rsidR="006E407D">
        <w:tab/>
      </w:r>
      <w:r>
        <w:t xml:space="preserve">A dummy variable taking a value of 1 when the hour </w:t>
      </w:r>
      <w:r w:rsidR="00F72432">
        <w:t>is</w:t>
      </w:r>
      <w:r>
        <w:t xml:space="preserve"> in peak hours (1:00-5:00PM CST during standard time and 1:00-5:00PM CDT during daylight savings time)</w:t>
      </w:r>
      <w:r w:rsidR="00954A9C">
        <w:rPr>
          <w:rStyle w:val="FootnoteReference"/>
        </w:rPr>
        <w:footnoteReference w:id="5"/>
      </w:r>
    </w:p>
    <w:p w:rsidR="00CF4861" w:rsidRDefault="00CF4861" w:rsidP="006E407D">
      <w:pPr>
        <w:pStyle w:val="BodyText"/>
        <w:tabs>
          <w:tab w:val="left" w:pos="1980"/>
        </w:tabs>
        <w:ind w:left="1980" w:hanging="1260"/>
      </w:pPr>
      <w:proofErr w:type="spellStart"/>
      <w:r w:rsidRPr="006E407D">
        <w:rPr>
          <w:i/>
        </w:rPr>
        <w:t>WeekendHoliday</w:t>
      </w:r>
      <w:r w:rsidR="001577AD" w:rsidRPr="006E407D">
        <w:rPr>
          <w:i/>
          <w:vertAlign w:val="subscript"/>
        </w:rPr>
        <w:t>t</w:t>
      </w:r>
      <w:proofErr w:type="spellEnd"/>
      <w:r>
        <w:t>: A dummy variable taking a value of 1 when the hour falls on a weekend or holiday (a value of 0 would help define PJM performance hours)</w:t>
      </w:r>
    </w:p>
    <w:p w:rsidR="005203B1" w:rsidRDefault="006E407D" w:rsidP="006E407D">
      <w:pPr>
        <w:pStyle w:val="BodyText"/>
        <w:tabs>
          <w:tab w:val="left" w:pos="1980"/>
        </w:tabs>
        <w:ind w:left="1980" w:hanging="1260"/>
      </w:pPr>
      <w:proofErr w:type="spellStart"/>
      <w:proofErr w:type="gramStart"/>
      <w:r>
        <w:rPr>
          <w:i/>
        </w:rPr>
        <w:t>ε</w:t>
      </w:r>
      <w:r w:rsidR="001577AD" w:rsidRPr="001577AD">
        <w:rPr>
          <w:vertAlign w:val="subscript"/>
        </w:rPr>
        <w:t>t</w:t>
      </w:r>
      <w:proofErr w:type="spellEnd"/>
      <w:proofErr w:type="gramEnd"/>
      <w:r w:rsidR="005203B1">
        <w:rPr>
          <w:vertAlign w:val="subscript"/>
        </w:rPr>
        <w:t xml:space="preserve">: </w:t>
      </w:r>
      <w:r>
        <w:rPr>
          <w:vertAlign w:val="subscript"/>
        </w:rPr>
        <w:tab/>
      </w:r>
      <w:r w:rsidR="001577AD" w:rsidRPr="001577AD">
        <w:t>Idiosyncratic</w:t>
      </w:r>
      <w:r w:rsidR="005203B1">
        <w:rPr>
          <w:vertAlign w:val="subscript"/>
        </w:rPr>
        <w:t xml:space="preserve"> </w:t>
      </w:r>
      <w:r w:rsidR="005203B1">
        <w:t>error</w:t>
      </w:r>
    </w:p>
    <w:p w:rsidR="00220B9C" w:rsidRDefault="00F72432">
      <w:pPr>
        <w:pStyle w:val="BodyText"/>
      </w:pPr>
      <w:r>
        <w:t>We</w:t>
      </w:r>
      <w:r w:rsidR="005203B1">
        <w:t xml:space="preserve"> tested</w:t>
      </w:r>
      <w:r>
        <w:t xml:space="preserve"> six</w:t>
      </w:r>
      <w:r w:rsidR="00C10460">
        <w:t xml:space="preserve"> specifications of</w:t>
      </w:r>
      <w:r>
        <w:t xml:space="preserve"> multivariate models for each unit in the sample, </w:t>
      </w:r>
      <w:r w:rsidR="00C10460">
        <w:t xml:space="preserve">to determine whether </w:t>
      </w:r>
      <w:r w:rsidR="00B1084A">
        <w:t xml:space="preserve">interaction terms between the three PJM </w:t>
      </w:r>
      <w:proofErr w:type="spellStart"/>
      <w:r w:rsidR="00B1084A">
        <w:t>Performace</w:t>
      </w:r>
      <w:proofErr w:type="spellEnd"/>
      <w:r w:rsidR="00B1084A">
        <w:t xml:space="preserve"> criteria</w:t>
      </w:r>
      <w:r w:rsidR="00C10460">
        <w:t xml:space="preserve"> provided a better fit than the basic model. </w:t>
      </w:r>
      <w:r w:rsidR="00CE586B">
        <w:t xml:space="preserve">For </w:t>
      </w:r>
      <w:r w:rsidR="005203B1">
        <w:t>the majority of units</w:t>
      </w:r>
      <w:r w:rsidR="00CE586B">
        <w:t xml:space="preserve">, we </w:t>
      </w:r>
      <w:r w:rsidR="005203B1">
        <w:t>selected the</w:t>
      </w:r>
      <w:r w:rsidR="00CE586B">
        <w:t xml:space="preserve"> best-fitting model</w:t>
      </w:r>
      <w:r w:rsidR="005203B1">
        <w:t xml:space="preserve"> (for extrapolating peak demand)</w:t>
      </w:r>
      <w:r w:rsidR="00CE586B">
        <w:t xml:space="preserve"> primarily based on </w:t>
      </w:r>
      <w:proofErr w:type="spellStart"/>
      <w:r w:rsidR="00C10460" w:rsidRPr="00C10460">
        <w:t>Akaike</w:t>
      </w:r>
      <w:proofErr w:type="spellEnd"/>
      <w:r w:rsidR="00C10460" w:rsidRPr="00C10460">
        <w:t xml:space="preserve"> information criterion</w:t>
      </w:r>
      <w:r w:rsidR="00C10460">
        <w:t xml:space="preserve"> (</w:t>
      </w:r>
      <w:r w:rsidR="00CE586B">
        <w:t>AIC</w:t>
      </w:r>
      <w:r w:rsidR="00C10460">
        <w:t>).</w:t>
      </w:r>
      <w:r w:rsidR="00CE586B">
        <w:t xml:space="preserve"> However, f</w:t>
      </w:r>
      <w:r w:rsidR="00CE586B" w:rsidRPr="00A62678">
        <w:t>or</w:t>
      </w:r>
      <w:r w:rsidR="00CE586B">
        <w:t xml:space="preserve"> </w:t>
      </w:r>
      <w:proofErr w:type="gramStart"/>
      <w:r w:rsidR="00CE586B">
        <w:t>some</w:t>
      </w:r>
      <w:r w:rsidR="00CE586B" w:rsidRPr="00A62678">
        <w:t xml:space="preserve">  models</w:t>
      </w:r>
      <w:proofErr w:type="gramEnd"/>
      <w:r w:rsidR="00CE586B" w:rsidRPr="00A62678">
        <w:t xml:space="preserve"> with</w:t>
      </w:r>
      <w:r w:rsidR="00934E6B">
        <w:t xml:space="preserve"> very low explanatory </w:t>
      </w:r>
      <w:r w:rsidR="00CE586B" w:rsidRPr="00A62678">
        <w:t>power</w:t>
      </w:r>
      <w:r w:rsidR="00CE586B">
        <w:rPr>
          <w:rStyle w:val="FootnoteReference"/>
        </w:rPr>
        <w:footnoteReference w:id="6"/>
      </w:r>
      <w:r w:rsidR="00CE586B">
        <w:t xml:space="preserve"> whose “best model” had more complex interaction terms,</w:t>
      </w:r>
      <w:r w:rsidR="00CE586B" w:rsidRPr="00A62678">
        <w:t xml:space="preserve"> </w:t>
      </w:r>
      <w:r w:rsidR="00CE586B">
        <w:t>we defaulted to the simplest model (with only three terms)</w:t>
      </w:r>
      <w:r w:rsidR="00CF781B">
        <w:t>.</w:t>
      </w:r>
      <w:r w:rsidR="005203B1">
        <w:t xml:space="preserve"> Table </w:t>
      </w:r>
      <w:r w:rsidR="00DE2A35">
        <w:t xml:space="preserve">6 </w:t>
      </w:r>
      <w:r w:rsidR="005203B1">
        <w:t xml:space="preserve">summarizes </w:t>
      </w:r>
      <w:r w:rsidR="00C10460">
        <w:t>the number of appliances whose demand was estimated with each model specification.</w:t>
      </w:r>
    </w:p>
    <w:p w:rsidR="00B1084A" w:rsidRDefault="00B1084A" w:rsidP="00B1084A">
      <w:pPr>
        <w:pStyle w:val="Caption"/>
      </w:pPr>
      <w:bookmarkStart w:id="4" w:name="_Ref322623322"/>
      <w:proofErr w:type="gramStart"/>
      <w:r>
        <w:t xml:space="preserve">Table </w:t>
      </w:r>
      <w:r w:rsidR="00AE2BB9">
        <w:fldChar w:fldCharType="begin"/>
      </w:r>
      <w:r w:rsidR="005F53FD">
        <w:instrText xml:space="preserve"> SEQ Table \* ARABIC </w:instrText>
      </w:r>
      <w:r w:rsidR="00AE2BB9">
        <w:fldChar w:fldCharType="separate"/>
      </w:r>
      <w:r w:rsidR="009124B2">
        <w:rPr>
          <w:noProof/>
        </w:rPr>
        <w:t>6</w:t>
      </w:r>
      <w:r w:rsidR="00AE2BB9">
        <w:fldChar w:fldCharType="end"/>
      </w:r>
      <w:bookmarkEnd w:id="4"/>
      <w:r>
        <w:t>.</w:t>
      </w:r>
      <w:proofErr w:type="gramEnd"/>
      <w:r>
        <w:t xml:space="preserve"> Hourly Demand Models used for estimating Peak Demand</w:t>
      </w:r>
    </w:p>
    <w:tbl>
      <w:tblPr>
        <w:tblStyle w:val="ODCTable"/>
        <w:tblW w:w="0" w:type="auto"/>
        <w:tblLook w:val="04A0"/>
      </w:tblPr>
      <w:tblGrid>
        <w:gridCol w:w="3814"/>
        <w:gridCol w:w="4286"/>
        <w:gridCol w:w="1490"/>
      </w:tblGrid>
      <w:tr w:rsidR="00C10460" w:rsidRPr="009826BA" w:rsidTr="00C10460">
        <w:trPr>
          <w:cnfStyle w:val="100000000000"/>
        </w:trPr>
        <w:tc>
          <w:tcPr>
            <w:cnfStyle w:val="001000000000"/>
            <w:tcW w:w="3814" w:type="dxa"/>
          </w:tcPr>
          <w:p w:rsidR="00C10460" w:rsidRPr="009826BA" w:rsidRDefault="00C10460" w:rsidP="00B1084A">
            <w:pPr>
              <w:pStyle w:val="BodyText"/>
              <w:jc w:val="center"/>
            </w:pPr>
            <w:r>
              <w:t>Description</w:t>
            </w:r>
          </w:p>
        </w:tc>
        <w:tc>
          <w:tcPr>
            <w:tcW w:w="4286" w:type="dxa"/>
          </w:tcPr>
          <w:p w:rsidR="00C10460" w:rsidRPr="009826BA" w:rsidRDefault="00C10460" w:rsidP="00B1084A">
            <w:pPr>
              <w:pStyle w:val="BodyText"/>
              <w:jc w:val="center"/>
              <w:cnfStyle w:val="100000000000"/>
            </w:pPr>
            <w:r w:rsidRPr="009826BA">
              <w:t>Independent variables</w:t>
            </w:r>
          </w:p>
        </w:tc>
        <w:tc>
          <w:tcPr>
            <w:tcW w:w="1490" w:type="dxa"/>
          </w:tcPr>
          <w:p w:rsidR="00C10460" w:rsidRPr="009826BA" w:rsidRDefault="00C10460" w:rsidP="00B1084A">
            <w:pPr>
              <w:pStyle w:val="BodyText"/>
              <w:jc w:val="center"/>
              <w:cnfStyle w:val="100000000000"/>
            </w:pPr>
            <w:r w:rsidRPr="009826BA">
              <w:t>Selected Models (n units)</w:t>
            </w:r>
          </w:p>
        </w:tc>
      </w:tr>
      <w:tr w:rsidR="00C10460" w:rsidRPr="009826BA" w:rsidTr="00C10460">
        <w:tc>
          <w:tcPr>
            <w:cnfStyle w:val="001000000000"/>
            <w:tcW w:w="3814" w:type="dxa"/>
          </w:tcPr>
          <w:p w:rsidR="00C10460" w:rsidRPr="009826BA" w:rsidRDefault="00C10460">
            <w:pPr>
              <w:rPr>
                <w:rFonts w:cs="Calibri"/>
                <w:color w:val="000000"/>
                <w:szCs w:val="22"/>
              </w:rPr>
            </w:pPr>
            <w:r>
              <w:rPr>
                <w:rFonts w:cs="Calibri"/>
                <w:color w:val="000000"/>
                <w:szCs w:val="22"/>
              </w:rPr>
              <w:t>Basic</w:t>
            </w:r>
          </w:p>
        </w:tc>
        <w:tc>
          <w:tcPr>
            <w:tcW w:w="4286" w:type="dxa"/>
          </w:tcPr>
          <w:p w:rsidR="00C10460" w:rsidRPr="006E407D" w:rsidRDefault="006E407D" w:rsidP="006E407D">
            <w:pPr>
              <w:cnfStyle w:val="000000000000"/>
              <w:rPr>
                <w:rFonts w:cs="Calibri"/>
                <w:i/>
                <w:color w:val="000000"/>
                <w:szCs w:val="22"/>
              </w:rPr>
            </w:pPr>
            <w:r>
              <w:rPr>
                <w:rFonts w:cs="Calibri"/>
                <w:i/>
                <w:color w:val="000000"/>
                <w:szCs w:val="22"/>
              </w:rPr>
              <w:t>WTHI</w:t>
            </w:r>
            <w:r w:rsidRPr="006E407D">
              <w:rPr>
                <w:rFonts w:cs="Calibri"/>
                <w:i/>
                <w:color w:val="000000"/>
                <w:szCs w:val="22"/>
              </w:rPr>
              <w:t xml:space="preserve"> </w:t>
            </w:r>
            <w:proofErr w:type="spellStart"/>
            <w:r>
              <w:rPr>
                <w:rFonts w:cs="Calibri"/>
                <w:i/>
                <w:color w:val="000000"/>
                <w:szCs w:val="22"/>
              </w:rPr>
              <w:t>PeakHour</w:t>
            </w:r>
            <w:proofErr w:type="spellEnd"/>
            <w:r w:rsidRPr="006E407D">
              <w:rPr>
                <w:rFonts w:cs="Calibri"/>
                <w:i/>
                <w:color w:val="000000"/>
                <w:szCs w:val="22"/>
              </w:rPr>
              <w:t xml:space="preserve"> </w:t>
            </w:r>
            <w:proofErr w:type="spellStart"/>
            <w:r>
              <w:rPr>
                <w:rFonts w:cs="Calibri"/>
                <w:i/>
                <w:color w:val="000000"/>
                <w:szCs w:val="22"/>
              </w:rPr>
              <w:t>WeekendHoliday</w:t>
            </w:r>
            <w:proofErr w:type="spellEnd"/>
          </w:p>
        </w:tc>
        <w:tc>
          <w:tcPr>
            <w:tcW w:w="1490" w:type="dxa"/>
            <w:vAlign w:val="bottom"/>
          </w:tcPr>
          <w:p w:rsidR="00C10460" w:rsidRPr="003A5891" w:rsidRDefault="00C10460" w:rsidP="003A5891">
            <w:pPr>
              <w:pStyle w:val="BodyText"/>
              <w:jc w:val="center"/>
              <w:cnfStyle w:val="000000000000"/>
              <w:rPr>
                <w:sz w:val="24"/>
              </w:rPr>
            </w:pPr>
            <w:r w:rsidRPr="003A5891">
              <w:rPr>
                <w:sz w:val="24"/>
              </w:rPr>
              <w:t>60</w:t>
            </w:r>
          </w:p>
        </w:tc>
      </w:tr>
      <w:tr w:rsidR="00C10460" w:rsidRPr="009826BA" w:rsidTr="00C10460">
        <w:tc>
          <w:tcPr>
            <w:cnfStyle w:val="001000000000"/>
            <w:tcW w:w="3814" w:type="dxa"/>
          </w:tcPr>
          <w:p w:rsidR="00C10460" w:rsidRPr="009826BA" w:rsidRDefault="00C10460">
            <w:pPr>
              <w:rPr>
                <w:rFonts w:cs="Calibri"/>
                <w:color w:val="000000"/>
                <w:szCs w:val="22"/>
              </w:rPr>
            </w:pPr>
            <w:r>
              <w:rPr>
                <w:rFonts w:cs="Calibri"/>
                <w:color w:val="000000"/>
                <w:szCs w:val="22"/>
              </w:rPr>
              <w:t>With quadratic WTHI</w:t>
            </w:r>
          </w:p>
        </w:tc>
        <w:tc>
          <w:tcPr>
            <w:tcW w:w="4286" w:type="dxa"/>
          </w:tcPr>
          <w:p w:rsidR="00C10460" w:rsidRPr="006E407D" w:rsidRDefault="006E407D" w:rsidP="006E407D">
            <w:pPr>
              <w:cnfStyle w:val="000000000000"/>
              <w:rPr>
                <w:rFonts w:cs="Calibri"/>
                <w:i/>
                <w:color w:val="000000"/>
                <w:szCs w:val="22"/>
              </w:rPr>
            </w:pPr>
            <w:r>
              <w:rPr>
                <w:rFonts w:cs="Calibri"/>
                <w:i/>
                <w:color w:val="000000"/>
                <w:szCs w:val="22"/>
              </w:rPr>
              <w:t>WTHI</w:t>
            </w:r>
            <w:r w:rsidRPr="006E407D">
              <w:rPr>
                <w:rFonts w:cs="Calibri"/>
                <w:i/>
                <w:color w:val="000000"/>
                <w:szCs w:val="22"/>
              </w:rPr>
              <w:t xml:space="preserve"> </w:t>
            </w:r>
            <w:proofErr w:type="spellStart"/>
            <w:r>
              <w:rPr>
                <w:rFonts w:cs="Calibri"/>
                <w:i/>
                <w:color w:val="000000"/>
                <w:szCs w:val="22"/>
              </w:rPr>
              <w:t>PeakHour</w:t>
            </w:r>
            <w:proofErr w:type="spellEnd"/>
            <w:r w:rsidRPr="006E407D">
              <w:rPr>
                <w:rFonts w:cs="Calibri"/>
                <w:i/>
                <w:color w:val="000000"/>
                <w:szCs w:val="22"/>
              </w:rPr>
              <w:t xml:space="preserve"> </w:t>
            </w:r>
            <w:proofErr w:type="spellStart"/>
            <w:r>
              <w:rPr>
                <w:rFonts w:cs="Calibri"/>
                <w:i/>
                <w:color w:val="000000"/>
                <w:szCs w:val="22"/>
              </w:rPr>
              <w:t>WeekendHoliday</w:t>
            </w:r>
            <w:proofErr w:type="spellEnd"/>
            <w:r w:rsidRPr="006E407D" w:rsidDel="006E407D">
              <w:rPr>
                <w:rFonts w:cs="Calibri"/>
                <w:i/>
                <w:color w:val="000000"/>
                <w:szCs w:val="22"/>
              </w:rPr>
              <w:t xml:space="preserve"> </w:t>
            </w:r>
            <w:r>
              <w:rPr>
                <w:rFonts w:cs="Calibri"/>
                <w:i/>
                <w:color w:val="000000"/>
                <w:szCs w:val="22"/>
              </w:rPr>
              <w:t>WTHI</w:t>
            </w:r>
            <w:r w:rsidRPr="006E407D">
              <w:rPr>
                <w:rFonts w:cs="Calibri"/>
                <w:i/>
                <w:color w:val="000000"/>
                <w:szCs w:val="22"/>
                <w:vertAlign w:val="superscript"/>
              </w:rPr>
              <w:t>2</w:t>
            </w:r>
          </w:p>
        </w:tc>
        <w:tc>
          <w:tcPr>
            <w:tcW w:w="1490" w:type="dxa"/>
            <w:vAlign w:val="bottom"/>
          </w:tcPr>
          <w:p w:rsidR="00C10460" w:rsidRPr="003A5891" w:rsidRDefault="00C10460" w:rsidP="003A5891">
            <w:pPr>
              <w:pStyle w:val="BodyText"/>
              <w:jc w:val="center"/>
              <w:cnfStyle w:val="000000000000"/>
              <w:rPr>
                <w:sz w:val="24"/>
              </w:rPr>
            </w:pPr>
            <w:r w:rsidRPr="003A5891">
              <w:rPr>
                <w:sz w:val="24"/>
              </w:rPr>
              <w:t>27</w:t>
            </w:r>
          </w:p>
        </w:tc>
      </w:tr>
      <w:tr w:rsidR="00C10460" w:rsidRPr="009826BA" w:rsidTr="00C10460">
        <w:tc>
          <w:tcPr>
            <w:cnfStyle w:val="001000000000"/>
            <w:tcW w:w="3814" w:type="dxa"/>
          </w:tcPr>
          <w:p w:rsidR="00C10460" w:rsidRPr="009826BA" w:rsidRDefault="00C10460">
            <w:pPr>
              <w:rPr>
                <w:rFonts w:cs="Calibri"/>
                <w:color w:val="000000"/>
                <w:szCs w:val="22"/>
              </w:rPr>
            </w:pPr>
            <w:r>
              <w:rPr>
                <w:rFonts w:cs="Calibri"/>
                <w:color w:val="000000"/>
                <w:szCs w:val="22"/>
              </w:rPr>
              <w:t>Interaction between Peak Hours and WTHI</w:t>
            </w:r>
          </w:p>
        </w:tc>
        <w:tc>
          <w:tcPr>
            <w:tcW w:w="4286" w:type="dxa"/>
          </w:tcPr>
          <w:p w:rsidR="00C10460" w:rsidRPr="006E407D" w:rsidRDefault="006E407D">
            <w:pPr>
              <w:cnfStyle w:val="000000000000"/>
              <w:rPr>
                <w:rFonts w:cs="Calibri"/>
                <w:i/>
                <w:color w:val="000000"/>
                <w:szCs w:val="22"/>
              </w:rPr>
            </w:pPr>
            <w:r>
              <w:rPr>
                <w:rFonts w:cs="Calibri"/>
                <w:i/>
                <w:color w:val="000000"/>
                <w:szCs w:val="22"/>
              </w:rPr>
              <w:t>WTHI</w:t>
            </w:r>
            <w:r w:rsidRPr="006E407D">
              <w:rPr>
                <w:rFonts w:cs="Calibri"/>
                <w:i/>
                <w:color w:val="000000"/>
                <w:szCs w:val="22"/>
              </w:rPr>
              <w:t xml:space="preserve"> </w:t>
            </w:r>
            <w:proofErr w:type="spellStart"/>
            <w:r>
              <w:rPr>
                <w:rFonts w:cs="Calibri"/>
                <w:i/>
                <w:color w:val="000000"/>
                <w:szCs w:val="22"/>
              </w:rPr>
              <w:t>PeakHour</w:t>
            </w:r>
            <w:proofErr w:type="spellEnd"/>
            <w:r w:rsidRPr="006E407D">
              <w:rPr>
                <w:rFonts w:cs="Calibri"/>
                <w:i/>
                <w:color w:val="000000"/>
                <w:szCs w:val="22"/>
              </w:rPr>
              <w:t xml:space="preserve"> </w:t>
            </w:r>
            <w:proofErr w:type="spellStart"/>
            <w:r>
              <w:rPr>
                <w:rFonts w:cs="Calibri"/>
                <w:i/>
                <w:color w:val="000000"/>
                <w:szCs w:val="22"/>
              </w:rPr>
              <w:t>WeekendHoliday</w:t>
            </w:r>
            <w:proofErr w:type="spellEnd"/>
            <w:r w:rsidRPr="006E407D" w:rsidDel="006E407D">
              <w:rPr>
                <w:rFonts w:cs="Calibri"/>
                <w:i/>
                <w:color w:val="000000"/>
                <w:szCs w:val="22"/>
              </w:rPr>
              <w:t xml:space="preserve"> </w:t>
            </w:r>
            <w:r>
              <w:rPr>
                <w:rFonts w:cs="Calibri"/>
                <w:i/>
                <w:color w:val="000000"/>
                <w:szCs w:val="22"/>
              </w:rPr>
              <w:t>Peak*WTHI</w:t>
            </w:r>
          </w:p>
        </w:tc>
        <w:tc>
          <w:tcPr>
            <w:tcW w:w="1490" w:type="dxa"/>
            <w:vAlign w:val="bottom"/>
          </w:tcPr>
          <w:p w:rsidR="00C10460" w:rsidRPr="003A5891" w:rsidRDefault="00C10460" w:rsidP="003A5891">
            <w:pPr>
              <w:pStyle w:val="BodyText"/>
              <w:jc w:val="center"/>
              <w:cnfStyle w:val="000000000000"/>
              <w:rPr>
                <w:sz w:val="24"/>
              </w:rPr>
            </w:pPr>
            <w:r w:rsidRPr="003A5891">
              <w:rPr>
                <w:sz w:val="24"/>
              </w:rPr>
              <w:t>11</w:t>
            </w:r>
          </w:p>
        </w:tc>
      </w:tr>
      <w:tr w:rsidR="00C10460" w:rsidRPr="009826BA" w:rsidTr="00C10460">
        <w:tc>
          <w:tcPr>
            <w:cnfStyle w:val="001000000000"/>
            <w:tcW w:w="3814" w:type="dxa"/>
          </w:tcPr>
          <w:p w:rsidR="00C10460" w:rsidRPr="009826BA" w:rsidRDefault="00C10460" w:rsidP="00C10460">
            <w:pPr>
              <w:rPr>
                <w:rFonts w:cs="Calibri"/>
                <w:color w:val="000000"/>
                <w:szCs w:val="22"/>
              </w:rPr>
            </w:pPr>
            <w:r>
              <w:rPr>
                <w:rFonts w:cs="Calibri"/>
                <w:color w:val="000000"/>
                <w:szCs w:val="22"/>
              </w:rPr>
              <w:t>Interaction between Weekend/Holiday and WTHI</w:t>
            </w:r>
          </w:p>
        </w:tc>
        <w:tc>
          <w:tcPr>
            <w:tcW w:w="4286" w:type="dxa"/>
          </w:tcPr>
          <w:p w:rsidR="00C10460" w:rsidRPr="006E407D" w:rsidRDefault="006E407D" w:rsidP="006E407D">
            <w:pPr>
              <w:cnfStyle w:val="000000000000"/>
              <w:rPr>
                <w:rFonts w:cs="Calibri"/>
                <w:i/>
                <w:color w:val="000000"/>
                <w:szCs w:val="22"/>
              </w:rPr>
            </w:pPr>
            <w:r w:rsidRPr="006E407D">
              <w:rPr>
                <w:rFonts w:cs="Calibri"/>
                <w:i/>
                <w:color w:val="000000"/>
                <w:szCs w:val="22"/>
              </w:rPr>
              <w:t xml:space="preserve">WTHI </w:t>
            </w:r>
            <w:proofErr w:type="spellStart"/>
            <w:r w:rsidRPr="006E407D">
              <w:rPr>
                <w:rFonts w:cs="Calibri"/>
                <w:i/>
                <w:color w:val="000000"/>
                <w:szCs w:val="22"/>
              </w:rPr>
              <w:t>PeakHour</w:t>
            </w:r>
            <w:proofErr w:type="spellEnd"/>
            <w:r w:rsidRPr="006E407D">
              <w:rPr>
                <w:rFonts w:cs="Calibri"/>
                <w:i/>
                <w:color w:val="000000"/>
                <w:szCs w:val="22"/>
              </w:rPr>
              <w:t xml:space="preserve"> </w:t>
            </w:r>
            <w:proofErr w:type="spellStart"/>
            <w:r w:rsidRPr="006E407D">
              <w:rPr>
                <w:rFonts w:cs="Calibri"/>
                <w:i/>
                <w:color w:val="000000"/>
                <w:szCs w:val="22"/>
              </w:rPr>
              <w:t>WeekendHoliday</w:t>
            </w:r>
            <w:proofErr w:type="spellEnd"/>
            <w:r w:rsidRPr="006E407D" w:rsidDel="006E407D">
              <w:rPr>
                <w:rFonts w:cs="Calibri"/>
                <w:i/>
                <w:color w:val="000000"/>
                <w:szCs w:val="22"/>
              </w:rPr>
              <w:t xml:space="preserve"> </w:t>
            </w:r>
            <w:proofErr w:type="spellStart"/>
            <w:r>
              <w:rPr>
                <w:rFonts w:cs="Calibri"/>
                <w:i/>
                <w:color w:val="000000"/>
                <w:szCs w:val="22"/>
              </w:rPr>
              <w:t>WeekendHol</w:t>
            </w:r>
            <w:proofErr w:type="spellEnd"/>
            <w:r>
              <w:rPr>
                <w:rFonts w:cs="Calibri"/>
                <w:i/>
                <w:color w:val="000000"/>
                <w:szCs w:val="22"/>
              </w:rPr>
              <w:t>*WTHI</w:t>
            </w:r>
          </w:p>
        </w:tc>
        <w:tc>
          <w:tcPr>
            <w:tcW w:w="1490" w:type="dxa"/>
            <w:vAlign w:val="bottom"/>
          </w:tcPr>
          <w:p w:rsidR="00C10460" w:rsidRPr="003A5891" w:rsidRDefault="00C10460" w:rsidP="003A5891">
            <w:pPr>
              <w:pStyle w:val="BodyText"/>
              <w:jc w:val="center"/>
              <w:cnfStyle w:val="000000000000"/>
              <w:rPr>
                <w:sz w:val="24"/>
              </w:rPr>
            </w:pPr>
            <w:r w:rsidRPr="003A5891">
              <w:rPr>
                <w:sz w:val="24"/>
              </w:rPr>
              <w:t>14</w:t>
            </w:r>
          </w:p>
        </w:tc>
      </w:tr>
      <w:tr w:rsidR="00C10460" w:rsidRPr="009826BA" w:rsidTr="00C10460">
        <w:tc>
          <w:tcPr>
            <w:cnfStyle w:val="001000000000"/>
            <w:tcW w:w="3814" w:type="dxa"/>
          </w:tcPr>
          <w:p w:rsidR="00C10460" w:rsidRPr="009826BA" w:rsidRDefault="00C10460" w:rsidP="00B1084A">
            <w:pPr>
              <w:rPr>
                <w:rFonts w:cs="Calibri"/>
                <w:color w:val="000000"/>
                <w:szCs w:val="22"/>
              </w:rPr>
            </w:pPr>
            <w:r>
              <w:rPr>
                <w:rFonts w:cs="Calibri"/>
                <w:color w:val="000000"/>
                <w:szCs w:val="22"/>
              </w:rPr>
              <w:t>With quadratic WTHI and i</w:t>
            </w:r>
            <w:r w:rsidRPr="00C10460">
              <w:rPr>
                <w:rFonts w:cs="Calibri"/>
                <w:color w:val="000000"/>
                <w:szCs w:val="22"/>
              </w:rPr>
              <w:t>nteraction between Peak Hours and WTHI</w:t>
            </w:r>
          </w:p>
        </w:tc>
        <w:tc>
          <w:tcPr>
            <w:tcW w:w="4286" w:type="dxa"/>
          </w:tcPr>
          <w:p w:rsidR="00C10460" w:rsidRPr="006E407D" w:rsidRDefault="006E407D" w:rsidP="006E407D">
            <w:pPr>
              <w:cnfStyle w:val="000000000000"/>
              <w:rPr>
                <w:rFonts w:cs="Calibri"/>
                <w:i/>
                <w:color w:val="000000"/>
                <w:szCs w:val="22"/>
              </w:rPr>
            </w:pPr>
            <w:r w:rsidRPr="006E407D">
              <w:rPr>
                <w:rFonts w:cs="Calibri"/>
                <w:i/>
                <w:color w:val="000000"/>
                <w:szCs w:val="22"/>
              </w:rPr>
              <w:t xml:space="preserve">WTHI </w:t>
            </w:r>
            <w:proofErr w:type="spellStart"/>
            <w:r w:rsidRPr="006E407D">
              <w:rPr>
                <w:rFonts w:cs="Calibri"/>
                <w:i/>
                <w:color w:val="000000"/>
                <w:szCs w:val="22"/>
              </w:rPr>
              <w:t>PeakHour</w:t>
            </w:r>
            <w:proofErr w:type="spellEnd"/>
            <w:r w:rsidRPr="006E407D">
              <w:rPr>
                <w:rFonts w:cs="Calibri"/>
                <w:i/>
                <w:color w:val="000000"/>
                <w:szCs w:val="22"/>
              </w:rPr>
              <w:t xml:space="preserve"> </w:t>
            </w:r>
            <w:proofErr w:type="spellStart"/>
            <w:r w:rsidRPr="006E407D">
              <w:rPr>
                <w:rFonts w:cs="Calibri"/>
                <w:i/>
                <w:color w:val="000000"/>
                <w:szCs w:val="22"/>
              </w:rPr>
              <w:t>WeekendHoliday</w:t>
            </w:r>
            <w:proofErr w:type="spellEnd"/>
            <w:r w:rsidRPr="006E407D" w:rsidDel="006E407D">
              <w:rPr>
                <w:rFonts w:cs="Calibri"/>
                <w:i/>
                <w:color w:val="000000"/>
                <w:szCs w:val="22"/>
              </w:rPr>
              <w:t xml:space="preserve"> </w:t>
            </w:r>
            <w:r>
              <w:rPr>
                <w:rFonts w:cs="Calibri"/>
                <w:i/>
                <w:color w:val="000000"/>
                <w:szCs w:val="22"/>
              </w:rPr>
              <w:t>WTHI</w:t>
            </w:r>
            <w:r w:rsidRPr="006E407D">
              <w:rPr>
                <w:rFonts w:cs="Calibri"/>
                <w:i/>
                <w:color w:val="000000"/>
                <w:szCs w:val="22"/>
                <w:vertAlign w:val="superscript"/>
              </w:rPr>
              <w:t>2</w:t>
            </w:r>
            <w:r>
              <w:rPr>
                <w:rFonts w:cs="Calibri"/>
                <w:i/>
                <w:color w:val="000000"/>
                <w:szCs w:val="22"/>
                <w:vertAlign w:val="superscript"/>
              </w:rPr>
              <w:t xml:space="preserve"> </w:t>
            </w:r>
            <w:r>
              <w:rPr>
                <w:rFonts w:cs="Calibri"/>
                <w:i/>
                <w:color w:val="000000"/>
                <w:szCs w:val="22"/>
              </w:rPr>
              <w:t>Peak*WTHI</w:t>
            </w:r>
          </w:p>
        </w:tc>
        <w:tc>
          <w:tcPr>
            <w:tcW w:w="1490" w:type="dxa"/>
            <w:vAlign w:val="bottom"/>
          </w:tcPr>
          <w:p w:rsidR="00C10460" w:rsidRPr="003A5891" w:rsidRDefault="00C10460" w:rsidP="003A5891">
            <w:pPr>
              <w:pStyle w:val="BodyText"/>
              <w:jc w:val="center"/>
              <w:cnfStyle w:val="000000000000"/>
              <w:rPr>
                <w:sz w:val="24"/>
              </w:rPr>
            </w:pPr>
            <w:r w:rsidRPr="003A5891">
              <w:rPr>
                <w:sz w:val="24"/>
              </w:rPr>
              <w:t>7</w:t>
            </w:r>
          </w:p>
        </w:tc>
      </w:tr>
      <w:tr w:rsidR="00C10460" w:rsidRPr="009826BA" w:rsidTr="00C10460">
        <w:tc>
          <w:tcPr>
            <w:cnfStyle w:val="001000000000"/>
            <w:tcW w:w="3814" w:type="dxa"/>
          </w:tcPr>
          <w:p w:rsidR="00C10460" w:rsidRPr="009826BA" w:rsidRDefault="00C10460" w:rsidP="00B1084A">
            <w:pPr>
              <w:rPr>
                <w:rFonts w:cs="Calibri"/>
                <w:color w:val="000000"/>
                <w:szCs w:val="22"/>
              </w:rPr>
            </w:pPr>
            <w:r>
              <w:rPr>
                <w:rFonts w:cs="Calibri"/>
                <w:color w:val="000000"/>
                <w:szCs w:val="22"/>
              </w:rPr>
              <w:t>With hourly indicators for each of four peak hours</w:t>
            </w:r>
          </w:p>
        </w:tc>
        <w:tc>
          <w:tcPr>
            <w:tcW w:w="4286" w:type="dxa"/>
          </w:tcPr>
          <w:p w:rsidR="00C10460" w:rsidRPr="006E407D" w:rsidRDefault="006E407D" w:rsidP="006E407D">
            <w:pPr>
              <w:cnfStyle w:val="000000000000"/>
              <w:rPr>
                <w:rFonts w:cs="Calibri"/>
                <w:i/>
                <w:color w:val="000000"/>
                <w:szCs w:val="22"/>
              </w:rPr>
            </w:pPr>
            <w:r>
              <w:rPr>
                <w:rFonts w:cs="Calibri"/>
                <w:i/>
                <w:color w:val="000000"/>
                <w:szCs w:val="22"/>
              </w:rPr>
              <w:t>WTHI</w:t>
            </w:r>
            <w:r w:rsidRPr="006E407D">
              <w:rPr>
                <w:rFonts w:cs="Calibri"/>
                <w:i/>
                <w:color w:val="000000"/>
                <w:szCs w:val="22"/>
              </w:rPr>
              <w:t xml:space="preserve"> </w:t>
            </w:r>
            <w:r>
              <w:rPr>
                <w:rFonts w:cs="Calibri"/>
                <w:i/>
                <w:color w:val="000000"/>
                <w:szCs w:val="22"/>
              </w:rPr>
              <w:t>PeakHr</w:t>
            </w:r>
            <w:r w:rsidR="00C10460" w:rsidRPr="006E407D">
              <w:rPr>
                <w:rFonts w:cs="Calibri"/>
                <w:i/>
                <w:color w:val="000000"/>
                <w:szCs w:val="22"/>
              </w:rPr>
              <w:t xml:space="preserve">1 </w:t>
            </w:r>
            <w:r>
              <w:rPr>
                <w:rFonts w:cs="Calibri"/>
                <w:i/>
                <w:color w:val="000000"/>
                <w:szCs w:val="22"/>
              </w:rPr>
              <w:t>PeakHr</w:t>
            </w:r>
            <w:r w:rsidR="00C10460" w:rsidRPr="006E407D">
              <w:rPr>
                <w:rFonts w:cs="Calibri"/>
                <w:i/>
                <w:color w:val="000000"/>
                <w:szCs w:val="22"/>
              </w:rPr>
              <w:t xml:space="preserve">2 </w:t>
            </w:r>
            <w:r>
              <w:rPr>
                <w:rFonts w:cs="Calibri"/>
                <w:i/>
                <w:color w:val="000000"/>
                <w:szCs w:val="22"/>
              </w:rPr>
              <w:t>PeakHr</w:t>
            </w:r>
            <w:r w:rsidR="00C10460" w:rsidRPr="006E407D">
              <w:rPr>
                <w:rFonts w:cs="Calibri"/>
                <w:i/>
                <w:color w:val="000000"/>
                <w:szCs w:val="22"/>
              </w:rPr>
              <w:t xml:space="preserve">3 </w:t>
            </w:r>
            <w:r>
              <w:rPr>
                <w:rFonts w:cs="Calibri"/>
                <w:i/>
                <w:color w:val="000000"/>
                <w:szCs w:val="22"/>
              </w:rPr>
              <w:t>PeakHr</w:t>
            </w:r>
            <w:r w:rsidR="00C10460" w:rsidRPr="006E407D">
              <w:rPr>
                <w:rFonts w:cs="Calibri"/>
                <w:i/>
                <w:color w:val="000000"/>
                <w:szCs w:val="22"/>
              </w:rPr>
              <w:t xml:space="preserve">4 </w:t>
            </w:r>
            <w:proofErr w:type="spellStart"/>
            <w:r w:rsidRPr="006E407D">
              <w:rPr>
                <w:rFonts w:cs="Calibri"/>
                <w:i/>
                <w:color w:val="000000"/>
                <w:szCs w:val="22"/>
              </w:rPr>
              <w:t>WeekendHoliday</w:t>
            </w:r>
            <w:proofErr w:type="spellEnd"/>
          </w:p>
        </w:tc>
        <w:tc>
          <w:tcPr>
            <w:tcW w:w="1490" w:type="dxa"/>
            <w:vAlign w:val="bottom"/>
          </w:tcPr>
          <w:p w:rsidR="00C10460" w:rsidRPr="003A5891" w:rsidRDefault="00C10460" w:rsidP="003A5891">
            <w:pPr>
              <w:pStyle w:val="BodyText"/>
              <w:jc w:val="center"/>
              <w:cnfStyle w:val="000000000000"/>
              <w:rPr>
                <w:sz w:val="24"/>
              </w:rPr>
            </w:pPr>
            <w:r w:rsidRPr="003A5891">
              <w:rPr>
                <w:sz w:val="24"/>
              </w:rPr>
              <w:t>11</w:t>
            </w:r>
          </w:p>
        </w:tc>
      </w:tr>
    </w:tbl>
    <w:p w:rsidR="00934E6B" w:rsidRPr="00A62678" w:rsidRDefault="00934E6B" w:rsidP="00934E6B">
      <w:pPr>
        <w:pStyle w:val="BodyText"/>
        <w:ind w:left="360"/>
      </w:pPr>
    </w:p>
    <w:p w:rsidR="00CE586B" w:rsidRDefault="00CE586B" w:rsidP="002C5DD5">
      <w:pPr>
        <w:pStyle w:val="Heading4"/>
      </w:pPr>
      <w:r>
        <w:t>Model Predictions</w:t>
      </w:r>
    </w:p>
    <w:p w:rsidR="001E7143" w:rsidRDefault="00C10460">
      <w:r>
        <w:t>W</w:t>
      </w:r>
      <w:r w:rsidR="00934E6B">
        <w:t>e retained an estimate of peak kW defined by the three PJM performance criteria explained above</w:t>
      </w:r>
      <w:r>
        <w:t xml:space="preserve"> using the best model for each unit.</w:t>
      </w:r>
      <w:r w:rsidR="00DD6686">
        <w:t xml:space="preserve"> The average and standard deviation of predicted peak demand</w:t>
      </w:r>
      <w:r w:rsidR="00B1084A">
        <w:t xml:space="preserve"> is </w:t>
      </w:r>
      <w:r w:rsidR="009826BA">
        <w:t xml:space="preserve">shown in </w:t>
      </w:r>
      <w:r w:rsidR="00AE2BB9">
        <w:fldChar w:fldCharType="begin"/>
      </w:r>
      <w:r w:rsidR="00DE2A35">
        <w:instrText xml:space="preserve"> REF _Ref322700633 \h </w:instrText>
      </w:r>
      <w:r w:rsidR="00AE2BB9">
        <w:fldChar w:fldCharType="separate"/>
      </w:r>
      <w:r w:rsidR="00DE2A35">
        <w:t xml:space="preserve">Table </w:t>
      </w:r>
      <w:r w:rsidR="00DE2A35">
        <w:rPr>
          <w:noProof/>
        </w:rPr>
        <w:t>7</w:t>
      </w:r>
      <w:r w:rsidR="00AE2BB9">
        <w:fldChar w:fldCharType="end"/>
      </w:r>
      <w:r w:rsidR="00DD6686">
        <w:t xml:space="preserve">. This also shows the mean and standard deviation of average hourly kW values observed through the metering period (using the average hourly kW value of each unit). </w:t>
      </w:r>
    </w:p>
    <w:p w:rsidR="006E407D" w:rsidRPr="006E407D" w:rsidRDefault="00B14EB0" w:rsidP="00B14EB0">
      <w:pPr>
        <w:pStyle w:val="Caption"/>
      </w:pPr>
      <w:bookmarkStart w:id="5" w:name="_Ref322700633"/>
      <w:proofErr w:type="gramStart"/>
      <w:r>
        <w:t xml:space="preserve">Table </w:t>
      </w:r>
      <w:fldSimple w:instr=" SEQ Table \* ARABIC ">
        <w:r w:rsidR="009124B2">
          <w:rPr>
            <w:noProof/>
          </w:rPr>
          <w:t>7</w:t>
        </w:r>
      </w:fldSimple>
      <w:bookmarkEnd w:id="5"/>
      <w:r>
        <w:t>.</w:t>
      </w:r>
      <w:proofErr w:type="gramEnd"/>
      <w:r>
        <w:t xml:space="preserve"> </w:t>
      </w:r>
      <w:r w:rsidR="00960203">
        <w:t xml:space="preserve">Observed Average kW and Predicted Peak kW </w:t>
      </w:r>
      <w:r w:rsidR="007C6A0F">
        <w:t>(n=130)</w:t>
      </w:r>
    </w:p>
    <w:tbl>
      <w:tblPr>
        <w:tblStyle w:val="ODCTable"/>
        <w:tblW w:w="8950" w:type="dxa"/>
        <w:tblLayout w:type="fixed"/>
        <w:tblLook w:val="04A0"/>
      </w:tblPr>
      <w:tblGrid>
        <w:gridCol w:w="4174"/>
        <w:gridCol w:w="2316"/>
        <w:gridCol w:w="2460"/>
      </w:tblGrid>
      <w:tr w:rsidR="007C6A0F" w:rsidRPr="009826BA" w:rsidTr="006E407D">
        <w:trPr>
          <w:cnfStyle w:val="100000000000"/>
          <w:trHeight w:val="923"/>
        </w:trPr>
        <w:tc>
          <w:tcPr>
            <w:cnfStyle w:val="001000000000"/>
            <w:tcW w:w="4174" w:type="dxa"/>
            <w:shd w:val="clear" w:color="auto" w:fill="D9D9D9" w:themeFill="background1" w:themeFillShade="D9"/>
            <w:noWrap/>
            <w:hideMark/>
          </w:tcPr>
          <w:p w:rsidR="007C6A0F" w:rsidRPr="00FA43E1" w:rsidRDefault="007C6A0F" w:rsidP="009826BA">
            <w:pPr>
              <w:spacing w:after="0"/>
              <w:jc w:val="left"/>
              <w:rPr>
                <w:rFonts w:cs="Calibri"/>
                <w:b/>
                <w:bCs/>
                <w:color w:val="000000"/>
                <w:szCs w:val="22"/>
              </w:rPr>
            </w:pPr>
          </w:p>
        </w:tc>
        <w:tc>
          <w:tcPr>
            <w:tcW w:w="2316" w:type="dxa"/>
            <w:shd w:val="clear" w:color="auto" w:fill="D9D9D9" w:themeFill="background1" w:themeFillShade="D9"/>
            <w:noWrap/>
            <w:hideMark/>
          </w:tcPr>
          <w:p w:rsidR="007C6A0F" w:rsidRPr="00FA43E1" w:rsidRDefault="007C6A0F" w:rsidP="00FA43E1">
            <w:pPr>
              <w:spacing w:after="0"/>
              <w:jc w:val="center"/>
              <w:cnfStyle w:val="100000000000"/>
              <w:rPr>
                <w:rFonts w:cs="Calibri"/>
                <w:b/>
                <w:bCs/>
                <w:color w:val="000000"/>
                <w:szCs w:val="22"/>
              </w:rPr>
            </w:pPr>
            <w:r w:rsidRPr="00FA43E1">
              <w:rPr>
                <w:rFonts w:cs="Calibri"/>
                <w:b/>
                <w:bCs/>
                <w:color w:val="000000"/>
                <w:szCs w:val="22"/>
              </w:rPr>
              <w:t>Observed Demand</w:t>
            </w:r>
            <w:r w:rsidR="00B14EB0">
              <w:rPr>
                <w:rStyle w:val="FootnoteReference"/>
                <w:rFonts w:cs="Calibri"/>
                <w:b/>
                <w:bCs/>
                <w:color w:val="000000"/>
                <w:szCs w:val="22"/>
              </w:rPr>
              <w:footnoteReference w:id="7"/>
            </w:r>
          </w:p>
        </w:tc>
        <w:tc>
          <w:tcPr>
            <w:tcW w:w="2460" w:type="dxa"/>
            <w:shd w:val="clear" w:color="auto" w:fill="D9D9D9" w:themeFill="background1" w:themeFillShade="D9"/>
            <w:noWrap/>
            <w:hideMark/>
          </w:tcPr>
          <w:p w:rsidR="007C6A0F" w:rsidRPr="00FA43E1" w:rsidRDefault="007C6A0F" w:rsidP="00960203">
            <w:pPr>
              <w:spacing w:after="0"/>
              <w:jc w:val="center"/>
              <w:cnfStyle w:val="100000000000"/>
              <w:rPr>
                <w:rFonts w:cs="Calibri"/>
                <w:b/>
                <w:bCs/>
                <w:color w:val="000000"/>
                <w:szCs w:val="22"/>
              </w:rPr>
            </w:pPr>
            <w:r w:rsidRPr="00FA43E1">
              <w:rPr>
                <w:rFonts w:cs="Calibri"/>
                <w:b/>
                <w:bCs/>
                <w:color w:val="000000"/>
                <w:szCs w:val="22"/>
              </w:rPr>
              <w:t>Peak Demand Estimates</w:t>
            </w:r>
          </w:p>
        </w:tc>
      </w:tr>
      <w:tr w:rsidR="007C6A0F" w:rsidRPr="009826BA" w:rsidTr="00B14EB0">
        <w:trPr>
          <w:trHeight w:val="56"/>
        </w:trPr>
        <w:tc>
          <w:tcPr>
            <w:cnfStyle w:val="001000000000"/>
            <w:tcW w:w="4174" w:type="dxa"/>
            <w:noWrap/>
            <w:hideMark/>
          </w:tcPr>
          <w:p w:rsidR="001E7143" w:rsidRDefault="004F3D58">
            <w:pPr>
              <w:spacing w:before="120" w:after="120"/>
              <w:jc w:val="left"/>
              <w:rPr>
                <w:rFonts w:cs="Calibri"/>
                <w:color w:val="000000"/>
                <w:sz w:val="24"/>
                <w:szCs w:val="22"/>
              </w:rPr>
            </w:pPr>
            <w:r w:rsidRPr="00FA43E1">
              <w:rPr>
                <w:rFonts w:cs="Calibri"/>
                <w:color w:val="000000"/>
                <w:szCs w:val="22"/>
              </w:rPr>
              <w:t xml:space="preserve">   </w:t>
            </w:r>
            <w:r w:rsidR="007C6A0F" w:rsidRPr="00FA43E1">
              <w:rPr>
                <w:rFonts w:cs="Calibri"/>
                <w:color w:val="000000"/>
                <w:szCs w:val="22"/>
              </w:rPr>
              <w:t>Mean</w:t>
            </w:r>
            <w:r w:rsidR="00B14EB0">
              <w:rPr>
                <w:rFonts w:cs="Calibri"/>
                <w:color w:val="000000"/>
                <w:szCs w:val="22"/>
              </w:rPr>
              <w:t xml:space="preserve"> Average kW</w:t>
            </w:r>
          </w:p>
        </w:tc>
        <w:tc>
          <w:tcPr>
            <w:tcW w:w="2316" w:type="dxa"/>
            <w:noWrap/>
            <w:hideMark/>
          </w:tcPr>
          <w:p w:rsidR="001E7143" w:rsidRDefault="000C3D83">
            <w:pPr>
              <w:spacing w:before="120" w:after="120"/>
              <w:jc w:val="center"/>
              <w:cnfStyle w:val="000000000000"/>
              <w:rPr>
                <w:rFonts w:cs="Calibri"/>
                <w:color w:val="000000"/>
                <w:sz w:val="24"/>
                <w:szCs w:val="22"/>
              </w:rPr>
            </w:pPr>
            <w:r w:rsidRPr="000C3D83">
              <w:rPr>
                <w:rFonts w:cs="Calibri"/>
                <w:color w:val="000000"/>
                <w:szCs w:val="22"/>
              </w:rPr>
              <w:t>0.109</w:t>
            </w:r>
          </w:p>
        </w:tc>
        <w:tc>
          <w:tcPr>
            <w:tcW w:w="2460" w:type="dxa"/>
            <w:noWrap/>
            <w:vAlign w:val="bottom"/>
            <w:hideMark/>
          </w:tcPr>
          <w:p w:rsidR="001E7143" w:rsidRDefault="000C3D83">
            <w:pPr>
              <w:spacing w:before="120" w:after="120"/>
              <w:jc w:val="center"/>
              <w:cnfStyle w:val="000000000000"/>
              <w:rPr>
                <w:rFonts w:cs="Calibri"/>
                <w:color w:val="000000"/>
                <w:sz w:val="24"/>
                <w:szCs w:val="22"/>
              </w:rPr>
            </w:pPr>
            <w:r w:rsidRPr="000C3D83">
              <w:rPr>
                <w:rFonts w:cs="Calibri"/>
                <w:color w:val="000000"/>
                <w:szCs w:val="22"/>
              </w:rPr>
              <w:t>0.142</w:t>
            </w:r>
          </w:p>
        </w:tc>
      </w:tr>
      <w:tr w:rsidR="007C6A0F" w:rsidRPr="009826BA" w:rsidTr="00B14EB0">
        <w:trPr>
          <w:trHeight w:val="56"/>
        </w:trPr>
        <w:tc>
          <w:tcPr>
            <w:cnfStyle w:val="001000000000"/>
            <w:tcW w:w="4174" w:type="dxa"/>
            <w:noWrap/>
            <w:hideMark/>
          </w:tcPr>
          <w:p w:rsidR="001E7143" w:rsidRDefault="004F3D58">
            <w:pPr>
              <w:spacing w:before="120" w:after="120"/>
              <w:jc w:val="left"/>
              <w:rPr>
                <w:rFonts w:cs="Calibri"/>
                <w:color w:val="000000"/>
                <w:sz w:val="24"/>
                <w:szCs w:val="22"/>
              </w:rPr>
            </w:pPr>
            <w:r w:rsidRPr="00B14EB0">
              <w:rPr>
                <w:rFonts w:cs="Calibri"/>
                <w:color w:val="000000"/>
                <w:szCs w:val="22"/>
              </w:rPr>
              <w:t xml:space="preserve">   </w:t>
            </w:r>
            <w:r w:rsidR="00B14EB0" w:rsidRPr="00B14EB0">
              <w:rPr>
                <w:rFonts w:cs="Calibri"/>
                <w:color w:val="000000"/>
                <w:szCs w:val="22"/>
              </w:rPr>
              <w:t>Coefficient of Variation</w:t>
            </w:r>
          </w:p>
        </w:tc>
        <w:tc>
          <w:tcPr>
            <w:tcW w:w="2316" w:type="dxa"/>
            <w:noWrap/>
            <w:hideMark/>
          </w:tcPr>
          <w:p w:rsidR="001E7143" w:rsidRDefault="000C3D83">
            <w:pPr>
              <w:spacing w:before="120" w:after="120"/>
              <w:jc w:val="center"/>
              <w:cnfStyle w:val="000000000000"/>
              <w:rPr>
                <w:rFonts w:cs="Calibri"/>
                <w:color w:val="000000"/>
                <w:szCs w:val="22"/>
              </w:rPr>
            </w:pPr>
            <w:r w:rsidRPr="000C3D83">
              <w:rPr>
                <w:rFonts w:cs="Calibri"/>
                <w:color w:val="000000"/>
                <w:szCs w:val="22"/>
              </w:rPr>
              <w:t>0.67</w:t>
            </w:r>
          </w:p>
        </w:tc>
        <w:tc>
          <w:tcPr>
            <w:tcW w:w="2460" w:type="dxa"/>
            <w:noWrap/>
            <w:vAlign w:val="bottom"/>
            <w:hideMark/>
          </w:tcPr>
          <w:p w:rsidR="001E7143" w:rsidRDefault="000C3D83">
            <w:pPr>
              <w:spacing w:before="120" w:after="120"/>
              <w:jc w:val="center"/>
              <w:cnfStyle w:val="000000000000"/>
              <w:rPr>
                <w:rFonts w:cs="Calibri"/>
                <w:color w:val="000000"/>
                <w:szCs w:val="22"/>
              </w:rPr>
            </w:pPr>
            <w:r w:rsidRPr="000C3D83">
              <w:rPr>
                <w:rFonts w:cs="Calibri"/>
                <w:color w:val="000000"/>
                <w:szCs w:val="22"/>
              </w:rPr>
              <w:t>0.62</w:t>
            </w:r>
          </w:p>
        </w:tc>
      </w:tr>
    </w:tbl>
    <w:p w:rsidR="008B441B" w:rsidRDefault="008B441B" w:rsidP="008B441B">
      <w:pPr>
        <w:pStyle w:val="BodyText"/>
        <w:ind w:left="720"/>
      </w:pPr>
    </w:p>
    <w:p w:rsidR="00CC726B" w:rsidRPr="00CC726B" w:rsidRDefault="00CC726B" w:rsidP="00FA43E1">
      <w:pPr>
        <w:pStyle w:val="Heading3"/>
        <w:numPr>
          <w:ilvl w:val="0"/>
          <w:numId w:val="11"/>
        </w:numPr>
        <w:ind w:left="1080" w:hanging="540"/>
      </w:pPr>
      <w:r w:rsidRPr="00CC726B">
        <w:t>Second-Stage Model</w:t>
      </w:r>
    </w:p>
    <w:p w:rsidR="00FA43E1" w:rsidRDefault="00FA43E1" w:rsidP="00FA43E1">
      <w:pPr>
        <w:pStyle w:val="BodyText"/>
      </w:pPr>
      <w:r>
        <w:t xml:space="preserve">We used Ordinary Least Squares (OLS) regression to model unit characteristics against peak demand impacts (n=130). The objective of the second-stage model is to use characteristics that were tracked in each of program years 1-3 </w:t>
      </w:r>
      <w:r w:rsidRPr="00A62678">
        <w:t>(such as age, configuration, size, and location in the home).</w:t>
      </w:r>
      <w:r>
        <w:t xml:space="preserve"> The final model generates an </w:t>
      </w:r>
      <w:r w:rsidRPr="00A62678">
        <w:t xml:space="preserve">algorithm with a set of coefficients specific to </w:t>
      </w:r>
      <w:r>
        <w:t>PJM performance hours.</w:t>
      </w:r>
    </w:p>
    <w:p w:rsidR="005820B3" w:rsidRDefault="005820B3" w:rsidP="00CC726B">
      <w:pPr>
        <w:pStyle w:val="Heading4"/>
      </w:pPr>
      <w:r>
        <w:t xml:space="preserve">Model Specification </w:t>
      </w:r>
    </w:p>
    <w:p w:rsidR="004D24A2" w:rsidRDefault="008B4028" w:rsidP="008B4028">
      <w:pPr>
        <w:pStyle w:val="BodyText"/>
      </w:pPr>
      <w:r>
        <w:t>All relevant appliance characteristics available in program tracking data were considered for the model.</w:t>
      </w:r>
      <w:r>
        <w:rPr>
          <w:rStyle w:val="FootnoteReference"/>
        </w:rPr>
        <w:footnoteReference w:id="8"/>
      </w:r>
      <w:r>
        <w:t xml:space="preserve"> We</w:t>
      </w:r>
      <w:r w:rsidR="004D24A2">
        <w:t xml:space="preserve"> conduct</w:t>
      </w:r>
      <w:r w:rsidR="007A4F17">
        <w:t>ed</w:t>
      </w:r>
      <w:r w:rsidR="004D24A2">
        <w:t xml:space="preserve"> sensitivity analysis (examination of model fit, multicollinearity and precision) under different specifications</w:t>
      </w:r>
      <w:r>
        <w:t>, such as:</w:t>
      </w:r>
    </w:p>
    <w:p w:rsidR="001E7143" w:rsidRDefault="008B4028">
      <w:pPr>
        <w:pStyle w:val="Bullet2"/>
        <w:numPr>
          <w:ilvl w:val="0"/>
          <w:numId w:val="13"/>
        </w:numPr>
      </w:pPr>
      <w:r>
        <w:t>Dummy variables for all configurations and appliance features (e.g., manual defrost and through-door features)</w:t>
      </w:r>
    </w:p>
    <w:p w:rsidR="001E7143" w:rsidRDefault="00934A56">
      <w:pPr>
        <w:pStyle w:val="Bullet2"/>
        <w:numPr>
          <w:ilvl w:val="0"/>
          <w:numId w:val="13"/>
        </w:numPr>
      </w:pPr>
      <w:r>
        <w:t>Main effects and a</w:t>
      </w:r>
      <w:r w:rsidR="00B14EB0">
        <w:t xml:space="preserve">lternate </w:t>
      </w:r>
      <w:r w:rsidR="008B4028">
        <w:t xml:space="preserve">specification of continuous variables – age, cubic feet, </w:t>
      </w:r>
      <w:r w:rsidR="00581850">
        <w:t xml:space="preserve">label </w:t>
      </w:r>
      <w:r w:rsidR="008B4028">
        <w:t>amps</w:t>
      </w:r>
      <w:r w:rsidR="004D24A2">
        <w:t xml:space="preserve"> (e.g., squared term</w:t>
      </w:r>
      <w:r w:rsidR="008B4028">
        <w:t>, natural log</w:t>
      </w:r>
      <w:r w:rsidR="004D24A2">
        <w:t>)</w:t>
      </w:r>
    </w:p>
    <w:p w:rsidR="001E7143" w:rsidRDefault="004D24A2">
      <w:pPr>
        <w:pStyle w:val="Bullet2"/>
        <w:numPr>
          <w:ilvl w:val="0"/>
          <w:numId w:val="13"/>
        </w:numPr>
      </w:pPr>
      <w:r>
        <w:t xml:space="preserve">Location in home. The program tracks location in home, but does not currently track summer or winter space conditioning. Therefore location in home serves as </w:t>
      </w:r>
      <w:r>
        <w:lastRenderedPageBreak/>
        <w:t>a proxy for potential weather sensitivity – for example, units located in a garage, porch or patio may show more sensitivity to climactic conditions.</w:t>
      </w:r>
    </w:p>
    <w:p w:rsidR="001E7143" w:rsidRDefault="008B4028">
      <w:pPr>
        <w:pStyle w:val="Bullet2"/>
        <w:numPr>
          <w:ilvl w:val="0"/>
          <w:numId w:val="13"/>
        </w:numPr>
      </w:pPr>
      <w:r>
        <w:t>Interaction terms. We did not find any interaction terms to be significant at alpha level of 10% after controlling for the effects of their base additive terms.</w:t>
      </w:r>
    </w:p>
    <w:p w:rsidR="00B14EB0" w:rsidRDefault="00B14EB0" w:rsidP="00B14EB0">
      <w:pPr>
        <w:pStyle w:val="BodyText"/>
      </w:pPr>
      <w:r>
        <w:t xml:space="preserve">In addition to testing alternate specifications, we conducted the following sensitivity analysis before determining that the </w:t>
      </w:r>
      <w:r w:rsidR="0063671C">
        <w:t xml:space="preserve">cross-sectional </w:t>
      </w:r>
      <w:r>
        <w:t xml:space="preserve">model </w:t>
      </w:r>
      <w:r w:rsidR="008B4028">
        <w:t>below</w:t>
      </w:r>
      <w:r>
        <w:t xml:space="preserve"> best fits the relationship between peak </w:t>
      </w:r>
      <w:proofErr w:type="gramStart"/>
      <w:r>
        <w:t>demand</w:t>
      </w:r>
      <w:proofErr w:type="gramEnd"/>
      <w:r>
        <w:t>:</w:t>
      </w:r>
    </w:p>
    <w:p w:rsidR="00B14EB0" w:rsidRDefault="00B14EB0" w:rsidP="00B14EB0">
      <w:pPr>
        <w:pStyle w:val="BodyText"/>
        <w:numPr>
          <w:ilvl w:val="0"/>
          <w:numId w:val="12"/>
        </w:numPr>
      </w:pPr>
      <w:r>
        <w:t>Alternative estimation of each unit’s peak demand</w:t>
      </w:r>
      <w:r w:rsidR="008B4028">
        <w:t xml:space="preserve"> (e.g., applying smoothing to hourly kW estimates before running models in  </w:t>
      </w:r>
    </w:p>
    <w:p w:rsidR="00B14EB0" w:rsidRDefault="00B14EB0" w:rsidP="00B14EB0">
      <w:pPr>
        <w:pStyle w:val="BodyText"/>
        <w:numPr>
          <w:ilvl w:val="0"/>
          <w:numId w:val="12"/>
        </w:numPr>
      </w:pPr>
      <w:r>
        <w:t>Functional form of the dependent variable (natural log)</w:t>
      </w:r>
    </w:p>
    <w:p w:rsidR="00B14EB0" w:rsidRDefault="00B14EB0" w:rsidP="00B14EB0">
      <w:pPr>
        <w:pStyle w:val="BodyText"/>
        <w:numPr>
          <w:ilvl w:val="0"/>
          <w:numId w:val="12"/>
        </w:numPr>
      </w:pPr>
      <w:r>
        <w:t>Panel model (instead of two-step approach)</w:t>
      </w:r>
    </w:p>
    <w:p w:rsidR="00934A56" w:rsidRDefault="00B14EB0" w:rsidP="00B14EB0">
      <w:pPr>
        <w:pStyle w:val="BodyText"/>
        <w:numPr>
          <w:ilvl w:val="0"/>
          <w:numId w:val="12"/>
        </w:numPr>
      </w:pPr>
      <w:r>
        <w:t xml:space="preserve">Influential observation assessment (testing stability of estimates if </w:t>
      </w:r>
      <w:r w:rsidR="008B4028">
        <w:t>low usage, or high usage, or units with large residuals are removed).</w:t>
      </w:r>
    </w:p>
    <w:p w:rsidR="001E7143" w:rsidRDefault="00934A56">
      <w:pPr>
        <w:pStyle w:val="BodyText"/>
        <w:numPr>
          <w:ilvl w:val="0"/>
          <w:numId w:val="12"/>
        </w:numPr>
      </w:pPr>
      <w:proofErr w:type="spellStart"/>
      <w:r>
        <w:t>Heteroskedasticity</w:t>
      </w:r>
      <w:proofErr w:type="spellEnd"/>
      <w:r>
        <w:t xml:space="preserve"> diagnostics and applicable corrections</w:t>
      </w:r>
    </w:p>
    <w:p w:rsidR="005F53FD" w:rsidRDefault="004D24A2" w:rsidP="00CC726B">
      <w:pPr>
        <w:pStyle w:val="Heading4"/>
        <w:rPr>
          <w:rFonts w:ascii="Franklin Gothic Book" w:hAnsi="Franklin Gothic Book"/>
          <w:b w:val="0"/>
          <w:bCs w:val="0"/>
          <w:color w:val="auto"/>
          <w:sz w:val="24"/>
          <w:szCs w:val="24"/>
        </w:rPr>
      </w:pPr>
      <w:r w:rsidRPr="00BC1F88">
        <w:rPr>
          <w:rFonts w:ascii="Franklin Gothic Book" w:hAnsi="Franklin Gothic Book"/>
          <w:b w:val="0"/>
          <w:bCs w:val="0"/>
          <w:color w:val="auto"/>
          <w:sz w:val="24"/>
          <w:szCs w:val="24"/>
        </w:rPr>
        <w:t xml:space="preserve">The regression coefficients and t-statistics of the final </w:t>
      </w:r>
      <w:r w:rsidR="0063671C">
        <w:rPr>
          <w:rFonts w:ascii="Franklin Gothic Book" w:hAnsi="Franklin Gothic Book"/>
          <w:b w:val="0"/>
          <w:bCs w:val="0"/>
          <w:color w:val="auto"/>
          <w:sz w:val="24"/>
          <w:szCs w:val="24"/>
        </w:rPr>
        <w:t xml:space="preserve">cross-sectional </w:t>
      </w:r>
      <w:r w:rsidRPr="00BC1F88">
        <w:rPr>
          <w:rFonts w:ascii="Franklin Gothic Book" w:hAnsi="Franklin Gothic Book"/>
          <w:b w:val="0"/>
          <w:bCs w:val="0"/>
          <w:color w:val="auto"/>
          <w:sz w:val="24"/>
          <w:szCs w:val="24"/>
        </w:rPr>
        <w:t>model are presented below.</w:t>
      </w:r>
      <w:r w:rsidR="00BC1F88">
        <w:rPr>
          <w:rFonts w:ascii="Franklin Gothic Book" w:hAnsi="Franklin Gothic Book"/>
          <w:b w:val="0"/>
          <w:bCs w:val="0"/>
          <w:color w:val="auto"/>
          <w:sz w:val="24"/>
          <w:szCs w:val="24"/>
        </w:rPr>
        <w:t xml:space="preserve"> </w:t>
      </w:r>
    </w:p>
    <w:p w:rsidR="005F53FD" w:rsidRDefault="005F53FD" w:rsidP="005F53FD">
      <w:pPr>
        <w:pStyle w:val="Caption"/>
      </w:pPr>
      <w:proofErr w:type="gramStart"/>
      <w:r>
        <w:t xml:space="preserve">Table </w:t>
      </w:r>
      <w:r w:rsidR="00AE2BB9">
        <w:fldChar w:fldCharType="begin"/>
      </w:r>
      <w:r>
        <w:instrText xml:space="preserve"> SEQ Table \* ARABIC </w:instrText>
      </w:r>
      <w:r w:rsidR="00AE2BB9">
        <w:fldChar w:fldCharType="separate"/>
      </w:r>
      <w:r w:rsidR="00DE2A35">
        <w:rPr>
          <w:noProof/>
        </w:rPr>
        <w:t>8</w:t>
      </w:r>
      <w:r w:rsidR="00AE2BB9">
        <w:fldChar w:fldCharType="end"/>
      </w:r>
      <w:r>
        <w:t>.</w:t>
      </w:r>
      <w:proofErr w:type="gramEnd"/>
      <w:r>
        <w:t xml:space="preserve"> Cross-Sectional Regression Coefficients</w:t>
      </w:r>
    </w:p>
    <w:p w:rsidR="0053523D" w:rsidRPr="005F53FD" w:rsidRDefault="005F53FD" w:rsidP="005F53FD">
      <w:pPr>
        <w:pStyle w:val="Caption"/>
      </w:pPr>
      <w:r>
        <w:t>Dependent variable: Peak kW (n=130, Adjusted R</w:t>
      </w:r>
      <w:r w:rsidR="000C3D83" w:rsidRPr="000C3D83">
        <w:rPr>
          <w:vertAlign w:val="superscript"/>
        </w:rPr>
        <w:t>2</w:t>
      </w:r>
      <w:r>
        <w:t>=0.</w:t>
      </w:r>
      <w:r w:rsidR="009051C3">
        <w:t>26</w:t>
      </w:r>
      <w:r>
        <w:t xml:space="preserve">) </w:t>
      </w:r>
    </w:p>
    <w:tbl>
      <w:tblPr>
        <w:tblStyle w:val="TableGrid"/>
        <w:tblW w:w="5000" w:type="pct"/>
        <w:tblLook w:val="04A0"/>
      </w:tblPr>
      <w:tblGrid>
        <w:gridCol w:w="3436"/>
        <w:gridCol w:w="2270"/>
        <w:gridCol w:w="2480"/>
        <w:gridCol w:w="1390"/>
      </w:tblGrid>
      <w:tr w:rsidR="0051441E" w:rsidRPr="0051441E" w:rsidTr="005F53FD">
        <w:trPr>
          <w:trHeight w:val="288"/>
        </w:trPr>
        <w:tc>
          <w:tcPr>
            <w:tcW w:w="1794" w:type="pct"/>
            <w:shd w:val="clear" w:color="auto" w:fill="BFBFBF" w:themeFill="background1" w:themeFillShade="BF"/>
            <w:noWrap/>
            <w:hideMark/>
          </w:tcPr>
          <w:p w:rsidR="001E7143" w:rsidRDefault="000C3D83">
            <w:r w:rsidRPr="000C3D83">
              <w:rPr>
                <w:b/>
              </w:rPr>
              <w:t>Variable</w:t>
            </w:r>
          </w:p>
        </w:tc>
        <w:tc>
          <w:tcPr>
            <w:tcW w:w="1185" w:type="pct"/>
            <w:shd w:val="clear" w:color="auto" w:fill="BFBFBF" w:themeFill="background1" w:themeFillShade="BF"/>
            <w:noWrap/>
            <w:hideMark/>
          </w:tcPr>
          <w:p w:rsidR="001E7143" w:rsidRDefault="000C3D83">
            <w:r w:rsidRPr="000C3D83">
              <w:rPr>
                <w:b/>
              </w:rPr>
              <w:t>Coefficient</w:t>
            </w:r>
          </w:p>
        </w:tc>
        <w:tc>
          <w:tcPr>
            <w:tcW w:w="1295" w:type="pct"/>
            <w:shd w:val="clear" w:color="auto" w:fill="BFBFBF" w:themeFill="background1" w:themeFillShade="BF"/>
            <w:noWrap/>
            <w:hideMark/>
          </w:tcPr>
          <w:p w:rsidR="001E7143" w:rsidRDefault="000C3D83">
            <w:r w:rsidRPr="000C3D83">
              <w:rPr>
                <w:b/>
              </w:rPr>
              <w:t>Standard Error</w:t>
            </w:r>
          </w:p>
        </w:tc>
        <w:tc>
          <w:tcPr>
            <w:tcW w:w="726" w:type="pct"/>
            <w:shd w:val="clear" w:color="auto" w:fill="BFBFBF" w:themeFill="background1" w:themeFillShade="BF"/>
            <w:noWrap/>
            <w:hideMark/>
          </w:tcPr>
          <w:p w:rsidR="001E7143" w:rsidRDefault="000C3D83">
            <w:r w:rsidRPr="000C3D83">
              <w:rPr>
                <w:b/>
              </w:rPr>
              <w:t>t-statistic</w:t>
            </w:r>
          </w:p>
        </w:tc>
      </w:tr>
      <w:tr w:rsidR="009051C3" w:rsidRPr="0051441E" w:rsidTr="00F95D43">
        <w:trPr>
          <w:trHeight w:val="288"/>
        </w:trPr>
        <w:tc>
          <w:tcPr>
            <w:tcW w:w="1794" w:type="pct"/>
            <w:noWrap/>
            <w:hideMark/>
          </w:tcPr>
          <w:p w:rsidR="009051C3" w:rsidRDefault="009051C3">
            <w:r>
              <w:t>Side-by-Side (dummy)</w:t>
            </w:r>
          </w:p>
        </w:tc>
        <w:tc>
          <w:tcPr>
            <w:tcW w:w="1185" w:type="pct"/>
            <w:noWrap/>
            <w:vAlign w:val="bottom"/>
            <w:hideMark/>
          </w:tcPr>
          <w:p w:rsidR="009051C3" w:rsidRPr="009051C3" w:rsidRDefault="009051C3">
            <w:r w:rsidRPr="009051C3">
              <w:rPr>
                <w:rFonts w:cs="Calibri"/>
                <w:color w:val="000000"/>
                <w:sz w:val="22"/>
                <w:szCs w:val="22"/>
              </w:rPr>
              <w:t>0.04920</w:t>
            </w:r>
          </w:p>
        </w:tc>
        <w:tc>
          <w:tcPr>
            <w:tcW w:w="1295" w:type="pct"/>
            <w:noWrap/>
            <w:vAlign w:val="bottom"/>
            <w:hideMark/>
          </w:tcPr>
          <w:p w:rsidR="009051C3" w:rsidRPr="009051C3" w:rsidRDefault="009051C3">
            <w:r w:rsidRPr="009051C3">
              <w:rPr>
                <w:rFonts w:cs="Calibri"/>
                <w:color w:val="000000"/>
                <w:sz w:val="22"/>
                <w:szCs w:val="22"/>
              </w:rPr>
              <w:t>0.01960</w:t>
            </w:r>
          </w:p>
        </w:tc>
        <w:tc>
          <w:tcPr>
            <w:tcW w:w="726" w:type="pct"/>
            <w:noWrap/>
            <w:vAlign w:val="bottom"/>
            <w:hideMark/>
          </w:tcPr>
          <w:p w:rsidR="009051C3" w:rsidRPr="009051C3" w:rsidRDefault="009051C3">
            <w:r w:rsidRPr="009051C3">
              <w:rPr>
                <w:rFonts w:cs="Calibri"/>
                <w:color w:val="000000"/>
                <w:sz w:val="22"/>
                <w:szCs w:val="22"/>
              </w:rPr>
              <w:t>2.51</w:t>
            </w:r>
          </w:p>
        </w:tc>
      </w:tr>
      <w:tr w:rsidR="009051C3" w:rsidRPr="0051441E" w:rsidTr="00F95D43">
        <w:trPr>
          <w:trHeight w:val="288"/>
        </w:trPr>
        <w:tc>
          <w:tcPr>
            <w:tcW w:w="1794" w:type="pct"/>
            <w:noWrap/>
            <w:hideMark/>
          </w:tcPr>
          <w:p w:rsidR="009051C3" w:rsidRDefault="009051C3">
            <w:r>
              <w:t>Freezer (dummy)</w:t>
            </w:r>
          </w:p>
        </w:tc>
        <w:tc>
          <w:tcPr>
            <w:tcW w:w="1185" w:type="pct"/>
            <w:noWrap/>
            <w:vAlign w:val="bottom"/>
            <w:hideMark/>
          </w:tcPr>
          <w:p w:rsidR="009051C3" w:rsidRPr="009051C3" w:rsidRDefault="009051C3">
            <w:r w:rsidRPr="009051C3">
              <w:rPr>
                <w:rFonts w:cs="Calibri"/>
                <w:color w:val="000000"/>
                <w:sz w:val="22"/>
                <w:szCs w:val="22"/>
              </w:rPr>
              <w:t>0.01988</w:t>
            </w:r>
          </w:p>
        </w:tc>
        <w:tc>
          <w:tcPr>
            <w:tcW w:w="1295" w:type="pct"/>
            <w:noWrap/>
            <w:vAlign w:val="bottom"/>
            <w:hideMark/>
          </w:tcPr>
          <w:p w:rsidR="009051C3" w:rsidRPr="009051C3" w:rsidRDefault="009051C3">
            <w:r w:rsidRPr="009051C3">
              <w:rPr>
                <w:rFonts w:cs="Calibri"/>
                <w:color w:val="000000"/>
                <w:sz w:val="22"/>
                <w:szCs w:val="22"/>
              </w:rPr>
              <w:t>0.01850</w:t>
            </w:r>
          </w:p>
        </w:tc>
        <w:tc>
          <w:tcPr>
            <w:tcW w:w="726" w:type="pct"/>
            <w:noWrap/>
            <w:vAlign w:val="bottom"/>
            <w:hideMark/>
          </w:tcPr>
          <w:p w:rsidR="009051C3" w:rsidRPr="009051C3" w:rsidRDefault="009051C3">
            <w:r w:rsidRPr="009051C3">
              <w:rPr>
                <w:rFonts w:cs="Calibri"/>
                <w:color w:val="000000"/>
                <w:sz w:val="22"/>
                <w:szCs w:val="22"/>
              </w:rPr>
              <w:t>1.07</w:t>
            </w:r>
          </w:p>
        </w:tc>
      </w:tr>
      <w:tr w:rsidR="009051C3" w:rsidRPr="0051441E" w:rsidTr="00F95D43">
        <w:trPr>
          <w:trHeight w:val="288"/>
        </w:trPr>
        <w:tc>
          <w:tcPr>
            <w:tcW w:w="1794" w:type="pct"/>
            <w:noWrap/>
            <w:hideMark/>
          </w:tcPr>
          <w:p w:rsidR="009051C3" w:rsidRDefault="009051C3">
            <w:r>
              <w:t>Age</w:t>
            </w:r>
          </w:p>
        </w:tc>
        <w:tc>
          <w:tcPr>
            <w:tcW w:w="1185" w:type="pct"/>
            <w:noWrap/>
            <w:vAlign w:val="bottom"/>
            <w:hideMark/>
          </w:tcPr>
          <w:p w:rsidR="009051C3" w:rsidRPr="009051C3" w:rsidRDefault="009051C3">
            <w:r w:rsidRPr="009051C3">
              <w:rPr>
                <w:rFonts w:cs="Calibri"/>
                <w:color w:val="000000"/>
                <w:sz w:val="22"/>
                <w:szCs w:val="22"/>
              </w:rPr>
              <w:t>0.01199</w:t>
            </w:r>
          </w:p>
        </w:tc>
        <w:tc>
          <w:tcPr>
            <w:tcW w:w="1295" w:type="pct"/>
            <w:noWrap/>
            <w:vAlign w:val="bottom"/>
            <w:hideMark/>
          </w:tcPr>
          <w:p w:rsidR="009051C3" w:rsidRPr="009051C3" w:rsidRDefault="009051C3">
            <w:r w:rsidRPr="009051C3">
              <w:rPr>
                <w:rFonts w:cs="Calibri"/>
                <w:color w:val="000000"/>
                <w:sz w:val="22"/>
                <w:szCs w:val="22"/>
              </w:rPr>
              <w:t>0.00233</w:t>
            </w:r>
          </w:p>
        </w:tc>
        <w:tc>
          <w:tcPr>
            <w:tcW w:w="726" w:type="pct"/>
            <w:noWrap/>
            <w:vAlign w:val="bottom"/>
            <w:hideMark/>
          </w:tcPr>
          <w:p w:rsidR="009051C3" w:rsidRPr="009051C3" w:rsidRDefault="009051C3">
            <w:r w:rsidRPr="009051C3">
              <w:rPr>
                <w:rFonts w:cs="Calibri"/>
                <w:color w:val="000000"/>
                <w:sz w:val="22"/>
                <w:szCs w:val="22"/>
              </w:rPr>
              <w:t>5.15</w:t>
            </w:r>
          </w:p>
        </w:tc>
      </w:tr>
      <w:tr w:rsidR="009051C3" w:rsidRPr="0051441E" w:rsidTr="00F95D43">
        <w:trPr>
          <w:trHeight w:val="288"/>
        </w:trPr>
        <w:tc>
          <w:tcPr>
            <w:tcW w:w="1794" w:type="pct"/>
            <w:noWrap/>
            <w:hideMark/>
          </w:tcPr>
          <w:p w:rsidR="009051C3" w:rsidRDefault="009051C3">
            <w:r>
              <w:t>Age-squared</w:t>
            </w:r>
          </w:p>
        </w:tc>
        <w:tc>
          <w:tcPr>
            <w:tcW w:w="1185" w:type="pct"/>
            <w:noWrap/>
            <w:vAlign w:val="bottom"/>
            <w:hideMark/>
          </w:tcPr>
          <w:p w:rsidR="009051C3" w:rsidRPr="009051C3" w:rsidRDefault="009051C3">
            <w:r w:rsidRPr="009051C3">
              <w:rPr>
                <w:rFonts w:cs="Calibri"/>
                <w:color w:val="000000"/>
                <w:sz w:val="22"/>
                <w:szCs w:val="22"/>
              </w:rPr>
              <w:t>-0.0001443</w:t>
            </w:r>
          </w:p>
        </w:tc>
        <w:tc>
          <w:tcPr>
            <w:tcW w:w="1295" w:type="pct"/>
            <w:noWrap/>
            <w:vAlign w:val="bottom"/>
            <w:hideMark/>
          </w:tcPr>
          <w:p w:rsidR="009051C3" w:rsidRPr="009051C3" w:rsidRDefault="009051C3">
            <w:r w:rsidRPr="009051C3">
              <w:rPr>
                <w:rFonts w:cs="Calibri"/>
                <w:color w:val="000000"/>
                <w:sz w:val="22"/>
                <w:szCs w:val="22"/>
              </w:rPr>
              <w:t>0.00004</w:t>
            </w:r>
          </w:p>
        </w:tc>
        <w:tc>
          <w:tcPr>
            <w:tcW w:w="726" w:type="pct"/>
            <w:noWrap/>
            <w:vAlign w:val="bottom"/>
            <w:hideMark/>
          </w:tcPr>
          <w:p w:rsidR="009051C3" w:rsidRPr="009051C3" w:rsidRDefault="009051C3">
            <w:r w:rsidRPr="009051C3">
              <w:rPr>
                <w:rFonts w:cs="Calibri"/>
                <w:color w:val="000000"/>
                <w:sz w:val="22"/>
                <w:szCs w:val="22"/>
              </w:rPr>
              <w:t>-3.89</w:t>
            </w:r>
          </w:p>
        </w:tc>
      </w:tr>
      <w:tr w:rsidR="009051C3" w:rsidRPr="0051441E" w:rsidTr="00F95D43">
        <w:trPr>
          <w:trHeight w:val="288"/>
        </w:trPr>
        <w:tc>
          <w:tcPr>
            <w:tcW w:w="1794" w:type="pct"/>
            <w:noWrap/>
            <w:hideMark/>
          </w:tcPr>
          <w:p w:rsidR="009051C3" w:rsidRDefault="009051C3">
            <w:r>
              <w:t>Cubic Feet</w:t>
            </w:r>
          </w:p>
        </w:tc>
        <w:tc>
          <w:tcPr>
            <w:tcW w:w="1185" w:type="pct"/>
            <w:noWrap/>
            <w:vAlign w:val="bottom"/>
            <w:hideMark/>
          </w:tcPr>
          <w:p w:rsidR="009051C3" w:rsidRPr="009051C3" w:rsidRDefault="009051C3">
            <w:r w:rsidRPr="009051C3">
              <w:rPr>
                <w:rFonts w:cs="Calibri"/>
                <w:color w:val="000000"/>
                <w:sz w:val="22"/>
                <w:szCs w:val="22"/>
              </w:rPr>
              <w:t>0.001156</w:t>
            </w:r>
          </w:p>
        </w:tc>
        <w:tc>
          <w:tcPr>
            <w:tcW w:w="1295" w:type="pct"/>
            <w:noWrap/>
            <w:vAlign w:val="bottom"/>
            <w:hideMark/>
          </w:tcPr>
          <w:p w:rsidR="009051C3" w:rsidRPr="009051C3" w:rsidRDefault="009051C3">
            <w:r w:rsidRPr="009051C3">
              <w:rPr>
                <w:rFonts w:cs="Calibri"/>
                <w:color w:val="000000"/>
                <w:sz w:val="22"/>
                <w:szCs w:val="22"/>
              </w:rPr>
              <w:t>0.00194</w:t>
            </w:r>
          </w:p>
        </w:tc>
        <w:tc>
          <w:tcPr>
            <w:tcW w:w="726" w:type="pct"/>
            <w:noWrap/>
            <w:vAlign w:val="bottom"/>
            <w:hideMark/>
          </w:tcPr>
          <w:p w:rsidR="009051C3" w:rsidRPr="009051C3" w:rsidRDefault="009051C3">
            <w:r w:rsidRPr="009051C3">
              <w:rPr>
                <w:rFonts w:cs="Calibri"/>
                <w:color w:val="000000"/>
                <w:sz w:val="22"/>
                <w:szCs w:val="22"/>
              </w:rPr>
              <w:t>0.60</w:t>
            </w:r>
          </w:p>
        </w:tc>
      </w:tr>
      <w:tr w:rsidR="009051C3" w:rsidRPr="0051441E" w:rsidTr="00F95D43">
        <w:trPr>
          <w:trHeight w:val="288"/>
        </w:trPr>
        <w:tc>
          <w:tcPr>
            <w:tcW w:w="1794" w:type="pct"/>
            <w:noWrap/>
            <w:hideMark/>
          </w:tcPr>
          <w:p w:rsidR="009051C3" w:rsidRDefault="009051C3">
            <w:r>
              <w:t>Manual Defrost</w:t>
            </w:r>
          </w:p>
        </w:tc>
        <w:tc>
          <w:tcPr>
            <w:tcW w:w="1185" w:type="pct"/>
            <w:noWrap/>
            <w:vAlign w:val="bottom"/>
            <w:hideMark/>
          </w:tcPr>
          <w:p w:rsidR="009051C3" w:rsidRPr="009051C3" w:rsidRDefault="009051C3">
            <w:r w:rsidRPr="009051C3">
              <w:rPr>
                <w:rFonts w:cs="Calibri"/>
                <w:color w:val="000000"/>
                <w:sz w:val="22"/>
                <w:szCs w:val="22"/>
              </w:rPr>
              <w:t>-0.04503</w:t>
            </w:r>
          </w:p>
        </w:tc>
        <w:tc>
          <w:tcPr>
            <w:tcW w:w="1295" w:type="pct"/>
            <w:noWrap/>
            <w:vAlign w:val="bottom"/>
            <w:hideMark/>
          </w:tcPr>
          <w:p w:rsidR="009051C3" w:rsidRPr="009051C3" w:rsidRDefault="009051C3">
            <w:r w:rsidRPr="009051C3">
              <w:rPr>
                <w:rFonts w:cs="Calibri"/>
                <w:color w:val="000000"/>
                <w:sz w:val="22"/>
                <w:szCs w:val="22"/>
              </w:rPr>
              <w:t>0.01767</w:t>
            </w:r>
          </w:p>
        </w:tc>
        <w:tc>
          <w:tcPr>
            <w:tcW w:w="726" w:type="pct"/>
            <w:noWrap/>
            <w:vAlign w:val="bottom"/>
            <w:hideMark/>
          </w:tcPr>
          <w:p w:rsidR="009051C3" w:rsidRPr="009051C3" w:rsidRDefault="009051C3">
            <w:r w:rsidRPr="009051C3">
              <w:rPr>
                <w:rFonts w:cs="Calibri"/>
                <w:color w:val="000000"/>
                <w:sz w:val="22"/>
                <w:szCs w:val="22"/>
              </w:rPr>
              <w:t>-2.55</w:t>
            </w:r>
          </w:p>
        </w:tc>
      </w:tr>
      <w:tr w:rsidR="009051C3" w:rsidRPr="0051441E" w:rsidTr="00F95D43">
        <w:trPr>
          <w:trHeight w:val="288"/>
        </w:trPr>
        <w:tc>
          <w:tcPr>
            <w:tcW w:w="1794" w:type="pct"/>
            <w:noWrap/>
            <w:hideMark/>
          </w:tcPr>
          <w:p w:rsidR="009051C3" w:rsidRDefault="009051C3">
            <w:r>
              <w:t>Garage, Porch or Patio (dummy)</w:t>
            </w:r>
          </w:p>
        </w:tc>
        <w:tc>
          <w:tcPr>
            <w:tcW w:w="1185" w:type="pct"/>
            <w:noWrap/>
            <w:vAlign w:val="bottom"/>
            <w:hideMark/>
          </w:tcPr>
          <w:p w:rsidR="009051C3" w:rsidRPr="009051C3" w:rsidRDefault="009051C3">
            <w:r w:rsidRPr="009051C3">
              <w:rPr>
                <w:rFonts w:cs="Calibri"/>
                <w:color w:val="000000"/>
                <w:sz w:val="22"/>
                <w:szCs w:val="22"/>
              </w:rPr>
              <w:t>0.04681</w:t>
            </w:r>
          </w:p>
        </w:tc>
        <w:tc>
          <w:tcPr>
            <w:tcW w:w="1295" w:type="pct"/>
            <w:noWrap/>
            <w:vAlign w:val="bottom"/>
            <w:hideMark/>
          </w:tcPr>
          <w:p w:rsidR="009051C3" w:rsidRPr="009051C3" w:rsidRDefault="009051C3">
            <w:r w:rsidRPr="009051C3">
              <w:rPr>
                <w:rFonts w:cs="Calibri"/>
                <w:color w:val="000000"/>
                <w:sz w:val="22"/>
                <w:szCs w:val="22"/>
              </w:rPr>
              <w:t>0.01416</w:t>
            </w:r>
          </w:p>
        </w:tc>
        <w:tc>
          <w:tcPr>
            <w:tcW w:w="726" w:type="pct"/>
            <w:noWrap/>
            <w:vAlign w:val="bottom"/>
            <w:hideMark/>
          </w:tcPr>
          <w:p w:rsidR="009051C3" w:rsidRPr="009051C3" w:rsidRDefault="009051C3">
            <w:r w:rsidRPr="009051C3">
              <w:rPr>
                <w:rFonts w:cs="Calibri"/>
                <w:color w:val="000000"/>
                <w:sz w:val="22"/>
                <w:szCs w:val="22"/>
              </w:rPr>
              <w:t>3.31</w:t>
            </w:r>
          </w:p>
        </w:tc>
      </w:tr>
      <w:tr w:rsidR="009051C3" w:rsidRPr="0051441E" w:rsidTr="00F95D43">
        <w:trPr>
          <w:trHeight w:val="288"/>
        </w:trPr>
        <w:tc>
          <w:tcPr>
            <w:tcW w:w="1794" w:type="pct"/>
            <w:noWrap/>
            <w:hideMark/>
          </w:tcPr>
          <w:p w:rsidR="009051C3" w:rsidRDefault="009051C3">
            <w:r>
              <w:t>Constant</w:t>
            </w:r>
          </w:p>
        </w:tc>
        <w:tc>
          <w:tcPr>
            <w:tcW w:w="1185" w:type="pct"/>
            <w:noWrap/>
            <w:vAlign w:val="bottom"/>
            <w:hideMark/>
          </w:tcPr>
          <w:p w:rsidR="009051C3" w:rsidRPr="009051C3" w:rsidRDefault="009051C3">
            <w:r w:rsidRPr="009051C3">
              <w:rPr>
                <w:rFonts w:cs="Calibri"/>
                <w:color w:val="000000"/>
                <w:sz w:val="22"/>
                <w:szCs w:val="22"/>
              </w:rPr>
              <w:t>-0.09662</w:t>
            </w:r>
          </w:p>
        </w:tc>
        <w:tc>
          <w:tcPr>
            <w:tcW w:w="1295" w:type="pct"/>
            <w:noWrap/>
            <w:vAlign w:val="bottom"/>
            <w:hideMark/>
          </w:tcPr>
          <w:p w:rsidR="009051C3" w:rsidRPr="009051C3" w:rsidRDefault="009051C3">
            <w:r w:rsidRPr="009051C3">
              <w:rPr>
                <w:rFonts w:cs="Calibri"/>
                <w:color w:val="000000"/>
                <w:sz w:val="22"/>
                <w:szCs w:val="22"/>
              </w:rPr>
              <w:t>0.04661</w:t>
            </w:r>
          </w:p>
        </w:tc>
        <w:tc>
          <w:tcPr>
            <w:tcW w:w="726" w:type="pct"/>
            <w:noWrap/>
            <w:vAlign w:val="bottom"/>
            <w:hideMark/>
          </w:tcPr>
          <w:p w:rsidR="009051C3" w:rsidRPr="009051C3" w:rsidRDefault="009051C3">
            <w:r w:rsidRPr="009051C3">
              <w:rPr>
                <w:rFonts w:cs="Calibri"/>
                <w:color w:val="000000"/>
                <w:sz w:val="22"/>
                <w:szCs w:val="22"/>
              </w:rPr>
              <w:t>-2.07</w:t>
            </w:r>
          </w:p>
        </w:tc>
      </w:tr>
    </w:tbl>
    <w:p w:rsidR="009124B2" w:rsidRDefault="009124B2" w:rsidP="009124B2"/>
    <w:p w:rsidR="001E7143" w:rsidRDefault="0063671C">
      <w:pPr>
        <w:pStyle w:val="BodyText"/>
        <w:spacing w:before="240"/>
      </w:pPr>
      <w:r>
        <w:t xml:space="preserve">To calculate per-unit savings in each year, we entered verified ex post participant population averages into the regression model. These values are reported in Appendix </w:t>
      </w:r>
      <w:fldSimple w:instr=" REF _Ref322682678 \h  \* MERGEFORMAT ">
        <w:r w:rsidR="007A1DC0" w:rsidRPr="00E82FF0">
          <w:t xml:space="preserve">Table </w:t>
        </w:r>
        <w:r w:rsidR="007A1DC0">
          <w:rPr>
            <w:noProof/>
          </w:rPr>
          <w:t>11</w:t>
        </w:r>
      </w:fldSimple>
      <w:r>
        <w:t>.</w:t>
      </w:r>
    </w:p>
    <w:p w:rsidR="00116A1D" w:rsidRPr="00CC726B" w:rsidRDefault="00116A1D" w:rsidP="00FA43E1">
      <w:pPr>
        <w:pStyle w:val="Heading3"/>
        <w:numPr>
          <w:ilvl w:val="0"/>
          <w:numId w:val="11"/>
        </w:numPr>
        <w:ind w:left="1080" w:hanging="540"/>
      </w:pPr>
      <w:r>
        <w:t>Part-Use Factor</w:t>
      </w:r>
    </w:p>
    <w:p w:rsidR="0099056B" w:rsidRPr="0099056B" w:rsidRDefault="0099056B" w:rsidP="0099056B">
      <w:pPr>
        <w:pStyle w:val="BodyText"/>
      </w:pPr>
      <w:r>
        <w:t xml:space="preserve">The part-use factor reflects the mean proportion of months that appliances are plugged in </w:t>
      </w:r>
      <w:r>
        <w:lastRenderedPageBreak/>
        <w:t>and in use in participants’ homes. Participants reported whether the appliance was in use for the full year prior to recycling, or whether it was in use for a portion of the year, and if so, the number of months. Therefore</w:t>
      </w:r>
      <w:r w:rsidR="00DE2A35">
        <w:t>,</w:t>
      </w:r>
      <w:r>
        <w:t xml:space="preserve"> the part-use factor reflects the likely proportion of the participant population (of appliances) that would have been plugged in and in use in a resource year, if the units were not recycled.</w:t>
      </w:r>
      <w:r w:rsidR="00024E4C">
        <w:rPr>
          <w:rStyle w:val="FootnoteReference"/>
        </w:rPr>
        <w:footnoteReference w:id="9"/>
      </w:r>
      <w:r>
        <w:t xml:space="preserve"> </w:t>
      </w:r>
      <w:r w:rsidR="00AE2BB9">
        <w:fldChar w:fldCharType="begin"/>
      </w:r>
      <w:r>
        <w:instrText xml:space="preserve"> REF _Ref322675101 \h </w:instrText>
      </w:r>
      <w:r w:rsidR="00AE2BB9">
        <w:fldChar w:fldCharType="separate"/>
      </w:r>
      <w:r w:rsidR="00DE2A35">
        <w:t xml:space="preserve">Table </w:t>
      </w:r>
      <w:r w:rsidR="00DE2A35">
        <w:rPr>
          <w:noProof/>
        </w:rPr>
        <w:t>9</w:t>
      </w:r>
      <w:r w:rsidR="00AE2BB9">
        <w:fldChar w:fldCharType="end"/>
      </w:r>
      <w:r>
        <w:t xml:space="preserve"> contains each year’s part-use factor and relative precision at 90% confidence in a one-tailed t-test.</w:t>
      </w:r>
    </w:p>
    <w:p w:rsidR="0053523D" w:rsidRDefault="0053523D" w:rsidP="00FA43E1">
      <w:pPr>
        <w:pStyle w:val="Heading3"/>
        <w:numPr>
          <w:ilvl w:val="0"/>
          <w:numId w:val="11"/>
        </w:numPr>
        <w:ind w:left="1080" w:hanging="540"/>
      </w:pPr>
      <w:r>
        <w:t xml:space="preserve">Peak Demand </w:t>
      </w:r>
      <w:r w:rsidR="00116406">
        <w:t xml:space="preserve">Savings </w:t>
      </w:r>
      <w:r>
        <w:t>Estimates</w:t>
      </w:r>
    </w:p>
    <w:p w:rsidR="00DB2D4A" w:rsidRDefault="007539FB" w:rsidP="00DB2D4A">
      <w:pPr>
        <w:pStyle w:val="BodyText"/>
      </w:pPr>
      <w:r>
        <w:t xml:space="preserve">Peak demand savings in each year are calculated by multiplying gross kW savings per unit, the part-use factor, and the number of units recycled through the program. </w:t>
      </w:r>
      <w:r w:rsidR="00FA43E1">
        <w:t>Precision estimates for adjusted gross savings propagate the standard errors of per unit savings estimates and part-use factor estimates.</w:t>
      </w:r>
      <w:r w:rsidR="00FA43E1">
        <w:rPr>
          <w:rStyle w:val="FootnoteReference"/>
        </w:rPr>
        <w:footnoteReference w:id="10"/>
      </w:r>
    </w:p>
    <w:p w:rsidR="00116406" w:rsidRDefault="0099056B" w:rsidP="0099056B">
      <w:pPr>
        <w:pStyle w:val="Caption"/>
      </w:pPr>
      <w:bookmarkStart w:id="6" w:name="_Ref322675101"/>
      <w:proofErr w:type="gramStart"/>
      <w:r>
        <w:t xml:space="preserve">Table </w:t>
      </w:r>
      <w:r w:rsidR="00AE2BB9">
        <w:fldChar w:fldCharType="begin"/>
      </w:r>
      <w:r w:rsidR="005F53FD">
        <w:instrText xml:space="preserve"> SEQ Table \* ARABIC </w:instrText>
      </w:r>
      <w:r w:rsidR="00AE2BB9">
        <w:fldChar w:fldCharType="separate"/>
      </w:r>
      <w:r w:rsidR="00DE2A35">
        <w:rPr>
          <w:noProof/>
        </w:rPr>
        <w:t>9</w:t>
      </w:r>
      <w:r w:rsidR="00AE2BB9">
        <w:fldChar w:fldCharType="end"/>
      </w:r>
      <w:bookmarkEnd w:id="6"/>
      <w:r>
        <w:t>.</w:t>
      </w:r>
      <w:proofErr w:type="gramEnd"/>
      <w:r>
        <w:t xml:space="preserve"> Nominated EE Value Calcu</w:t>
      </w:r>
      <w:r w:rsidR="00403EC0">
        <w:t>la</w:t>
      </w:r>
      <w:r>
        <w:t>tion</w:t>
      </w:r>
    </w:p>
    <w:tbl>
      <w:tblPr>
        <w:tblStyle w:val="TableGrid"/>
        <w:tblW w:w="10415" w:type="dxa"/>
        <w:tblBorders>
          <w:insideH w:val="none" w:sz="0" w:space="0" w:color="auto"/>
          <w:insideV w:val="none" w:sz="0" w:space="0" w:color="auto"/>
        </w:tblBorders>
        <w:tblLook w:val="04A0"/>
      </w:tblPr>
      <w:tblGrid>
        <w:gridCol w:w="3488"/>
        <w:gridCol w:w="2309"/>
        <w:gridCol w:w="2309"/>
        <w:gridCol w:w="2309"/>
      </w:tblGrid>
      <w:tr w:rsidR="00403EC0" w:rsidRPr="00BC1F88" w:rsidTr="00403EC0">
        <w:trPr>
          <w:trHeight w:val="256"/>
        </w:trPr>
        <w:tc>
          <w:tcPr>
            <w:tcW w:w="3488" w:type="dxa"/>
            <w:shd w:val="clear" w:color="auto" w:fill="D9D9D9" w:themeFill="background1" w:themeFillShade="D9"/>
            <w:noWrap/>
            <w:hideMark/>
          </w:tcPr>
          <w:p w:rsidR="00403EC0" w:rsidRPr="00BC1F88" w:rsidRDefault="00403EC0" w:rsidP="00BC1F88">
            <w:pPr>
              <w:pStyle w:val="BodyText"/>
              <w:spacing w:after="40"/>
              <w:rPr>
                <w:b/>
                <w:sz w:val="22"/>
                <w:szCs w:val="22"/>
              </w:rPr>
            </w:pPr>
          </w:p>
        </w:tc>
        <w:tc>
          <w:tcPr>
            <w:tcW w:w="2309" w:type="dxa"/>
            <w:shd w:val="clear" w:color="auto" w:fill="D9D9D9" w:themeFill="background1" w:themeFillShade="D9"/>
            <w:noWrap/>
            <w:vAlign w:val="bottom"/>
            <w:hideMark/>
          </w:tcPr>
          <w:p w:rsidR="00403EC0" w:rsidRPr="00BC1F88" w:rsidRDefault="00403EC0" w:rsidP="00BC1F88">
            <w:pPr>
              <w:pStyle w:val="BodyText"/>
              <w:spacing w:after="40"/>
              <w:jc w:val="center"/>
              <w:rPr>
                <w:b/>
                <w:sz w:val="22"/>
                <w:szCs w:val="22"/>
              </w:rPr>
            </w:pPr>
            <w:r>
              <w:rPr>
                <w:b/>
                <w:sz w:val="22"/>
                <w:szCs w:val="22"/>
              </w:rPr>
              <w:t>PY1</w:t>
            </w:r>
          </w:p>
        </w:tc>
        <w:tc>
          <w:tcPr>
            <w:tcW w:w="2309" w:type="dxa"/>
            <w:shd w:val="clear" w:color="auto" w:fill="D9D9D9" w:themeFill="background1" w:themeFillShade="D9"/>
            <w:noWrap/>
            <w:vAlign w:val="bottom"/>
            <w:hideMark/>
          </w:tcPr>
          <w:p w:rsidR="00403EC0" w:rsidRPr="00BC1F88" w:rsidRDefault="00403EC0" w:rsidP="00BC1F88">
            <w:pPr>
              <w:pStyle w:val="BodyText"/>
              <w:spacing w:after="40"/>
              <w:jc w:val="center"/>
              <w:rPr>
                <w:b/>
                <w:sz w:val="22"/>
                <w:szCs w:val="22"/>
              </w:rPr>
            </w:pPr>
            <w:r w:rsidRPr="00BC1F88">
              <w:rPr>
                <w:b/>
                <w:sz w:val="22"/>
                <w:szCs w:val="22"/>
              </w:rPr>
              <w:t>PY2</w:t>
            </w:r>
          </w:p>
        </w:tc>
        <w:tc>
          <w:tcPr>
            <w:tcW w:w="2309" w:type="dxa"/>
            <w:shd w:val="clear" w:color="auto" w:fill="D9D9D9" w:themeFill="background1" w:themeFillShade="D9"/>
            <w:noWrap/>
            <w:vAlign w:val="bottom"/>
            <w:hideMark/>
          </w:tcPr>
          <w:p w:rsidR="00403EC0" w:rsidRPr="00BC1F88" w:rsidRDefault="00403EC0" w:rsidP="00BC1F88">
            <w:pPr>
              <w:pStyle w:val="BodyText"/>
              <w:spacing w:after="40"/>
              <w:jc w:val="center"/>
              <w:rPr>
                <w:b/>
                <w:sz w:val="22"/>
                <w:szCs w:val="22"/>
              </w:rPr>
            </w:pPr>
            <w:r w:rsidRPr="00BC1F88">
              <w:rPr>
                <w:b/>
                <w:sz w:val="22"/>
                <w:szCs w:val="22"/>
              </w:rPr>
              <w:t>PY</w:t>
            </w:r>
            <w:r>
              <w:rPr>
                <w:b/>
                <w:sz w:val="22"/>
                <w:szCs w:val="22"/>
              </w:rPr>
              <w:t>3</w:t>
            </w:r>
          </w:p>
        </w:tc>
      </w:tr>
      <w:tr w:rsidR="00403EC0" w:rsidRPr="00BC1F88" w:rsidTr="00403EC0">
        <w:trPr>
          <w:trHeight w:val="256"/>
        </w:trPr>
        <w:tc>
          <w:tcPr>
            <w:tcW w:w="3488" w:type="dxa"/>
            <w:shd w:val="clear" w:color="auto" w:fill="F2F2F2" w:themeFill="background1" w:themeFillShade="F2"/>
            <w:noWrap/>
            <w:hideMark/>
          </w:tcPr>
          <w:p w:rsidR="00403EC0" w:rsidRPr="00BC1F88" w:rsidRDefault="00403EC0" w:rsidP="00BC1F88">
            <w:pPr>
              <w:pStyle w:val="BodyText"/>
              <w:spacing w:after="40"/>
              <w:rPr>
                <w:b/>
                <w:i/>
                <w:sz w:val="22"/>
                <w:szCs w:val="22"/>
              </w:rPr>
            </w:pPr>
            <w:r w:rsidRPr="00BC1F88">
              <w:rPr>
                <w:b/>
                <w:i/>
                <w:sz w:val="22"/>
                <w:szCs w:val="22"/>
              </w:rPr>
              <w:t>Per Unit Savings</w:t>
            </w:r>
          </w:p>
        </w:tc>
        <w:tc>
          <w:tcPr>
            <w:tcW w:w="2309" w:type="dxa"/>
            <w:shd w:val="clear" w:color="auto" w:fill="F2F2F2" w:themeFill="background1" w:themeFillShade="F2"/>
            <w:noWrap/>
            <w:hideMark/>
          </w:tcPr>
          <w:p w:rsidR="00403EC0" w:rsidRPr="00BC1F88" w:rsidRDefault="00403EC0" w:rsidP="00BC1F88">
            <w:pPr>
              <w:pStyle w:val="BodyText"/>
              <w:spacing w:after="40"/>
              <w:rPr>
                <w:b/>
                <w:bCs/>
                <w:i/>
                <w:sz w:val="22"/>
                <w:szCs w:val="22"/>
              </w:rPr>
            </w:pPr>
          </w:p>
        </w:tc>
        <w:tc>
          <w:tcPr>
            <w:tcW w:w="2309" w:type="dxa"/>
            <w:shd w:val="clear" w:color="auto" w:fill="F2F2F2" w:themeFill="background1" w:themeFillShade="F2"/>
            <w:noWrap/>
            <w:hideMark/>
          </w:tcPr>
          <w:p w:rsidR="00403EC0" w:rsidRPr="00BC1F88" w:rsidRDefault="00403EC0" w:rsidP="00BC1F88">
            <w:pPr>
              <w:pStyle w:val="BodyText"/>
              <w:spacing w:after="40"/>
              <w:rPr>
                <w:b/>
                <w:bCs/>
                <w:i/>
                <w:sz w:val="22"/>
                <w:szCs w:val="22"/>
              </w:rPr>
            </w:pPr>
          </w:p>
        </w:tc>
        <w:tc>
          <w:tcPr>
            <w:tcW w:w="2309" w:type="dxa"/>
            <w:shd w:val="clear" w:color="auto" w:fill="F2F2F2" w:themeFill="background1" w:themeFillShade="F2"/>
            <w:noWrap/>
            <w:hideMark/>
          </w:tcPr>
          <w:p w:rsidR="00403EC0" w:rsidRPr="00BC1F88" w:rsidRDefault="00403EC0" w:rsidP="00BC1F88">
            <w:pPr>
              <w:pStyle w:val="BodyText"/>
              <w:spacing w:after="40"/>
              <w:rPr>
                <w:b/>
                <w:bCs/>
                <w:i/>
                <w:sz w:val="22"/>
                <w:szCs w:val="22"/>
              </w:rPr>
            </w:pPr>
          </w:p>
        </w:tc>
      </w:tr>
      <w:tr w:rsidR="00934A56" w:rsidRPr="00BC1F88" w:rsidTr="001E7143">
        <w:trPr>
          <w:trHeight w:val="256"/>
        </w:trPr>
        <w:tc>
          <w:tcPr>
            <w:tcW w:w="3488" w:type="dxa"/>
            <w:noWrap/>
            <w:hideMark/>
          </w:tcPr>
          <w:p w:rsidR="00934A56" w:rsidRPr="00BC1F88" w:rsidRDefault="00934A56" w:rsidP="00BC1F88">
            <w:pPr>
              <w:pStyle w:val="BodyText"/>
              <w:spacing w:after="40"/>
              <w:rPr>
                <w:sz w:val="22"/>
                <w:szCs w:val="22"/>
              </w:rPr>
            </w:pPr>
            <w:r w:rsidRPr="00BC1F88">
              <w:rPr>
                <w:sz w:val="22"/>
                <w:szCs w:val="22"/>
              </w:rPr>
              <w:t>Gross kW</w:t>
            </w:r>
          </w:p>
        </w:tc>
        <w:tc>
          <w:tcPr>
            <w:tcW w:w="2309" w:type="dxa"/>
            <w:noWrap/>
            <w:vAlign w:val="bottom"/>
            <w:hideMark/>
          </w:tcPr>
          <w:p w:rsidR="001E7143" w:rsidRDefault="000C3D83">
            <w:pPr>
              <w:spacing w:after="40"/>
              <w:jc w:val="center"/>
              <w:rPr>
                <w:rFonts w:cs="Calibri"/>
                <w:color w:val="000000"/>
                <w:sz w:val="22"/>
                <w:szCs w:val="22"/>
              </w:rPr>
            </w:pPr>
            <w:r w:rsidRPr="000C3D83">
              <w:rPr>
                <w:rFonts w:cs="Calibri"/>
                <w:color w:val="000000"/>
                <w:sz w:val="22"/>
                <w:szCs w:val="22"/>
              </w:rPr>
              <w:t>0.14</w:t>
            </w:r>
            <w:r w:rsidR="00522D2E">
              <w:rPr>
                <w:rFonts w:cs="Calibri"/>
                <w:color w:val="000000"/>
                <w:sz w:val="22"/>
                <w:szCs w:val="22"/>
              </w:rPr>
              <w:t>7</w:t>
            </w:r>
          </w:p>
        </w:tc>
        <w:tc>
          <w:tcPr>
            <w:tcW w:w="2309" w:type="dxa"/>
            <w:noWrap/>
            <w:vAlign w:val="bottom"/>
            <w:hideMark/>
          </w:tcPr>
          <w:p w:rsidR="001E7143" w:rsidRDefault="000C3D83">
            <w:pPr>
              <w:spacing w:after="40"/>
              <w:jc w:val="center"/>
              <w:rPr>
                <w:rFonts w:cs="Calibri"/>
                <w:color w:val="000000"/>
                <w:sz w:val="22"/>
                <w:szCs w:val="22"/>
              </w:rPr>
            </w:pPr>
            <w:r w:rsidRPr="000C3D83">
              <w:rPr>
                <w:rFonts w:cs="Calibri"/>
                <w:color w:val="000000"/>
                <w:sz w:val="22"/>
                <w:szCs w:val="22"/>
              </w:rPr>
              <w:t>0.15</w:t>
            </w:r>
            <w:r w:rsidR="00522D2E">
              <w:rPr>
                <w:rFonts w:cs="Calibri"/>
                <w:color w:val="000000"/>
                <w:sz w:val="22"/>
                <w:szCs w:val="22"/>
              </w:rPr>
              <w:t>3</w:t>
            </w:r>
          </w:p>
        </w:tc>
        <w:tc>
          <w:tcPr>
            <w:tcW w:w="2309" w:type="dxa"/>
            <w:noWrap/>
            <w:vAlign w:val="bottom"/>
            <w:hideMark/>
          </w:tcPr>
          <w:p w:rsidR="001E7143" w:rsidRDefault="000C3D83">
            <w:pPr>
              <w:spacing w:after="40"/>
              <w:jc w:val="center"/>
              <w:rPr>
                <w:rFonts w:cs="Calibri"/>
                <w:color w:val="000000"/>
                <w:sz w:val="22"/>
                <w:szCs w:val="22"/>
              </w:rPr>
            </w:pPr>
            <w:r w:rsidRPr="000C3D83">
              <w:rPr>
                <w:rFonts w:cs="Calibri"/>
                <w:color w:val="000000"/>
                <w:sz w:val="22"/>
                <w:szCs w:val="22"/>
              </w:rPr>
              <w:t>0.1</w:t>
            </w:r>
            <w:r w:rsidR="00522D2E">
              <w:rPr>
                <w:rFonts w:cs="Calibri"/>
                <w:color w:val="000000"/>
                <w:sz w:val="22"/>
                <w:szCs w:val="22"/>
              </w:rPr>
              <w:t>60</w:t>
            </w:r>
          </w:p>
        </w:tc>
      </w:tr>
      <w:tr w:rsidR="00934A56" w:rsidRPr="00BC1F88" w:rsidTr="001E7143">
        <w:trPr>
          <w:trHeight w:val="256"/>
        </w:trPr>
        <w:tc>
          <w:tcPr>
            <w:tcW w:w="3488" w:type="dxa"/>
            <w:noWrap/>
            <w:hideMark/>
          </w:tcPr>
          <w:p w:rsidR="00934A56" w:rsidRDefault="00934A56" w:rsidP="00BC1F88">
            <w:pPr>
              <w:pStyle w:val="BodyText"/>
              <w:spacing w:after="40"/>
              <w:rPr>
                <w:sz w:val="22"/>
                <w:szCs w:val="22"/>
              </w:rPr>
            </w:pPr>
            <w:r>
              <w:rPr>
                <w:sz w:val="22"/>
                <w:szCs w:val="22"/>
              </w:rPr>
              <w:t xml:space="preserve">  Standard Error</w:t>
            </w:r>
          </w:p>
        </w:tc>
        <w:tc>
          <w:tcPr>
            <w:tcW w:w="2309" w:type="dxa"/>
            <w:noWrap/>
            <w:vAlign w:val="bottom"/>
            <w:hideMark/>
          </w:tcPr>
          <w:p w:rsidR="001E7143" w:rsidRDefault="000C3D83">
            <w:pPr>
              <w:spacing w:after="40"/>
              <w:jc w:val="center"/>
              <w:rPr>
                <w:rFonts w:cs="Calibri"/>
                <w:color w:val="000000"/>
                <w:sz w:val="22"/>
                <w:szCs w:val="22"/>
              </w:rPr>
            </w:pPr>
            <w:r w:rsidRPr="000C3D83">
              <w:rPr>
                <w:rFonts w:cs="Calibri"/>
                <w:color w:val="000000"/>
                <w:sz w:val="22"/>
                <w:szCs w:val="22"/>
              </w:rPr>
              <w:t>0.010</w:t>
            </w:r>
          </w:p>
        </w:tc>
        <w:tc>
          <w:tcPr>
            <w:tcW w:w="2309" w:type="dxa"/>
            <w:noWrap/>
            <w:vAlign w:val="bottom"/>
            <w:hideMark/>
          </w:tcPr>
          <w:p w:rsidR="001E7143" w:rsidRDefault="000C3D83">
            <w:pPr>
              <w:spacing w:after="40"/>
              <w:jc w:val="center"/>
              <w:rPr>
                <w:rFonts w:cs="Calibri"/>
                <w:color w:val="000000"/>
                <w:sz w:val="22"/>
                <w:szCs w:val="22"/>
              </w:rPr>
            </w:pPr>
            <w:r w:rsidRPr="000C3D83">
              <w:rPr>
                <w:rFonts w:cs="Calibri"/>
                <w:color w:val="000000"/>
                <w:sz w:val="22"/>
                <w:szCs w:val="22"/>
              </w:rPr>
              <w:t>0.009</w:t>
            </w:r>
          </w:p>
        </w:tc>
        <w:tc>
          <w:tcPr>
            <w:tcW w:w="2309" w:type="dxa"/>
            <w:noWrap/>
            <w:vAlign w:val="bottom"/>
            <w:hideMark/>
          </w:tcPr>
          <w:p w:rsidR="001E7143" w:rsidRDefault="000C3D83">
            <w:pPr>
              <w:spacing w:after="40"/>
              <w:jc w:val="center"/>
              <w:rPr>
                <w:rFonts w:cs="Calibri"/>
                <w:color w:val="000000"/>
                <w:sz w:val="22"/>
                <w:szCs w:val="22"/>
              </w:rPr>
            </w:pPr>
            <w:r w:rsidRPr="000C3D83">
              <w:rPr>
                <w:rFonts w:cs="Calibri"/>
                <w:color w:val="000000"/>
                <w:sz w:val="22"/>
                <w:szCs w:val="22"/>
              </w:rPr>
              <w:t>0.009</w:t>
            </w:r>
          </w:p>
        </w:tc>
      </w:tr>
      <w:tr w:rsidR="00934A56" w:rsidRPr="00BC1F88" w:rsidTr="001E7143">
        <w:trPr>
          <w:trHeight w:val="256"/>
        </w:trPr>
        <w:tc>
          <w:tcPr>
            <w:tcW w:w="3488" w:type="dxa"/>
            <w:noWrap/>
            <w:hideMark/>
          </w:tcPr>
          <w:p w:rsidR="00934A56" w:rsidRPr="00BC1F88" w:rsidRDefault="00934A56" w:rsidP="00BC1F88">
            <w:pPr>
              <w:pStyle w:val="BodyText"/>
              <w:spacing w:after="40"/>
              <w:rPr>
                <w:sz w:val="22"/>
                <w:szCs w:val="22"/>
              </w:rPr>
            </w:pPr>
            <w:r>
              <w:rPr>
                <w:sz w:val="22"/>
                <w:szCs w:val="22"/>
              </w:rPr>
              <w:t xml:space="preserve">  </w:t>
            </w:r>
            <w:r w:rsidRPr="00BC1F88">
              <w:rPr>
                <w:sz w:val="22"/>
                <w:szCs w:val="22"/>
              </w:rPr>
              <w:t>Relative Precision</w:t>
            </w:r>
          </w:p>
        </w:tc>
        <w:tc>
          <w:tcPr>
            <w:tcW w:w="2309" w:type="dxa"/>
            <w:noWrap/>
            <w:vAlign w:val="bottom"/>
            <w:hideMark/>
          </w:tcPr>
          <w:p w:rsidR="001E7143" w:rsidRDefault="000C3D83" w:rsidP="00143ED0">
            <w:pPr>
              <w:spacing w:after="40"/>
              <w:jc w:val="center"/>
              <w:rPr>
                <w:rFonts w:cs="Calibri"/>
                <w:color w:val="000000"/>
                <w:sz w:val="22"/>
                <w:szCs w:val="22"/>
              </w:rPr>
            </w:pPr>
            <w:r w:rsidRPr="000C3D83">
              <w:rPr>
                <w:rFonts w:cs="Calibri"/>
                <w:color w:val="000000"/>
                <w:sz w:val="22"/>
                <w:szCs w:val="22"/>
              </w:rPr>
              <w:t>8.</w:t>
            </w:r>
            <w:r w:rsidR="00143ED0">
              <w:rPr>
                <w:rFonts w:cs="Calibri"/>
                <w:color w:val="000000"/>
                <w:sz w:val="22"/>
                <w:szCs w:val="22"/>
              </w:rPr>
              <w:t>75</w:t>
            </w:r>
            <w:r w:rsidRPr="000C3D83">
              <w:rPr>
                <w:rFonts w:cs="Calibri"/>
                <w:color w:val="000000"/>
                <w:sz w:val="22"/>
                <w:szCs w:val="22"/>
              </w:rPr>
              <w:t>%</w:t>
            </w:r>
          </w:p>
        </w:tc>
        <w:tc>
          <w:tcPr>
            <w:tcW w:w="2309" w:type="dxa"/>
            <w:noWrap/>
            <w:vAlign w:val="bottom"/>
            <w:hideMark/>
          </w:tcPr>
          <w:p w:rsidR="001E7143" w:rsidRDefault="000C3D83" w:rsidP="00143ED0">
            <w:pPr>
              <w:spacing w:after="40"/>
              <w:jc w:val="center"/>
              <w:rPr>
                <w:rFonts w:cs="Calibri"/>
                <w:color w:val="000000"/>
                <w:sz w:val="22"/>
                <w:szCs w:val="22"/>
              </w:rPr>
            </w:pPr>
            <w:r w:rsidRPr="000C3D83">
              <w:rPr>
                <w:rFonts w:cs="Calibri"/>
                <w:color w:val="000000"/>
                <w:sz w:val="22"/>
                <w:szCs w:val="22"/>
              </w:rPr>
              <w:t>7.</w:t>
            </w:r>
            <w:r w:rsidR="00143ED0">
              <w:rPr>
                <w:rFonts w:cs="Calibri"/>
                <w:color w:val="000000"/>
                <w:sz w:val="22"/>
                <w:szCs w:val="22"/>
              </w:rPr>
              <w:t>52</w:t>
            </w:r>
            <w:r w:rsidRPr="000C3D83">
              <w:rPr>
                <w:rFonts w:cs="Calibri"/>
                <w:color w:val="000000"/>
                <w:sz w:val="22"/>
                <w:szCs w:val="22"/>
              </w:rPr>
              <w:t>%</w:t>
            </w:r>
          </w:p>
        </w:tc>
        <w:tc>
          <w:tcPr>
            <w:tcW w:w="2309" w:type="dxa"/>
            <w:noWrap/>
            <w:vAlign w:val="bottom"/>
            <w:hideMark/>
          </w:tcPr>
          <w:p w:rsidR="001E7143" w:rsidRDefault="000C3D83" w:rsidP="00143ED0">
            <w:pPr>
              <w:spacing w:after="40"/>
              <w:jc w:val="center"/>
              <w:rPr>
                <w:rFonts w:cs="Calibri"/>
                <w:color w:val="000000"/>
                <w:sz w:val="22"/>
                <w:szCs w:val="22"/>
              </w:rPr>
            </w:pPr>
            <w:r w:rsidRPr="000C3D83">
              <w:rPr>
                <w:rFonts w:cs="Calibri"/>
                <w:color w:val="000000"/>
                <w:sz w:val="22"/>
                <w:szCs w:val="22"/>
              </w:rPr>
              <w:t>7.</w:t>
            </w:r>
            <w:r w:rsidR="00143ED0">
              <w:rPr>
                <w:rFonts w:cs="Calibri"/>
                <w:color w:val="000000"/>
                <w:sz w:val="22"/>
                <w:szCs w:val="22"/>
              </w:rPr>
              <w:t>16</w:t>
            </w:r>
            <w:r w:rsidRPr="000C3D83">
              <w:rPr>
                <w:rFonts w:cs="Calibri"/>
                <w:color w:val="000000"/>
                <w:sz w:val="22"/>
                <w:szCs w:val="22"/>
              </w:rPr>
              <w:t>%</w:t>
            </w:r>
          </w:p>
        </w:tc>
      </w:tr>
      <w:tr w:rsidR="00403EC0" w:rsidRPr="00BC1F88" w:rsidTr="00403EC0">
        <w:trPr>
          <w:trHeight w:val="256"/>
        </w:trPr>
        <w:tc>
          <w:tcPr>
            <w:tcW w:w="3488" w:type="dxa"/>
            <w:noWrap/>
            <w:hideMark/>
          </w:tcPr>
          <w:p w:rsidR="00403EC0" w:rsidRPr="00BC1F88" w:rsidRDefault="00403EC0" w:rsidP="00BC1F88">
            <w:pPr>
              <w:pStyle w:val="BodyText"/>
              <w:spacing w:after="40"/>
              <w:rPr>
                <w:sz w:val="22"/>
                <w:szCs w:val="22"/>
              </w:rPr>
            </w:pPr>
          </w:p>
        </w:tc>
        <w:tc>
          <w:tcPr>
            <w:tcW w:w="2309" w:type="dxa"/>
            <w:noWrap/>
            <w:hideMark/>
          </w:tcPr>
          <w:p w:rsidR="00403EC0" w:rsidRPr="00BC1F88" w:rsidRDefault="00403EC0" w:rsidP="00BC1F88">
            <w:pPr>
              <w:pStyle w:val="BodyText"/>
              <w:spacing w:after="40"/>
              <w:jc w:val="center"/>
              <w:rPr>
                <w:sz w:val="22"/>
                <w:szCs w:val="22"/>
              </w:rPr>
            </w:pPr>
          </w:p>
        </w:tc>
        <w:tc>
          <w:tcPr>
            <w:tcW w:w="2309" w:type="dxa"/>
            <w:noWrap/>
            <w:hideMark/>
          </w:tcPr>
          <w:p w:rsidR="00403EC0" w:rsidRPr="00BC1F88" w:rsidRDefault="00403EC0" w:rsidP="00BC1F88">
            <w:pPr>
              <w:pStyle w:val="BodyText"/>
              <w:spacing w:after="40"/>
              <w:jc w:val="center"/>
              <w:rPr>
                <w:sz w:val="22"/>
                <w:szCs w:val="22"/>
              </w:rPr>
            </w:pPr>
          </w:p>
        </w:tc>
        <w:tc>
          <w:tcPr>
            <w:tcW w:w="2309" w:type="dxa"/>
            <w:noWrap/>
            <w:hideMark/>
          </w:tcPr>
          <w:p w:rsidR="00403EC0" w:rsidRPr="00BC1F88" w:rsidRDefault="00403EC0" w:rsidP="00BC1F88">
            <w:pPr>
              <w:pStyle w:val="BodyText"/>
              <w:spacing w:after="40"/>
              <w:jc w:val="center"/>
              <w:rPr>
                <w:sz w:val="22"/>
                <w:szCs w:val="22"/>
              </w:rPr>
            </w:pPr>
          </w:p>
        </w:tc>
      </w:tr>
      <w:tr w:rsidR="001B42D7" w:rsidRPr="00BC1F88" w:rsidTr="00403EC0">
        <w:trPr>
          <w:trHeight w:val="267"/>
        </w:trPr>
        <w:tc>
          <w:tcPr>
            <w:tcW w:w="3488" w:type="dxa"/>
            <w:noWrap/>
            <w:hideMark/>
          </w:tcPr>
          <w:p w:rsidR="001B42D7" w:rsidRPr="00BC1F88" w:rsidRDefault="001B42D7" w:rsidP="00BC1F88">
            <w:pPr>
              <w:pStyle w:val="BodyText"/>
              <w:spacing w:after="40"/>
              <w:rPr>
                <w:sz w:val="22"/>
                <w:szCs w:val="22"/>
              </w:rPr>
            </w:pPr>
            <w:r w:rsidRPr="00BC1F88">
              <w:rPr>
                <w:sz w:val="22"/>
                <w:szCs w:val="22"/>
              </w:rPr>
              <w:t>Part-Use Factor</w:t>
            </w:r>
          </w:p>
        </w:tc>
        <w:tc>
          <w:tcPr>
            <w:tcW w:w="2309" w:type="dxa"/>
            <w:noWrap/>
            <w:vAlign w:val="bottom"/>
            <w:hideMark/>
          </w:tcPr>
          <w:p w:rsidR="001B42D7" w:rsidRPr="00BC1F88" w:rsidRDefault="001B42D7" w:rsidP="00BC1F88">
            <w:pPr>
              <w:spacing w:after="40"/>
              <w:jc w:val="center"/>
              <w:rPr>
                <w:rFonts w:cs="Calibri"/>
                <w:color w:val="000000"/>
                <w:sz w:val="22"/>
                <w:szCs w:val="22"/>
              </w:rPr>
            </w:pPr>
            <w:r w:rsidRPr="00BC1F88">
              <w:rPr>
                <w:rFonts w:cs="Calibri"/>
                <w:color w:val="000000"/>
                <w:sz w:val="22"/>
                <w:szCs w:val="22"/>
              </w:rPr>
              <w:t>0.70</w:t>
            </w:r>
            <w:r>
              <w:rPr>
                <w:rFonts w:cs="Calibri"/>
                <w:color w:val="000000"/>
                <w:sz w:val="22"/>
                <w:szCs w:val="22"/>
              </w:rPr>
              <w:t>5</w:t>
            </w:r>
          </w:p>
        </w:tc>
        <w:tc>
          <w:tcPr>
            <w:tcW w:w="2309" w:type="dxa"/>
            <w:noWrap/>
            <w:vAlign w:val="bottom"/>
            <w:hideMark/>
          </w:tcPr>
          <w:p w:rsidR="001B42D7" w:rsidRPr="00BC1F88" w:rsidRDefault="001B42D7" w:rsidP="00BC1F88">
            <w:pPr>
              <w:spacing w:after="40"/>
              <w:jc w:val="center"/>
              <w:rPr>
                <w:rFonts w:cs="Calibri"/>
                <w:color w:val="000000"/>
                <w:sz w:val="22"/>
                <w:szCs w:val="22"/>
              </w:rPr>
            </w:pPr>
            <w:r w:rsidRPr="00BC1F88">
              <w:rPr>
                <w:rFonts w:cs="Calibri"/>
                <w:color w:val="000000"/>
                <w:sz w:val="22"/>
                <w:szCs w:val="22"/>
              </w:rPr>
              <w:t>0.87</w:t>
            </w:r>
            <w:r>
              <w:rPr>
                <w:rFonts w:cs="Calibri"/>
                <w:color w:val="000000"/>
                <w:sz w:val="22"/>
                <w:szCs w:val="22"/>
              </w:rPr>
              <w:t>2</w:t>
            </w:r>
          </w:p>
        </w:tc>
        <w:tc>
          <w:tcPr>
            <w:tcW w:w="2309" w:type="dxa"/>
            <w:noWrap/>
            <w:vAlign w:val="bottom"/>
            <w:hideMark/>
          </w:tcPr>
          <w:p w:rsidR="001B42D7" w:rsidRPr="00BC1F88" w:rsidRDefault="001B42D7" w:rsidP="00A24019">
            <w:pPr>
              <w:spacing w:after="40"/>
              <w:jc w:val="center"/>
              <w:rPr>
                <w:rFonts w:cs="Calibri"/>
                <w:color w:val="000000"/>
                <w:sz w:val="22"/>
                <w:szCs w:val="22"/>
              </w:rPr>
            </w:pPr>
            <w:r w:rsidRPr="00BC1F88">
              <w:rPr>
                <w:rFonts w:cs="Calibri"/>
                <w:color w:val="000000"/>
                <w:sz w:val="22"/>
                <w:szCs w:val="22"/>
              </w:rPr>
              <w:t>0.8</w:t>
            </w:r>
            <w:r>
              <w:rPr>
                <w:rFonts w:cs="Calibri"/>
                <w:color w:val="000000"/>
                <w:sz w:val="22"/>
                <w:szCs w:val="22"/>
              </w:rPr>
              <w:t>80</w:t>
            </w:r>
          </w:p>
        </w:tc>
      </w:tr>
      <w:tr w:rsidR="00934A56" w:rsidRPr="00BC1F88" w:rsidTr="00403EC0">
        <w:trPr>
          <w:trHeight w:val="267"/>
        </w:trPr>
        <w:tc>
          <w:tcPr>
            <w:tcW w:w="3488" w:type="dxa"/>
            <w:noWrap/>
            <w:hideMark/>
          </w:tcPr>
          <w:p w:rsidR="00934A56" w:rsidRDefault="00934A56" w:rsidP="00BC1F88">
            <w:pPr>
              <w:pStyle w:val="BodyText"/>
              <w:spacing w:after="40"/>
              <w:rPr>
                <w:sz w:val="22"/>
                <w:szCs w:val="22"/>
              </w:rPr>
            </w:pPr>
            <w:r>
              <w:rPr>
                <w:sz w:val="22"/>
                <w:szCs w:val="22"/>
              </w:rPr>
              <w:t xml:space="preserve">  Standard Error</w:t>
            </w:r>
          </w:p>
        </w:tc>
        <w:tc>
          <w:tcPr>
            <w:tcW w:w="2309" w:type="dxa"/>
            <w:noWrap/>
            <w:vAlign w:val="bottom"/>
            <w:hideMark/>
          </w:tcPr>
          <w:p w:rsidR="00934A56" w:rsidRPr="00934A56" w:rsidRDefault="000C3D83" w:rsidP="00BC1F88">
            <w:pPr>
              <w:spacing w:after="40"/>
              <w:jc w:val="center"/>
              <w:rPr>
                <w:rFonts w:cs="Calibri"/>
                <w:color w:val="000000"/>
                <w:sz w:val="22"/>
                <w:szCs w:val="22"/>
              </w:rPr>
            </w:pPr>
            <w:r w:rsidRPr="000C3D83">
              <w:rPr>
                <w:rFonts w:cs="Calibri"/>
                <w:color w:val="000000"/>
                <w:sz w:val="22"/>
                <w:szCs w:val="22"/>
              </w:rPr>
              <w:t>0.042</w:t>
            </w:r>
          </w:p>
        </w:tc>
        <w:tc>
          <w:tcPr>
            <w:tcW w:w="2309" w:type="dxa"/>
            <w:noWrap/>
            <w:vAlign w:val="bottom"/>
            <w:hideMark/>
          </w:tcPr>
          <w:p w:rsidR="00934A56" w:rsidRPr="00934A56" w:rsidRDefault="000C3D83" w:rsidP="00BC1F88">
            <w:pPr>
              <w:spacing w:after="40"/>
              <w:jc w:val="center"/>
              <w:rPr>
                <w:rFonts w:cs="Calibri"/>
                <w:color w:val="000000"/>
                <w:sz w:val="22"/>
                <w:szCs w:val="22"/>
              </w:rPr>
            </w:pPr>
            <w:r w:rsidRPr="000C3D83">
              <w:rPr>
                <w:rFonts w:cs="Calibri"/>
                <w:color w:val="000000"/>
                <w:sz w:val="22"/>
                <w:szCs w:val="22"/>
              </w:rPr>
              <w:t>0.026</w:t>
            </w:r>
          </w:p>
        </w:tc>
        <w:tc>
          <w:tcPr>
            <w:tcW w:w="2309" w:type="dxa"/>
            <w:noWrap/>
            <w:vAlign w:val="bottom"/>
            <w:hideMark/>
          </w:tcPr>
          <w:p w:rsidR="00934A56" w:rsidRPr="00934A56" w:rsidRDefault="000C3D83" w:rsidP="00BC1F88">
            <w:pPr>
              <w:spacing w:after="40"/>
              <w:jc w:val="center"/>
              <w:rPr>
                <w:rFonts w:cs="Calibri"/>
                <w:color w:val="000000"/>
                <w:sz w:val="22"/>
                <w:szCs w:val="22"/>
              </w:rPr>
            </w:pPr>
            <w:r w:rsidRPr="000C3D83">
              <w:rPr>
                <w:rFonts w:cs="Calibri"/>
                <w:color w:val="000000"/>
                <w:sz w:val="22"/>
                <w:szCs w:val="22"/>
              </w:rPr>
              <w:t>0.023</w:t>
            </w:r>
          </w:p>
        </w:tc>
      </w:tr>
      <w:tr w:rsidR="00403EC0" w:rsidRPr="00BC1F88" w:rsidTr="00403EC0">
        <w:trPr>
          <w:trHeight w:val="267"/>
        </w:trPr>
        <w:tc>
          <w:tcPr>
            <w:tcW w:w="3488" w:type="dxa"/>
            <w:noWrap/>
            <w:hideMark/>
          </w:tcPr>
          <w:p w:rsidR="00403EC0" w:rsidRPr="00BC1F88" w:rsidRDefault="00403EC0" w:rsidP="00BC1F88">
            <w:pPr>
              <w:pStyle w:val="BodyText"/>
              <w:spacing w:after="40"/>
              <w:rPr>
                <w:sz w:val="22"/>
                <w:szCs w:val="22"/>
              </w:rPr>
            </w:pPr>
            <w:r>
              <w:rPr>
                <w:sz w:val="22"/>
                <w:szCs w:val="22"/>
              </w:rPr>
              <w:t xml:space="preserve">  </w:t>
            </w:r>
            <w:r w:rsidRPr="00BC1F88">
              <w:rPr>
                <w:sz w:val="22"/>
                <w:szCs w:val="22"/>
              </w:rPr>
              <w:t>Relative Precision</w:t>
            </w:r>
          </w:p>
        </w:tc>
        <w:tc>
          <w:tcPr>
            <w:tcW w:w="2309" w:type="dxa"/>
            <w:noWrap/>
            <w:vAlign w:val="bottom"/>
            <w:hideMark/>
          </w:tcPr>
          <w:p w:rsidR="00403EC0" w:rsidRPr="00BC1F88" w:rsidRDefault="00403EC0" w:rsidP="00BC1F88">
            <w:pPr>
              <w:spacing w:after="40"/>
              <w:jc w:val="center"/>
              <w:rPr>
                <w:rFonts w:cs="Calibri"/>
                <w:bCs/>
                <w:color w:val="000000"/>
                <w:sz w:val="22"/>
                <w:szCs w:val="22"/>
              </w:rPr>
            </w:pPr>
            <w:r w:rsidRPr="00BC1F88">
              <w:rPr>
                <w:rFonts w:cs="Calibri"/>
                <w:bCs/>
                <w:color w:val="000000"/>
                <w:sz w:val="22"/>
                <w:szCs w:val="22"/>
              </w:rPr>
              <w:t>7.73%</w:t>
            </w:r>
          </w:p>
        </w:tc>
        <w:tc>
          <w:tcPr>
            <w:tcW w:w="2309" w:type="dxa"/>
            <w:noWrap/>
            <w:vAlign w:val="bottom"/>
            <w:hideMark/>
          </w:tcPr>
          <w:p w:rsidR="00403EC0" w:rsidRPr="00BC1F88" w:rsidRDefault="00403EC0" w:rsidP="00BC1F88">
            <w:pPr>
              <w:spacing w:after="40"/>
              <w:jc w:val="center"/>
              <w:rPr>
                <w:rFonts w:cs="Calibri"/>
                <w:bCs/>
                <w:color w:val="000000"/>
                <w:sz w:val="22"/>
                <w:szCs w:val="22"/>
              </w:rPr>
            </w:pPr>
            <w:r w:rsidRPr="00BC1F88">
              <w:rPr>
                <w:rFonts w:cs="Calibri"/>
                <w:bCs/>
                <w:color w:val="000000"/>
                <w:sz w:val="22"/>
                <w:szCs w:val="22"/>
              </w:rPr>
              <w:t>3.79%</w:t>
            </w:r>
          </w:p>
        </w:tc>
        <w:tc>
          <w:tcPr>
            <w:tcW w:w="2309" w:type="dxa"/>
            <w:noWrap/>
            <w:vAlign w:val="bottom"/>
            <w:hideMark/>
          </w:tcPr>
          <w:p w:rsidR="00403EC0" w:rsidRPr="00BC1F88" w:rsidRDefault="00403EC0" w:rsidP="00BC1F88">
            <w:pPr>
              <w:spacing w:after="40"/>
              <w:jc w:val="center"/>
              <w:rPr>
                <w:rFonts w:cs="Calibri"/>
                <w:bCs/>
                <w:color w:val="000000"/>
                <w:sz w:val="22"/>
                <w:szCs w:val="22"/>
              </w:rPr>
            </w:pPr>
            <w:r w:rsidRPr="00BC1F88">
              <w:rPr>
                <w:rFonts w:cs="Calibri"/>
                <w:bCs/>
                <w:color w:val="000000"/>
                <w:sz w:val="22"/>
                <w:szCs w:val="22"/>
              </w:rPr>
              <w:t>3.39%</w:t>
            </w:r>
          </w:p>
        </w:tc>
      </w:tr>
      <w:tr w:rsidR="00403EC0" w:rsidRPr="00BC1F88" w:rsidTr="00403EC0">
        <w:trPr>
          <w:trHeight w:val="267"/>
        </w:trPr>
        <w:tc>
          <w:tcPr>
            <w:tcW w:w="3488" w:type="dxa"/>
            <w:noWrap/>
            <w:hideMark/>
          </w:tcPr>
          <w:p w:rsidR="00403EC0" w:rsidRPr="00BC1F88" w:rsidRDefault="00403EC0" w:rsidP="00BC1F88">
            <w:pPr>
              <w:pStyle w:val="BodyText"/>
              <w:spacing w:after="40"/>
              <w:rPr>
                <w:sz w:val="22"/>
                <w:szCs w:val="22"/>
              </w:rPr>
            </w:pPr>
          </w:p>
        </w:tc>
        <w:tc>
          <w:tcPr>
            <w:tcW w:w="2309" w:type="dxa"/>
            <w:noWrap/>
            <w:hideMark/>
          </w:tcPr>
          <w:p w:rsidR="00403EC0" w:rsidRPr="00BC1F88" w:rsidRDefault="00403EC0" w:rsidP="00BC1F88">
            <w:pPr>
              <w:pStyle w:val="BodyText"/>
              <w:spacing w:after="40"/>
              <w:jc w:val="center"/>
              <w:rPr>
                <w:sz w:val="22"/>
                <w:szCs w:val="22"/>
              </w:rPr>
            </w:pPr>
          </w:p>
        </w:tc>
        <w:tc>
          <w:tcPr>
            <w:tcW w:w="2309" w:type="dxa"/>
            <w:noWrap/>
            <w:hideMark/>
          </w:tcPr>
          <w:p w:rsidR="00403EC0" w:rsidRPr="00BC1F88" w:rsidRDefault="00403EC0" w:rsidP="00BC1F88">
            <w:pPr>
              <w:pStyle w:val="BodyText"/>
              <w:spacing w:after="40"/>
              <w:jc w:val="center"/>
              <w:rPr>
                <w:sz w:val="22"/>
                <w:szCs w:val="22"/>
              </w:rPr>
            </w:pPr>
          </w:p>
        </w:tc>
        <w:tc>
          <w:tcPr>
            <w:tcW w:w="2309" w:type="dxa"/>
            <w:noWrap/>
            <w:hideMark/>
          </w:tcPr>
          <w:p w:rsidR="00403EC0" w:rsidRPr="00BC1F88" w:rsidRDefault="00403EC0" w:rsidP="00BC1F88">
            <w:pPr>
              <w:pStyle w:val="BodyText"/>
              <w:spacing w:after="40"/>
              <w:jc w:val="center"/>
              <w:rPr>
                <w:sz w:val="22"/>
                <w:szCs w:val="22"/>
              </w:rPr>
            </w:pPr>
          </w:p>
        </w:tc>
      </w:tr>
      <w:tr w:rsidR="00934A56" w:rsidRPr="00BC1F88" w:rsidTr="001E7143">
        <w:trPr>
          <w:trHeight w:val="256"/>
        </w:trPr>
        <w:tc>
          <w:tcPr>
            <w:tcW w:w="3488" w:type="dxa"/>
            <w:noWrap/>
            <w:hideMark/>
          </w:tcPr>
          <w:p w:rsidR="00934A56" w:rsidRPr="00BC1F88" w:rsidRDefault="00934A56" w:rsidP="00BC1F88">
            <w:pPr>
              <w:pStyle w:val="BodyText"/>
              <w:spacing w:after="40"/>
              <w:rPr>
                <w:sz w:val="22"/>
                <w:szCs w:val="22"/>
              </w:rPr>
            </w:pPr>
            <w:r w:rsidRPr="00BC1F88">
              <w:rPr>
                <w:sz w:val="22"/>
                <w:szCs w:val="22"/>
              </w:rPr>
              <w:t>Adjusted Gross kW</w:t>
            </w:r>
          </w:p>
        </w:tc>
        <w:tc>
          <w:tcPr>
            <w:tcW w:w="2309" w:type="dxa"/>
            <w:noWrap/>
            <w:vAlign w:val="bottom"/>
            <w:hideMark/>
          </w:tcPr>
          <w:p w:rsidR="001E7143" w:rsidRDefault="000C3D83" w:rsidP="00143ED0">
            <w:pPr>
              <w:spacing w:after="40"/>
              <w:jc w:val="center"/>
              <w:rPr>
                <w:rFonts w:cs="Calibri"/>
                <w:color w:val="000000"/>
                <w:sz w:val="22"/>
                <w:szCs w:val="22"/>
              </w:rPr>
            </w:pPr>
            <w:r w:rsidRPr="000C3D83">
              <w:rPr>
                <w:rFonts w:cs="Calibri"/>
                <w:color w:val="000000"/>
                <w:sz w:val="22"/>
                <w:szCs w:val="22"/>
              </w:rPr>
              <w:t>0.</w:t>
            </w:r>
            <w:r w:rsidR="00522D2E" w:rsidRPr="000C3D83">
              <w:rPr>
                <w:rFonts w:cs="Calibri"/>
                <w:color w:val="000000"/>
                <w:sz w:val="22"/>
                <w:szCs w:val="22"/>
              </w:rPr>
              <w:t>10</w:t>
            </w:r>
            <w:r w:rsidR="00143ED0">
              <w:rPr>
                <w:rFonts w:cs="Calibri"/>
                <w:color w:val="000000"/>
                <w:sz w:val="22"/>
                <w:szCs w:val="22"/>
              </w:rPr>
              <w:t>3</w:t>
            </w:r>
          </w:p>
        </w:tc>
        <w:tc>
          <w:tcPr>
            <w:tcW w:w="2309" w:type="dxa"/>
            <w:noWrap/>
            <w:vAlign w:val="bottom"/>
            <w:hideMark/>
          </w:tcPr>
          <w:p w:rsidR="001E7143" w:rsidRDefault="000C3D83" w:rsidP="00522D2E">
            <w:pPr>
              <w:spacing w:after="40"/>
              <w:jc w:val="center"/>
              <w:rPr>
                <w:rFonts w:cs="Calibri"/>
                <w:color w:val="000000"/>
                <w:sz w:val="22"/>
                <w:szCs w:val="22"/>
              </w:rPr>
            </w:pPr>
            <w:r w:rsidRPr="000C3D83">
              <w:rPr>
                <w:rFonts w:cs="Calibri"/>
                <w:color w:val="000000"/>
                <w:sz w:val="22"/>
                <w:szCs w:val="22"/>
              </w:rPr>
              <w:t>0.</w:t>
            </w:r>
            <w:r w:rsidR="00522D2E" w:rsidRPr="000C3D83">
              <w:rPr>
                <w:rFonts w:cs="Calibri"/>
                <w:color w:val="000000"/>
                <w:sz w:val="22"/>
                <w:szCs w:val="22"/>
              </w:rPr>
              <w:t>13</w:t>
            </w:r>
            <w:r w:rsidR="00522D2E">
              <w:rPr>
                <w:rFonts w:cs="Calibri"/>
                <w:color w:val="000000"/>
                <w:sz w:val="22"/>
                <w:szCs w:val="22"/>
              </w:rPr>
              <w:t>4</w:t>
            </w:r>
            <w:r w:rsidR="00522D2E" w:rsidRPr="000C3D83">
              <w:rPr>
                <w:rFonts w:cs="Calibri"/>
                <w:color w:val="000000"/>
                <w:sz w:val="22"/>
                <w:szCs w:val="22"/>
              </w:rPr>
              <w:t xml:space="preserve"> </w:t>
            </w:r>
          </w:p>
        </w:tc>
        <w:tc>
          <w:tcPr>
            <w:tcW w:w="2309" w:type="dxa"/>
            <w:noWrap/>
            <w:vAlign w:val="bottom"/>
            <w:hideMark/>
          </w:tcPr>
          <w:p w:rsidR="001E7143" w:rsidRDefault="000C3D83" w:rsidP="00522D2E">
            <w:pPr>
              <w:spacing w:after="40"/>
              <w:jc w:val="center"/>
              <w:rPr>
                <w:rFonts w:cs="Calibri"/>
                <w:color w:val="000000"/>
                <w:sz w:val="22"/>
                <w:szCs w:val="22"/>
              </w:rPr>
            </w:pPr>
            <w:r w:rsidRPr="000C3D83">
              <w:rPr>
                <w:rFonts w:cs="Calibri"/>
                <w:color w:val="000000"/>
                <w:sz w:val="22"/>
                <w:szCs w:val="22"/>
              </w:rPr>
              <w:t>0.</w:t>
            </w:r>
            <w:r w:rsidR="00522D2E" w:rsidRPr="000C3D83">
              <w:rPr>
                <w:rFonts w:cs="Calibri"/>
                <w:color w:val="000000"/>
                <w:sz w:val="22"/>
                <w:szCs w:val="22"/>
              </w:rPr>
              <w:t>14</w:t>
            </w:r>
            <w:r w:rsidR="00522D2E">
              <w:rPr>
                <w:rFonts w:cs="Calibri"/>
                <w:color w:val="000000"/>
                <w:sz w:val="22"/>
                <w:szCs w:val="22"/>
              </w:rPr>
              <w:t>1</w:t>
            </w:r>
            <w:r w:rsidR="00522D2E" w:rsidRPr="000C3D83">
              <w:rPr>
                <w:rFonts w:cs="Calibri"/>
                <w:color w:val="000000"/>
                <w:sz w:val="22"/>
                <w:szCs w:val="22"/>
              </w:rPr>
              <w:t xml:space="preserve"> </w:t>
            </w:r>
          </w:p>
        </w:tc>
      </w:tr>
      <w:tr w:rsidR="00934A56" w:rsidRPr="00BC1F88" w:rsidTr="001E7143">
        <w:trPr>
          <w:trHeight w:val="256"/>
        </w:trPr>
        <w:tc>
          <w:tcPr>
            <w:tcW w:w="3488" w:type="dxa"/>
            <w:noWrap/>
            <w:hideMark/>
          </w:tcPr>
          <w:p w:rsidR="00934A56" w:rsidRPr="00BC1F88" w:rsidRDefault="00934A56" w:rsidP="00BC1F88">
            <w:pPr>
              <w:pStyle w:val="BodyText"/>
              <w:spacing w:after="40"/>
              <w:rPr>
                <w:sz w:val="22"/>
                <w:szCs w:val="22"/>
              </w:rPr>
            </w:pPr>
            <w:r>
              <w:rPr>
                <w:sz w:val="22"/>
                <w:szCs w:val="22"/>
              </w:rPr>
              <w:t xml:space="preserve">  </w:t>
            </w:r>
            <w:r w:rsidRPr="00BC1F88">
              <w:rPr>
                <w:sz w:val="22"/>
                <w:szCs w:val="22"/>
              </w:rPr>
              <w:t>Relative Precision</w:t>
            </w:r>
          </w:p>
        </w:tc>
        <w:tc>
          <w:tcPr>
            <w:tcW w:w="2309" w:type="dxa"/>
            <w:noWrap/>
            <w:vAlign w:val="bottom"/>
            <w:hideMark/>
          </w:tcPr>
          <w:p w:rsidR="001E7143" w:rsidRDefault="000C3D83" w:rsidP="00143ED0">
            <w:pPr>
              <w:spacing w:after="40"/>
              <w:jc w:val="center"/>
              <w:rPr>
                <w:rFonts w:cs="Calibri"/>
                <w:color w:val="000000"/>
                <w:sz w:val="22"/>
                <w:szCs w:val="22"/>
              </w:rPr>
            </w:pPr>
            <w:r w:rsidRPr="000C3D83">
              <w:rPr>
                <w:rFonts w:cs="Calibri"/>
                <w:color w:val="000000"/>
                <w:sz w:val="22"/>
                <w:szCs w:val="22"/>
              </w:rPr>
              <w:t>11.</w:t>
            </w:r>
            <w:r w:rsidR="00143ED0">
              <w:rPr>
                <w:rFonts w:cs="Calibri"/>
                <w:color w:val="000000"/>
                <w:sz w:val="22"/>
                <w:szCs w:val="22"/>
              </w:rPr>
              <w:t>68</w:t>
            </w:r>
            <w:r w:rsidRPr="000C3D83">
              <w:rPr>
                <w:rFonts w:cs="Calibri"/>
                <w:color w:val="000000"/>
                <w:sz w:val="22"/>
                <w:szCs w:val="22"/>
              </w:rPr>
              <w:t>%</w:t>
            </w:r>
          </w:p>
        </w:tc>
        <w:tc>
          <w:tcPr>
            <w:tcW w:w="2309" w:type="dxa"/>
            <w:noWrap/>
            <w:vAlign w:val="bottom"/>
            <w:hideMark/>
          </w:tcPr>
          <w:p w:rsidR="001E7143" w:rsidRDefault="000C3D83" w:rsidP="00143ED0">
            <w:pPr>
              <w:spacing w:after="40"/>
              <w:jc w:val="center"/>
              <w:rPr>
                <w:rFonts w:cs="Calibri"/>
                <w:color w:val="000000"/>
                <w:sz w:val="22"/>
                <w:szCs w:val="22"/>
              </w:rPr>
            </w:pPr>
            <w:r w:rsidRPr="000C3D83">
              <w:rPr>
                <w:rFonts w:cs="Calibri"/>
                <w:color w:val="000000"/>
                <w:sz w:val="22"/>
                <w:szCs w:val="22"/>
              </w:rPr>
              <w:t>8.</w:t>
            </w:r>
            <w:r w:rsidR="00143ED0">
              <w:rPr>
                <w:rFonts w:cs="Calibri"/>
                <w:color w:val="000000"/>
                <w:sz w:val="22"/>
                <w:szCs w:val="22"/>
              </w:rPr>
              <w:t>42</w:t>
            </w:r>
            <w:r w:rsidRPr="000C3D83">
              <w:rPr>
                <w:rFonts w:cs="Calibri"/>
                <w:color w:val="000000"/>
                <w:sz w:val="22"/>
                <w:szCs w:val="22"/>
              </w:rPr>
              <w:t>%</w:t>
            </w:r>
          </w:p>
        </w:tc>
        <w:tc>
          <w:tcPr>
            <w:tcW w:w="2309" w:type="dxa"/>
            <w:noWrap/>
            <w:vAlign w:val="bottom"/>
            <w:hideMark/>
          </w:tcPr>
          <w:p w:rsidR="001E7143" w:rsidRDefault="00522D2E" w:rsidP="00143ED0">
            <w:pPr>
              <w:spacing w:after="40"/>
              <w:jc w:val="center"/>
              <w:rPr>
                <w:rFonts w:cs="Calibri"/>
                <w:color w:val="000000"/>
                <w:sz w:val="22"/>
                <w:szCs w:val="22"/>
              </w:rPr>
            </w:pPr>
            <w:r>
              <w:rPr>
                <w:rFonts w:cs="Calibri"/>
                <w:color w:val="000000"/>
                <w:sz w:val="22"/>
                <w:szCs w:val="22"/>
              </w:rPr>
              <w:t>7.</w:t>
            </w:r>
            <w:r w:rsidR="00143ED0">
              <w:rPr>
                <w:rFonts w:cs="Calibri"/>
                <w:color w:val="000000"/>
                <w:sz w:val="22"/>
                <w:szCs w:val="22"/>
              </w:rPr>
              <w:t>92</w:t>
            </w:r>
            <w:r w:rsidR="000C3D83" w:rsidRPr="000C3D83">
              <w:rPr>
                <w:rFonts w:cs="Calibri"/>
                <w:color w:val="000000"/>
                <w:sz w:val="22"/>
                <w:szCs w:val="22"/>
              </w:rPr>
              <w:t>%</w:t>
            </w:r>
          </w:p>
        </w:tc>
      </w:tr>
      <w:tr w:rsidR="00403EC0" w:rsidRPr="00BC1F88" w:rsidTr="00403EC0">
        <w:trPr>
          <w:trHeight w:val="256"/>
        </w:trPr>
        <w:tc>
          <w:tcPr>
            <w:tcW w:w="3488" w:type="dxa"/>
            <w:noWrap/>
            <w:hideMark/>
          </w:tcPr>
          <w:p w:rsidR="00403EC0" w:rsidRPr="00BC1F88" w:rsidRDefault="00403EC0" w:rsidP="00BC1F88">
            <w:pPr>
              <w:pStyle w:val="BodyText"/>
              <w:spacing w:after="40"/>
              <w:rPr>
                <w:sz w:val="22"/>
                <w:szCs w:val="22"/>
              </w:rPr>
            </w:pPr>
          </w:p>
        </w:tc>
        <w:tc>
          <w:tcPr>
            <w:tcW w:w="2309" w:type="dxa"/>
            <w:noWrap/>
            <w:hideMark/>
          </w:tcPr>
          <w:p w:rsidR="00403EC0" w:rsidRPr="00BC1F88" w:rsidRDefault="00403EC0" w:rsidP="00BC1F88">
            <w:pPr>
              <w:pStyle w:val="BodyText"/>
              <w:spacing w:after="40"/>
              <w:jc w:val="center"/>
              <w:rPr>
                <w:sz w:val="22"/>
                <w:szCs w:val="22"/>
              </w:rPr>
            </w:pPr>
          </w:p>
        </w:tc>
        <w:tc>
          <w:tcPr>
            <w:tcW w:w="2309" w:type="dxa"/>
            <w:noWrap/>
            <w:hideMark/>
          </w:tcPr>
          <w:p w:rsidR="00403EC0" w:rsidRPr="00BC1F88" w:rsidRDefault="00403EC0" w:rsidP="00BC1F88">
            <w:pPr>
              <w:pStyle w:val="BodyText"/>
              <w:spacing w:after="40"/>
              <w:jc w:val="center"/>
              <w:rPr>
                <w:sz w:val="22"/>
                <w:szCs w:val="22"/>
              </w:rPr>
            </w:pPr>
          </w:p>
        </w:tc>
        <w:tc>
          <w:tcPr>
            <w:tcW w:w="2309" w:type="dxa"/>
            <w:noWrap/>
            <w:hideMark/>
          </w:tcPr>
          <w:p w:rsidR="00403EC0" w:rsidRPr="00BC1F88" w:rsidRDefault="00403EC0" w:rsidP="00BC1F88">
            <w:pPr>
              <w:pStyle w:val="BodyText"/>
              <w:spacing w:after="40"/>
              <w:jc w:val="center"/>
              <w:rPr>
                <w:sz w:val="22"/>
                <w:szCs w:val="22"/>
              </w:rPr>
            </w:pPr>
          </w:p>
        </w:tc>
      </w:tr>
      <w:tr w:rsidR="00403EC0" w:rsidRPr="00BC1F88" w:rsidTr="00403EC0">
        <w:trPr>
          <w:trHeight w:val="256"/>
        </w:trPr>
        <w:tc>
          <w:tcPr>
            <w:tcW w:w="3488" w:type="dxa"/>
            <w:shd w:val="clear" w:color="auto" w:fill="F2F2F2" w:themeFill="background1" w:themeFillShade="F2"/>
            <w:noWrap/>
            <w:hideMark/>
          </w:tcPr>
          <w:p w:rsidR="00403EC0" w:rsidRPr="00BC1F88" w:rsidRDefault="00403EC0" w:rsidP="00BC1F88">
            <w:pPr>
              <w:pStyle w:val="BodyText"/>
              <w:spacing w:after="40"/>
              <w:rPr>
                <w:b/>
                <w:i/>
                <w:sz w:val="22"/>
                <w:szCs w:val="22"/>
              </w:rPr>
            </w:pPr>
            <w:r w:rsidRPr="00BC1F88">
              <w:rPr>
                <w:b/>
                <w:i/>
                <w:sz w:val="22"/>
                <w:szCs w:val="22"/>
              </w:rPr>
              <w:t>Total Savings</w:t>
            </w:r>
          </w:p>
        </w:tc>
        <w:tc>
          <w:tcPr>
            <w:tcW w:w="2309" w:type="dxa"/>
            <w:shd w:val="clear" w:color="auto" w:fill="F2F2F2" w:themeFill="background1" w:themeFillShade="F2"/>
            <w:noWrap/>
            <w:vAlign w:val="bottom"/>
            <w:hideMark/>
          </w:tcPr>
          <w:p w:rsidR="00403EC0" w:rsidRPr="00BC1F88" w:rsidRDefault="00403EC0" w:rsidP="00BC1F88">
            <w:pPr>
              <w:spacing w:after="40"/>
              <w:jc w:val="center"/>
              <w:rPr>
                <w:rFonts w:cs="Calibri"/>
                <w:b/>
                <w:bCs/>
                <w:i/>
                <w:color w:val="000000"/>
                <w:sz w:val="22"/>
                <w:szCs w:val="22"/>
              </w:rPr>
            </w:pPr>
          </w:p>
        </w:tc>
        <w:tc>
          <w:tcPr>
            <w:tcW w:w="2309" w:type="dxa"/>
            <w:shd w:val="clear" w:color="auto" w:fill="F2F2F2" w:themeFill="background1" w:themeFillShade="F2"/>
            <w:noWrap/>
            <w:vAlign w:val="bottom"/>
            <w:hideMark/>
          </w:tcPr>
          <w:p w:rsidR="00403EC0" w:rsidRPr="00BC1F88" w:rsidRDefault="00403EC0" w:rsidP="00BC1F88">
            <w:pPr>
              <w:spacing w:after="40"/>
              <w:jc w:val="center"/>
              <w:rPr>
                <w:rFonts w:cs="Calibri"/>
                <w:b/>
                <w:bCs/>
                <w:i/>
                <w:color w:val="000000"/>
                <w:sz w:val="22"/>
                <w:szCs w:val="22"/>
              </w:rPr>
            </w:pPr>
          </w:p>
        </w:tc>
        <w:tc>
          <w:tcPr>
            <w:tcW w:w="2309" w:type="dxa"/>
            <w:shd w:val="clear" w:color="auto" w:fill="F2F2F2" w:themeFill="background1" w:themeFillShade="F2"/>
            <w:noWrap/>
            <w:vAlign w:val="bottom"/>
            <w:hideMark/>
          </w:tcPr>
          <w:p w:rsidR="00403EC0" w:rsidRPr="00BC1F88" w:rsidRDefault="00403EC0" w:rsidP="00BC1F88">
            <w:pPr>
              <w:spacing w:after="40"/>
              <w:jc w:val="center"/>
              <w:rPr>
                <w:rFonts w:cs="Calibri"/>
                <w:b/>
                <w:bCs/>
                <w:i/>
                <w:color w:val="000000"/>
                <w:sz w:val="22"/>
                <w:szCs w:val="22"/>
              </w:rPr>
            </w:pPr>
          </w:p>
        </w:tc>
      </w:tr>
      <w:tr w:rsidR="00403EC0" w:rsidRPr="00BC1F88" w:rsidTr="00403EC0">
        <w:trPr>
          <w:trHeight w:val="256"/>
        </w:trPr>
        <w:tc>
          <w:tcPr>
            <w:tcW w:w="3488" w:type="dxa"/>
            <w:noWrap/>
            <w:hideMark/>
          </w:tcPr>
          <w:p w:rsidR="00403EC0" w:rsidRPr="00BC1F88" w:rsidRDefault="00403EC0" w:rsidP="00BC1F88">
            <w:pPr>
              <w:pStyle w:val="BodyText"/>
              <w:spacing w:after="40"/>
              <w:rPr>
                <w:sz w:val="22"/>
                <w:szCs w:val="22"/>
              </w:rPr>
            </w:pPr>
            <w:r w:rsidRPr="00BC1F88">
              <w:rPr>
                <w:sz w:val="22"/>
                <w:szCs w:val="22"/>
              </w:rPr>
              <w:t>Number of Units</w:t>
            </w:r>
          </w:p>
        </w:tc>
        <w:tc>
          <w:tcPr>
            <w:tcW w:w="2309" w:type="dxa"/>
            <w:noWrap/>
            <w:vAlign w:val="bottom"/>
            <w:hideMark/>
          </w:tcPr>
          <w:p w:rsidR="00403EC0" w:rsidRPr="00BC1F88" w:rsidRDefault="00403EC0" w:rsidP="00BC1F88">
            <w:pPr>
              <w:spacing w:after="40"/>
              <w:jc w:val="center"/>
              <w:rPr>
                <w:rFonts w:cs="Calibri"/>
                <w:bCs/>
                <w:color w:val="000000"/>
                <w:sz w:val="22"/>
                <w:szCs w:val="22"/>
              </w:rPr>
            </w:pPr>
            <w:r w:rsidRPr="00BC1F88">
              <w:rPr>
                <w:rFonts w:cs="Calibri"/>
                <w:bCs/>
                <w:color w:val="000000"/>
                <w:sz w:val="22"/>
                <w:szCs w:val="22"/>
              </w:rPr>
              <w:t>11,513</w:t>
            </w:r>
          </w:p>
        </w:tc>
        <w:tc>
          <w:tcPr>
            <w:tcW w:w="2309" w:type="dxa"/>
            <w:noWrap/>
            <w:vAlign w:val="bottom"/>
            <w:hideMark/>
          </w:tcPr>
          <w:p w:rsidR="00403EC0" w:rsidRPr="00BC1F88" w:rsidRDefault="00403EC0" w:rsidP="00BC1F88">
            <w:pPr>
              <w:spacing w:after="40"/>
              <w:jc w:val="center"/>
              <w:rPr>
                <w:rFonts w:cs="Calibri"/>
                <w:bCs/>
                <w:color w:val="000000"/>
                <w:sz w:val="22"/>
                <w:szCs w:val="22"/>
              </w:rPr>
            </w:pPr>
            <w:r w:rsidRPr="00BC1F88">
              <w:rPr>
                <w:rFonts w:cs="Calibri"/>
                <w:bCs/>
                <w:color w:val="000000"/>
                <w:sz w:val="22"/>
                <w:szCs w:val="22"/>
              </w:rPr>
              <w:t>25,011</w:t>
            </w:r>
          </w:p>
        </w:tc>
        <w:tc>
          <w:tcPr>
            <w:tcW w:w="2309" w:type="dxa"/>
            <w:noWrap/>
            <w:vAlign w:val="bottom"/>
            <w:hideMark/>
          </w:tcPr>
          <w:p w:rsidR="00403EC0" w:rsidRPr="00BC1F88" w:rsidRDefault="00403EC0" w:rsidP="00BC1F88">
            <w:pPr>
              <w:spacing w:after="40"/>
              <w:jc w:val="center"/>
              <w:rPr>
                <w:rFonts w:cs="Calibri"/>
                <w:bCs/>
                <w:color w:val="000000"/>
                <w:sz w:val="22"/>
                <w:szCs w:val="22"/>
              </w:rPr>
            </w:pPr>
            <w:r w:rsidRPr="00BC1F88">
              <w:rPr>
                <w:rFonts w:cs="Calibri"/>
                <w:bCs/>
                <w:color w:val="000000"/>
                <w:sz w:val="22"/>
                <w:szCs w:val="22"/>
              </w:rPr>
              <w:t>39,983</w:t>
            </w:r>
          </w:p>
        </w:tc>
      </w:tr>
      <w:tr w:rsidR="00403EC0" w:rsidRPr="00BC1F88" w:rsidTr="00403EC0">
        <w:trPr>
          <w:trHeight w:val="256"/>
        </w:trPr>
        <w:tc>
          <w:tcPr>
            <w:tcW w:w="3488" w:type="dxa"/>
            <w:noWrap/>
            <w:hideMark/>
          </w:tcPr>
          <w:p w:rsidR="00403EC0" w:rsidRPr="00BC1F88" w:rsidRDefault="00403EC0" w:rsidP="00BC1F88">
            <w:pPr>
              <w:pStyle w:val="BodyText"/>
              <w:spacing w:after="40"/>
              <w:rPr>
                <w:sz w:val="22"/>
                <w:szCs w:val="22"/>
              </w:rPr>
            </w:pPr>
          </w:p>
        </w:tc>
        <w:tc>
          <w:tcPr>
            <w:tcW w:w="2309" w:type="dxa"/>
            <w:noWrap/>
            <w:hideMark/>
          </w:tcPr>
          <w:p w:rsidR="00403EC0" w:rsidRPr="00BC1F88" w:rsidRDefault="00403EC0" w:rsidP="00BC1F88">
            <w:pPr>
              <w:pStyle w:val="BodyText"/>
              <w:spacing w:after="40"/>
              <w:jc w:val="center"/>
              <w:rPr>
                <w:sz w:val="22"/>
                <w:szCs w:val="22"/>
              </w:rPr>
            </w:pPr>
          </w:p>
        </w:tc>
        <w:tc>
          <w:tcPr>
            <w:tcW w:w="2309" w:type="dxa"/>
            <w:noWrap/>
            <w:hideMark/>
          </w:tcPr>
          <w:p w:rsidR="00403EC0" w:rsidRPr="00BC1F88" w:rsidRDefault="00403EC0" w:rsidP="00BC1F88">
            <w:pPr>
              <w:pStyle w:val="BodyText"/>
              <w:spacing w:after="40"/>
              <w:jc w:val="center"/>
              <w:rPr>
                <w:sz w:val="22"/>
                <w:szCs w:val="22"/>
              </w:rPr>
            </w:pPr>
          </w:p>
        </w:tc>
        <w:tc>
          <w:tcPr>
            <w:tcW w:w="2309" w:type="dxa"/>
            <w:noWrap/>
            <w:hideMark/>
          </w:tcPr>
          <w:p w:rsidR="00403EC0" w:rsidRPr="00BC1F88" w:rsidRDefault="00403EC0" w:rsidP="00BC1F88">
            <w:pPr>
              <w:pStyle w:val="BodyText"/>
              <w:spacing w:after="40"/>
              <w:jc w:val="center"/>
              <w:rPr>
                <w:sz w:val="22"/>
                <w:szCs w:val="22"/>
              </w:rPr>
            </w:pPr>
          </w:p>
        </w:tc>
      </w:tr>
      <w:tr w:rsidR="00934A56" w:rsidRPr="00BC1F88" w:rsidTr="001E7143">
        <w:trPr>
          <w:trHeight w:val="256"/>
        </w:trPr>
        <w:tc>
          <w:tcPr>
            <w:tcW w:w="3488" w:type="dxa"/>
            <w:noWrap/>
            <w:hideMark/>
          </w:tcPr>
          <w:p w:rsidR="00934A56" w:rsidRPr="00BC1F88" w:rsidRDefault="00934A56" w:rsidP="00BC1F88">
            <w:pPr>
              <w:pStyle w:val="BodyText"/>
              <w:spacing w:after="40"/>
              <w:rPr>
                <w:sz w:val="22"/>
                <w:szCs w:val="22"/>
              </w:rPr>
            </w:pPr>
            <w:r w:rsidRPr="00BC1F88">
              <w:rPr>
                <w:sz w:val="22"/>
                <w:szCs w:val="22"/>
              </w:rPr>
              <w:t>Adjusted Gross kW</w:t>
            </w:r>
          </w:p>
        </w:tc>
        <w:tc>
          <w:tcPr>
            <w:tcW w:w="2309" w:type="dxa"/>
            <w:noWrap/>
            <w:vAlign w:val="bottom"/>
            <w:hideMark/>
          </w:tcPr>
          <w:p w:rsidR="001E7143" w:rsidRDefault="000C3D83" w:rsidP="00143ED0">
            <w:pPr>
              <w:spacing w:after="40"/>
              <w:jc w:val="center"/>
              <w:rPr>
                <w:rFonts w:cs="Calibri"/>
                <w:bCs/>
                <w:color w:val="000000"/>
                <w:sz w:val="22"/>
                <w:szCs w:val="22"/>
              </w:rPr>
            </w:pPr>
            <w:r w:rsidRPr="000C3D83">
              <w:rPr>
                <w:rFonts w:cs="Calibri"/>
                <w:bCs/>
                <w:color w:val="000000"/>
                <w:sz w:val="22"/>
                <w:szCs w:val="22"/>
              </w:rPr>
              <w:t>1,</w:t>
            </w:r>
            <w:r w:rsidR="00BA2152" w:rsidRPr="000C3D83">
              <w:rPr>
                <w:rFonts w:cs="Calibri"/>
                <w:bCs/>
                <w:color w:val="000000"/>
                <w:sz w:val="22"/>
                <w:szCs w:val="22"/>
              </w:rPr>
              <w:t>1</w:t>
            </w:r>
            <w:r w:rsidR="00BA2152">
              <w:rPr>
                <w:rFonts w:cs="Calibri"/>
                <w:bCs/>
                <w:color w:val="000000"/>
                <w:sz w:val="22"/>
                <w:szCs w:val="22"/>
              </w:rPr>
              <w:t>9</w:t>
            </w:r>
            <w:r w:rsidR="00143ED0">
              <w:rPr>
                <w:rFonts w:cs="Calibri"/>
                <w:bCs/>
                <w:color w:val="000000"/>
                <w:sz w:val="22"/>
                <w:szCs w:val="22"/>
              </w:rPr>
              <w:t>2</w:t>
            </w:r>
          </w:p>
        </w:tc>
        <w:tc>
          <w:tcPr>
            <w:tcW w:w="2309" w:type="dxa"/>
            <w:noWrap/>
            <w:vAlign w:val="bottom"/>
            <w:hideMark/>
          </w:tcPr>
          <w:p w:rsidR="001E7143" w:rsidRDefault="000C3D83" w:rsidP="00143ED0">
            <w:pPr>
              <w:spacing w:after="40"/>
              <w:jc w:val="center"/>
              <w:rPr>
                <w:rFonts w:cs="Calibri"/>
                <w:bCs/>
                <w:color w:val="000000"/>
                <w:sz w:val="22"/>
                <w:szCs w:val="22"/>
              </w:rPr>
            </w:pPr>
            <w:r w:rsidRPr="000C3D83">
              <w:rPr>
                <w:rFonts w:cs="Calibri"/>
                <w:bCs/>
                <w:color w:val="000000"/>
                <w:sz w:val="22"/>
                <w:szCs w:val="22"/>
              </w:rPr>
              <w:t>3,</w:t>
            </w:r>
            <w:r w:rsidR="00BA2152">
              <w:rPr>
                <w:rFonts w:cs="Calibri"/>
                <w:bCs/>
                <w:color w:val="000000"/>
                <w:sz w:val="22"/>
                <w:szCs w:val="22"/>
              </w:rPr>
              <w:t>3</w:t>
            </w:r>
            <w:r w:rsidR="00143ED0">
              <w:rPr>
                <w:rFonts w:cs="Calibri"/>
                <w:bCs/>
                <w:color w:val="000000"/>
                <w:sz w:val="22"/>
                <w:szCs w:val="22"/>
              </w:rPr>
              <w:t>39</w:t>
            </w:r>
            <w:r w:rsidR="00BA2152" w:rsidRPr="000C3D83">
              <w:rPr>
                <w:rFonts w:cs="Calibri"/>
                <w:bCs/>
                <w:color w:val="000000"/>
                <w:sz w:val="22"/>
                <w:szCs w:val="22"/>
              </w:rPr>
              <w:t xml:space="preserve"> </w:t>
            </w:r>
          </w:p>
        </w:tc>
        <w:tc>
          <w:tcPr>
            <w:tcW w:w="2309" w:type="dxa"/>
            <w:noWrap/>
            <w:vAlign w:val="bottom"/>
            <w:hideMark/>
          </w:tcPr>
          <w:p w:rsidR="001E7143" w:rsidRDefault="000C3D83" w:rsidP="00143ED0">
            <w:pPr>
              <w:spacing w:after="40"/>
              <w:jc w:val="center"/>
              <w:rPr>
                <w:rFonts w:cs="Calibri"/>
                <w:bCs/>
                <w:color w:val="000000"/>
                <w:sz w:val="22"/>
                <w:szCs w:val="22"/>
              </w:rPr>
            </w:pPr>
            <w:r w:rsidRPr="000C3D83">
              <w:rPr>
                <w:rFonts w:cs="Calibri"/>
                <w:bCs/>
                <w:color w:val="000000"/>
                <w:sz w:val="22"/>
                <w:szCs w:val="22"/>
              </w:rPr>
              <w:t>5,</w:t>
            </w:r>
            <w:r w:rsidR="00BA2152">
              <w:rPr>
                <w:rFonts w:cs="Calibri"/>
                <w:bCs/>
                <w:color w:val="000000"/>
                <w:sz w:val="22"/>
                <w:szCs w:val="22"/>
              </w:rPr>
              <w:t>6</w:t>
            </w:r>
            <w:r w:rsidR="00143ED0">
              <w:rPr>
                <w:rFonts w:cs="Calibri"/>
                <w:bCs/>
                <w:color w:val="000000"/>
                <w:sz w:val="22"/>
                <w:szCs w:val="22"/>
              </w:rPr>
              <w:t>26</w:t>
            </w:r>
            <w:r w:rsidR="00BA2152" w:rsidRPr="000C3D83">
              <w:rPr>
                <w:rFonts w:cs="Calibri"/>
                <w:bCs/>
                <w:color w:val="000000"/>
                <w:sz w:val="22"/>
                <w:szCs w:val="22"/>
              </w:rPr>
              <w:t xml:space="preserve"> </w:t>
            </w:r>
          </w:p>
        </w:tc>
      </w:tr>
      <w:tr w:rsidR="000319CE" w:rsidRPr="00BC1F88" w:rsidTr="001E7143">
        <w:trPr>
          <w:trHeight w:val="256"/>
        </w:trPr>
        <w:tc>
          <w:tcPr>
            <w:tcW w:w="3488" w:type="dxa"/>
            <w:noWrap/>
            <w:hideMark/>
          </w:tcPr>
          <w:p w:rsidR="000319CE" w:rsidRPr="00BC1F88" w:rsidRDefault="000319CE" w:rsidP="00C85529">
            <w:pPr>
              <w:pStyle w:val="BodyText"/>
              <w:spacing w:after="40"/>
              <w:rPr>
                <w:sz w:val="22"/>
                <w:szCs w:val="22"/>
              </w:rPr>
            </w:pPr>
            <w:r>
              <w:rPr>
                <w:sz w:val="22"/>
                <w:szCs w:val="22"/>
              </w:rPr>
              <w:t xml:space="preserve">  </w:t>
            </w:r>
            <w:r w:rsidRPr="00BC1F88">
              <w:rPr>
                <w:sz w:val="22"/>
                <w:szCs w:val="22"/>
              </w:rPr>
              <w:t>Relative Precision</w:t>
            </w:r>
          </w:p>
        </w:tc>
        <w:tc>
          <w:tcPr>
            <w:tcW w:w="2309" w:type="dxa"/>
            <w:noWrap/>
            <w:vAlign w:val="bottom"/>
            <w:hideMark/>
          </w:tcPr>
          <w:p w:rsidR="000319CE" w:rsidRDefault="000319CE" w:rsidP="00143ED0">
            <w:pPr>
              <w:spacing w:after="40"/>
              <w:jc w:val="center"/>
              <w:rPr>
                <w:rFonts w:cs="Calibri"/>
                <w:color w:val="000000"/>
                <w:sz w:val="22"/>
                <w:szCs w:val="22"/>
              </w:rPr>
            </w:pPr>
            <w:r w:rsidRPr="000C3D83">
              <w:rPr>
                <w:rFonts w:cs="Calibri"/>
                <w:color w:val="000000"/>
                <w:sz w:val="22"/>
                <w:szCs w:val="22"/>
              </w:rPr>
              <w:t>11.</w:t>
            </w:r>
            <w:r w:rsidR="00143ED0">
              <w:rPr>
                <w:rFonts w:cs="Calibri"/>
                <w:color w:val="000000"/>
                <w:sz w:val="22"/>
                <w:szCs w:val="22"/>
              </w:rPr>
              <w:t>68</w:t>
            </w:r>
            <w:r w:rsidRPr="000C3D83">
              <w:rPr>
                <w:rFonts w:cs="Calibri"/>
                <w:color w:val="000000"/>
                <w:sz w:val="22"/>
                <w:szCs w:val="22"/>
              </w:rPr>
              <w:t>%</w:t>
            </w:r>
          </w:p>
        </w:tc>
        <w:tc>
          <w:tcPr>
            <w:tcW w:w="2309" w:type="dxa"/>
            <w:noWrap/>
            <w:vAlign w:val="bottom"/>
            <w:hideMark/>
          </w:tcPr>
          <w:p w:rsidR="000319CE" w:rsidRDefault="000319CE" w:rsidP="00143ED0">
            <w:pPr>
              <w:spacing w:after="40"/>
              <w:jc w:val="center"/>
              <w:rPr>
                <w:rFonts w:cs="Calibri"/>
                <w:color w:val="000000"/>
                <w:sz w:val="22"/>
                <w:szCs w:val="22"/>
              </w:rPr>
            </w:pPr>
            <w:r w:rsidRPr="000C3D83">
              <w:rPr>
                <w:rFonts w:cs="Calibri"/>
                <w:color w:val="000000"/>
                <w:sz w:val="22"/>
                <w:szCs w:val="22"/>
              </w:rPr>
              <w:t>8.</w:t>
            </w:r>
            <w:r w:rsidR="00143ED0">
              <w:rPr>
                <w:rFonts w:cs="Calibri"/>
                <w:color w:val="000000"/>
                <w:sz w:val="22"/>
                <w:szCs w:val="22"/>
              </w:rPr>
              <w:t>42</w:t>
            </w:r>
            <w:r w:rsidRPr="000C3D83">
              <w:rPr>
                <w:rFonts w:cs="Calibri"/>
                <w:color w:val="000000"/>
                <w:sz w:val="22"/>
                <w:szCs w:val="22"/>
              </w:rPr>
              <w:t>%</w:t>
            </w:r>
          </w:p>
        </w:tc>
        <w:tc>
          <w:tcPr>
            <w:tcW w:w="2309" w:type="dxa"/>
            <w:noWrap/>
            <w:vAlign w:val="bottom"/>
            <w:hideMark/>
          </w:tcPr>
          <w:p w:rsidR="000319CE" w:rsidRDefault="00BA2152" w:rsidP="00143ED0">
            <w:pPr>
              <w:spacing w:after="40"/>
              <w:jc w:val="center"/>
              <w:rPr>
                <w:rFonts w:cs="Calibri"/>
                <w:color w:val="000000"/>
                <w:sz w:val="22"/>
                <w:szCs w:val="22"/>
              </w:rPr>
            </w:pPr>
            <w:r>
              <w:rPr>
                <w:rFonts w:cs="Calibri"/>
                <w:color w:val="000000"/>
                <w:sz w:val="22"/>
                <w:szCs w:val="22"/>
              </w:rPr>
              <w:t>7.</w:t>
            </w:r>
            <w:r w:rsidR="00143ED0">
              <w:rPr>
                <w:rFonts w:cs="Calibri"/>
                <w:color w:val="000000"/>
                <w:sz w:val="22"/>
                <w:szCs w:val="22"/>
              </w:rPr>
              <w:t>92</w:t>
            </w:r>
            <w:r w:rsidR="000319CE" w:rsidRPr="000C3D83">
              <w:rPr>
                <w:rFonts w:cs="Calibri"/>
                <w:color w:val="000000"/>
                <w:sz w:val="22"/>
                <w:szCs w:val="22"/>
              </w:rPr>
              <w:t>%</w:t>
            </w:r>
          </w:p>
        </w:tc>
      </w:tr>
    </w:tbl>
    <w:p w:rsidR="00DB2D4A" w:rsidRPr="00DB2D4A" w:rsidRDefault="00DB2D4A" w:rsidP="00DB2D4A">
      <w:pPr>
        <w:pStyle w:val="BodyText"/>
      </w:pPr>
    </w:p>
    <w:p w:rsidR="000319CE" w:rsidRDefault="000319CE"/>
    <w:p w:rsidR="000319CE" w:rsidRDefault="000319CE"/>
    <w:p w:rsidR="000319CE" w:rsidRDefault="000319CE"/>
    <w:p w:rsidR="000319CE" w:rsidRDefault="000319CE"/>
    <w:p w:rsidR="001E7143" w:rsidRDefault="00AE2BB9">
      <w:r>
        <w:lastRenderedPageBreak/>
        <w:fldChar w:fldCharType="begin"/>
      </w:r>
      <w:r w:rsidR="00DE2A35">
        <w:instrText xml:space="preserve"> REF _Ref322701083 \h </w:instrText>
      </w:r>
      <w:r>
        <w:fldChar w:fldCharType="separate"/>
      </w:r>
      <w:r w:rsidR="00DE2A35">
        <w:t xml:space="preserve">Table </w:t>
      </w:r>
      <w:r w:rsidR="00DE2A35">
        <w:rPr>
          <w:noProof/>
        </w:rPr>
        <w:t>10</w:t>
      </w:r>
      <w:r>
        <w:fldChar w:fldCharType="end"/>
      </w:r>
      <w:r>
        <w:fldChar w:fldCharType="begin"/>
      </w:r>
      <w:r w:rsidR="007539FB">
        <w:instrText xml:space="preserve"> REF _Ref322675101 \h </w:instrText>
      </w:r>
      <w:r>
        <w:fldChar w:fldCharType="end"/>
      </w:r>
      <w:r w:rsidR="007539FB">
        <w:t xml:space="preserve"> summarizes</w:t>
      </w:r>
      <w:r w:rsidR="000319CE">
        <w:t xml:space="preserve"> total</w:t>
      </w:r>
      <w:r w:rsidR="007539FB">
        <w:t xml:space="preserve"> nominated EE values by delivery year.</w:t>
      </w:r>
    </w:p>
    <w:p w:rsidR="001E7143" w:rsidRDefault="00403EC0">
      <w:pPr>
        <w:pStyle w:val="Caption"/>
      </w:pPr>
      <w:bookmarkStart w:id="7" w:name="_Ref322701083"/>
      <w:proofErr w:type="gramStart"/>
      <w:r>
        <w:t xml:space="preserve">Table </w:t>
      </w:r>
      <w:r w:rsidR="00AE2BB9">
        <w:fldChar w:fldCharType="begin"/>
      </w:r>
      <w:r w:rsidR="005F53FD">
        <w:instrText xml:space="preserve"> SEQ Table \* ARABIC </w:instrText>
      </w:r>
      <w:r w:rsidR="00AE2BB9">
        <w:fldChar w:fldCharType="separate"/>
      </w:r>
      <w:r w:rsidR="00DE2A35">
        <w:rPr>
          <w:noProof/>
        </w:rPr>
        <w:t>10</w:t>
      </w:r>
      <w:r w:rsidR="00AE2BB9">
        <w:fldChar w:fldCharType="end"/>
      </w:r>
      <w:bookmarkEnd w:id="7"/>
      <w:r>
        <w:t>.</w:t>
      </w:r>
      <w:proofErr w:type="gramEnd"/>
      <w:r>
        <w:t xml:space="preserve"> Nominated Values by Resource Year</w:t>
      </w:r>
    </w:p>
    <w:tbl>
      <w:tblPr>
        <w:tblStyle w:val="TableGrid"/>
        <w:tblW w:w="0" w:type="auto"/>
        <w:jc w:val="center"/>
        <w:tblLook w:val="04A0"/>
      </w:tblPr>
      <w:tblGrid>
        <w:gridCol w:w="2394"/>
        <w:gridCol w:w="3600"/>
      </w:tblGrid>
      <w:tr w:rsidR="00403EC0" w:rsidTr="00403EC0">
        <w:trPr>
          <w:jc w:val="center"/>
        </w:trPr>
        <w:tc>
          <w:tcPr>
            <w:tcW w:w="2394" w:type="dxa"/>
            <w:shd w:val="clear" w:color="auto" w:fill="BFBFBF" w:themeFill="background1" w:themeFillShade="BF"/>
          </w:tcPr>
          <w:p w:rsidR="001E7143" w:rsidRDefault="000C3D83">
            <w:pPr>
              <w:pStyle w:val="BodyText"/>
              <w:jc w:val="center"/>
              <w:rPr>
                <w:b/>
              </w:rPr>
            </w:pPr>
            <w:r w:rsidRPr="000C3D83">
              <w:rPr>
                <w:b/>
              </w:rPr>
              <w:t>Delivery Year</w:t>
            </w:r>
          </w:p>
        </w:tc>
        <w:tc>
          <w:tcPr>
            <w:tcW w:w="3600" w:type="dxa"/>
            <w:shd w:val="clear" w:color="auto" w:fill="BFBFBF" w:themeFill="background1" w:themeFillShade="BF"/>
          </w:tcPr>
          <w:p w:rsidR="001E7143" w:rsidRDefault="000C3D83">
            <w:pPr>
              <w:pStyle w:val="BodyText"/>
              <w:jc w:val="center"/>
              <w:rPr>
                <w:b/>
              </w:rPr>
            </w:pPr>
            <w:r w:rsidRPr="000C3D83">
              <w:rPr>
                <w:b/>
              </w:rPr>
              <w:t>Nominated EE value (kW)</w:t>
            </w:r>
          </w:p>
        </w:tc>
      </w:tr>
      <w:tr w:rsidR="00403EC0" w:rsidTr="00403EC0">
        <w:trPr>
          <w:jc w:val="center"/>
        </w:trPr>
        <w:tc>
          <w:tcPr>
            <w:tcW w:w="2394" w:type="dxa"/>
          </w:tcPr>
          <w:p w:rsidR="001E7143" w:rsidRDefault="00403EC0">
            <w:pPr>
              <w:pStyle w:val="BodyText"/>
              <w:jc w:val="center"/>
            </w:pPr>
            <w:r>
              <w:t>2009</w:t>
            </w:r>
          </w:p>
        </w:tc>
        <w:tc>
          <w:tcPr>
            <w:tcW w:w="3600" w:type="dxa"/>
          </w:tcPr>
          <w:p w:rsidR="001E7143" w:rsidRDefault="000319CE" w:rsidP="00143ED0">
            <w:pPr>
              <w:pStyle w:val="BodyText"/>
              <w:jc w:val="center"/>
            </w:pPr>
            <w:r w:rsidRPr="00BA2152">
              <w:rPr>
                <w:rFonts w:cs="Calibri"/>
                <w:bCs/>
                <w:color w:val="000000"/>
                <w:szCs w:val="22"/>
              </w:rPr>
              <w:t>1,</w:t>
            </w:r>
            <w:r w:rsidR="00BA2152" w:rsidRPr="00BA2152">
              <w:rPr>
                <w:rFonts w:cs="Calibri"/>
                <w:bCs/>
                <w:color w:val="000000"/>
                <w:szCs w:val="22"/>
              </w:rPr>
              <w:t>1</w:t>
            </w:r>
            <w:r w:rsidR="00143ED0">
              <w:rPr>
                <w:rFonts w:cs="Calibri"/>
                <w:bCs/>
                <w:color w:val="000000"/>
                <w:szCs w:val="22"/>
              </w:rPr>
              <w:t>92</w:t>
            </w:r>
          </w:p>
        </w:tc>
      </w:tr>
      <w:tr w:rsidR="00403EC0" w:rsidTr="00403EC0">
        <w:trPr>
          <w:jc w:val="center"/>
        </w:trPr>
        <w:tc>
          <w:tcPr>
            <w:tcW w:w="2394" w:type="dxa"/>
          </w:tcPr>
          <w:p w:rsidR="001E7143" w:rsidRDefault="00403EC0">
            <w:pPr>
              <w:pStyle w:val="BodyText"/>
              <w:jc w:val="center"/>
            </w:pPr>
            <w:r>
              <w:t>2010</w:t>
            </w:r>
          </w:p>
        </w:tc>
        <w:tc>
          <w:tcPr>
            <w:tcW w:w="3600" w:type="dxa"/>
          </w:tcPr>
          <w:p w:rsidR="001E7143" w:rsidRDefault="00403EC0" w:rsidP="00237DEF">
            <w:pPr>
              <w:pStyle w:val="BodyText"/>
              <w:jc w:val="center"/>
            </w:pPr>
            <w:r w:rsidRPr="00403EC0">
              <w:t>4,</w:t>
            </w:r>
            <w:r w:rsidR="00237DEF">
              <w:t>5</w:t>
            </w:r>
            <w:r w:rsidR="00237DEF">
              <w:t>31</w:t>
            </w:r>
          </w:p>
        </w:tc>
      </w:tr>
      <w:tr w:rsidR="00403EC0" w:rsidTr="00403EC0">
        <w:trPr>
          <w:jc w:val="center"/>
        </w:trPr>
        <w:tc>
          <w:tcPr>
            <w:tcW w:w="2394" w:type="dxa"/>
          </w:tcPr>
          <w:p w:rsidR="001E7143" w:rsidRDefault="00403EC0">
            <w:pPr>
              <w:pStyle w:val="BodyText"/>
              <w:jc w:val="center"/>
            </w:pPr>
            <w:r>
              <w:t>2011</w:t>
            </w:r>
          </w:p>
        </w:tc>
        <w:tc>
          <w:tcPr>
            <w:tcW w:w="3600" w:type="dxa"/>
          </w:tcPr>
          <w:p w:rsidR="001E7143" w:rsidRDefault="00934A56" w:rsidP="00237DEF">
            <w:pPr>
              <w:pStyle w:val="BodyText"/>
              <w:jc w:val="center"/>
            </w:pPr>
            <w:r>
              <w:t>10,</w:t>
            </w:r>
            <w:r w:rsidR="00237DEF">
              <w:t>1</w:t>
            </w:r>
            <w:r w:rsidR="00237DEF">
              <w:t>56</w:t>
            </w:r>
          </w:p>
        </w:tc>
      </w:tr>
    </w:tbl>
    <w:p w:rsidR="00403EC0" w:rsidRPr="00403EC0" w:rsidRDefault="00403EC0" w:rsidP="00403EC0">
      <w:pPr>
        <w:pStyle w:val="BodyText"/>
        <w:sectPr w:rsidR="00403EC0" w:rsidRPr="00403EC0" w:rsidSect="0024549D">
          <w:footerReference w:type="default" r:id="rId12"/>
          <w:footerReference w:type="first" r:id="rId13"/>
          <w:pgSz w:w="12240" w:h="15840" w:code="1"/>
          <w:pgMar w:top="1440" w:right="1440" w:bottom="1440" w:left="1440" w:header="720" w:footer="720" w:gutter="0"/>
          <w:cols w:space="720"/>
          <w:docGrid w:linePitch="360"/>
        </w:sectPr>
      </w:pPr>
    </w:p>
    <w:p w:rsidR="00B67AE9" w:rsidRDefault="00B67AE9" w:rsidP="00B67AE9">
      <w:pPr>
        <w:pStyle w:val="AppendixHeading"/>
      </w:pPr>
      <w:r>
        <w:lastRenderedPageBreak/>
        <w:t>Appendix</w:t>
      </w:r>
    </w:p>
    <w:p w:rsidR="00CD138C" w:rsidRPr="00E82FF0" w:rsidRDefault="00CD138C" w:rsidP="00CD138C">
      <w:pPr>
        <w:pStyle w:val="Caption"/>
      </w:pPr>
      <w:bookmarkStart w:id="8" w:name="_Ref322682678"/>
      <w:bookmarkStart w:id="9" w:name="_Ref244074779"/>
      <w:proofErr w:type="gramStart"/>
      <w:r w:rsidRPr="00E82FF0">
        <w:t xml:space="preserve">Table </w:t>
      </w:r>
      <w:r w:rsidR="00AE2BB9">
        <w:fldChar w:fldCharType="begin"/>
      </w:r>
      <w:r w:rsidR="005F53FD">
        <w:instrText xml:space="preserve"> SEQ Table \* ARABIC </w:instrText>
      </w:r>
      <w:r w:rsidR="00AE2BB9">
        <w:fldChar w:fldCharType="separate"/>
      </w:r>
      <w:r w:rsidR="00DE2A35">
        <w:rPr>
          <w:noProof/>
        </w:rPr>
        <w:t>11</w:t>
      </w:r>
      <w:r w:rsidR="00AE2BB9">
        <w:fldChar w:fldCharType="end"/>
      </w:r>
      <w:bookmarkEnd w:id="8"/>
      <w:r w:rsidRPr="00E82FF0">
        <w:t>.</w:t>
      </w:r>
      <w:proofErr w:type="gramEnd"/>
      <w:r w:rsidRPr="00E82FF0">
        <w:t xml:space="preserve"> </w:t>
      </w:r>
      <w:r>
        <w:t>Refrigerator and Freezer Unit Characteristics</w:t>
      </w:r>
    </w:p>
    <w:tbl>
      <w:tblPr>
        <w:tblStyle w:val="TableGrid"/>
        <w:tblW w:w="0" w:type="auto"/>
        <w:tblLayout w:type="fixed"/>
        <w:tblLook w:val="04A0"/>
      </w:tblPr>
      <w:tblGrid>
        <w:gridCol w:w="3258"/>
        <w:gridCol w:w="990"/>
        <w:gridCol w:w="990"/>
        <w:gridCol w:w="990"/>
        <w:gridCol w:w="1080"/>
        <w:gridCol w:w="1134"/>
        <w:gridCol w:w="1134"/>
      </w:tblGrid>
      <w:tr w:rsidR="007539FB" w:rsidRPr="00B95116" w:rsidTr="007539FB">
        <w:trPr>
          <w:trHeight w:val="300"/>
        </w:trPr>
        <w:tc>
          <w:tcPr>
            <w:tcW w:w="3258" w:type="dxa"/>
            <w:tcBorders>
              <w:bottom w:val="single" w:sz="4" w:space="0" w:color="auto"/>
              <w:right w:val="single" w:sz="4" w:space="0" w:color="auto"/>
            </w:tcBorders>
            <w:shd w:val="clear" w:color="auto" w:fill="D9D9D9" w:themeFill="background1" w:themeFillShade="D9"/>
            <w:noWrap/>
            <w:hideMark/>
          </w:tcPr>
          <w:p w:rsidR="00492251" w:rsidRPr="00B95116" w:rsidRDefault="00492251" w:rsidP="00B95116">
            <w:pPr>
              <w:spacing w:after="40"/>
              <w:jc w:val="center"/>
              <w:rPr>
                <w:rFonts w:cs="Calibri"/>
                <w:b/>
                <w:color w:val="000000"/>
                <w:sz w:val="22"/>
                <w:szCs w:val="22"/>
              </w:rPr>
            </w:pPr>
          </w:p>
        </w:tc>
        <w:tc>
          <w:tcPr>
            <w:tcW w:w="990" w:type="dxa"/>
            <w:tcBorders>
              <w:left w:val="single" w:sz="4" w:space="0" w:color="auto"/>
              <w:bottom w:val="single" w:sz="4" w:space="0" w:color="auto"/>
              <w:right w:val="nil"/>
            </w:tcBorders>
            <w:shd w:val="clear" w:color="auto" w:fill="D9D9D9" w:themeFill="background1" w:themeFillShade="D9"/>
            <w:noWrap/>
            <w:hideMark/>
          </w:tcPr>
          <w:p w:rsidR="00492251" w:rsidRPr="00B95116" w:rsidRDefault="00492251" w:rsidP="00B95116">
            <w:pPr>
              <w:spacing w:after="40"/>
              <w:jc w:val="center"/>
              <w:rPr>
                <w:rFonts w:cs="Calibri"/>
                <w:b/>
                <w:color w:val="000000"/>
                <w:sz w:val="22"/>
                <w:szCs w:val="22"/>
              </w:rPr>
            </w:pPr>
            <w:r w:rsidRPr="00B95116">
              <w:rPr>
                <w:rFonts w:cs="Calibri"/>
                <w:b/>
                <w:color w:val="000000"/>
                <w:sz w:val="22"/>
                <w:szCs w:val="22"/>
              </w:rPr>
              <w:t>PY1</w:t>
            </w:r>
          </w:p>
        </w:tc>
        <w:tc>
          <w:tcPr>
            <w:tcW w:w="990" w:type="dxa"/>
            <w:tcBorders>
              <w:left w:val="nil"/>
              <w:bottom w:val="single" w:sz="4" w:space="0" w:color="auto"/>
              <w:right w:val="nil"/>
            </w:tcBorders>
            <w:shd w:val="clear" w:color="auto" w:fill="D9D9D9" w:themeFill="background1" w:themeFillShade="D9"/>
            <w:noWrap/>
            <w:hideMark/>
          </w:tcPr>
          <w:p w:rsidR="00492251" w:rsidRPr="00B95116" w:rsidRDefault="00492251" w:rsidP="00B95116">
            <w:pPr>
              <w:spacing w:after="40"/>
              <w:jc w:val="center"/>
              <w:rPr>
                <w:rFonts w:cs="Calibri"/>
                <w:b/>
                <w:color w:val="000000"/>
                <w:sz w:val="22"/>
                <w:szCs w:val="22"/>
              </w:rPr>
            </w:pPr>
            <w:r w:rsidRPr="00B95116">
              <w:rPr>
                <w:rFonts w:cs="Calibri"/>
                <w:b/>
                <w:color w:val="000000"/>
                <w:sz w:val="22"/>
                <w:szCs w:val="22"/>
              </w:rPr>
              <w:t>PY2</w:t>
            </w:r>
          </w:p>
        </w:tc>
        <w:tc>
          <w:tcPr>
            <w:tcW w:w="990" w:type="dxa"/>
            <w:tcBorders>
              <w:left w:val="nil"/>
              <w:bottom w:val="single" w:sz="4" w:space="0" w:color="auto"/>
              <w:right w:val="single" w:sz="4" w:space="0" w:color="auto"/>
            </w:tcBorders>
            <w:shd w:val="clear" w:color="auto" w:fill="D9D9D9" w:themeFill="background1" w:themeFillShade="D9"/>
            <w:noWrap/>
            <w:hideMark/>
          </w:tcPr>
          <w:p w:rsidR="00492251" w:rsidRPr="00B95116" w:rsidRDefault="00492251" w:rsidP="00B95116">
            <w:pPr>
              <w:spacing w:after="40"/>
              <w:jc w:val="center"/>
              <w:rPr>
                <w:rFonts w:cs="Calibri"/>
                <w:b/>
                <w:color w:val="000000"/>
                <w:sz w:val="22"/>
                <w:szCs w:val="22"/>
              </w:rPr>
            </w:pPr>
            <w:r w:rsidRPr="00B95116">
              <w:rPr>
                <w:rFonts w:cs="Calibri"/>
                <w:b/>
                <w:color w:val="000000"/>
                <w:sz w:val="22"/>
                <w:szCs w:val="22"/>
              </w:rPr>
              <w:t>PY3</w:t>
            </w:r>
          </w:p>
        </w:tc>
        <w:tc>
          <w:tcPr>
            <w:tcW w:w="1080" w:type="dxa"/>
            <w:tcBorders>
              <w:left w:val="single" w:sz="4" w:space="0" w:color="auto"/>
              <w:bottom w:val="single" w:sz="4" w:space="0" w:color="auto"/>
              <w:right w:val="nil"/>
            </w:tcBorders>
            <w:shd w:val="clear" w:color="auto" w:fill="D9D9D9" w:themeFill="background1" w:themeFillShade="D9"/>
            <w:noWrap/>
            <w:hideMark/>
          </w:tcPr>
          <w:p w:rsidR="00492251" w:rsidRPr="00B95116" w:rsidRDefault="00492251" w:rsidP="00B95116">
            <w:pPr>
              <w:spacing w:after="40"/>
              <w:jc w:val="center"/>
              <w:rPr>
                <w:rFonts w:cs="Calibri"/>
                <w:b/>
                <w:color w:val="000000"/>
                <w:sz w:val="22"/>
                <w:szCs w:val="22"/>
              </w:rPr>
            </w:pPr>
            <w:r w:rsidRPr="00B95116">
              <w:rPr>
                <w:rFonts w:cs="Calibri"/>
                <w:b/>
                <w:color w:val="000000"/>
                <w:sz w:val="22"/>
                <w:szCs w:val="22"/>
              </w:rPr>
              <w:t>PY1-PY2 Pooled</w:t>
            </w:r>
          </w:p>
        </w:tc>
        <w:tc>
          <w:tcPr>
            <w:tcW w:w="1134" w:type="dxa"/>
            <w:tcBorders>
              <w:left w:val="nil"/>
              <w:bottom w:val="single" w:sz="4" w:space="0" w:color="auto"/>
            </w:tcBorders>
            <w:shd w:val="clear" w:color="auto" w:fill="D9D9D9" w:themeFill="background1" w:themeFillShade="D9"/>
            <w:noWrap/>
            <w:hideMark/>
          </w:tcPr>
          <w:p w:rsidR="00492251" w:rsidRPr="00B95116" w:rsidRDefault="00492251" w:rsidP="00B95116">
            <w:pPr>
              <w:spacing w:after="40"/>
              <w:jc w:val="center"/>
              <w:rPr>
                <w:rFonts w:cs="Calibri"/>
                <w:b/>
                <w:color w:val="000000"/>
                <w:sz w:val="22"/>
                <w:szCs w:val="22"/>
              </w:rPr>
            </w:pPr>
            <w:r w:rsidRPr="00B95116">
              <w:rPr>
                <w:rFonts w:cs="Calibri"/>
                <w:b/>
                <w:color w:val="000000"/>
                <w:sz w:val="22"/>
                <w:szCs w:val="22"/>
              </w:rPr>
              <w:t>PY1-PY3 Pooled</w:t>
            </w:r>
          </w:p>
        </w:tc>
        <w:tc>
          <w:tcPr>
            <w:tcW w:w="1134" w:type="dxa"/>
            <w:tcBorders>
              <w:left w:val="nil"/>
              <w:bottom w:val="single" w:sz="4" w:space="0" w:color="auto"/>
            </w:tcBorders>
            <w:shd w:val="clear" w:color="auto" w:fill="D9D9D9" w:themeFill="background1" w:themeFillShade="D9"/>
          </w:tcPr>
          <w:p w:rsidR="00492251" w:rsidRPr="00B95116" w:rsidRDefault="00492251" w:rsidP="00B95116">
            <w:pPr>
              <w:spacing w:after="40"/>
              <w:jc w:val="center"/>
              <w:rPr>
                <w:rFonts w:cs="Calibri"/>
                <w:b/>
                <w:color w:val="000000"/>
                <w:sz w:val="22"/>
                <w:szCs w:val="22"/>
              </w:rPr>
            </w:pPr>
            <w:r>
              <w:rPr>
                <w:rFonts w:cs="Calibri"/>
                <w:b/>
                <w:color w:val="000000"/>
                <w:sz w:val="22"/>
                <w:szCs w:val="22"/>
              </w:rPr>
              <w:t>Metering Sample</w:t>
            </w:r>
          </w:p>
        </w:tc>
      </w:tr>
      <w:tr w:rsidR="007539FB" w:rsidRPr="00B95116" w:rsidTr="007539FB">
        <w:trPr>
          <w:trHeight w:val="300"/>
        </w:trPr>
        <w:tc>
          <w:tcPr>
            <w:tcW w:w="3258" w:type="dxa"/>
            <w:tcBorders>
              <w:bottom w:val="nil"/>
              <w:right w:val="single" w:sz="4" w:space="0" w:color="auto"/>
            </w:tcBorders>
            <w:noWrap/>
            <w:hideMark/>
          </w:tcPr>
          <w:p w:rsidR="007539FB" w:rsidRPr="00B95116" w:rsidRDefault="007539FB" w:rsidP="00B95116">
            <w:pPr>
              <w:spacing w:after="40"/>
              <w:jc w:val="left"/>
              <w:rPr>
                <w:rFonts w:cs="Calibri"/>
                <w:color w:val="000000"/>
                <w:sz w:val="22"/>
                <w:szCs w:val="22"/>
              </w:rPr>
            </w:pPr>
            <w:r w:rsidRPr="00B95116">
              <w:rPr>
                <w:rFonts w:cs="Calibri"/>
                <w:color w:val="000000"/>
                <w:sz w:val="22"/>
                <w:szCs w:val="22"/>
              </w:rPr>
              <w:t>Ex Post Count</w:t>
            </w:r>
          </w:p>
        </w:tc>
        <w:tc>
          <w:tcPr>
            <w:tcW w:w="990" w:type="dxa"/>
            <w:tcBorders>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11,513</w:t>
            </w:r>
          </w:p>
        </w:tc>
        <w:tc>
          <w:tcPr>
            <w:tcW w:w="990" w:type="dxa"/>
            <w:tcBorders>
              <w:left w:val="nil"/>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25,011</w:t>
            </w:r>
          </w:p>
        </w:tc>
        <w:tc>
          <w:tcPr>
            <w:tcW w:w="990" w:type="dxa"/>
            <w:tcBorders>
              <w:left w:val="nil"/>
              <w:bottom w:val="nil"/>
              <w:right w:val="single" w:sz="4" w:space="0" w:color="auto"/>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39,983</w:t>
            </w:r>
          </w:p>
        </w:tc>
        <w:tc>
          <w:tcPr>
            <w:tcW w:w="1080" w:type="dxa"/>
            <w:tcBorders>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36,524</w:t>
            </w:r>
          </w:p>
        </w:tc>
        <w:tc>
          <w:tcPr>
            <w:tcW w:w="1134" w:type="dxa"/>
            <w:tcBorders>
              <w:left w:val="nil"/>
              <w:bottom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76,507</w:t>
            </w:r>
          </w:p>
        </w:tc>
        <w:tc>
          <w:tcPr>
            <w:tcW w:w="1134" w:type="dxa"/>
            <w:tcBorders>
              <w:left w:val="nil"/>
              <w:bottom w:val="nil"/>
            </w:tcBorders>
          </w:tcPr>
          <w:p w:rsidR="007539FB" w:rsidRPr="00B95116" w:rsidRDefault="007539FB" w:rsidP="00B95116">
            <w:pPr>
              <w:spacing w:after="40"/>
              <w:jc w:val="center"/>
              <w:rPr>
                <w:rFonts w:cs="Calibri"/>
                <w:color w:val="000000"/>
                <w:sz w:val="22"/>
                <w:szCs w:val="22"/>
              </w:rPr>
            </w:pPr>
            <w:r>
              <w:rPr>
                <w:rFonts w:cs="Calibri"/>
                <w:color w:val="000000"/>
                <w:sz w:val="22"/>
                <w:szCs w:val="22"/>
              </w:rPr>
              <w:t>130</w:t>
            </w:r>
          </w:p>
        </w:tc>
      </w:tr>
      <w:tr w:rsidR="007539FB" w:rsidRPr="00B95116" w:rsidTr="007539FB">
        <w:trPr>
          <w:trHeight w:val="300"/>
        </w:trPr>
        <w:tc>
          <w:tcPr>
            <w:tcW w:w="3258" w:type="dxa"/>
            <w:tcBorders>
              <w:top w:val="nil"/>
              <w:bottom w:val="nil"/>
              <w:right w:val="single" w:sz="4" w:space="0" w:color="auto"/>
            </w:tcBorders>
            <w:hideMark/>
          </w:tcPr>
          <w:p w:rsidR="007539FB" w:rsidRPr="00B95116" w:rsidRDefault="007539FB" w:rsidP="00B95116">
            <w:pPr>
              <w:spacing w:after="40"/>
              <w:ind w:firstLineChars="100" w:firstLine="220"/>
              <w:jc w:val="left"/>
              <w:rPr>
                <w:rFonts w:cs="Calibri"/>
                <w:color w:val="000000"/>
                <w:sz w:val="22"/>
                <w:szCs w:val="22"/>
              </w:rPr>
            </w:pPr>
            <w:r w:rsidRPr="00B95116">
              <w:rPr>
                <w:rFonts w:cs="Calibri"/>
                <w:color w:val="000000"/>
                <w:sz w:val="22"/>
                <w:szCs w:val="22"/>
              </w:rPr>
              <w:t>% Refrigerator</w:t>
            </w:r>
          </w:p>
        </w:tc>
        <w:tc>
          <w:tcPr>
            <w:tcW w:w="99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73.3%</w:t>
            </w:r>
          </w:p>
        </w:tc>
        <w:tc>
          <w:tcPr>
            <w:tcW w:w="990" w:type="dxa"/>
            <w:tcBorders>
              <w:top w:val="nil"/>
              <w:left w:val="nil"/>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80.2%</w:t>
            </w:r>
          </w:p>
        </w:tc>
        <w:tc>
          <w:tcPr>
            <w:tcW w:w="990" w:type="dxa"/>
            <w:tcBorders>
              <w:top w:val="nil"/>
              <w:left w:val="nil"/>
              <w:bottom w:val="nil"/>
              <w:right w:val="single" w:sz="4" w:space="0" w:color="auto"/>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84.9%</w:t>
            </w:r>
          </w:p>
        </w:tc>
        <w:tc>
          <w:tcPr>
            <w:tcW w:w="108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78.0%</w:t>
            </w:r>
          </w:p>
        </w:tc>
        <w:tc>
          <w:tcPr>
            <w:tcW w:w="1134" w:type="dxa"/>
            <w:tcBorders>
              <w:top w:val="nil"/>
              <w:left w:val="nil"/>
              <w:bottom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81.6%</w:t>
            </w:r>
          </w:p>
        </w:tc>
        <w:tc>
          <w:tcPr>
            <w:tcW w:w="1134" w:type="dxa"/>
            <w:tcBorders>
              <w:top w:val="nil"/>
              <w:left w:val="nil"/>
              <w:bottom w:val="nil"/>
            </w:tcBorders>
            <w:vAlign w:val="bottom"/>
          </w:tcPr>
          <w:p w:rsidR="007539FB" w:rsidRPr="00B95116" w:rsidRDefault="007539FB" w:rsidP="00B95116">
            <w:pPr>
              <w:spacing w:after="40"/>
              <w:jc w:val="center"/>
              <w:rPr>
                <w:rFonts w:cs="Calibri"/>
                <w:color w:val="000000"/>
                <w:sz w:val="22"/>
                <w:szCs w:val="22"/>
              </w:rPr>
            </w:pPr>
            <w:r>
              <w:rPr>
                <w:rFonts w:cs="Calibri"/>
                <w:color w:val="000000"/>
                <w:sz w:val="22"/>
                <w:szCs w:val="22"/>
              </w:rPr>
              <w:t>78.5%</w:t>
            </w:r>
          </w:p>
        </w:tc>
      </w:tr>
      <w:tr w:rsidR="007539FB" w:rsidRPr="00B95116" w:rsidTr="007539FB">
        <w:trPr>
          <w:trHeight w:val="300"/>
        </w:trPr>
        <w:tc>
          <w:tcPr>
            <w:tcW w:w="3258" w:type="dxa"/>
            <w:tcBorders>
              <w:top w:val="nil"/>
              <w:bottom w:val="single" w:sz="4" w:space="0" w:color="auto"/>
              <w:right w:val="single" w:sz="4" w:space="0" w:color="auto"/>
            </w:tcBorders>
            <w:hideMark/>
          </w:tcPr>
          <w:p w:rsidR="007539FB" w:rsidRPr="00B95116" w:rsidRDefault="007539FB" w:rsidP="00B95116">
            <w:pPr>
              <w:spacing w:after="40"/>
              <w:ind w:firstLineChars="100" w:firstLine="220"/>
              <w:jc w:val="left"/>
              <w:rPr>
                <w:rFonts w:cs="Calibri"/>
                <w:color w:val="000000"/>
                <w:sz w:val="22"/>
                <w:szCs w:val="22"/>
              </w:rPr>
            </w:pPr>
            <w:r w:rsidRPr="00B95116">
              <w:rPr>
                <w:rFonts w:cs="Calibri"/>
                <w:color w:val="000000"/>
                <w:sz w:val="22"/>
                <w:szCs w:val="22"/>
              </w:rPr>
              <w:t>% Freezer</w:t>
            </w:r>
          </w:p>
        </w:tc>
        <w:tc>
          <w:tcPr>
            <w:tcW w:w="990" w:type="dxa"/>
            <w:tcBorders>
              <w:top w:val="nil"/>
              <w:left w:val="single" w:sz="4" w:space="0" w:color="auto"/>
              <w:bottom w:val="single" w:sz="4" w:space="0" w:color="auto"/>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26.7%</w:t>
            </w:r>
          </w:p>
        </w:tc>
        <w:tc>
          <w:tcPr>
            <w:tcW w:w="990" w:type="dxa"/>
            <w:tcBorders>
              <w:top w:val="nil"/>
              <w:left w:val="nil"/>
              <w:bottom w:val="single" w:sz="4" w:space="0" w:color="auto"/>
              <w:right w:val="nil"/>
            </w:tcBorders>
            <w:noWrap/>
            <w:hideMark/>
          </w:tcPr>
          <w:p w:rsidR="007539FB" w:rsidRPr="00B95116" w:rsidRDefault="007539FB" w:rsidP="00B95116">
            <w:pPr>
              <w:spacing w:after="40"/>
              <w:jc w:val="center"/>
              <w:rPr>
                <w:rFonts w:cs="Calibri"/>
                <w:color w:val="000000"/>
                <w:sz w:val="22"/>
                <w:szCs w:val="22"/>
              </w:rPr>
            </w:pPr>
            <w:r>
              <w:rPr>
                <w:rFonts w:cs="Calibri"/>
                <w:color w:val="000000"/>
                <w:sz w:val="22"/>
                <w:szCs w:val="22"/>
              </w:rPr>
              <w:t>19.8%</w:t>
            </w:r>
          </w:p>
        </w:tc>
        <w:tc>
          <w:tcPr>
            <w:tcW w:w="990" w:type="dxa"/>
            <w:tcBorders>
              <w:top w:val="nil"/>
              <w:left w:val="nil"/>
              <w:bottom w:val="single" w:sz="4" w:space="0" w:color="auto"/>
              <w:right w:val="single" w:sz="4" w:space="0" w:color="auto"/>
            </w:tcBorders>
            <w:noWrap/>
            <w:hideMark/>
          </w:tcPr>
          <w:p w:rsidR="007539FB" w:rsidRPr="00B95116" w:rsidRDefault="007539FB" w:rsidP="00B95116">
            <w:pPr>
              <w:spacing w:after="40"/>
              <w:jc w:val="center"/>
              <w:rPr>
                <w:rFonts w:cs="Calibri"/>
                <w:color w:val="000000"/>
                <w:sz w:val="22"/>
                <w:szCs w:val="22"/>
              </w:rPr>
            </w:pPr>
            <w:r>
              <w:rPr>
                <w:rFonts w:cs="Calibri"/>
                <w:color w:val="000000"/>
                <w:sz w:val="22"/>
                <w:szCs w:val="22"/>
              </w:rPr>
              <w:t>15.1%</w:t>
            </w:r>
          </w:p>
        </w:tc>
        <w:tc>
          <w:tcPr>
            <w:tcW w:w="1080" w:type="dxa"/>
            <w:tcBorders>
              <w:top w:val="nil"/>
              <w:left w:val="single" w:sz="4" w:space="0" w:color="auto"/>
              <w:bottom w:val="single" w:sz="4" w:space="0" w:color="auto"/>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22.0%</w:t>
            </w:r>
          </w:p>
        </w:tc>
        <w:tc>
          <w:tcPr>
            <w:tcW w:w="1134" w:type="dxa"/>
            <w:tcBorders>
              <w:top w:val="nil"/>
              <w:left w:val="nil"/>
              <w:bottom w:val="single" w:sz="4" w:space="0" w:color="auto"/>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18.4%</w:t>
            </w:r>
          </w:p>
        </w:tc>
        <w:tc>
          <w:tcPr>
            <w:tcW w:w="1134" w:type="dxa"/>
            <w:tcBorders>
              <w:top w:val="nil"/>
              <w:left w:val="nil"/>
              <w:bottom w:val="single" w:sz="4" w:space="0" w:color="auto"/>
            </w:tcBorders>
            <w:vAlign w:val="bottom"/>
          </w:tcPr>
          <w:p w:rsidR="007539FB" w:rsidRPr="00B95116" w:rsidRDefault="007539FB" w:rsidP="00B95116">
            <w:pPr>
              <w:spacing w:after="40"/>
              <w:jc w:val="center"/>
              <w:rPr>
                <w:rFonts w:cs="Calibri"/>
                <w:color w:val="000000"/>
                <w:sz w:val="22"/>
                <w:szCs w:val="22"/>
              </w:rPr>
            </w:pPr>
            <w:r>
              <w:rPr>
                <w:rFonts w:cs="Calibri"/>
                <w:color w:val="000000"/>
                <w:sz w:val="22"/>
                <w:szCs w:val="22"/>
              </w:rPr>
              <w:t>21.5%</w:t>
            </w:r>
          </w:p>
        </w:tc>
      </w:tr>
      <w:tr w:rsidR="007539FB" w:rsidRPr="00B95116" w:rsidTr="007539FB">
        <w:trPr>
          <w:trHeight w:val="300"/>
        </w:trPr>
        <w:tc>
          <w:tcPr>
            <w:tcW w:w="3258" w:type="dxa"/>
            <w:tcBorders>
              <w:top w:val="single" w:sz="4" w:space="0" w:color="auto"/>
              <w:bottom w:val="nil"/>
              <w:right w:val="single" w:sz="4" w:space="0" w:color="auto"/>
            </w:tcBorders>
            <w:shd w:val="clear" w:color="auto" w:fill="D9D9D9" w:themeFill="background1" w:themeFillShade="D9"/>
            <w:hideMark/>
          </w:tcPr>
          <w:p w:rsidR="007539FB" w:rsidRPr="00B95116" w:rsidRDefault="007539FB" w:rsidP="00B95116">
            <w:pPr>
              <w:spacing w:after="40"/>
              <w:jc w:val="left"/>
              <w:rPr>
                <w:rFonts w:cs="Calibri"/>
                <w:i/>
                <w:iCs/>
                <w:color w:val="000000"/>
                <w:sz w:val="22"/>
                <w:szCs w:val="22"/>
              </w:rPr>
            </w:pPr>
            <w:r w:rsidRPr="00B95116">
              <w:rPr>
                <w:rFonts w:cs="Calibri"/>
                <w:i/>
                <w:iCs/>
                <w:color w:val="000000"/>
                <w:sz w:val="22"/>
                <w:szCs w:val="22"/>
              </w:rPr>
              <w:t>Refrigerator Configuration</w:t>
            </w:r>
          </w:p>
        </w:tc>
        <w:tc>
          <w:tcPr>
            <w:tcW w:w="990" w:type="dxa"/>
            <w:tcBorders>
              <w:top w:val="single" w:sz="4" w:space="0" w:color="auto"/>
              <w:left w:val="single" w:sz="4" w:space="0" w:color="auto"/>
              <w:bottom w:val="nil"/>
              <w:right w:val="nil"/>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990" w:type="dxa"/>
            <w:tcBorders>
              <w:top w:val="single" w:sz="4" w:space="0" w:color="auto"/>
              <w:left w:val="nil"/>
              <w:bottom w:val="nil"/>
              <w:right w:val="nil"/>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990" w:type="dxa"/>
            <w:tcBorders>
              <w:top w:val="single" w:sz="4" w:space="0" w:color="auto"/>
              <w:left w:val="nil"/>
              <w:bottom w:val="nil"/>
              <w:right w:val="single" w:sz="4" w:space="0" w:color="auto"/>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1080" w:type="dxa"/>
            <w:tcBorders>
              <w:top w:val="single" w:sz="4" w:space="0" w:color="auto"/>
              <w:left w:val="single" w:sz="4" w:space="0" w:color="auto"/>
              <w:bottom w:val="nil"/>
              <w:right w:val="nil"/>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1134" w:type="dxa"/>
            <w:tcBorders>
              <w:top w:val="single" w:sz="4" w:space="0" w:color="auto"/>
              <w:left w:val="nil"/>
              <w:bottom w:val="nil"/>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1134" w:type="dxa"/>
            <w:tcBorders>
              <w:top w:val="single" w:sz="4" w:space="0" w:color="auto"/>
              <w:left w:val="nil"/>
              <w:bottom w:val="nil"/>
            </w:tcBorders>
            <w:shd w:val="clear" w:color="auto" w:fill="D9D9D9" w:themeFill="background1" w:themeFillShade="D9"/>
          </w:tcPr>
          <w:p w:rsidR="007539FB" w:rsidRPr="00B95116" w:rsidRDefault="007539FB" w:rsidP="00B95116">
            <w:pPr>
              <w:spacing w:after="40"/>
              <w:jc w:val="center"/>
              <w:rPr>
                <w:rFonts w:cs="Calibri"/>
                <w:color w:val="000000"/>
                <w:sz w:val="22"/>
                <w:szCs w:val="22"/>
              </w:rPr>
            </w:pPr>
          </w:p>
        </w:tc>
      </w:tr>
      <w:tr w:rsidR="007539FB" w:rsidRPr="00B95116" w:rsidTr="007539FB">
        <w:trPr>
          <w:trHeight w:val="300"/>
        </w:trPr>
        <w:tc>
          <w:tcPr>
            <w:tcW w:w="3258" w:type="dxa"/>
            <w:tcBorders>
              <w:top w:val="nil"/>
              <w:bottom w:val="nil"/>
              <w:right w:val="single" w:sz="4" w:space="0" w:color="auto"/>
            </w:tcBorders>
            <w:hideMark/>
          </w:tcPr>
          <w:p w:rsidR="007539FB" w:rsidRPr="00B95116" w:rsidRDefault="007539FB" w:rsidP="00B95116">
            <w:pPr>
              <w:spacing w:after="40"/>
              <w:ind w:firstLineChars="100" w:firstLine="220"/>
              <w:jc w:val="left"/>
              <w:rPr>
                <w:rFonts w:cs="Calibri"/>
                <w:color w:val="000000"/>
                <w:sz w:val="22"/>
                <w:szCs w:val="22"/>
              </w:rPr>
            </w:pPr>
            <w:r w:rsidRPr="00B95116">
              <w:rPr>
                <w:rFonts w:cs="Calibri"/>
                <w:color w:val="000000"/>
                <w:sz w:val="22"/>
                <w:szCs w:val="22"/>
              </w:rPr>
              <w:t>% Top Freezer</w:t>
            </w:r>
          </w:p>
        </w:tc>
        <w:tc>
          <w:tcPr>
            <w:tcW w:w="99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10.3%</w:t>
            </w:r>
          </w:p>
        </w:tc>
        <w:tc>
          <w:tcPr>
            <w:tcW w:w="990" w:type="dxa"/>
            <w:tcBorders>
              <w:top w:val="nil"/>
              <w:left w:val="nil"/>
              <w:bottom w:val="nil"/>
              <w:right w:val="nil"/>
            </w:tcBorders>
            <w:noWrap/>
            <w:hideMark/>
          </w:tcPr>
          <w:p w:rsidR="007539FB" w:rsidRPr="00B95116" w:rsidRDefault="007539FB" w:rsidP="00B95116">
            <w:pPr>
              <w:spacing w:after="40"/>
              <w:jc w:val="center"/>
              <w:rPr>
                <w:rFonts w:cs="Calibri"/>
                <w:color w:val="000000"/>
                <w:sz w:val="22"/>
                <w:szCs w:val="22"/>
              </w:rPr>
            </w:pPr>
            <w:r>
              <w:rPr>
                <w:rFonts w:cs="Calibri"/>
                <w:color w:val="000000"/>
                <w:sz w:val="22"/>
                <w:szCs w:val="22"/>
              </w:rPr>
              <w:t>46.0</w:t>
            </w:r>
            <w:r w:rsidRPr="00B95116">
              <w:rPr>
                <w:rFonts w:cs="Calibri"/>
                <w:color w:val="000000"/>
                <w:sz w:val="22"/>
                <w:szCs w:val="22"/>
              </w:rPr>
              <w:t>%</w:t>
            </w:r>
          </w:p>
        </w:tc>
        <w:tc>
          <w:tcPr>
            <w:tcW w:w="990" w:type="dxa"/>
            <w:tcBorders>
              <w:top w:val="nil"/>
              <w:left w:val="nil"/>
              <w:bottom w:val="nil"/>
              <w:right w:val="single" w:sz="4" w:space="0" w:color="auto"/>
            </w:tcBorders>
            <w:noWrap/>
            <w:hideMark/>
          </w:tcPr>
          <w:p w:rsidR="007539FB" w:rsidRPr="00B95116" w:rsidRDefault="007539FB" w:rsidP="00B95116">
            <w:pPr>
              <w:spacing w:after="40"/>
              <w:jc w:val="center"/>
              <w:rPr>
                <w:rFonts w:cs="Calibri"/>
                <w:color w:val="000000"/>
                <w:sz w:val="22"/>
                <w:szCs w:val="22"/>
              </w:rPr>
            </w:pPr>
            <w:r>
              <w:rPr>
                <w:rFonts w:cs="Calibri"/>
                <w:color w:val="000000"/>
                <w:sz w:val="22"/>
                <w:szCs w:val="22"/>
              </w:rPr>
              <w:t>49.1</w:t>
            </w:r>
            <w:r w:rsidRPr="00B95116">
              <w:rPr>
                <w:rFonts w:cs="Calibri"/>
                <w:color w:val="000000"/>
                <w:sz w:val="22"/>
                <w:szCs w:val="22"/>
              </w:rPr>
              <w:t>%</w:t>
            </w:r>
          </w:p>
        </w:tc>
        <w:tc>
          <w:tcPr>
            <w:tcW w:w="108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34.7%</w:t>
            </w:r>
          </w:p>
        </w:tc>
        <w:tc>
          <w:tcPr>
            <w:tcW w:w="1134" w:type="dxa"/>
            <w:tcBorders>
              <w:top w:val="nil"/>
              <w:left w:val="nil"/>
              <w:bottom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42.2%</w:t>
            </w:r>
          </w:p>
        </w:tc>
        <w:tc>
          <w:tcPr>
            <w:tcW w:w="1134" w:type="dxa"/>
            <w:tcBorders>
              <w:top w:val="nil"/>
              <w:left w:val="nil"/>
              <w:bottom w:val="nil"/>
            </w:tcBorders>
            <w:vAlign w:val="bottom"/>
          </w:tcPr>
          <w:p w:rsidR="007539FB" w:rsidRPr="00B95116" w:rsidRDefault="007539FB" w:rsidP="00B95116">
            <w:pPr>
              <w:spacing w:after="40"/>
              <w:jc w:val="center"/>
              <w:rPr>
                <w:rFonts w:cs="Calibri"/>
                <w:color w:val="000000"/>
                <w:sz w:val="22"/>
                <w:szCs w:val="22"/>
              </w:rPr>
            </w:pPr>
            <w:r>
              <w:rPr>
                <w:rFonts w:cs="Calibri"/>
                <w:color w:val="000000"/>
                <w:sz w:val="22"/>
                <w:szCs w:val="22"/>
              </w:rPr>
              <w:t>52.3%</w:t>
            </w:r>
          </w:p>
        </w:tc>
      </w:tr>
      <w:tr w:rsidR="007539FB" w:rsidRPr="00B95116" w:rsidTr="007539FB">
        <w:trPr>
          <w:trHeight w:val="300"/>
        </w:trPr>
        <w:tc>
          <w:tcPr>
            <w:tcW w:w="3258" w:type="dxa"/>
            <w:tcBorders>
              <w:top w:val="nil"/>
              <w:bottom w:val="nil"/>
              <w:right w:val="single" w:sz="4" w:space="0" w:color="auto"/>
            </w:tcBorders>
            <w:hideMark/>
          </w:tcPr>
          <w:p w:rsidR="007539FB" w:rsidRPr="00B95116" w:rsidRDefault="007539FB" w:rsidP="00B95116">
            <w:pPr>
              <w:spacing w:after="40"/>
              <w:ind w:firstLineChars="100" w:firstLine="220"/>
              <w:jc w:val="left"/>
              <w:rPr>
                <w:rFonts w:cs="Calibri"/>
                <w:color w:val="000000"/>
                <w:sz w:val="22"/>
                <w:szCs w:val="22"/>
              </w:rPr>
            </w:pPr>
            <w:r w:rsidRPr="00B95116">
              <w:rPr>
                <w:rFonts w:cs="Calibri"/>
                <w:color w:val="000000"/>
                <w:sz w:val="22"/>
                <w:szCs w:val="22"/>
              </w:rPr>
              <w:t>% Bottom Freezer</w:t>
            </w:r>
          </w:p>
        </w:tc>
        <w:tc>
          <w:tcPr>
            <w:tcW w:w="99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0.7%</w:t>
            </w:r>
          </w:p>
        </w:tc>
        <w:tc>
          <w:tcPr>
            <w:tcW w:w="990" w:type="dxa"/>
            <w:tcBorders>
              <w:top w:val="nil"/>
              <w:left w:val="nil"/>
              <w:bottom w:val="nil"/>
              <w:right w:val="nil"/>
            </w:tcBorders>
            <w:noWrap/>
            <w:hideMark/>
          </w:tcPr>
          <w:p w:rsidR="007539FB" w:rsidRPr="00B95116" w:rsidRDefault="007539FB" w:rsidP="00B95116">
            <w:pPr>
              <w:spacing w:after="40"/>
              <w:jc w:val="center"/>
              <w:rPr>
                <w:rFonts w:cs="Calibri"/>
                <w:color w:val="000000"/>
                <w:sz w:val="22"/>
                <w:szCs w:val="22"/>
              </w:rPr>
            </w:pPr>
            <w:r>
              <w:rPr>
                <w:rFonts w:cs="Calibri"/>
                <w:color w:val="000000"/>
                <w:sz w:val="22"/>
                <w:szCs w:val="22"/>
              </w:rPr>
              <w:t>2.6</w:t>
            </w:r>
            <w:r w:rsidRPr="00B95116">
              <w:rPr>
                <w:rFonts w:cs="Calibri"/>
                <w:color w:val="000000"/>
                <w:sz w:val="22"/>
                <w:szCs w:val="22"/>
              </w:rPr>
              <w:t>%</w:t>
            </w:r>
          </w:p>
        </w:tc>
        <w:tc>
          <w:tcPr>
            <w:tcW w:w="990" w:type="dxa"/>
            <w:tcBorders>
              <w:top w:val="nil"/>
              <w:left w:val="nil"/>
              <w:bottom w:val="nil"/>
              <w:right w:val="single" w:sz="4" w:space="0" w:color="auto"/>
            </w:tcBorders>
            <w:noWrap/>
            <w:hideMark/>
          </w:tcPr>
          <w:p w:rsidR="007539FB" w:rsidRPr="00B95116" w:rsidRDefault="007539FB" w:rsidP="00B95116">
            <w:pPr>
              <w:spacing w:after="40"/>
              <w:jc w:val="center"/>
              <w:rPr>
                <w:rFonts w:cs="Calibri"/>
                <w:color w:val="000000"/>
                <w:sz w:val="22"/>
                <w:szCs w:val="22"/>
              </w:rPr>
            </w:pPr>
            <w:r>
              <w:rPr>
                <w:rFonts w:cs="Calibri"/>
                <w:color w:val="000000"/>
                <w:sz w:val="22"/>
                <w:szCs w:val="22"/>
              </w:rPr>
              <w:t>9.6</w:t>
            </w:r>
            <w:r w:rsidRPr="00B95116">
              <w:rPr>
                <w:rFonts w:cs="Calibri"/>
                <w:color w:val="000000"/>
                <w:sz w:val="22"/>
                <w:szCs w:val="22"/>
              </w:rPr>
              <w:t>%</w:t>
            </w:r>
          </w:p>
        </w:tc>
        <w:tc>
          <w:tcPr>
            <w:tcW w:w="108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2.0%</w:t>
            </w:r>
          </w:p>
        </w:tc>
        <w:tc>
          <w:tcPr>
            <w:tcW w:w="1134" w:type="dxa"/>
            <w:tcBorders>
              <w:top w:val="nil"/>
              <w:left w:val="nil"/>
              <w:bottom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6.0%</w:t>
            </w:r>
          </w:p>
        </w:tc>
        <w:tc>
          <w:tcPr>
            <w:tcW w:w="1134" w:type="dxa"/>
            <w:tcBorders>
              <w:top w:val="nil"/>
              <w:left w:val="nil"/>
              <w:bottom w:val="nil"/>
            </w:tcBorders>
            <w:vAlign w:val="bottom"/>
          </w:tcPr>
          <w:p w:rsidR="007539FB" w:rsidRPr="00B95116" w:rsidRDefault="007539FB" w:rsidP="00B95116">
            <w:pPr>
              <w:spacing w:after="40"/>
              <w:jc w:val="center"/>
              <w:rPr>
                <w:rFonts w:cs="Calibri"/>
                <w:color w:val="000000"/>
                <w:sz w:val="22"/>
                <w:szCs w:val="22"/>
              </w:rPr>
            </w:pPr>
            <w:r>
              <w:rPr>
                <w:rFonts w:cs="Calibri"/>
                <w:color w:val="000000"/>
                <w:sz w:val="22"/>
                <w:szCs w:val="22"/>
              </w:rPr>
              <w:t>4.6%</w:t>
            </w:r>
          </w:p>
        </w:tc>
      </w:tr>
      <w:tr w:rsidR="007539FB" w:rsidRPr="00B95116" w:rsidTr="007539FB">
        <w:trPr>
          <w:trHeight w:val="300"/>
        </w:trPr>
        <w:tc>
          <w:tcPr>
            <w:tcW w:w="3258" w:type="dxa"/>
            <w:tcBorders>
              <w:top w:val="nil"/>
              <w:bottom w:val="nil"/>
              <w:right w:val="single" w:sz="4" w:space="0" w:color="auto"/>
            </w:tcBorders>
            <w:hideMark/>
          </w:tcPr>
          <w:p w:rsidR="007539FB" w:rsidRPr="00B95116" w:rsidRDefault="007539FB" w:rsidP="00B95116">
            <w:pPr>
              <w:spacing w:after="40"/>
              <w:ind w:firstLineChars="100" w:firstLine="220"/>
              <w:jc w:val="left"/>
              <w:rPr>
                <w:rFonts w:cs="Calibri"/>
                <w:color w:val="000000"/>
                <w:sz w:val="22"/>
                <w:szCs w:val="22"/>
              </w:rPr>
            </w:pPr>
            <w:r w:rsidRPr="00B95116">
              <w:rPr>
                <w:rFonts w:cs="Calibri"/>
                <w:color w:val="000000"/>
                <w:sz w:val="22"/>
                <w:szCs w:val="22"/>
              </w:rPr>
              <w:t>% Side-by-Side</w:t>
            </w:r>
          </w:p>
        </w:tc>
        <w:tc>
          <w:tcPr>
            <w:tcW w:w="990" w:type="dxa"/>
            <w:tcBorders>
              <w:top w:val="nil"/>
              <w:left w:val="single" w:sz="4" w:space="0" w:color="auto"/>
              <w:bottom w:val="nil"/>
              <w:right w:val="nil"/>
            </w:tcBorders>
            <w:noWrap/>
            <w:hideMark/>
          </w:tcPr>
          <w:p w:rsidR="007539FB" w:rsidRPr="00B95116" w:rsidRDefault="007539FB" w:rsidP="00B95116">
            <w:pPr>
              <w:spacing w:after="40"/>
              <w:jc w:val="center"/>
              <w:rPr>
                <w:rFonts w:cs="Calibri"/>
                <w:bCs/>
                <w:color w:val="000000"/>
                <w:sz w:val="22"/>
                <w:szCs w:val="22"/>
              </w:rPr>
            </w:pPr>
            <w:r w:rsidRPr="00B95116">
              <w:rPr>
                <w:rFonts w:cs="Calibri"/>
                <w:bCs/>
                <w:color w:val="000000"/>
                <w:sz w:val="22"/>
                <w:szCs w:val="22"/>
              </w:rPr>
              <w:t>3.1%</w:t>
            </w:r>
          </w:p>
        </w:tc>
        <w:tc>
          <w:tcPr>
            <w:tcW w:w="990" w:type="dxa"/>
            <w:tcBorders>
              <w:top w:val="nil"/>
              <w:left w:val="nil"/>
              <w:bottom w:val="nil"/>
              <w:right w:val="nil"/>
            </w:tcBorders>
            <w:noWrap/>
            <w:hideMark/>
          </w:tcPr>
          <w:p w:rsidR="007539FB" w:rsidRPr="00B95116" w:rsidRDefault="007539FB" w:rsidP="00B95116">
            <w:pPr>
              <w:spacing w:after="40"/>
              <w:jc w:val="center"/>
              <w:rPr>
                <w:rFonts w:cs="Calibri"/>
                <w:bCs/>
                <w:color w:val="000000"/>
                <w:sz w:val="22"/>
                <w:szCs w:val="22"/>
              </w:rPr>
            </w:pPr>
            <w:r w:rsidRPr="00B95116">
              <w:rPr>
                <w:rFonts w:cs="Calibri"/>
                <w:bCs/>
                <w:color w:val="000000"/>
                <w:sz w:val="22"/>
                <w:szCs w:val="22"/>
              </w:rPr>
              <w:t>13.3%</w:t>
            </w:r>
          </w:p>
        </w:tc>
        <w:tc>
          <w:tcPr>
            <w:tcW w:w="990" w:type="dxa"/>
            <w:tcBorders>
              <w:top w:val="nil"/>
              <w:left w:val="nil"/>
              <w:bottom w:val="nil"/>
              <w:right w:val="single" w:sz="4" w:space="0" w:color="auto"/>
            </w:tcBorders>
            <w:noWrap/>
            <w:hideMark/>
          </w:tcPr>
          <w:p w:rsidR="007539FB" w:rsidRPr="00B95116" w:rsidRDefault="007539FB" w:rsidP="00B95116">
            <w:pPr>
              <w:spacing w:after="40"/>
              <w:jc w:val="center"/>
              <w:rPr>
                <w:rFonts w:cs="Calibri"/>
                <w:bCs/>
                <w:color w:val="000000"/>
                <w:sz w:val="22"/>
                <w:szCs w:val="22"/>
              </w:rPr>
            </w:pPr>
            <w:r w:rsidRPr="00B95116">
              <w:rPr>
                <w:rFonts w:cs="Calibri"/>
                <w:bCs/>
                <w:color w:val="000000"/>
                <w:sz w:val="22"/>
                <w:szCs w:val="22"/>
              </w:rPr>
              <w:t>14.7%</w:t>
            </w:r>
          </w:p>
        </w:tc>
        <w:tc>
          <w:tcPr>
            <w:tcW w:w="108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10.1%</w:t>
            </w:r>
          </w:p>
        </w:tc>
        <w:tc>
          <w:tcPr>
            <w:tcW w:w="1134" w:type="dxa"/>
            <w:tcBorders>
              <w:top w:val="nil"/>
              <w:left w:val="nil"/>
              <w:bottom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12.5%</w:t>
            </w:r>
          </w:p>
        </w:tc>
        <w:tc>
          <w:tcPr>
            <w:tcW w:w="1134" w:type="dxa"/>
            <w:tcBorders>
              <w:top w:val="nil"/>
              <w:left w:val="nil"/>
              <w:bottom w:val="nil"/>
            </w:tcBorders>
            <w:vAlign w:val="bottom"/>
          </w:tcPr>
          <w:p w:rsidR="007539FB" w:rsidRPr="00B95116" w:rsidRDefault="007539FB" w:rsidP="00B95116">
            <w:pPr>
              <w:spacing w:after="40"/>
              <w:jc w:val="center"/>
              <w:rPr>
                <w:rFonts w:cs="Calibri"/>
                <w:color w:val="000000"/>
                <w:sz w:val="22"/>
                <w:szCs w:val="22"/>
              </w:rPr>
            </w:pPr>
            <w:r>
              <w:rPr>
                <w:rFonts w:cs="Calibri"/>
                <w:color w:val="000000"/>
                <w:sz w:val="22"/>
                <w:szCs w:val="22"/>
              </w:rPr>
              <w:t>20.0%</w:t>
            </w:r>
          </w:p>
        </w:tc>
      </w:tr>
      <w:tr w:rsidR="007539FB" w:rsidRPr="00B95116" w:rsidTr="007539FB">
        <w:trPr>
          <w:trHeight w:val="300"/>
        </w:trPr>
        <w:tc>
          <w:tcPr>
            <w:tcW w:w="3258" w:type="dxa"/>
            <w:tcBorders>
              <w:top w:val="nil"/>
              <w:bottom w:val="nil"/>
              <w:right w:val="single" w:sz="4" w:space="0" w:color="auto"/>
            </w:tcBorders>
            <w:hideMark/>
          </w:tcPr>
          <w:p w:rsidR="007539FB" w:rsidRPr="00B95116" w:rsidRDefault="007539FB" w:rsidP="00B95116">
            <w:pPr>
              <w:spacing w:after="40"/>
              <w:ind w:firstLineChars="100" w:firstLine="220"/>
              <w:jc w:val="left"/>
              <w:rPr>
                <w:rFonts w:cs="Calibri"/>
                <w:color w:val="000000"/>
                <w:sz w:val="22"/>
                <w:szCs w:val="22"/>
              </w:rPr>
            </w:pPr>
            <w:r w:rsidRPr="00B95116">
              <w:rPr>
                <w:rFonts w:cs="Calibri"/>
                <w:color w:val="000000"/>
                <w:sz w:val="22"/>
                <w:szCs w:val="22"/>
              </w:rPr>
              <w:t>% Single Door</w:t>
            </w:r>
          </w:p>
        </w:tc>
        <w:tc>
          <w:tcPr>
            <w:tcW w:w="99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1.7%</w:t>
            </w:r>
          </w:p>
        </w:tc>
        <w:tc>
          <w:tcPr>
            <w:tcW w:w="990" w:type="dxa"/>
            <w:tcBorders>
              <w:top w:val="nil"/>
              <w:left w:val="nil"/>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6.82%</w:t>
            </w:r>
          </w:p>
        </w:tc>
        <w:tc>
          <w:tcPr>
            <w:tcW w:w="990" w:type="dxa"/>
            <w:tcBorders>
              <w:top w:val="nil"/>
              <w:left w:val="nil"/>
              <w:bottom w:val="nil"/>
              <w:right w:val="single" w:sz="4" w:space="0" w:color="auto"/>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6.70%</w:t>
            </w:r>
          </w:p>
        </w:tc>
        <w:tc>
          <w:tcPr>
            <w:tcW w:w="108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5.2%</w:t>
            </w:r>
          </w:p>
        </w:tc>
        <w:tc>
          <w:tcPr>
            <w:tcW w:w="1134" w:type="dxa"/>
            <w:tcBorders>
              <w:top w:val="nil"/>
              <w:left w:val="nil"/>
              <w:bottom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6.0%</w:t>
            </w:r>
          </w:p>
        </w:tc>
        <w:tc>
          <w:tcPr>
            <w:tcW w:w="1134" w:type="dxa"/>
            <w:tcBorders>
              <w:top w:val="nil"/>
              <w:left w:val="nil"/>
              <w:bottom w:val="nil"/>
            </w:tcBorders>
            <w:vAlign w:val="bottom"/>
          </w:tcPr>
          <w:p w:rsidR="007539FB" w:rsidRPr="00B95116" w:rsidRDefault="007539FB" w:rsidP="00B95116">
            <w:pPr>
              <w:spacing w:after="40"/>
              <w:jc w:val="center"/>
              <w:rPr>
                <w:rFonts w:cs="Calibri"/>
                <w:color w:val="000000"/>
                <w:sz w:val="22"/>
                <w:szCs w:val="22"/>
              </w:rPr>
            </w:pPr>
            <w:r>
              <w:rPr>
                <w:rFonts w:cs="Calibri"/>
                <w:color w:val="000000"/>
                <w:sz w:val="22"/>
                <w:szCs w:val="22"/>
              </w:rPr>
              <w:t>1.5%</w:t>
            </w:r>
          </w:p>
        </w:tc>
      </w:tr>
      <w:tr w:rsidR="007539FB" w:rsidRPr="00B95116" w:rsidTr="007539FB">
        <w:trPr>
          <w:trHeight w:val="300"/>
        </w:trPr>
        <w:tc>
          <w:tcPr>
            <w:tcW w:w="3258" w:type="dxa"/>
            <w:tcBorders>
              <w:top w:val="nil"/>
              <w:bottom w:val="single" w:sz="4" w:space="0" w:color="auto"/>
              <w:right w:val="single" w:sz="4" w:space="0" w:color="auto"/>
            </w:tcBorders>
            <w:hideMark/>
          </w:tcPr>
          <w:p w:rsidR="007539FB" w:rsidRPr="00B95116" w:rsidRDefault="007539FB" w:rsidP="00B95116">
            <w:pPr>
              <w:spacing w:after="40"/>
              <w:ind w:firstLineChars="100" w:firstLine="220"/>
              <w:jc w:val="left"/>
              <w:rPr>
                <w:rFonts w:cs="Calibri"/>
                <w:color w:val="000000"/>
                <w:sz w:val="22"/>
                <w:szCs w:val="22"/>
              </w:rPr>
            </w:pPr>
            <w:r w:rsidRPr="00B95116">
              <w:rPr>
                <w:rFonts w:cs="Calibri"/>
                <w:color w:val="000000"/>
                <w:sz w:val="22"/>
                <w:szCs w:val="22"/>
              </w:rPr>
              <w:t>% Unknown</w:t>
            </w:r>
          </w:p>
        </w:tc>
        <w:tc>
          <w:tcPr>
            <w:tcW w:w="990" w:type="dxa"/>
            <w:tcBorders>
              <w:top w:val="nil"/>
              <w:left w:val="single" w:sz="4" w:space="0" w:color="auto"/>
              <w:bottom w:val="single" w:sz="4" w:space="0" w:color="auto"/>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57.5%</w:t>
            </w:r>
          </w:p>
        </w:tc>
        <w:tc>
          <w:tcPr>
            <w:tcW w:w="990" w:type="dxa"/>
            <w:tcBorders>
              <w:top w:val="nil"/>
              <w:left w:val="nil"/>
              <w:bottom w:val="single" w:sz="4" w:space="0" w:color="auto"/>
              <w:right w:val="nil"/>
            </w:tcBorders>
            <w:noWrap/>
            <w:hideMark/>
          </w:tcPr>
          <w:p w:rsidR="007539FB" w:rsidRPr="00B95116" w:rsidRDefault="007539FB" w:rsidP="00B95116">
            <w:pPr>
              <w:spacing w:after="40"/>
              <w:jc w:val="center"/>
              <w:rPr>
                <w:rFonts w:cs="Calibri"/>
                <w:color w:val="000000"/>
                <w:sz w:val="22"/>
                <w:szCs w:val="22"/>
              </w:rPr>
            </w:pPr>
            <w:r>
              <w:rPr>
                <w:rFonts w:cs="Calibri"/>
                <w:color w:val="000000"/>
                <w:sz w:val="22"/>
                <w:szCs w:val="22"/>
              </w:rPr>
              <w:t>11.6</w:t>
            </w:r>
            <w:r w:rsidRPr="00B95116">
              <w:rPr>
                <w:rFonts w:cs="Calibri"/>
                <w:color w:val="000000"/>
                <w:sz w:val="22"/>
                <w:szCs w:val="22"/>
              </w:rPr>
              <w:t>%</w:t>
            </w:r>
          </w:p>
        </w:tc>
        <w:tc>
          <w:tcPr>
            <w:tcW w:w="990" w:type="dxa"/>
            <w:tcBorders>
              <w:top w:val="nil"/>
              <w:left w:val="nil"/>
              <w:bottom w:val="single" w:sz="4" w:space="0" w:color="auto"/>
              <w:right w:val="single" w:sz="4" w:space="0" w:color="auto"/>
            </w:tcBorders>
            <w:noWrap/>
            <w:hideMark/>
          </w:tcPr>
          <w:p w:rsidR="007539FB" w:rsidRPr="00B95116" w:rsidRDefault="007539FB" w:rsidP="00B95116">
            <w:pPr>
              <w:spacing w:after="40"/>
              <w:jc w:val="center"/>
              <w:rPr>
                <w:rFonts w:cs="Calibri"/>
                <w:color w:val="000000"/>
                <w:sz w:val="22"/>
                <w:szCs w:val="22"/>
              </w:rPr>
            </w:pPr>
            <w:r>
              <w:rPr>
                <w:rFonts w:cs="Calibri"/>
                <w:color w:val="000000"/>
                <w:sz w:val="22"/>
                <w:szCs w:val="22"/>
              </w:rPr>
              <w:t>4.8</w:t>
            </w:r>
            <w:r w:rsidRPr="00B95116">
              <w:rPr>
                <w:rFonts w:cs="Calibri"/>
                <w:color w:val="000000"/>
                <w:sz w:val="22"/>
                <w:szCs w:val="22"/>
              </w:rPr>
              <w:t>%</w:t>
            </w:r>
          </w:p>
        </w:tc>
        <w:tc>
          <w:tcPr>
            <w:tcW w:w="1080" w:type="dxa"/>
            <w:tcBorders>
              <w:top w:val="nil"/>
              <w:left w:val="single" w:sz="4" w:space="0" w:color="auto"/>
              <w:bottom w:val="single" w:sz="4" w:space="0" w:color="auto"/>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26.1%</w:t>
            </w:r>
          </w:p>
        </w:tc>
        <w:tc>
          <w:tcPr>
            <w:tcW w:w="1134" w:type="dxa"/>
            <w:tcBorders>
              <w:top w:val="nil"/>
              <w:left w:val="nil"/>
              <w:bottom w:val="single" w:sz="4" w:space="0" w:color="auto"/>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15.0%</w:t>
            </w:r>
          </w:p>
        </w:tc>
        <w:tc>
          <w:tcPr>
            <w:tcW w:w="1134" w:type="dxa"/>
            <w:tcBorders>
              <w:top w:val="nil"/>
              <w:left w:val="nil"/>
              <w:bottom w:val="single" w:sz="4" w:space="0" w:color="auto"/>
            </w:tcBorders>
            <w:vAlign w:val="bottom"/>
          </w:tcPr>
          <w:p w:rsidR="007539FB" w:rsidRPr="00B95116" w:rsidRDefault="007539FB" w:rsidP="00B95116">
            <w:pPr>
              <w:spacing w:after="40"/>
              <w:jc w:val="center"/>
              <w:rPr>
                <w:rFonts w:cs="Calibri"/>
                <w:color w:val="000000"/>
                <w:sz w:val="22"/>
                <w:szCs w:val="22"/>
              </w:rPr>
            </w:pPr>
            <w:r>
              <w:rPr>
                <w:rFonts w:cs="Calibri"/>
                <w:color w:val="000000"/>
                <w:sz w:val="22"/>
                <w:szCs w:val="22"/>
              </w:rPr>
              <w:t>0.0%</w:t>
            </w:r>
          </w:p>
        </w:tc>
      </w:tr>
      <w:tr w:rsidR="007539FB" w:rsidRPr="00B95116" w:rsidTr="007539FB">
        <w:trPr>
          <w:trHeight w:val="300"/>
        </w:trPr>
        <w:tc>
          <w:tcPr>
            <w:tcW w:w="3258" w:type="dxa"/>
            <w:tcBorders>
              <w:top w:val="single" w:sz="4" w:space="0" w:color="auto"/>
              <w:bottom w:val="nil"/>
              <w:right w:val="single" w:sz="4" w:space="0" w:color="auto"/>
            </w:tcBorders>
            <w:shd w:val="clear" w:color="auto" w:fill="D9D9D9" w:themeFill="background1" w:themeFillShade="D9"/>
            <w:hideMark/>
          </w:tcPr>
          <w:p w:rsidR="007539FB" w:rsidRPr="00B95116" w:rsidRDefault="007539FB" w:rsidP="00B95116">
            <w:pPr>
              <w:spacing w:after="40"/>
              <w:jc w:val="left"/>
              <w:rPr>
                <w:rFonts w:cs="Calibri"/>
                <w:i/>
                <w:iCs/>
                <w:color w:val="000000"/>
                <w:sz w:val="22"/>
                <w:szCs w:val="22"/>
              </w:rPr>
            </w:pPr>
            <w:r w:rsidRPr="00B95116">
              <w:rPr>
                <w:rFonts w:cs="Calibri"/>
                <w:i/>
                <w:iCs/>
                <w:color w:val="000000"/>
                <w:sz w:val="22"/>
                <w:szCs w:val="22"/>
              </w:rPr>
              <w:t>Freezer Configuration</w:t>
            </w:r>
          </w:p>
        </w:tc>
        <w:tc>
          <w:tcPr>
            <w:tcW w:w="990" w:type="dxa"/>
            <w:tcBorders>
              <w:top w:val="single" w:sz="4" w:space="0" w:color="auto"/>
              <w:left w:val="single" w:sz="4" w:space="0" w:color="auto"/>
              <w:bottom w:val="nil"/>
              <w:right w:val="nil"/>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990" w:type="dxa"/>
            <w:tcBorders>
              <w:top w:val="single" w:sz="4" w:space="0" w:color="auto"/>
              <w:left w:val="nil"/>
              <w:bottom w:val="nil"/>
              <w:right w:val="nil"/>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990" w:type="dxa"/>
            <w:tcBorders>
              <w:top w:val="single" w:sz="4" w:space="0" w:color="auto"/>
              <w:left w:val="nil"/>
              <w:bottom w:val="nil"/>
              <w:right w:val="single" w:sz="4" w:space="0" w:color="auto"/>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1080" w:type="dxa"/>
            <w:tcBorders>
              <w:top w:val="single" w:sz="4" w:space="0" w:color="auto"/>
              <w:left w:val="single" w:sz="4" w:space="0" w:color="auto"/>
              <w:bottom w:val="nil"/>
              <w:right w:val="nil"/>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1134" w:type="dxa"/>
            <w:tcBorders>
              <w:top w:val="single" w:sz="4" w:space="0" w:color="auto"/>
              <w:left w:val="nil"/>
              <w:bottom w:val="nil"/>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1134" w:type="dxa"/>
            <w:tcBorders>
              <w:top w:val="single" w:sz="4" w:space="0" w:color="auto"/>
              <w:left w:val="nil"/>
              <w:bottom w:val="nil"/>
            </w:tcBorders>
            <w:shd w:val="clear" w:color="auto" w:fill="D9D9D9" w:themeFill="background1" w:themeFillShade="D9"/>
          </w:tcPr>
          <w:p w:rsidR="007539FB" w:rsidRPr="00B95116" w:rsidRDefault="007539FB" w:rsidP="00B95116">
            <w:pPr>
              <w:spacing w:after="40"/>
              <w:jc w:val="center"/>
              <w:rPr>
                <w:rFonts w:cs="Calibri"/>
                <w:color w:val="000000"/>
                <w:sz w:val="22"/>
                <w:szCs w:val="22"/>
              </w:rPr>
            </w:pPr>
          </w:p>
        </w:tc>
      </w:tr>
      <w:tr w:rsidR="007539FB" w:rsidRPr="00B95116" w:rsidTr="007539FB">
        <w:trPr>
          <w:trHeight w:val="300"/>
        </w:trPr>
        <w:tc>
          <w:tcPr>
            <w:tcW w:w="3258" w:type="dxa"/>
            <w:tcBorders>
              <w:top w:val="nil"/>
              <w:bottom w:val="nil"/>
              <w:right w:val="single" w:sz="4" w:space="0" w:color="auto"/>
            </w:tcBorders>
            <w:hideMark/>
          </w:tcPr>
          <w:p w:rsidR="007539FB" w:rsidRPr="00B95116" w:rsidRDefault="007539FB" w:rsidP="00B95116">
            <w:pPr>
              <w:spacing w:after="40"/>
              <w:ind w:firstLineChars="100" w:firstLine="220"/>
              <w:jc w:val="left"/>
              <w:rPr>
                <w:rFonts w:cs="Calibri"/>
                <w:color w:val="000000"/>
                <w:sz w:val="22"/>
                <w:szCs w:val="22"/>
              </w:rPr>
            </w:pPr>
            <w:r w:rsidRPr="00B95116">
              <w:rPr>
                <w:rFonts w:cs="Calibri"/>
                <w:color w:val="000000"/>
                <w:sz w:val="22"/>
                <w:szCs w:val="22"/>
              </w:rPr>
              <w:t>% Chest</w:t>
            </w:r>
          </w:p>
        </w:tc>
        <w:tc>
          <w:tcPr>
            <w:tcW w:w="99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1.6%</w:t>
            </w:r>
          </w:p>
        </w:tc>
        <w:tc>
          <w:tcPr>
            <w:tcW w:w="990" w:type="dxa"/>
            <w:tcBorders>
              <w:top w:val="nil"/>
              <w:left w:val="nil"/>
              <w:bottom w:val="nil"/>
              <w:right w:val="nil"/>
            </w:tcBorders>
            <w:noWrap/>
            <w:hideMark/>
          </w:tcPr>
          <w:p w:rsidR="007539FB" w:rsidRPr="00B95116" w:rsidRDefault="007539FB" w:rsidP="00B95116">
            <w:pPr>
              <w:spacing w:after="40"/>
              <w:jc w:val="center"/>
              <w:rPr>
                <w:rFonts w:cs="Calibri"/>
                <w:color w:val="000000"/>
                <w:sz w:val="22"/>
                <w:szCs w:val="22"/>
              </w:rPr>
            </w:pPr>
            <w:r>
              <w:rPr>
                <w:rFonts w:cs="Calibri"/>
                <w:color w:val="000000"/>
                <w:sz w:val="22"/>
                <w:szCs w:val="22"/>
              </w:rPr>
              <w:t>5.8</w:t>
            </w:r>
            <w:r w:rsidRPr="00B95116">
              <w:rPr>
                <w:rFonts w:cs="Calibri"/>
                <w:color w:val="000000"/>
                <w:sz w:val="22"/>
                <w:szCs w:val="22"/>
              </w:rPr>
              <w:t>%</w:t>
            </w:r>
          </w:p>
        </w:tc>
        <w:tc>
          <w:tcPr>
            <w:tcW w:w="990" w:type="dxa"/>
            <w:tcBorders>
              <w:top w:val="nil"/>
              <w:left w:val="nil"/>
              <w:bottom w:val="nil"/>
              <w:right w:val="single" w:sz="4" w:space="0" w:color="auto"/>
            </w:tcBorders>
            <w:noWrap/>
            <w:hideMark/>
          </w:tcPr>
          <w:p w:rsidR="007539FB" w:rsidRPr="00B95116" w:rsidRDefault="007539FB" w:rsidP="00B95116">
            <w:pPr>
              <w:spacing w:after="40"/>
              <w:jc w:val="center"/>
              <w:rPr>
                <w:rFonts w:cs="Calibri"/>
                <w:color w:val="000000"/>
                <w:sz w:val="22"/>
                <w:szCs w:val="22"/>
              </w:rPr>
            </w:pPr>
            <w:r>
              <w:rPr>
                <w:rFonts w:cs="Calibri"/>
                <w:color w:val="000000"/>
                <w:sz w:val="22"/>
                <w:szCs w:val="22"/>
              </w:rPr>
              <w:t>3.9</w:t>
            </w:r>
            <w:r w:rsidRPr="00B95116">
              <w:rPr>
                <w:rFonts w:cs="Calibri"/>
                <w:color w:val="000000"/>
                <w:sz w:val="22"/>
                <w:szCs w:val="22"/>
              </w:rPr>
              <w:t>%</w:t>
            </w:r>
          </w:p>
        </w:tc>
        <w:tc>
          <w:tcPr>
            <w:tcW w:w="108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4.5%</w:t>
            </w:r>
          </w:p>
        </w:tc>
        <w:tc>
          <w:tcPr>
            <w:tcW w:w="1134" w:type="dxa"/>
            <w:tcBorders>
              <w:top w:val="nil"/>
              <w:left w:val="nil"/>
              <w:bottom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4.2%</w:t>
            </w:r>
          </w:p>
        </w:tc>
        <w:tc>
          <w:tcPr>
            <w:tcW w:w="1134" w:type="dxa"/>
            <w:tcBorders>
              <w:top w:val="nil"/>
              <w:left w:val="nil"/>
              <w:bottom w:val="nil"/>
            </w:tcBorders>
            <w:vAlign w:val="bottom"/>
          </w:tcPr>
          <w:p w:rsidR="007539FB" w:rsidRPr="00B95116" w:rsidRDefault="007539FB" w:rsidP="00B95116">
            <w:pPr>
              <w:spacing w:after="40"/>
              <w:jc w:val="center"/>
              <w:rPr>
                <w:rFonts w:cs="Calibri"/>
                <w:color w:val="000000"/>
                <w:sz w:val="22"/>
                <w:szCs w:val="22"/>
              </w:rPr>
            </w:pPr>
            <w:r>
              <w:rPr>
                <w:rFonts w:cs="Calibri"/>
                <w:color w:val="000000"/>
                <w:sz w:val="22"/>
                <w:szCs w:val="22"/>
              </w:rPr>
              <w:t>9.2%</w:t>
            </w:r>
          </w:p>
        </w:tc>
      </w:tr>
      <w:tr w:rsidR="007539FB" w:rsidRPr="00B95116" w:rsidTr="007539FB">
        <w:trPr>
          <w:trHeight w:val="300"/>
        </w:trPr>
        <w:tc>
          <w:tcPr>
            <w:tcW w:w="3258" w:type="dxa"/>
            <w:tcBorders>
              <w:top w:val="nil"/>
              <w:bottom w:val="nil"/>
              <w:right w:val="single" w:sz="4" w:space="0" w:color="auto"/>
            </w:tcBorders>
            <w:hideMark/>
          </w:tcPr>
          <w:p w:rsidR="007539FB" w:rsidRPr="00B95116" w:rsidRDefault="007539FB" w:rsidP="00B95116">
            <w:pPr>
              <w:spacing w:after="40"/>
              <w:ind w:firstLineChars="100" w:firstLine="220"/>
              <w:jc w:val="left"/>
              <w:rPr>
                <w:rFonts w:cs="Calibri"/>
                <w:color w:val="000000"/>
                <w:sz w:val="22"/>
                <w:szCs w:val="22"/>
              </w:rPr>
            </w:pPr>
            <w:r w:rsidRPr="00B95116">
              <w:rPr>
                <w:rFonts w:cs="Calibri"/>
                <w:color w:val="000000"/>
                <w:sz w:val="22"/>
                <w:szCs w:val="22"/>
              </w:rPr>
              <w:t>% Upright</w:t>
            </w:r>
          </w:p>
        </w:tc>
        <w:tc>
          <w:tcPr>
            <w:tcW w:w="99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2.4%</w:t>
            </w:r>
          </w:p>
        </w:tc>
        <w:tc>
          <w:tcPr>
            <w:tcW w:w="990" w:type="dxa"/>
            <w:tcBorders>
              <w:top w:val="nil"/>
              <w:left w:val="nil"/>
              <w:bottom w:val="nil"/>
              <w:right w:val="nil"/>
            </w:tcBorders>
            <w:noWrap/>
            <w:hideMark/>
          </w:tcPr>
          <w:p w:rsidR="007539FB" w:rsidRPr="00B95116" w:rsidRDefault="007539FB" w:rsidP="00B95116">
            <w:pPr>
              <w:spacing w:after="40"/>
              <w:jc w:val="center"/>
              <w:rPr>
                <w:rFonts w:cs="Calibri"/>
                <w:color w:val="000000"/>
                <w:sz w:val="22"/>
                <w:szCs w:val="22"/>
              </w:rPr>
            </w:pPr>
            <w:r>
              <w:rPr>
                <w:rFonts w:cs="Calibri"/>
                <w:color w:val="000000"/>
                <w:sz w:val="22"/>
                <w:szCs w:val="22"/>
              </w:rPr>
              <w:t>12.</w:t>
            </w:r>
            <w:r w:rsidRPr="00B95116">
              <w:rPr>
                <w:rFonts w:cs="Calibri"/>
                <w:color w:val="000000"/>
                <w:sz w:val="22"/>
                <w:szCs w:val="22"/>
              </w:rPr>
              <w:t>7%</w:t>
            </w:r>
          </w:p>
        </w:tc>
        <w:tc>
          <w:tcPr>
            <w:tcW w:w="990" w:type="dxa"/>
            <w:tcBorders>
              <w:top w:val="nil"/>
              <w:left w:val="nil"/>
              <w:bottom w:val="nil"/>
              <w:right w:val="single" w:sz="4" w:space="0" w:color="auto"/>
            </w:tcBorders>
            <w:noWrap/>
            <w:hideMark/>
          </w:tcPr>
          <w:p w:rsidR="007539FB" w:rsidRPr="00B95116" w:rsidRDefault="007539FB" w:rsidP="00B95116">
            <w:pPr>
              <w:spacing w:after="40"/>
              <w:jc w:val="center"/>
              <w:rPr>
                <w:rFonts w:cs="Calibri"/>
                <w:color w:val="000000"/>
                <w:sz w:val="22"/>
                <w:szCs w:val="22"/>
              </w:rPr>
            </w:pPr>
            <w:r>
              <w:rPr>
                <w:rFonts w:cs="Calibri"/>
                <w:color w:val="000000"/>
                <w:sz w:val="22"/>
                <w:szCs w:val="22"/>
              </w:rPr>
              <w:t>8.8</w:t>
            </w:r>
            <w:r w:rsidRPr="00B95116">
              <w:rPr>
                <w:rFonts w:cs="Calibri"/>
                <w:color w:val="000000"/>
                <w:sz w:val="22"/>
                <w:szCs w:val="22"/>
              </w:rPr>
              <w:t>%</w:t>
            </w:r>
          </w:p>
        </w:tc>
        <w:tc>
          <w:tcPr>
            <w:tcW w:w="108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9.4%</w:t>
            </w:r>
          </w:p>
        </w:tc>
        <w:tc>
          <w:tcPr>
            <w:tcW w:w="1134" w:type="dxa"/>
            <w:tcBorders>
              <w:top w:val="nil"/>
              <w:left w:val="nil"/>
              <w:bottom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9.1%</w:t>
            </w:r>
          </w:p>
        </w:tc>
        <w:tc>
          <w:tcPr>
            <w:tcW w:w="1134" w:type="dxa"/>
            <w:tcBorders>
              <w:top w:val="nil"/>
              <w:left w:val="nil"/>
              <w:bottom w:val="nil"/>
            </w:tcBorders>
            <w:vAlign w:val="bottom"/>
          </w:tcPr>
          <w:p w:rsidR="007539FB" w:rsidRPr="00B95116" w:rsidRDefault="007539FB" w:rsidP="00B95116">
            <w:pPr>
              <w:spacing w:after="40"/>
              <w:jc w:val="center"/>
              <w:rPr>
                <w:rFonts w:cs="Calibri"/>
                <w:color w:val="000000"/>
                <w:sz w:val="22"/>
                <w:szCs w:val="22"/>
              </w:rPr>
            </w:pPr>
            <w:r>
              <w:rPr>
                <w:rFonts w:cs="Calibri"/>
                <w:color w:val="000000"/>
                <w:sz w:val="22"/>
                <w:szCs w:val="22"/>
              </w:rPr>
              <w:t>12.3%</w:t>
            </w:r>
          </w:p>
        </w:tc>
      </w:tr>
      <w:tr w:rsidR="007539FB" w:rsidRPr="00B95116" w:rsidTr="007539FB">
        <w:trPr>
          <w:trHeight w:val="58"/>
        </w:trPr>
        <w:tc>
          <w:tcPr>
            <w:tcW w:w="3258" w:type="dxa"/>
            <w:tcBorders>
              <w:top w:val="nil"/>
              <w:bottom w:val="single" w:sz="4" w:space="0" w:color="auto"/>
              <w:right w:val="single" w:sz="4" w:space="0" w:color="auto"/>
            </w:tcBorders>
            <w:hideMark/>
          </w:tcPr>
          <w:p w:rsidR="007539FB" w:rsidRPr="00B95116" w:rsidRDefault="007539FB" w:rsidP="00B95116">
            <w:pPr>
              <w:spacing w:after="40"/>
              <w:ind w:firstLineChars="100" w:firstLine="220"/>
              <w:jc w:val="left"/>
              <w:rPr>
                <w:rFonts w:cs="Calibri"/>
                <w:color w:val="000000"/>
                <w:sz w:val="22"/>
                <w:szCs w:val="22"/>
              </w:rPr>
            </w:pPr>
            <w:r w:rsidRPr="00B95116">
              <w:rPr>
                <w:rFonts w:cs="Calibri"/>
                <w:color w:val="000000"/>
                <w:sz w:val="22"/>
                <w:szCs w:val="22"/>
              </w:rPr>
              <w:t>% Unknown</w:t>
            </w:r>
          </w:p>
        </w:tc>
        <w:tc>
          <w:tcPr>
            <w:tcW w:w="990" w:type="dxa"/>
            <w:tcBorders>
              <w:top w:val="nil"/>
              <w:left w:val="single" w:sz="4" w:space="0" w:color="auto"/>
              <w:bottom w:val="single" w:sz="4" w:space="0" w:color="auto"/>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22.7%</w:t>
            </w:r>
          </w:p>
        </w:tc>
        <w:tc>
          <w:tcPr>
            <w:tcW w:w="990" w:type="dxa"/>
            <w:tcBorders>
              <w:top w:val="nil"/>
              <w:left w:val="nil"/>
              <w:bottom w:val="single" w:sz="4" w:space="0" w:color="auto"/>
              <w:right w:val="nil"/>
            </w:tcBorders>
            <w:noWrap/>
            <w:hideMark/>
          </w:tcPr>
          <w:p w:rsidR="007539FB" w:rsidRPr="00B95116" w:rsidRDefault="007539FB" w:rsidP="00B95116">
            <w:pPr>
              <w:spacing w:after="40"/>
              <w:jc w:val="center"/>
              <w:rPr>
                <w:rFonts w:cs="Calibri"/>
                <w:color w:val="000000"/>
                <w:sz w:val="22"/>
                <w:szCs w:val="22"/>
              </w:rPr>
            </w:pPr>
            <w:r>
              <w:rPr>
                <w:rFonts w:cs="Calibri"/>
                <w:color w:val="000000"/>
                <w:sz w:val="22"/>
                <w:szCs w:val="22"/>
              </w:rPr>
              <w:t>1.3</w:t>
            </w:r>
            <w:r w:rsidRPr="00B95116">
              <w:rPr>
                <w:rFonts w:cs="Calibri"/>
                <w:color w:val="000000"/>
                <w:sz w:val="22"/>
                <w:szCs w:val="22"/>
              </w:rPr>
              <w:t>%</w:t>
            </w:r>
          </w:p>
        </w:tc>
        <w:tc>
          <w:tcPr>
            <w:tcW w:w="990" w:type="dxa"/>
            <w:tcBorders>
              <w:top w:val="nil"/>
              <w:left w:val="nil"/>
              <w:bottom w:val="single" w:sz="4" w:space="0" w:color="auto"/>
              <w:right w:val="single" w:sz="4" w:space="0" w:color="auto"/>
            </w:tcBorders>
            <w:noWrap/>
            <w:hideMark/>
          </w:tcPr>
          <w:p w:rsidR="007539FB" w:rsidRPr="00B95116" w:rsidRDefault="007539FB" w:rsidP="00B95116">
            <w:pPr>
              <w:spacing w:after="40"/>
              <w:jc w:val="center"/>
              <w:rPr>
                <w:rFonts w:cs="Calibri"/>
                <w:color w:val="000000"/>
                <w:sz w:val="22"/>
                <w:szCs w:val="22"/>
              </w:rPr>
            </w:pPr>
            <w:r>
              <w:rPr>
                <w:rFonts w:cs="Calibri"/>
                <w:color w:val="000000"/>
                <w:sz w:val="22"/>
                <w:szCs w:val="22"/>
              </w:rPr>
              <w:t>2.4</w:t>
            </w:r>
            <w:r w:rsidRPr="00B95116">
              <w:rPr>
                <w:rFonts w:cs="Calibri"/>
                <w:color w:val="000000"/>
                <w:sz w:val="22"/>
                <w:szCs w:val="22"/>
              </w:rPr>
              <w:t>%</w:t>
            </w:r>
          </w:p>
        </w:tc>
        <w:tc>
          <w:tcPr>
            <w:tcW w:w="1080" w:type="dxa"/>
            <w:tcBorders>
              <w:top w:val="nil"/>
              <w:left w:val="single" w:sz="4" w:space="0" w:color="auto"/>
              <w:bottom w:val="single" w:sz="4" w:space="0" w:color="auto"/>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8.0%</w:t>
            </w:r>
          </w:p>
        </w:tc>
        <w:tc>
          <w:tcPr>
            <w:tcW w:w="1134" w:type="dxa"/>
            <w:tcBorders>
              <w:top w:val="nil"/>
              <w:left w:val="nil"/>
              <w:bottom w:val="single" w:sz="4" w:space="0" w:color="auto"/>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5.1%</w:t>
            </w:r>
          </w:p>
        </w:tc>
        <w:tc>
          <w:tcPr>
            <w:tcW w:w="1134" w:type="dxa"/>
            <w:tcBorders>
              <w:top w:val="nil"/>
              <w:left w:val="nil"/>
              <w:bottom w:val="single" w:sz="4" w:space="0" w:color="auto"/>
            </w:tcBorders>
            <w:vAlign w:val="bottom"/>
          </w:tcPr>
          <w:p w:rsidR="007539FB" w:rsidRPr="00B95116" w:rsidRDefault="007539FB" w:rsidP="00B95116">
            <w:pPr>
              <w:spacing w:after="40"/>
              <w:jc w:val="center"/>
              <w:rPr>
                <w:rFonts w:cs="Calibri"/>
                <w:color w:val="000000"/>
                <w:sz w:val="22"/>
                <w:szCs w:val="22"/>
              </w:rPr>
            </w:pPr>
            <w:r>
              <w:rPr>
                <w:rFonts w:cs="Calibri"/>
                <w:color w:val="000000"/>
                <w:sz w:val="22"/>
                <w:szCs w:val="22"/>
              </w:rPr>
              <w:t>0.0%</w:t>
            </w:r>
          </w:p>
        </w:tc>
      </w:tr>
      <w:tr w:rsidR="007539FB" w:rsidRPr="00B95116" w:rsidTr="007539FB">
        <w:trPr>
          <w:trHeight w:val="58"/>
        </w:trPr>
        <w:tc>
          <w:tcPr>
            <w:tcW w:w="3258" w:type="dxa"/>
            <w:tcBorders>
              <w:top w:val="single" w:sz="4" w:space="0" w:color="auto"/>
              <w:bottom w:val="nil"/>
              <w:right w:val="single" w:sz="4" w:space="0" w:color="auto"/>
            </w:tcBorders>
            <w:shd w:val="clear" w:color="auto" w:fill="D9D9D9" w:themeFill="background1" w:themeFillShade="D9"/>
            <w:hideMark/>
          </w:tcPr>
          <w:p w:rsidR="007539FB" w:rsidRPr="00B95116" w:rsidRDefault="007539FB" w:rsidP="00B95116">
            <w:pPr>
              <w:spacing w:after="40"/>
              <w:jc w:val="left"/>
              <w:rPr>
                <w:rFonts w:cs="Calibri"/>
                <w:i/>
                <w:iCs/>
                <w:color w:val="000000"/>
                <w:sz w:val="22"/>
                <w:szCs w:val="22"/>
              </w:rPr>
            </w:pPr>
            <w:r w:rsidRPr="00B95116">
              <w:rPr>
                <w:rFonts w:cs="Calibri"/>
                <w:i/>
                <w:iCs/>
                <w:color w:val="000000"/>
                <w:sz w:val="22"/>
                <w:szCs w:val="22"/>
              </w:rPr>
              <w:t>Defrost Type</w:t>
            </w:r>
          </w:p>
        </w:tc>
        <w:tc>
          <w:tcPr>
            <w:tcW w:w="990" w:type="dxa"/>
            <w:tcBorders>
              <w:top w:val="single" w:sz="4" w:space="0" w:color="auto"/>
              <w:left w:val="single" w:sz="4" w:space="0" w:color="auto"/>
              <w:bottom w:val="nil"/>
              <w:right w:val="nil"/>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990" w:type="dxa"/>
            <w:tcBorders>
              <w:top w:val="single" w:sz="4" w:space="0" w:color="auto"/>
              <w:left w:val="nil"/>
              <w:bottom w:val="nil"/>
              <w:right w:val="nil"/>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990" w:type="dxa"/>
            <w:tcBorders>
              <w:top w:val="single" w:sz="4" w:space="0" w:color="auto"/>
              <w:left w:val="nil"/>
              <w:bottom w:val="nil"/>
              <w:right w:val="single" w:sz="4" w:space="0" w:color="auto"/>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1080" w:type="dxa"/>
            <w:tcBorders>
              <w:top w:val="single" w:sz="4" w:space="0" w:color="auto"/>
              <w:left w:val="single" w:sz="4" w:space="0" w:color="auto"/>
              <w:bottom w:val="nil"/>
              <w:right w:val="nil"/>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1134" w:type="dxa"/>
            <w:tcBorders>
              <w:top w:val="single" w:sz="4" w:space="0" w:color="auto"/>
              <w:left w:val="nil"/>
              <w:bottom w:val="nil"/>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1134" w:type="dxa"/>
            <w:tcBorders>
              <w:top w:val="single" w:sz="4" w:space="0" w:color="auto"/>
              <w:left w:val="nil"/>
              <w:bottom w:val="nil"/>
            </w:tcBorders>
            <w:shd w:val="clear" w:color="auto" w:fill="D9D9D9" w:themeFill="background1" w:themeFillShade="D9"/>
          </w:tcPr>
          <w:p w:rsidR="007539FB" w:rsidRPr="00B95116" w:rsidRDefault="007539FB" w:rsidP="00B95116">
            <w:pPr>
              <w:spacing w:after="40"/>
              <w:jc w:val="center"/>
              <w:rPr>
                <w:rFonts w:cs="Calibri"/>
                <w:color w:val="000000"/>
                <w:sz w:val="22"/>
                <w:szCs w:val="22"/>
              </w:rPr>
            </w:pPr>
          </w:p>
        </w:tc>
      </w:tr>
      <w:tr w:rsidR="007539FB" w:rsidRPr="00B95116" w:rsidTr="007539FB">
        <w:trPr>
          <w:trHeight w:val="300"/>
        </w:trPr>
        <w:tc>
          <w:tcPr>
            <w:tcW w:w="3258" w:type="dxa"/>
            <w:tcBorders>
              <w:top w:val="nil"/>
              <w:bottom w:val="nil"/>
              <w:right w:val="single" w:sz="4" w:space="0" w:color="auto"/>
            </w:tcBorders>
            <w:hideMark/>
          </w:tcPr>
          <w:p w:rsidR="007539FB" w:rsidRPr="00B95116" w:rsidRDefault="007539FB" w:rsidP="00B95116">
            <w:pPr>
              <w:spacing w:after="40"/>
              <w:ind w:firstLineChars="100" w:firstLine="220"/>
              <w:jc w:val="left"/>
              <w:rPr>
                <w:rFonts w:cs="Calibri"/>
                <w:color w:val="000000"/>
                <w:sz w:val="22"/>
                <w:szCs w:val="22"/>
              </w:rPr>
            </w:pPr>
            <w:r w:rsidRPr="00B95116">
              <w:rPr>
                <w:rFonts w:cs="Calibri"/>
                <w:color w:val="000000"/>
                <w:sz w:val="22"/>
                <w:szCs w:val="22"/>
              </w:rPr>
              <w:t>% Manual</w:t>
            </w:r>
          </w:p>
        </w:tc>
        <w:tc>
          <w:tcPr>
            <w:tcW w:w="99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51.3%</w:t>
            </w:r>
          </w:p>
        </w:tc>
        <w:tc>
          <w:tcPr>
            <w:tcW w:w="990" w:type="dxa"/>
            <w:tcBorders>
              <w:top w:val="nil"/>
              <w:left w:val="nil"/>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38.6%</w:t>
            </w:r>
          </w:p>
        </w:tc>
        <w:tc>
          <w:tcPr>
            <w:tcW w:w="990" w:type="dxa"/>
            <w:tcBorders>
              <w:top w:val="nil"/>
              <w:left w:val="nil"/>
              <w:bottom w:val="nil"/>
              <w:right w:val="single" w:sz="4" w:space="0" w:color="auto"/>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14.4%</w:t>
            </w:r>
          </w:p>
        </w:tc>
        <w:tc>
          <w:tcPr>
            <w:tcW w:w="108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42.6%</w:t>
            </w:r>
          </w:p>
        </w:tc>
        <w:tc>
          <w:tcPr>
            <w:tcW w:w="1134" w:type="dxa"/>
            <w:tcBorders>
              <w:top w:val="nil"/>
              <w:left w:val="nil"/>
              <w:bottom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27.8%</w:t>
            </w:r>
          </w:p>
        </w:tc>
        <w:tc>
          <w:tcPr>
            <w:tcW w:w="1134" w:type="dxa"/>
            <w:tcBorders>
              <w:top w:val="nil"/>
              <w:left w:val="nil"/>
              <w:bottom w:val="nil"/>
            </w:tcBorders>
            <w:vAlign w:val="bottom"/>
          </w:tcPr>
          <w:p w:rsidR="007539FB" w:rsidRPr="00B95116" w:rsidRDefault="007539FB" w:rsidP="00B95116">
            <w:pPr>
              <w:spacing w:after="40"/>
              <w:jc w:val="center"/>
              <w:rPr>
                <w:rFonts w:cs="Calibri"/>
                <w:color w:val="000000"/>
                <w:sz w:val="22"/>
                <w:szCs w:val="22"/>
              </w:rPr>
            </w:pPr>
            <w:r>
              <w:rPr>
                <w:rFonts w:cs="Calibri"/>
                <w:color w:val="000000"/>
                <w:sz w:val="22"/>
                <w:szCs w:val="22"/>
              </w:rPr>
              <w:t>28.4%</w:t>
            </w:r>
          </w:p>
        </w:tc>
      </w:tr>
      <w:tr w:rsidR="007539FB" w:rsidRPr="00B95116" w:rsidTr="007539FB">
        <w:trPr>
          <w:trHeight w:val="300"/>
        </w:trPr>
        <w:tc>
          <w:tcPr>
            <w:tcW w:w="3258" w:type="dxa"/>
            <w:tcBorders>
              <w:top w:val="nil"/>
              <w:bottom w:val="nil"/>
              <w:right w:val="single" w:sz="4" w:space="0" w:color="auto"/>
            </w:tcBorders>
            <w:hideMark/>
          </w:tcPr>
          <w:p w:rsidR="007539FB" w:rsidRPr="00B95116" w:rsidRDefault="007539FB" w:rsidP="00B95116">
            <w:pPr>
              <w:spacing w:after="40"/>
              <w:ind w:firstLineChars="100" w:firstLine="220"/>
              <w:jc w:val="left"/>
              <w:rPr>
                <w:rFonts w:cs="Calibri"/>
                <w:color w:val="000000"/>
                <w:sz w:val="22"/>
                <w:szCs w:val="22"/>
              </w:rPr>
            </w:pPr>
            <w:r w:rsidRPr="00B95116">
              <w:rPr>
                <w:rFonts w:cs="Calibri"/>
                <w:color w:val="000000"/>
                <w:sz w:val="22"/>
                <w:szCs w:val="22"/>
              </w:rPr>
              <w:t>% Frost Free / Auto</w:t>
            </w:r>
          </w:p>
        </w:tc>
        <w:tc>
          <w:tcPr>
            <w:tcW w:w="99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44.5%</w:t>
            </w:r>
          </w:p>
        </w:tc>
        <w:tc>
          <w:tcPr>
            <w:tcW w:w="990" w:type="dxa"/>
            <w:tcBorders>
              <w:top w:val="nil"/>
              <w:left w:val="nil"/>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48.1%</w:t>
            </w:r>
          </w:p>
        </w:tc>
        <w:tc>
          <w:tcPr>
            <w:tcW w:w="990" w:type="dxa"/>
            <w:tcBorders>
              <w:top w:val="nil"/>
              <w:left w:val="nil"/>
              <w:bottom w:val="nil"/>
              <w:right w:val="single" w:sz="4" w:space="0" w:color="auto"/>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83.4%</w:t>
            </w:r>
          </w:p>
        </w:tc>
        <w:tc>
          <w:tcPr>
            <w:tcW w:w="108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47.0%</w:t>
            </w:r>
          </w:p>
        </w:tc>
        <w:tc>
          <w:tcPr>
            <w:tcW w:w="1134" w:type="dxa"/>
            <w:tcBorders>
              <w:top w:val="nil"/>
              <w:left w:val="nil"/>
              <w:bottom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66.0%</w:t>
            </w:r>
          </w:p>
        </w:tc>
        <w:tc>
          <w:tcPr>
            <w:tcW w:w="1134" w:type="dxa"/>
            <w:tcBorders>
              <w:top w:val="nil"/>
              <w:left w:val="nil"/>
              <w:bottom w:val="nil"/>
            </w:tcBorders>
            <w:vAlign w:val="bottom"/>
          </w:tcPr>
          <w:p w:rsidR="007539FB" w:rsidRPr="00B95116" w:rsidRDefault="007539FB" w:rsidP="00B95116">
            <w:pPr>
              <w:spacing w:after="40"/>
              <w:jc w:val="center"/>
              <w:rPr>
                <w:rFonts w:cs="Calibri"/>
                <w:color w:val="000000"/>
                <w:sz w:val="22"/>
                <w:szCs w:val="22"/>
              </w:rPr>
            </w:pPr>
            <w:r>
              <w:rPr>
                <w:rFonts w:cs="Calibri"/>
                <w:color w:val="000000"/>
                <w:sz w:val="22"/>
                <w:szCs w:val="22"/>
              </w:rPr>
              <w:t>71.7%</w:t>
            </w:r>
          </w:p>
        </w:tc>
      </w:tr>
      <w:tr w:rsidR="007539FB" w:rsidRPr="00B95116" w:rsidTr="007539FB">
        <w:trPr>
          <w:trHeight w:val="300"/>
        </w:trPr>
        <w:tc>
          <w:tcPr>
            <w:tcW w:w="3258" w:type="dxa"/>
            <w:tcBorders>
              <w:top w:val="nil"/>
              <w:bottom w:val="nil"/>
              <w:right w:val="single" w:sz="4" w:space="0" w:color="auto"/>
            </w:tcBorders>
            <w:hideMark/>
          </w:tcPr>
          <w:p w:rsidR="007539FB" w:rsidRPr="00B95116" w:rsidRDefault="007539FB" w:rsidP="00B95116">
            <w:pPr>
              <w:spacing w:after="40"/>
              <w:ind w:firstLineChars="100" w:firstLine="220"/>
              <w:jc w:val="left"/>
              <w:rPr>
                <w:rFonts w:cs="Calibri"/>
                <w:color w:val="000000"/>
                <w:sz w:val="22"/>
                <w:szCs w:val="22"/>
              </w:rPr>
            </w:pPr>
            <w:r w:rsidRPr="00B95116">
              <w:rPr>
                <w:rFonts w:cs="Calibri"/>
                <w:color w:val="000000"/>
                <w:sz w:val="22"/>
                <w:szCs w:val="22"/>
              </w:rPr>
              <w:t>% Part Frost Free</w:t>
            </w:r>
          </w:p>
        </w:tc>
        <w:tc>
          <w:tcPr>
            <w:tcW w:w="99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0.1%</w:t>
            </w:r>
          </w:p>
        </w:tc>
        <w:tc>
          <w:tcPr>
            <w:tcW w:w="990" w:type="dxa"/>
            <w:tcBorders>
              <w:top w:val="nil"/>
              <w:left w:val="nil"/>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2.1%</w:t>
            </w:r>
          </w:p>
        </w:tc>
        <w:tc>
          <w:tcPr>
            <w:tcW w:w="990" w:type="dxa"/>
            <w:tcBorders>
              <w:top w:val="nil"/>
              <w:left w:val="nil"/>
              <w:bottom w:val="nil"/>
              <w:right w:val="single" w:sz="4" w:space="0" w:color="auto"/>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0.7%</w:t>
            </w:r>
          </w:p>
        </w:tc>
        <w:tc>
          <w:tcPr>
            <w:tcW w:w="108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1.5%</w:t>
            </w:r>
          </w:p>
        </w:tc>
        <w:tc>
          <w:tcPr>
            <w:tcW w:w="1134" w:type="dxa"/>
            <w:tcBorders>
              <w:top w:val="nil"/>
              <w:left w:val="nil"/>
              <w:bottom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1.1%</w:t>
            </w:r>
          </w:p>
        </w:tc>
        <w:tc>
          <w:tcPr>
            <w:tcW w:w="1134" w:type="dxa"/>
            <w:tcBorders>
              <w:top w:val="nil"/>
              <w:left w:val="nil"/>
              <w:bottom w:val="nil"/>
            </w:tcBorders>
          </w:tcPr>
          <w:p w:rsidR="007539FB" w:rsidRPr="00B95116" w:rsidRDefault="007539FB" w:rsidP="00B95116">
            <w:pPr>
              <w:spacing w:after="40"/>
              <w:jc w:val="center"/>
              <w:rPr>
                <w:rFonts w:cs="Calibri"/>
                <w:color w:val="000000"/>
                <w:sz w:val="22"/>
                <w:szCs w:val="22"/>
              </w:rPr>
            </w:pPr>
            <w:r>
              <w:rPr>
                <w:rFonts w:cs="Calibri"/>
                <w:color w:val="000000"/>
                <w:sz w:val="22"/>
                <w:szCs w:val="22"/>
              </w:rPr>
              <w:t>0.0%</w:t>
            </w:r>
          </w:p>
        </w:tc>
      </w:tr>
      <w:tr w:rsidR="007539FB" w:rsidRPr="00B95116" w:rsidTr="007539FB">
        <w:trPr>
          <w:trHeight w:val="300"/>
        </w:trPr>
        <w:tc>
          <w:tcPr>
            <w:tcW w:w="3258" w:type="dxa"/>
            <w:tcBorders>
              <w:top w:val="nil"/>
              <w:bottom w:val="single" w:sz="4" w:space="0" w:color="auto"/>
              <w:right w:val="single" w:sz="4" w:space="0" w:color="auto"/>
            </w:tcBorders>
            <w:hideMark/>
          </w:tcPr>
          <w:p w:rsidR="007539FB" w:rsidRPr="00B95116" w:rsidRDefault="007539FB" w:rsidP="00B95116">
            <w:pPr>
              <w:spacing w:after="40"/>
              <w:ind w:firstLineChars="100" w:firstLine="220"/>
              <w:jc w:val="left"/>
              <w:rPr>
                <w:rFonts w:cs="Calibri"/>
                <w:color w:val="000000"/>
                <w:sz w:val="22"/>
                <w:szCs w:val="22"/>
              </w:rPr>
            </w:pPr>
            <w:r w:rsidRPr="00B95116">
              <w:rPr>
                <w:rFonts w:cs="Calibri"/>
                <w:color w:val="000000"/>
                <w:sz w:val="22"/>
                <w:szCs w:val="22"/>
              </w:rPr>
              <w:t>% Unknown</w:t>
            </w:r>
          </w:p>
        </w:tc>
        <w:tc>
          <w:tcPr>
            <w:tcW w:w="990" w:type="dxa"/>
            <w:tcBorders>
              <w:top w:val="nil"/>
              <w:left w:val="single" w:sz="4" w:space="0" w:color="auto"/>
              <w:bottom w:val="single" w:sz="4" w:space="0" w:color="auto"/>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4.1%</w:t>
            </w:r>
          </w:p>
        </w:tc>
        <w:tc>
          <w:tcPr>
            <w:tcW w:w="990" w:type="dxa"/>
            <w:tcBorders>
              <w:top w:val="nil"/>
              <w:left w:val="nil"/>
              <w:bottom w:val="single" w:sz="4" w:space="0" w:color="auto"/>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11.2%</w:t>
            </w:r>
          </w:p>
        </w:tc>
        <w:tc>
          <w:tcPr>
            <w:tcW w:w="990" w:type="dxa"/>
            <w:tcBorders>
              <w:top w:val="nil"/>
              <w:left w:val="nil"/>
              <w:bottom w:val="single" w:sz="4" w:space="0" w:color="auto"/>
              <w:right w:val="single" w:sz="4" w:space="0" w:color="auto"/>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1.5%</w:t>
            </w:r>
          </w:p>
        </w:tc>
        <w:tc>
          <w:tcPr>
            <w:tcW w:w="1080" w:type="dxa"/>
            <w:tcBorders>
              <w:top w:val="nil"/>
              <w:left w:val="single" w:sz="4" w:space="0" w:color="auto"/>
              <w:bottom w:val="single" w:sz="4" w:space="0" w:color="auto"/>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9.0%</w:t>
            </w:r>
          </w:p>
        </w:tc>
        <w:tc>
          <w:tcPr>
            <w:tcW w:w="1134" w:type="dxa"/>
            <w:tcBorders>
              <w:top w:val="nil"/>
              <w:left w:val="nil"/>
              <w:bottom w:val="single" w:sz="4" w:space="0" w:color="auto"/>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5.1%</w:t>
            </w:r>
          </w:p>
        </w:tc>
        <w:tc>
          <w:tcPr>
            <w:tcW w:w="1134" w:type="dxa"/>
            <w:tcBorders>
              <w:top w:val="nil"/>
              <w:left w:val="nil"/>
              <w:bottom w:val="single" w:sz="4" w:space="0" w:color="auto"/>
            </w:tcBorders>
          </w:tcPr>
          <w:p w:rsidR="007539FB" w:rsidRPr="00B95116" w:rsidRDefault="007539FB" w:rsidP="007539FB">
            <w:pPr>
              <w:spacing w:after="40"/>
              <w:jc w:val="center"/>
              <w:rPr>
                <w:rFonts w:cs="Calibri"/>
                <w:color w:val="000000"/>
                <w:sz w:val="22"/>
                <w:szCs w:val="22"/>
              </w:rPr>
            </w:pPr>
            <w:r>
              <w:rPr>
                <w:rFonts w:cs="Calibri"/>
                <w:color w:val="000000"/>
                <w:sz w:val="22"/>
                <w:szCs w:val="22"/>
              </w:rPr>
              <w:t>0.0%</w:t>
            </w:r>
          </w:p>
        </w:tc>
      </w:tr>
      <w:tr w:rsidR="007539FB" w:rsidRPr="00B95116" w:rsidTr="007539FB">
        <w:trPr>
          <w:trHeight w:val="300"/>
        </w:trPr>
        <w:tc>
          <w:tcPr>
            <w:tcW w:w="3258" w:type="dxa"/>
            <w:tcBorders>
              <w:top w:val="single" w:sz="4" w:space="0" w:color="auto"/>
              <w:bottom w:val="nil"/>
              <w:right w:val="single" w:sz="4" w:space="0" w:color="auto"/>
            </w:tcBorders>
            <w:shd w:val="clear" w:color="auto" w:fill="D9D9D9" w:themeFill="background1" w:themeFillShade="D9"/>
            <w:hideMark/>
          </w:tcPr>
          <w:p w:rsidR="007539FB" w:rsidRPr="00B95116" w:rsidRDefault="007539FB" w:rsidP="00B95116">
            <w:pPr>
              <w:spacing w:after="40"/>
              <w:jc w:val="left"/>
              <w:rPr>
                <w:rFonts w:cs="Calibri"/>
                <w:i/>
                <w:iCs/>
                <w:color w:val="000000"/>
                <w:sz w:val="22"/>
                <w:szCs w:val="22"/>
              </w:rPr>
            </w:pPr>
            <w:r w:rsidRPr="00B95116">
              <w:rPr>
                <w:rFonts w:cs="Calibri"/>
                <w:i/>
                <w:iCs/>
                <w:color w:val="000000"/>
                <w:sz w:val="22"/>
                <w:szCs w:val="22"/>
              </w:rPr>
              <w:t>Through Door Features</w:t>
            </w:r>
          </w:p>
        </w:tc>
        <w:tc>
          <w:tcPr>
            <w:tcW w:w="990" w:type="dxa"/>
            <w:tcBorders>
              <w:top w:val="single" w:sz="4" w:space="0" w:color="auto"/>
              <w:left w:val="single" w:sz="4" w:space="0" w:color="auto"/>
              <w:bottom w:val="nil"/>
              <w:right w:val="nil"/>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990" w:type="dxa"/>
            <w:tcBorders>
              <w:top w:val="single" w:sz="4" w:space="0" w:color="auto"/>
              <w:left w:val="nil"/>
              <w:bottom w:val="nil"/>
              <w:right w:val="nil"/>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990" w:type="dxa"/>
            <w:tcBorders>
              <w:top w:val="single" w:sz="4" w:space="0" w:color="auto"/>
              <w:left w:val="nil"/>
              <w:bottom w:val="nil"/>
              <w:right w:val="single" w:sz="4" w:space="0" w:color="auto"/>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1080" w:type="dxa"/>
            <w:tcBorders>
              <w:top w:val="single" w:sz="4" w:space="0" w:color="auto"/>
              <w:left w:val="single" w:sz="4" w:space="0" w:color="auto"/>
              <w:bottom w:val="nil"/>
              <w:right w:val="nil"/>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1134" w:type="dxa"/>
            <w:tcBorders>
              <w:top w:val="single" w:sz="4" w:space="0" w:color="auto"/>
              <w:left w:val="nil"/>
              <w:bottom w:val="nil"/>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1134" w:type="dxa"/>
            <w:tcBorders>
              <w:top w:val="single" w:sz="4" w:space="0" w:color="auto"/>
              <w:left w:val="nil"/>
              <w:bottom w:val="nil"/>
            </w:tcBorders>
            <w:shd w:val="clear" w:color="auto" w:fill="D9D9D9" w:themeFill="background1" w:themeFillShade="D9"/>
          </w:tcPr>
          <w:p w:rsidR="007539FB" w:rsidRPr="00B95116" w:rsidRDefault="007539FB" w:rsidP="00B95116">
            <w:pPr>
              <w:spacing w:after="40"/>
              <w:jc w:val="center"/>
              <w:rPr>
                <w:rFonts w:cs="Calibri"/>
                <w:color w:val="000000"/>
                <w:sz w:val="22"/>
                <w:szCs w:val="22"/>
              </w:rPr>
            </w:pPr>
          </w:p>
        </w:tc>
      </w:tr>
      <w:tr w:rsidR="007539FB" w:rsidRPr="00B95116" w:rsidTr="007539FB">
        <w:trPr>
          <w:trHeight w:val="300"/>
        </w:trPr>
        <w:tc>
          <w:tcPr>
            <w:tcW w:w="3258" w:type="dxa"/>
            <w:tcBorders>
              <w:top w:val="nil"/>
              <w:bottom w:val="single" w:sz="4" w:space="0" w:color="auto"/>
              <w:right w:val="single" w:sz="4" w:space="0" w:color="auto"/>
            </w:tcBorders>
            <w:hideMark/>
          </w:tcPr>
          <w:p w:rsidR="007539FB" w:rsidRPr="00B95116" w:rsidRDefault="007539FB" w:rsidP="00B95116">
            <w:pPr>
              <w:spacing w:after="40"/>
              <w:ind w:firstLineChars="100" w:firstLine="220"/>
              <w:jc w:val="left"/>
              <w:rPr>
                <w:rFonts w:cs="Calibri"/>
                <w:color w:val="000000"/>
                <w:sz w:val="22"/>
                <w:szCs w:val="22"/>
              </w:rPr>
            </w:pPr>
            <w:r w:rsidRPr="00B95116">
              <w:rPr>
                <w:rFonts w:cs="Calibri"/>
                <w:color w:val="000000"/>
                <w:sz w:val="22"/>
                <w:szCs w:val="22"/>
              </w:rPr>
              <w:t>% with Water/Ice</w:t>
            </w:r>
          </w:p>
        </w:tc>
        <w:tc>
          <w:tcPr>
            <w:tcW w:w="990" w:type="dxa"/>
            <w:tcBorders>
              <w:top w:val="nil"/>
              <w:left w:val="single" w:sz="4" w:space="0" w:color="auto"/>
              <w:bottom w:val="single" w:sz="4" w:space="0" w:color="auto"/>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17.6%</w:t>
            </w:r>
          </w:p>
        </w:tc>
        <w:tc>
          <w:tcPr>
            <w:tcW w:w="990" w:type="dxa"/>
            <w:tcBorders>
              <w:top w:val="nil"/>
              <w:left w:val="nil"/>
              <w:bottom w:val="single" w:sz="4" w:space="0" w:color="auto"/>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23.0%</w:t>
            </w:r>
          </w:p>
        </w:tc>
        <w:tc>
          <w:tcPr>
            <w:tcW w:w="990" w:type="dxa"/>
            <w:tcBorders>
              <w:top w:val="nil"/>
              <w:left w:val="nil"/>
              <w:bottom w:val="single" w:sz="4" w:space="0" w:color="auto"/>
              <w:right w:val="single" w:sz="4" w:space="0" w:color="auto"/>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25.6%</w:t>
            </w:r>
          </w:p>
        </w:tc>
        <w:tc>
          <w:tcPr>
            <w:tcW w:w="1080" w:type="dxa"/>
            <w:tcBorders>
              <w:top w:val="nil"/>
              <w:left w:val="single" w:sz="4" w:space="0" w:color="auto"/>
              <w:bottom w:val="single" w:sz="4" w:space="0" w:color="auto"/>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21.3%</w:t>
            </w:r>
          </w:p>
        </w:tc>
        <w:tc>
          <w:tcPr>
            <w:tcW w:w="1134" w:type="dxa"/>
            <w:tcBorders>
              <w:top w:val="nil"/>
              <w:left w:val="nil"/>
              <w:bottom w:val="single" w:sz="4" w:space="0" w:color="auto"/>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23.5%</w:t>
            </w:r>
          </w:p>
        </w:tc>
        <w:tc>
          <w:tcPr>
            <w:tcW w:w="1134" w:type="dxa"/>
            <w:tcBorders>
              <w:top w:val="nil"/>
              <w:left w:val="nil"/>
              <w:bottom w:val="single" w:sz="4" w:space="0" w:color="auto"/>
            </w:tcBorders>
          </w:tcPr>
          <w:p w:rsidR="007539FB" w:rsidRPr="00B95116" w:rsidRDefault="007539FB" w:rsidP="00B95116">
            <w:pPr>
              <w:spacing w:after="40"/>
              <w:jc w:val="center"/>
              <w:rPr>
                <w:rFonts w:cs="Calibri"/>
                <w:color w:val="000000"/>
                <w:sz w:val="22"/>
                <w:szCs w:val="22"/>
              </w:rPr>
            </w:pPr>
            <w:r w:rsidRPr="007539FB">
              <w:rPr>
                <w:rFonts w:cs="Calibri"/>
                <w:color w:val="000000"/>
                <w:sz w:val="22"/>
                <w:szCs w:val="22"/>
              </w:rPr>
              <w:t>19.7%</w:t>
            </w:r>
          </w:p>
        </w:tc>
      </w:tr>
      <w:tr w:rsidR="007539FB" w:rsidRPr="00B95116" w:rsidTr="007539FB">
        <w:trPr>
          <w:trHeight w:val="58"/>
        </w:trPr>
        <w:tc>
          <w:tcPr>
            <w:tcW w:w="3258" w:type="dxa"/>
            <w:tcBorders>
              <w:top w:val="single" w:sz="4" w:space="0" w:color="auto"/>
              <w:bottom w:val="nil"/>
              <w:right w:val="single" w:sz="4" w:space="0" w:color="auto"/>
            </w:tcBorders>
            <w:shd w:val="clear" w:color="auto" w:fill="D9D9D9" w:themeFill="background1" w:themeFillShade="D9"/>
            <w:hideMark/>
          </w:tcPr>
          <w:p w:rsidR="007539FB" w:rsidRPr="00B95116" w:rsidRDefault="007539FB" w:rsidP="00B95116">
            <w:pPr>
              <w:spacing w:after="40"/>
              <w:jc w:val="left"/>
              <w:rPr>
                <w:rFonts w:cs="Calibri"/>
                <w:i/>
                <w:iCs/>
                <w:color w:val="000000"/>
                <w:sz w:val="22"/>
                <w:szCs w:val="22"/>
              </w:rPr>
            </w:pPr>
            <w:r w:rsidRPr="00B95116">
              <w:rPr>
                <w:rFonts w:cs="Calibri"/>
                <w:i/>
                <w:iCs/>
                <w:color w:val="000000"/>
                <w:sz w:val="22"/>
                <w:szCs w:val="22"/>
              </w:rPr>
              <w:t>Age</w:t>
            </w:r>
          </w:p>
        </w:tc>
        <w:tc>
          <w:tcPr>
            <w:tcW w:w="990" w:type="dxa"/>
            <w:tcBorders>
              <w:top w:val="single" w:sz="4" w:space="0" w:color="auto"/>
              <w:left w:val="single" w:sz="4" w:space="0" w:color="auto"/>
              <w:bottom w:val="nil"/>
              <w:right w:val="nil"/>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990" w:type="dxa"/>
            <w:tcBorders>
              <w:top w:val="single" w:sz="4" w:space="0" w:color="auto"/>
              <w:left w:val="nil"/>
              <w:bottom w:val="nil"/>
              <w:right w:val="nil"/>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990" w:type="dxa"/>
            <w:tcBorders>
              <w:top w:val="single" w:sz="4" w:space="0" w:color="auto"/>
              <w:left w:val="nil"/>
              <w:bottom w:val="nil"/>
              <w:right w:val="single" w:sz="4" w:space="0" w:color="auto"/>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1080" w:type="dxa"/>
            <w:tcBorders>
              <w:top w:val="single" w:sz="4" w:space="0" w:color="auto"/>
              <w:left w:val="single" w:sz="4" w:space="0" w:color="auto"/>
              <w:bottom w:val="nil"/>
              <w:right w:val="nil"/>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1134" w:type="dxa"/>
            <w:tcBorders>
              <w:top w:val="single" w:sz="4" w:space="0" w:color="auto"/>
              <w:left w:val="nil"/>
              <w:bottom w:val="nil"/>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1134" w:type="dxa"/>
            <w:tcBorders>
              <w:top w:val="single" w:sz="4" w:space="0" w:color="auto"/>
              <w:left w:val="nil"/>
              <w:bottom w:val="nil"/>
            </w:tcBorders>
            <w:shd w:val="clear" w:color="auto" w:fill="D9D9D9" w:themeFill="background1" w:themeFillShade="D9"/>
          </w:tcPr>
          <w:p w:rsidR="007539FB" w:rsidRPr="00B95116" w:rsidRDefault="007539FB" w:rsidP="00B95116">
            <w:pPr>
              <w:spacing w:after="40"/>
              <w:jc w:val="center"/>
              <w:rPr>
                <w:rFonts w:cs="Calibri"/>
                <w:color w:val="000000"/>
                <w:sz w:val="22"/>
                <w:szCs w:val="22"/>
              </w:rPr>
            </w:pPr>
          </w:p>
        </w:tc>
      </w:tr>
      <w:tr w:rsidR="007539FB" w:rsidRPr="00B95116" w:rsidTr="007539FB">
        <w:trPr>
          <w:trHeight w:val="300"/>
        </w:trPr>
        <w:tc>
          <w:tcPr>
            <w:tcW w:w="3258" w:type="dxa"/>
            <w:tcBorders>
              <w:top w:val="nil"/>
              <w:bottom w:val="nil"/>
              <w:right w:val="single" w:sz="4" w:space="0" w:color="auto"/>
            </w:tcBorders>
            <w:hideMark/>
          </w:tcPr>
          <w:p w:rsidR="007539FB" w:rsidRPr="00B95116" w:rsidRDefault="007539FB" w:rsidP="00B95116">
            <w:pPr>
              <w:spacing w:after="40"/>
              <w:ind w:firstLineChars="100" w:firstLine="220"/>
              <w:jc w:val="left"/>
              <w:rPr>
                <w:rFonts w:cs="Calibri"/>
                <w:color w:val="000000"/>
                <w:sz w:val="22"/>
                <w:szCs w:val="22"/>
              </w:rPr>
            </w:pPr>
            <w:r w:rsidRPr="00B95116">
              <w:rPr>
                <w:rFonts w:cs="Calibri"/>
                <w:color w:val="000000"/>
                <w:sz w:val="22"/>
                <w:szCs w:val="22"/>
              </w:rPr>
              <w:t>Average age</w:t>
            </w:r>
          </w:p>
        </w:tc>
        <w:tc>
          <w:tcPr>
            <w:tcW w:w="99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27.0</w:t>
            </w:r>
          </w:p>
        </w:tc>
        <w:tc>
          <w:tcPr>
            <w:tcW w:w="990" w:type="dxa"/>
            <w:tcBorders>
              <w:top w:val="nil"/>
              <w:left w:val="nil"/>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25.7</w:t>
            </w:r>
          </w:p>
        </w:tc>
        <w:tc>
          <w:tcPr>
            <w:tcW w:w="990" w:type="dxa"/>
            <w:tcBorders>
              <w:top w:val="nil"/>
              <w:left w:val="nil"/>
              <w:bottom w:val="nil"/>
              <w:right w:val="single" w:sz="4" w:space="0" w:color="auto"/>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24.9</w:t>
            </w:r>
          </w:p>
        </w:tc>
        <w:tc>
          <w:tcPr>
            <w:tcW w:w="108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26.1</w:t>
            </w:r>
          </w:p>
        </w:tc>
        <w:tc>
          <w:tcPr>
            <w:tcW w:w="1134" w:type="dxa"/>
            <w:tcBorders>
              <w:top w:val="nil"/>
              <w:left w:val="nil"/>
              <w:bottom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25.5</w:t>
            </w:r>
          </w:p>
        </w:tc>
        <w:tc>
          <w:tcPr>
            <w:tcW w:w="1134" w:type="dxa"/>
            <w:tcBorders>
              <w:top w:val="nil"/>
              <w:left w:val="nil"/>
              <w:bottom w:val="nil"/>
            </w:tcBorders>
          </w:tcPr>
          <w:p w:rsidR="007539FB" w:rsidRPr="00B95116" w:rsidRDefault="007539FB" w:rsidP="00B95116">
            <w:pPr>
              <w:spacing w:after="40"/>
              <w:jc w:val="center"/>
              <w:rPr>
                <w:rFonts w:cs="Calibri"/>
                <w:color w:val="000000"/>
                <w:sz w:val="22"/>
                <w:szCs w:val="22"/>
              </w:rPr>
            </w:pPr>
            <w:r w:rsidRPr="007539FB">
              <w:rPr>
                <w:rFonts w:cs="Calibri"/>
                <w:color w:val="000000"/>
                <w:sz w:val="22"/>
                <w:szCs w:val="22"/>
              </w:rPr>
              <w:t>23.9</w:t>
            </w:r>
          </w:p>
        </w:tc>
      </w:tr>
      <w:tr w:rsidR="007539FB" w:rsidRPr="00B95116" w:rsidTr="007539FB">
        <w:trPr>
          <w:trHeight w:val="58"/>
        </w:trPr>
        <w:tc>
          <w:tcPr>
            <w:tcW w:w="3258" w:type="dxa"/>
            <w:tcBorders>
              <w:top w:val="nil"/>
              <w:bottom w:val="single" w:sz="4" w:space="0" w:color="auto"/>
              <w:right w:val="single" w:sz="4" w:space="0" w:color="auto"/>
            </w:tcBorders>
            <w:hideMark/>
          </w:tcPr>
          <w:p w:rsidR="007539FB" w:rsidRPr="00B95116" w:rsidRDefault="007539FB" w:rsidP="00B95116">
            <w:pPr>
              <w:spacing w:after="40"/>
              <w:ind w:firstLineChars="100" w:firstLine="220"/>
              <w:jc w:val="left"/>
              <w:rPr>
                <w:rFonts w:cs="Calibri"/>
                <w:color w:val="000000"/>
                <w:sz w:val="22"/>
                <w:szCs w:val="22"/>
              </w:rPr>
            </w:pPr>
            <w:r>
              <w:rPr>
                <w:rFonts w:cs="Calibri"/>
                <w:color w:val="000000"/>
                <w:sz w:val="22"/>
                <w:szCs w:val="22"/>
              </w:rPr>
              <w:t>% Age</w:t>
            </w:r>
            <w:r w:rsidRPr="00B95116">
              <w:rPr>
                <w:rFonts w:cs="Calibri"/>
                <w:color w:val="000000"/>
                <w:sz w:val="22"/>
                <w:szCs w:val="22"/>
              </w:rPr>
              <w:t xml:space="preserve"> 15 year</w:t>
            </w:r>
            <w:r>
              <w:rPr>
                <w:rFonts w:cs="Calibri"/>
                <w:color w:val="000000"/>
                <w:sz w:val="22"/>
                <w:szCs w:val="22"/>
              </w:rPr>
              <w:t>s</w:t>
            </w:r>
            <w:r w:rsidRPr="00B95116">
              <w:rPr>
                <w:rFonts w:cs="Calibri"/>
                <w:color w:val="000000"/>
                <w:sz w:val="22"/>
                <w:szCs w:val="22"/>
              </w:rPr>
              <w:t xml:space="preserve"> or higher</w:t>
            </w:r>
          </w:p>
        </w:tc>
        <w:tc>
          <w:tcPr>
            <w:tcW w:w="990" w:type="dxa"/>
            <w:tcBorders>
              <w:top w:val="nil"/>
              <w:left w:val="single" w:sz="4" w:space="0" w:color="auto"/>
              <w:bottom w:val="single" w:sz="4" w:space="0" w:color="auto"/>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89.6%</w:t>
            </w:r>
          </w:p>
        </w:tc>
        <w:tc>
          <w:tcPr>
            <w:tcW w:w="990" w:type="dxa"/>
            <w:tcBorders>
              <w:top w:val="nil"/>
              <w:left w:val="nil"/>
              <w:bottom w:val="single" w:sz="4" w:space="0" w:color="auto"/>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86.0%</w:t>
            </w:r>
          </w:p>
        </w:tc>
        <w:tc>
          <w:tcPr>
            <w:tcW w:w="990" w:type="dxa"/>
            <w:tcBorders>
              <w:top w:val="nil"/>
              <w:left w:val="nil"/>
              <w:bottom w:val="single" w:sz="4" w:space="0" w:color="auto"/>
              <w:right w:val="single" w:sz="4" w:space="0" w:color="auto"/>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70.5%</w:t>
            </w:r>
          </w:p>
        </w:tc>
        <w:tc>
          <w:tcPr>
            <w:tcW w:w="1080" w:type="dxa"/>
            <w:tcBorders>
              <w:top w:val="nil"/>
              <w:left w:val="single" w:sz="4" w:space="0" w:color="auto"/>
              <w:bottom w:val="single" w:sz="4" w:space="0" w:color="auto"/>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87.1%</w:t>
            </w:r>
          </w:p>
        </w:tc>
        <w:tc>
          <w:tcPr>
            <w:tcW w:w="1134" w:type="dxa"/>
            <w:tcBorders>
              <w:top w:val="nil"/>
              <w:left w:val="nil"/>
              <w:bottom w:val="single" w:sz="4" w:space="0" w:color="auto"/>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78.4%</w:t>
            </w:r>
          </w:p>
        </w:tc>
        <w:tc>
          <w:tcPr>
            <w:tcW w:w="1134" w:type="dxa"/>
            <w:tcBorders>
              <w:top w:val="nil"/>
              <w:left w:val="nil"/>
              <w:bottom w:val="single" w:sz="4" w:space="0" w:color="auto"/>
            </w:tcBorders>
          </w:tcPr>
          <w:p w:rsidR="007539FB" w:rsidRPr="00B95116" w:rsidRDefault="007539FB" w:rsidP="00B95116">
            <w:pPr>
              <w:spacing w:after="40"/>
              <w:jc w:val="center"/>
              <w:rPr>
                <w:rFonts w:cs="Calibri"/>
                <w:color w:val="000000"/>
                <w:sz w:val="22"/>
                <w:szCs w:val="22"/>
              </w:rPr>
            </w:pPr>
            <w:r w:rsidRPr="007539FB">
              <w:rPr>
                <w:rFonts w:cs="Calibri"/>
                <w:color w:val="000000"/>
                <w:sz w:val="22"/>
                <w:szCs w:val="22"/>
              </w:rPr>
              <w:t>84.6%</w:t>
            </w:r>
          </w:p>
        </w:tc>
      </w:tr>
      <w:tr w:rsidR="007539FB" w:rsidRPr="00B95116" w:rsidTr="007539FB">
        <w:trPr>
          <w:trHeight w:val="300"/>
        </w:trPr>
        <w:tc>
          <w:tcPr>
            <w:tcW w:w="3258" w:type="dxa"/>
            <w:tcBorders>
              <w:top w:val="single" w:sz="4" w:space="0" w:color="auto"/>
              <w:bottom w:val="nil"/>
              <w:right w:val="single" w:sz="4" w:space="0" w:color="auto"/>
            </w:tcBorders>
            <w:shd w:val="clear" w:color="auto" w:fill="D9D9D9" w:themeFill="background1" w:themeFillShade="D9"/>
            <w:hideMark/>
          </w:tcPr>
          <w:p w:rsidR="007539FB" w:rsidRPr="00B95116" w:rsidRDefault="007539FB" w:rsidP="00B95116">
            <w:pPr>
              <w:spacing w:after="40"/>
              <w:jc w:val="left"/>
              <w:rPr>
                <w:rFonts w:cs="Calibri"/>
                <w:i/>
                <w:iCs/>
                <w:color w:val="000000"/>
                <w:sz w:val="22"/>
                <w:szCs w:val="22"/>
              </w:rPr>
            </w:pPr>
            <w:r w:rsidRPr="00B95116">
              <w:rPr>
                <w:rFonts w:cs="Calibri"/>
                <w:i/>
                <w:iCs/>
                <w:color w:val="000000"/>
                <w:sz w:val="22"/>
                <w:szCs w:val="22"/>
              </w:rPr>
              <w:t>Size &amp; Amps</w:t>
            </w:r>
          </w:p>
        </w:tc>
        <w:tc>
          <w:tcPr>
            <w:tcW w:w="990" w:type="dxa"/>
            <w:tcBorders>
              <w:top w:val="single" w:sz="4" w:space="0" w:color="auto"/>
              <w:left w:val="single" w:sz="4" w:space="0" w:color="auto"/>
              <w:bottom w:val="nil"/>
              <w:right w:val="nil"/>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990" w:type="dxa"/>
            <w:tcBorders>
              <w:top w:val="single" w:sz="4" w:space="0" w:color="auto"/>
              <w:left w:val="nil"/>
              <w:bottom w:val="nil"/>
              <w:right w:val="nil"/>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990" w:type="dxa"/>
            <w:tcBorders>
              <w:top w:val="single" w:sz="4" w:space="0" w:color="auto"/>
              <w:left w:val="nil"/>
              <w:bottom w:val="nil"/>
              <w:right w:val="single" w:sz="4" w:space="0" w:color="auto"/>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1080" w:type="dxa"/>
            <w:tcBorders>
              <w:top w:val="single" w:sz="4" w:space="0" w:color="auto"/>
              <w:left w:val="single" w:sz="4" w:space="0" w:color="auto"/>
              <w:bottom w:val="nil"/>
              <w:right w:val="nil"/>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1134" w:type="dxa"/>
            <w:tcBorders>
              <w:top w:val="single" w:sz="4" w:space="0" w:color="auto"/>
              <w:left w:val="nil"/>
              <w:bottom w:val="nil"/>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1134" w:type="dxa"/>
            <w:tcBorders>
              <w:top w:val="single" w:sz="4" w:space="0" w:color="auto"/>
              <w:left w:val="nil"/>
              <w:bottom w:val="nil"/>
            </w:tcBorders>
            <w:shd w:val="clear" w:color="auto" w:fill="D9D9D9" w:themeFill="background1" w:themeFillShade="D9"/>
          </w:tcPr>
          <w:p w:rsidR="007539FB" w:rsidRPr="00B95116" w:rsidRDefault="007539FB" w:rsidP="00B95116">
            <w:pPr>
              <w:spacing w:after="40"/>
              <w:jc w:val="center"/>
              <w:rPr>
                <w:rFonts w:cs="Calibri"/>
                <w:color w:val="000000"/>
                <w:sz w:val="22"/>
                <w:szCs w:val="22"/>
              </w:rPr>
            </w:pPr>
          </w:p>
        </w:tc>
      </w:tr>
      <w:tr w:rsidR="007539FB" w:rsidRPr="00B95116" w:rsidTr="007539FB">
        <w:trPr>
          <w:trHeight w:val="300"/>
        </w:trPr>
        <w:tc>
          <w:tcPr>
            <w:tcW w:w="3258" w:type="dxa"/>
            <w:tcBorders>
              <w:top w:val="nil"/>
              <w:bottom w:val="nil"/>
              <w:right w:val="single" w:sz="4" w:space="0" w:color="auto"/>
            </w:tcBorders>
            <w:hideMark/>
          </w:tcPr>
          <w:p w:rsidR="007539FB" w:rsidRPr="00B95116" w:rsidRDefault="007539FB" w:rsidP="00B95116">
            <w:pPr>
              <w:spacing w:after="40"/>
              <w:ind w:firstLineChars="100" w:firstLine="220"/>
              <w:jc w:val="left"/>
              <w:rPr>
                <w:rFonts w:cs="Calibri"/>
                <w:color w:val="000000"/>
                <w:sz w:val="22"/>
                <w:szCs w:val="22"/>
              </w:rPr>
            </w:pPr>
            <w:r w:rsidRPr="00B95116">
              <w:rPr>
                <w:rFonts w:cs="Calibri"/>
                <w:color w:val="000000"/>
                <w:sz w:val="22"/>
                <w:szCs w:val="22"/>
              </w:rPr>
              <w:t>Average size (cubic feet)</w:t>
            </w:r>
          </w:p>
        </w:tc>
        <w:tc>
          <w:tcPr>
            <w:tcW w:w="99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16.8</w:t>
            </w:r>
          </w:p>
        </w:tc>
        <w:tc>
          <w:tcPr>
            <w:tcW w:w="990" w:type="dxa"/>
            <w:tcBorders>
              <w:top w:val="nil"/>
              <w:left w:val="nil"/>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17.6</w:t>
            </w:r>
          </w:p>
        </w:tc>
        <w:tc>
          <w:tcPr>
            <w:tcW w:w="990" w:type="dxa"/>
            <w:tcBorders>
              <w:top w:val="nil"/>
              <w:left w:val="nil"/>
              <w:bottom w:val="nil"/>
              <w:right w:val="single" w:sz="4" w:space="0" w:color="auto"/>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18.0</w:t>
            </w:r>
          </w:p>
        </w:tc>
        <w:tc>
          <w:tcPr>
            <w:tcW w:w="108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17.4</w:t>
            </w:r>
          </w:p>
        </w:tc>
        <w:tc>
          <w:tcPr>
            <w:tcW w:w="1134" w:type="dxa"/>
            <w:tcBorders>
              <w:top w:val="nil"/>
              <w:left w:val="nil"/>
              <w:bottom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17.7</w:t>
            </w:r>
          </w:p>
        </w:tc>
        <w:tc>
          <w:tcPr>
            <w:tcW w:w="1134" w:type="dxa"/>
            <w:tcBorders>
              <w:top w:val="nil"/>
              <w:left w:val="nil"/>
              <w:bottom w:val="nil"/>
            </w:tcBorders>
          </w:tcPr>
          <w:p w:rsidR="007539FB" w:rsidRPr="00B95116" w:rsidRDefault="007539FB" w:rsidP="00B95116">
            <w:pPr>
              <w:spacing w:after="40"/>
              <w:jc w:val="center"/>
              <w:rPr>
                <w:rFonts w:cs="Calibri"/>
                <w:color w:val="000000"/>
                <w:sz w:val="22"/>
                <w:szCs w:val="22"/>
              </w:rPr>
            </w:pPr>
            <w:r w:rsidRPr="007539FB">
              <w:rPr>
                <w:rFonts w:cs="Calibri"/>
                <w:color w:val="000000"/>
                <w:sz w:val="22"/>
                <w:szCs w:val="22"/>
              </w:rPr>
              <w:t>18.8</w:t>
            </w:r>
          </w:p>
        </w:tc>
      </w:tr>
      <w:tr w:rsidR="007539FB" w:rsidRPr="00B95116" w:rsidTr="007539FB">
        <w:trPr>
          <w:trHeight w:val="300"/>
        </w:trPr>
        <w:tc>
          <w:tcPr>
            <w:tcW w:w="3258" w:type="dxa"/>
            <w:tcBorders>
              <w:top w:val="nil"/>
              <w:bottom w:val="single" w:sz="4" w:space="0" w:color="auto"/>
              <w:right w:val="single" w:sz="4" w:space="0" w:color="auto"/>
            </w:tcBorders>
            <w:noWrap/>
            <w:hideMark/>
          </w:tcPr>
          <w:p w:rsidR="007539FB" w:rsidRPr="00B95116" w:rsidRDefault="007539FB" w:rsidP="00B95116">
            <w:pPr>
              <w:spacing w:after="40"/>
              <w:ind w:firstLineChars="100" w:firstLine="220"/>
              <w:jc w:val="left"/>
              <w:rPr>
                <w:rFonts w:cs="Calibri"/>
                <w:color w:val="000000"/>
                <w:sz w:val="22"/>
                <w:szCs w:val="22"/>
              </w:rPr>
            </w:pPr>
            <w:r>
              <w:rPr>
                <w:rFonts w:cs="Calibri"/>
                <w:color w:val="000000"/>
                <w:sz w:val="22"/>
                <w:szCs w:val="22"/>
              </w:rPr>
              <w:t>Average label a</w:t>
            </w:r>
            <w:r w:rsidRPr="00B95116">
              <w:rPr>
                <w:rFonts w:cs="Calibri"/>
                <w:color w:val="000000"/>
                <w:sz w:val="22"/>
                <w:szCs w:val="22"/>
              </w:rPr>
              <w:t>mps</w:t>
            </w:r>
          </w:p>
        </w:tc>
        <w:tc>
          <w:tcPr>
            <w:tcW w:w="990" w:type="dxa"/>
            <w:tcBorders>
              <w:top w:val="nil"/>
              <w:left w:val="single" w:sz="4" w:space="0" w:color="auto"/>
              <w:bottom w:val="single" w:sz="4" w:space="0" w:color="auto"/>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4.8</w:t>
            </w:r>
          </w:p>
        </w:tc>
        <w:tc>
          <w:tcPr>
            <w:tcW w:w="990" w:type="dxa"/>
            <w:tcBorders>
              <w:top w:val="nil"/>
              <w:left w:val="nil"/>
              <w:bottom w:val="single" w:sz="4" w:space="0" w:color="auto"/>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5.5</w:t>
            </w:r>
          </w:p>
        </w:tc>
        <w:tc>
          <w:tcPr>
            <w:tcW w:w="990" w:type="dxa"/>
            <w:tcBorders>
              <w:top w:val="nil"/>
              <w:left w:val="nil"/>
              <w:bottom w:val="single" w:sz="4" w:space="0" w:color="auto"/>
              <w:right w:val="single" w:sz="4" w:space="0" w:color="auto"/>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5.9</w:t>
            </w:r>
          </w:p>
        </w:tc>
        <w:tc>
          <w:tcPr>
            <w:tcW w:w="1080" w:type="dxa"/>
            <w:tcBorders>
              <w:top w:val="nil"/>
              <w:left w:val="single" w:sz="4" w:space="0" w:color="auto"/>
              <w:bottom w:val="single" w:sz="4" w:space="0" w:color="auto"/>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5.3</w:t>
            </w:r>
          </w:p>
        </w:tc>
        <w:tc>
          <w:tcPr>
            <w:tcW w:w="1134" w:type="dxa"/>
            <w:tcBorders>
              <w:top w:val="nil"/>
              <w:left w:val="nil"/>
              <w:bottom w:val="single" w:sz="4" w:space="0" w:color="auto"/>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5.6</w:t>
            </w:r>
          </w:p>
        </w:tc>
        <w:tc>
          <w:tcPr>
            <w:tcW w:w="1134" w:type="dxa"/>
            <w:tcBorders>
              <w:top w:val="nil"/>
              <w:left w:val="nil"/>
              <w:bottom w:val="single" w:sz="4" w:space="0" w:color="auto"/>
            </w:tcBorders>
          </w:tcPr>
          <w:p w:rsidR="007539FB" w:rsidRPr="00B95116" w:rsidRDefault="007539FB" w:rsidP="00B95116">
            <w:pPr>
              <w:spacing w:after="40"/>
              <w:jc w:val="center"/>
              <w:rPr>
                <w:rFonts w:cs="Calibri"/>
                <w:color w:val="000000"/>
                <w:sz w:val="22"/>
                <w:szCs w:val="22"/>
              </w:rPr>
            </w:pPr>
            <w:r w:rsidRPr="007539FB">
              <w:rPr>
                <w:rFonts w:cs="Calibri"/>
                <w:color w:val="000000"/>
                <w:sz w:val="22"/>
                <w:szCs w:val="22"/>
              </w:rPr>
              <w:t>7.0</w:t>
            </w:r>
          </w:p>
        </w:tc>
      </w:tr>
      <w:tr w:rsidR="007539FB" w:rsidRPr="00B95116" w:rsidTr="007539FB">
        <w:trPr>
          <w:trHeight w:val="300"/>
        </w:trPr>
        <w:tc>
          <w:tcPr>
            <w:tcW w:w="3258" w:type="dxa"/>
            <w:tcBorders>
              <w:top w:val="single" w:sz="4" w:space="0" w:color="auto"/>
              <w:bottom w:val="nil"/>
              <w:right w:val="single" w:sz="4" w:space="0" w:color="auto"/>
            </w:tcBorders>
            <w:shd w:val="clear" w:color="auto" w:fill="D9D9D9" w:themeFill="background1" w:themeFillShade="D9"/>
            <w:hideMark/>
          </w:tcPr>
          <w:p w:rsidR="007539FB" w:rsidRPr="00B95116" w:rsidRDefault="007539FB" w:rsidP="00B95116">
            <w:pPr>
              <w:spacing w:after="40"/>
              <w:jc w:val="left"/>
              <w:rPr>
                <w:rFonts w:cs="Calibri"/>
                <w:i/>
                <w:iCs/>
                <w:color w:val="000000"/>
                <w:sz w:val="22"/>
                <w:szCs w:val="22"/>
              </w:rPr>
            </w:pPr>
            <w:r w:rsidRPr="00B95116">
              <w:rPr>
                <w:rFonts w:cs="Calibri"/>
                <w:i/>
                <w:iCs/>
                <w:color w:val="000000"/>
                <w:sz w:val="22"/>
                <w:szCs w:val="22"/>
              </w:rPr>
              <w:t>Location</w:t>
            </w:r>
          </w:p>
        </w:tc>
        <w:tc>
          <w:tcPr>
            <w:tcW w:w="990" w:type="dxa"/>
            <w:tcBorders>
              <w:top w:val="single" w:sz="4" w:space="0" w:color="auto"/>
              <w:left w:val="single" w:sz="4" w:space="0" w:color="auto"/>
              <w:bottom w:val="nil"/>
              <w:right w:val="nil"/>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990" w:type="dxa"/>
            <w:tcBorders>
              <w:top w:val="single" w:sz="4" w:space="0" w:color="auto"/>
              <w:left w:val="nil"/>
              <w:bottom w:val="nil"/>
              <w:right w:val="nil"/>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990" w:type="dxa"/>
            <w:tcBorders>
              <w:top w:val="single" w:sz="4" w:space="0" w:color="auto"/>
              <w:left w:val="nil"/>
              <w:bottom w:val="nil"/>
              <w:right w:val="single" w:sz="4" w:space="0" w:color="auto"/>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1080" w:type="dxa"/>
            <w:tcBorders>
              <w:top w:val="single" w:sz="4" w:space="0" w:color="auto"/>
              <w:left w:val="single" w:sz="4" w:space="0" w:color="auto"/>
              <w:bottom w:val="nil"/>
              <w:right w:val="nil"/>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1134" w:type="dxa"/>
            <w:tcBorders>
              <w:top w:val="single" w:sz="4" w:space="0" w:color="auto"/>
              <w:left w:val="nil"/>
              <w:bottom w:val="nil"/>
            </w:tcBorders>
            <w:shd w:val="clear" w:color="auto" w:fill="D9D9D9" w:themeFill="background1" w:themeFillShade="D9"/>
            <w:noWrap/>
            <w:hideMark/>
          </w:tcPr>
          <w:p w:rsidR="007539FB" w:rsidRPr="00B95116" w:rsidRDefault="007539FB" w:rsidP="00B95116">
            <w:pPr>
              <w:spacing w:after="40"/>
              <w:jc w:val="center"/>
              <w:rPr>
                <w:rFonts w:cs="Calibri"/>
                <w:color w:val="000000"/>
                <w:sz w:val="22"/>
                <w:szCs w:val="22"/>
              </w:rPr>
            </w:pPr>
          </w:p>
        </w:tc>
        <w:tc>
          <w:tcPr>
            <w:tcW w:w="1134" w:type="dxa"/>
            <w:tcBorders>
              <w:top w:val="single" w:sz="4" w:space="0" w:color="auto"/>
              <w:left w:val="nil"/>
              <w:bottom w:val="nil"/>
            </w:tcBorders>
            <w:shd w:val="clear" w:color="auto" w:fill="D9D9D9" w:themeFill="background1" w:themeFillShade="D9"/>
          </w:tcPr>
          <w:p w:rsidR="007539FB" w:rsidRPr="00B95116" w:rsidRDefault="007539FB" w:rsidP="00B95116">
            <w:pPr>
              <w:spacing w:after="40"/>
              <w:jc w:val="center"/>
              <w:rPr>
                <w:rFonts w:cs="Calibri"/>
                <w:color w:val="000000"/>
                <w:sz w:val="22"/>
                <w:szCs w:val="22"/>
              </w:rPr>
            </w:pPr>
          </w:p>
        </w:tc>
      </w:tr>
      <w:tr w:rsidR="007539FB" w:rsidRPr="00B95116" w:rsidTr="007539FB">
        <w:trPr>
          <w:trHeight w:val="300"/>
        </w:trPr>
        <w:tc>
          <w:tcPr>
            <w:tcW w:w="3258" w:type="dxa"/>
            <w:tcBorders>
              <w:top w:val="nil"/>
              <w:bottom w:val="nil"/>
              <w:right w:val="single" w:sz="4" w:space="0" w:color="auto"/>
            </w:tcBorders>
            <w:hideMark/>
          </w:tcPr>
          <w:p w:rsidR="007539FB" w:rsidRPr="00B95116" w:rsidRDefault="007539FB" w:rsidP="00B95116">
            <w:pPr>
              <w:spacing w:after="40"/>
              <w:ind w:firstLineChars="100" w:firstLine="220"/>
              <w:jc w:val="left"/>
              <w:rPr>
                <w:rFonts w:cs="Calibri"/>
                <w:color w:val="000000"/>
                <w:sz w:val="22"/>
                <w:szCs w:val="22"/>
              </w:rPr>
            </w:pPr>
            <w:r w:rsidRPr="00B95116">
              <w:rPr>
                <w:rFonts w:cs="Calibri"/>
                <w:color w:val="000000"/>
                <w:sz w:val="22"/>
                <w:szCs w:val="22"/>
              </w:rPr>
              <w:t>% Garage</w:t>
            </w:r>
          </w:p>
        </w:tc>
        <w:tc>
          <w:tcPr>
            <w:tcW w:w="99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45.9%</w:t>
            </w:r>
          </w:p>
        </w:tc>
        <w:tc>
          <w:tcPr>
            <w:tcW w:w="990" w:type="dxa"/>
            <w:tcBorders>
              <w:top w:val="nil"/>
              <w:left w:val="nil"/>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47.85%</w:t>
            </w:r>
          </w:p>
        </w:tc>
        <w:tc>
          <w:tcPr>
            <w:tcW w:w="990" w:type="dxa"/>
            <w:tcBorders>
              <w:top w:val="nil"/>
              <w:left w:val="nil"/>
              <w:bottom w:val="nil"/>
              <w:right w:val="single" w:sz="4" w:space="0" w:color="auto"/>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45.3%</w:t>
            </w:r>
          </w:p>
        </w:tc>
        <w:tc>
          <w:tcPr>
            <w:tcW w:w="108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47.2%</w:t>
            </w:r>
          </w:p>
        </w:tc>
        <w:tc>
          <w:tcPr>
            <w:tcW w:w="1134" w:type="dxa"/>
            <w:tcBorders>
              <w:top w:val="nil"/>
              <w:left w:val="nil"/>
              <w:bottom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46.2%</w:t>
            </w:r>
          </w:p>
        </w:tc>
        <w:tc>
          <w:tcPr>
            <w:tcW w:w="1134" w:type="dxa"/>
            <w:tcBorders>
              <w:top w:val="nil"/>
              <w:left w:val="nil"/>
              <w:bottom w:val="nil"/>
            </w:tcBorders>
            <w:vAlign w:val="bottom"/>
          </w:tcPr>
          <w:p w:rsidR="007539FB" w:rsidRPr="00B95116" w:rsidRDefault="007539FB" w:rsidP="00B95116">
            <w:pPr>
              <w:spacing w:after="40"/>
              <w:jc w:val="center"/>
              <w:rPr>
                <w:rFonts w:cs="Calibri"/>
                <w:color w:val="000000"/>
                <w:sz w:val="22"/>
                <w:szCs w:val="22"/>
              </w:rPr>
            </w:pPr>
            <w:r>
              <w:rPr>
                <w:rFonts w:cs="Calibri"/>
                <w:color w:val="000000"/>
                <w:sz w:val="22"/>
                <w:szCs w:val="22"/>
              </w:rPr>
              <w:t>56.2%</w:t>
            </w:r>
          </w:p>
        </w:tc>
      </w:tr>
      <w:tr w:rsidR="007539FB" w:rsidRPr="00B95116" w:rsidTr="007539FB">
        <w:trPr>
          <w:trHeight w:val="58"/>
        </w:trPr>
        <w:tc>
          <w:tcPr>
            <w:tcW w:w="3258" w:type="dxa"/>
            <w:tcBorders>
              <w:top w:val="nil"/>
              <w:bottom w:val="nil"/>
              <w:right w:val="single" w:sz="4" w:space="0" w:color="auto"/>
            </w:tcBorders>
            <w:hideMark/>
          </w:tcPr>
          <w:p w:rsidR="007539FB" w:rsidRPr="00B95116" w:rsidRDefault="007539FB" w:rsidP="00B95116">
            <w:pPr>
              <w:spacing w:after="40"/>
              <w:ind w:firstLineChars="100" w:firstLine="220"/>
              <w:jc w:val="left"/>
              <w:rPr>
                <w:rFonts w:cs="Calibri"/>
                <w:color w:val="000000"/>
                <w:sz w:val="22"/>
                <w:szCs w:val="22"/>
              </w:rPr>
            </w:pPr>
            <w:r w:rsidRPr="00B95116">
              <w:rPr>
                <w:rFonts w:cs="Calibri"/>
                <w:color w:val="000000"/>
                <w:sz w:val="22"/>
                <w:szCs w:val="22"/>
              </w:rPr>
              <w:t>% Basement</w:t>
            </w:r>
          </w:p>
        </w:tc>
        <w:tc>
          <w:tcPr>
            <w:tcW w:w="99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37.1%</w:t>
            </w:r>
          </w:p>
        </w:tc>
        <w:tc>
          <w:tcPr>
            <w:tcW w:w="990" w:type="dxa"/>
            <w:tcBorders>
              <w:top w:val="nil"/>
              <w:left w:val="nil"/>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23.8%</w:t>
            </w:r>
          </w:p>
        </w:tc>
        <w:tc>
          <w:tcPr>
            <w:tcW w:w="990" w:type="dxa"/>
            <w:tcBorders>
              <w:top w:val="nil"/>
              <w:left w:val="nil"/>
              <w:bottom w:val="nil"/>
              <w:right w:val="single" w:sz="4" w:space="0" w:color="auto"/>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21.0%</w:t>
            </w:r>
          </w:p>
        </w:tc>
        <w:tc>
          <w:tcPr>
            <w:tcW w:w="108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28.0%</w:t>
            </w:r>
          </w:p>
        </w:tc>
        <w:tc>
          <w:tcPr>
            <w:tcW w:w="1134" w:type="dxa"/>
            <w:tcBorders>
              <w:top w:val="nil"/>
              <w:left w:val="nil"/>
              <w:bottom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24.3%</w:t>
            </w:r>
          </w:p>
        </w:tc>
        <w:tc>
          <w:tcPr>
            <w:tcW w:w="1134" w:type="dxa"/>
            <w:tcBorders>
              <w:top w:val="nil"/>
              <w:left w:val="nil"/>
              <w:bottom w:val="nil"/>
            </w:tcBorders>
            <w:vAlign w:val="bottom"/>
          </w:tcPr>
          <w:p w:rsidR="007539FB" w:rsidRPr="00B95116" w:rsidRDefault="007539FB" w:rsidP="00B95116">
            <w:pPr>
              <w:spacing w:after="40"/>
              <w:jc w:val="center"/>
              <w:rPr>
                <w:rFonts w:cs="Calibri"/>
                <w:color w:val="000000"/>
                <w:sz w:val="22"/>
                <w:szCs w:val="22"/>
              </w:rPr>
            </w:pPr>
            <w:r>
              <w:rPr>
                <w:rFonts w:cs="Calibri"/>
                <w:color w:val="000000"/>
                <w:sz w:val="22"/>
                <w:szCs w:val="22"/>
              </w:rPr>
              <w:t>28.5%</w:t>
            </w:r>
          </w:p>
        </w:tc>
      </w:tr>
      <w:tr w:rsidR="007539FB" w:rsidRPr="00B95116" w:rsidTr="007539FB">
        <w:trPr>
          <w:trHeight w:val="58"/>
        </w:trPr>
        <w:tc>
          <w:tcPr>
            <w:tcW w:w="3258" w:type="dxa"/>
            <w:tcBorders>
              <w:top w:val="nil"/>
              <w:bottom w:val="nil"/>
              <w:right w:val="single" w:sz="4" w:space="0" w:color="auto"/>
            </w:tcBorders>
            <w:hideMark/>
          </w:tcPr>
          <w:p w:rsidR="007539FB" w:rsidRPr="00B95116" w:rsidRDefault="007539FB" w:rsidP="00B95116">
            <w:pPr>
              <w:spacing w:after="40"/>
              <w:ind w:leftChars="75" w:left="180"/>
              <w:jc w:val="left"/>
              <w:rPr>
                <w:rFonts w:cs="Calibri"/>
                <w:color w:val="000000"/>
                <w:sz w:val="22"/>
                <w:szCs w:val="22"/>
              </w:rPr>
            </w:pPr>
            <w:r>
              <w:rPr>
                <w:rFonts w:cs="Calibri"/>
                <w:color w:val="000000"/>
                <w:sz w:val="22"/>
                <w:szCs w:val="22"/>
              </w:rPr>
              <w:t xml:space="preserve">% </w:t>
            </w:r>
            <w:r w:rsidRPr="00B95116">
              <w:rPr>
                <w:rFonts w:cs="Calibri"/>
                <w:color w:val="000000"/>
                <w:sz w:val="22"/>
                <w:szCs w:val="22"/>
              </w:rPr>
              <w:t>Kitchen / Other non-basement inside</w:t>
            </w:r>
          </w:p>
        </w:tc>
        <w:tc>
          <w:tcPr>
            <w:tcW w:w="99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10.9%</w:t>
            </w:r>
          </w:p>
        </w:tc>
        <w:tc>
          <w:tcPr>
            <w:tcW w:w="990" w:type="dxa"/>
            <w:tcBorders>
              <w:top w:val="nil"/>
              <w:left w:val="nil"/>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14.1%</w:t>
            </w:r>
          </w:p>
        </w:tc>
        <w:tc>
          <w:tcPr>
            <w:tcW w:w="990" w:type="dxa"/>
            <w:tcBorders>
              <w:top w:val="nil"/>
              <w:left w:val="nil"/>
              <w:bottom w:val="nil"/>
              <w:right w:val="single" w:sz="4" w:space="0" w:color="auto"/>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12.5%</w:t>
            </w:r>
          </w:p>
        </w:tc>
        <w:tc>
          <w:tcPr>
            <w:tcW w:w="108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13.1%</w:t>
            </w:r>
          </w:p>
        </w:tc>
        <w:tc>
          <w:tcPr>
            <w:tcW w:w="1134" w:type="dxa"/>
            <w:tcBorders>
              <w:top w:val="nil"/>
              <w:left w:val="nil"/>
              <w:bottom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12.8%</w:t>
            </w:r>
          </w:p>
        </w:tc>
        <w:tc>
          <w:tcPr>
            <w:tcW w:w="1134" w:type="dxa"/>
            <w:tcBorders>
              <w:top w:val="nil"/>
              <w:left w:val="nil"/>
              <w:bottom w:val="nil"/>
            </w:tcBorders>
            <w:vAlign w:val="bottom"/>
          </w:tcPr>
          <w:p w:rsidR="007539FB" w:rsidRPr="00B95116" w:rsidRDefault="007539FB" w:rsidP="00B95116">
            <w:pPr>
              <w:spacing w:after="40"/>
              <w:jc w:val="center"/>
              <w:rPr>
                <w:rFonts w:cs="Calibri"/>
                <w:color w:val="000000"/>
                <w:sz w:val="22"/>
                <w:szCs w:val="22"/>
              </w:rPr>
            </w:pPr>
            <w:r>
              <w:rPr>
                <w:rFonts w:cs="Calibri"/>
                <w:color w:val="000000"/>
                <w:sz w:val="22"/>
                <w:szCs w:val="22"/>
              </w:rPr>
              <w:t>13.1%</w:t>
            </w:r>
          </w:p>
        </w:tc>
      </w:tr>
      <w:tr w:rsidR="007539FB" w:rsidRPr="00B95116" w:rsidTr="007539FB">
        <w:trPr>
          <w:trHeight w:val="300"/>
        </w:trPr>
        <w:tc>
          <w:tcPr>
            <w:tcW w:w="3258" w:type="dxa"/>
            <w:tcBorders>
              <w:top w:val="nil"/>
              <w:bottom w:val="nil"/>
              <w:right w:val="single" w:sz="4" w:space="0" w:color="auto"/>
            </w:tcBorders>
            <w:hideMark/>
          </w:tcPr>
          <w:p w:rsidR="007539FB" w:rsidRPr="00B95116" w:rsidRDefault="007539FB" w:rsidP="00B95116">
            <w:pPr>
              <w:spacing w:after="40"/>
              <w:ind w:firstLineChars="100" w:firstLine="220"/>
              <w:jc w:val="left"/>
              <w:rPr>
                <w:rFonts w:cs="Calibri"/>
                <w:color w:val="000000"/>
                <w:sz w:val="22"/>
                <w:szCs w:val="22"/>
              </w:rPr>
            </w:pPr>
            <w:r w:rsidRPr="00B95116">
              <w:rPr>
                <w:rFonts w:cs="Calibri"/>
                <w:color w:val="000000"/>
                <w:sz w:val="22"/>
                <w:szCs w:val="22"/>
              </w:rPr>
              <w:t>% Porch / Patio</w:t>
            </w:r>
          </w:p>
        </w:tc>
        <w:tc>
          <w:tcPr>
            <w:tcW w:w="99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0.6%</w:t>
            </w:r>
          </w:p>
        </w:tc>
        <w:tc>
          <w:tcPr>
            <w:tcW w:w="990" w:type="dxa"/>
            <w:tcBorders>
              <w:top w:val="nil"/>
              <w:left w:val="nil"/>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2.0%</w:t>
            </w:r>
          </w:p>
        </w:tc>
        <w:tc>
          <w:tcPr>
            <w:tcW w:w="990" w:type="dxa"/>
            <w:tcBorders>
              <w:top w:val="nil"/>
              <w:left w:val="nil"/>
              <w:bottom w:val="nil"/>
              <w:right w:val="single" w:sz="4" w:space="0" w:color="auto"/>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3.5%</w:t>
            </w:r>
          </w:p>
        </w:tc>
        <w:tc>
          <w:tcPr>
            <w:tcW w:w="1080" w:type="dxa"/>
            <w:tcBorders>
              <w:top w:val="nil"/>
              <w:left w:val="single" w:sz="4" w:space="0" w:color="auto"/>
              <w:bottom w:val="nil"/>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1.6%</w:t>
            </w:r>
          </w:p>
        </w:tc>
        <w:tc>
          <w:tcPr>
            <w:tcW w:w="1134" w:type="dxa"/>
            <w:tcBorders>
              <w:top w:val="nil"/>
              <w:left w:val="nil"/>
              <w:bottom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2.6%</w:t>
            </w:r>
          </w:p>
        </w:tc>
        <w:tc>
          <w:tcPr>
            <w:tcW w:w="1134" w:type="dxa"/>
            <w:tcBorders>
              <w:top w:val="nil"/>
              <w:left w:val="nil"/>
              <w:bottom w:val="nil"/>
            </w:tcBorders>
            <w:vAlign w:val="bottom"/>
          </w:tcPr>
          <w:p w:rsidR="007539FB" w:rsidRPr="00B95116" w:rsidRDefault="007539FB" w:rsidP="00B95116">
            <w:pPr>
              <w:spacing w:after="40"/>
              <w:jc w:val="center"/>
              <w:rPr>
                <w:rFonts w:cs="Calibri"/>
                <w:color w:val="000000"/>
                <w:sz w:val="22"/>
                <w:szCs w:val="22"/>
              </w:rPr>
            </w:pPr>
            <w:r>
              <w:rPr>
                <w:rFonts w:cs="Calibri"/>
                <w:color w:val="000000"/>
                <w:sz w:val="22"/>
                <w:szCs w:val="22"/>
              </w:rPr>
              <w:t>1.5%</w:t>
            </w:r>
          </w:p>
        </w:tc>
      </w:tr>
      <w:tr w:rsidR="007539FB" w:rsidRPr="00B95116" w:rsidTr="007539FB">
        <w:trPr>
          <w:trHeight w:val="300"/>
        </w:trPr>
        <w:tc>
          <w:tcPr>
            <w:tcW w:w="3258" w:type="dxa"/>
            <w:tcBorders>
              <w:top w:val="nil"/>
              <w:bottom w:val="single" w:sz="4" w:space="0" w:color="auto"/>
              <w:right w:val="single" w:sz="4" w:space="0" w:color="auto"/>
            </w:tcBorders>
            <w:hideMark/>
          </w:tcPr>
          <w:p w:rsidR="007539FB" w:rsidRPr="00B95116" w:rsidRDefault="007539FB" w:rsidP="00B95116">
            <w:pPr>
              <w:spacing w:after="40"/>
              <w:ind w:firstLineChars="100" w:firstLine="220"/>
              <w:jc w:val="left"/>
              <w:rPr>
                <w:rFonts w:cs="Calibri"/>
                <w:color w:val="000000"/>
                <w:sz w:val="22"/>
                <w:szCs w:val="22"/>
              </w:rPr>
            </w:pPr>
            <w:r w:rsidRPr="00B95116">
              <w:rPr>
                <w:rFonts w:cs="Calibri"/>
                <w:color w:val="000000"/>
                <w:sz w:val="22"/>
                <w:szCs w:val="22"/>
              </w:rPr>
              <w:t>% Other or Unknown</w:t>
            </w:r>
          </w:p>
        </w:tc>
        <w:tc>
          <w:tcPr>
            <w:tcW w:w="990" w:type="dxa"/>
            <w:tcBorders>
              <w:top w:val="nil"/>
              <w:left w:val="single" w:sz="4" w:space="0" w:color="auto"/>
              <w:bottom w:val="single" w:sz="4" w:space="0" w:color="auto"/>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5.6%</w:t>
            </w:r>
          </w:p>
        </w:tc>
        <w:tc>
          <w:tcPr>
            <w:tcW w:w="990" w:type="dxa"/>
            <w:tcBorders>
              <w:top w:val="nil"/>
              <w:left w:val="nil"/>
              <w:bottom w:val="single" w:sz="4" w:space="0" w:color="auto"/>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12.2%</w:t>
            </w:r>
          </w:p>
        </w:tc>
        <w:tc>
          <w:tcPr>
            <w:tcW w:w="990" w:type="dxa"/>
            <w:tcBorders>
              <w:top w:val="nil"/>
              <w:left w:val="nil"/>
              <w:bottom w:val="single" w:sz="4" w:space="0" w:color="auto"/>
              <w:right w:val="single" w:sz="4" w:space="0" w:color="auto"/>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17.8%</w:t>
            </w:r>
          </w:p>
        </w:tc>
        <w:tc>
          <w:tcPr>
            <w:tcW w:w="1080" w:type="dxa"/>
            <w:tcBorders>
              <w:top w:val="nil"/>
              <w:left w:val="single" w:sz="4" w:space="0" w:color="auto"/>
              <w:bottom w:val="single" w:sz="4" w:space="0" w:color="auto"/>
              <w:right w:val="nil"/>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10.1%</w:t>
            </w:r>
          </w:p>
        </w:tc>
        <w:tc>
          <w:tcPr>
            <w:tcW w:w="1134" w:type="dxa"/>
            <w:tcBorders>
              <w:top w:val="nil"/>
              <w:left w:val="nil"/>
              <w:bottom w:val="single" w:sz="4" w:space="0" w:color="auto"/>
            </w:tcBorders>
            <w:noWrap/>
            <w:hideMark/>
          </w:tcPr>
          <w:p w:rsidR="007539FB" w:rsidRPr="00B95116" w:rsidRDefault="007539FB" w:rsidP="00B95116">
            <w:pPr>
              <w:spacing w:after="40"/>
              <w:jc w:val="center"/>
              <w:rPr>
                <w:rFonts w:cs="Calibri"/>
                <w:color w:val="000000"/>
                <w:sz w:val="22"/>
                <w:szCs w:val="22"/>
              </w:rPr>
            </w:pPr>
            <w:r w:rsidRPr="00B95116">
              <w:rPr>
                <w:rFonts w:cs="Calibri"/>
                <w:color w:val="000000"/>
                <w:sz w:val="22"/>
                <w:szCs w:val="22"/>
              </w:rPr>
              <w:t>14.1%</w:t>
            </w:r>
          </w:p>
        </w:tc>
        <w:tc>
          <w:tcPr>
            <w:tcW w:w="1134" w:type="dxa"/>
            <w:tcBorders>
              <w:top w:val="nil"/>
              <w:left w:val="nil"/>
              <w:bottom w:val="single" w:sz="4" w:space="0" w:color="auto"/>
            </w:tcBorders>
            <w:vAlign w:val="bottom"/>
          </w:tcPr>
          <w:p w:rsidR="007539FB" w:rsidRPr="00B95116" w:rsidRDefault="007539FB" w:rsidP="00B95116">
            <w:pPr>
              <w:spacing w:after="40"/>
              <w:jc w:val="center"/>
              <w:rPr>
                <w:rFonts w:cs="Calibri"/>
                <w:color w:val="000000"/>
                <w:sz w:val="22"/>
                <w:szCs w:val="22"/>
              </w:rPr>
            </w:pPr>
            <w:r>
              <w:rPr>
                <w:rFonts w:cs="Calibri"/>
                <w:color w:val="000000"/>
                <w:sz w:val="22"/>
                <w:szCs w:val="22"/>
              </w:rPr>
              <w:t>0.8%</w:t>
            </w:r>
          </w:p>
        </w:tc>
      </w:tr>
    </w:tbl>
    <w:p w:rsidR="00CD138C" w:rsidRDefault="00CD138C" w:rsidP="00B67AE9">
      <w:pPr>
        <w:pStyle w:val="Caption"/>
      </w:pPr>
    </w:p>
    <w:p w:rsidR="00B67AE9" w:rsidRPr="00E82FF0" w:rsidRDefault="00B67AE9" w:rsidP="00B67AE9">
      <w:pPr>
        <w:pStyle w:val="Caption"/>
      </w:pPr>
      <w:bookmarkStart w:id="10" w:name="_Ref322681708"/>
      <w:proofErr w:type="gramStart"/>
      <w:r w:rsidRPr="00E82FF0">
        <w:t xml:space="preserve">Table </w:t>
      </w:r>
      <w:r w:rsidR="00AE2BB9">
        <w:fldChar w:fldCharType="begin"/>
      </w:r>
      <w:r w:rsidR="005F53FD">
        <w:instrText xml:space="preserve"> SEQ Table \* ARABIC </w:instrText>
      </w:r>
      <w:r w:rsidR="00AE2BB9">
        <w:fldChar w:fldCharType="separate"/>
      </w:r>
      <w:r w:rsidR="00DE2A35">
        <w:rPr>
          <w:noProof/>
        </w:rPr>
        <w:t>12</w:t>
      </w:r>
      <w:r w:rsidR="00AE2BB9">
        <w:fldChar w:fldCharType="end"/>
      </w:r>
      <w:bookmarkEnd w:id="9"/>
      <w:bookmarkEnd w:id="10"/>
      <w:r w:rsidRPr="00E82FF0">
        <w:t>.</w:t>
      </w:r>
      <w:proofErr w:type="gramEnd"/>
      <w:r w:rsidRPr="00E82FF0">
        <w:t xml:space="preserve"> Regression Relating DOE Test Annual UEC for Recycled Appliances to Explanatory Variables</w:t>
      </w:r>
    </w:p>
    <w:tbl>
      <w:tblPr>
        <w:tblStyle w:val="TableSBAltSource"/>
        <w:tblW w:w="0" w:type="auto"/>
        <w:jc w:val="center"/>
        <w:tblLook w:val="04A0"/>
      </w:tblPr>
      <w:tblGrid>
        <w:gridCol w:w="6318"/>
        <w:gridCol w:w="1620"/>
        <w:gridCol w:w="1278"/>
      </w:tblGrid>
      <w:tr w:rsidR="00B67AE9" w:rsidRPr="00492251" w:rsidTr="00492251">
        <w:trPr>
          <w:cnfStyle w:val="100000000000"/>
          <w:tblHeader/>
          <w:jc w:val="center"/>
        </w:trPr>
        <w:tc>
          <w:tcPr>
            <w:cnfStyle w:val="001000000100"/>
            <w:tcW w:w="6318" w:type="dxa"/>
          </w:tcPr>
          <w:p w:rsidR="00B67AE9" w:rsidRPr="00492251" w:rsidRDefault="00B67AE9" w:rsidP="0077789D">
            <w:pPr>
              <w:autoSpaceDE w:val="0"/>
              <w:autoSpaceDN w:val="0"/>
              <w:adjustRightInd w:val="0"/>
              <w:rPr>
                <w:bCs/>
                <w:iCs/>
              </w:rPr>
            </w:pPr>
            <w:r w:rsidRPr="00492251">
              <w:rPr>
                <w:bCs/>
                <w:iCs/>
              </w:rPr>
              <w:t>Variable Description</w:t>
            </w:r>
          </w:p>
        </w:tc>
        <w:tc>
          <w:tcPr>
            <w:tcW w:w="1620" w:type="dxa"/>
          </w:tcPr>
          <w:p w:rsidR="00B67AE9" w:rsidRPr="00492251" w:rsidRDefault="00B67AE9" w:rsidP="0077789D">
            <w:pPr>
              <w:autoSpaceDE w:val="0"/>
              <w:autoSpaceDN w:val="0"/>
              <w:adjustRightInd w:val="0"/>
              <w:cnfStyle w:val="100000000000"/>
              <w:rPr>
                <w:bCs/>
                <w:iCs/>
              </w:rPr>
            </w:pPr>
            <w:r w:rsidRPr="00492251">
              <w:rPr>
                <w:bCs/>
                <w:iCs/>
              </w:rPr>
              <w:t>Coefficient</w:t>
            </w:r>
          </w:p>
        </w:tc>
        <w:tc>
          <w:tcPr>
            <w:tcW w:w="1278" w:type="dxa"/>
          </w:tcPr>
          <w:p w:rsidR="00B67AE9" w:rsidRPr="00492251" w:rsidRDefault="00B67AE9" w:rsidP="0077789D">
            <w:pPr>
              <w:autoSpaceDE w:val="0"/>
              <w:autoSpaceDN w:val="0"/>
              <w:adjustRightInd w:val="0"/>
              <w:cnfStyle w:val="100000000000"/>
              <w:rPr>
                <w:bCs/>
                <w:iCs/>
              </w:rPr>
            </w:pPr>
            <w:r w:rsidRPr="00492251">
              <w:rPr>
                <w:bCs/>
                <w:iCs/>
              </w:rPr>
              <w:t>t-value</w:t>
            </w:r>
          </w:p>
        </w:tc>
      </w:tr>
      <w:tr w:rsidR="00B67AE9" w:rsidRPr="00492251" w:rsidTr="00492251">
        <w:trPr>
          <w:cnfStyle w:val="000000100000"/>
          <w:trHeight w:val="288"/>
          <w:jc w:val="center"/>
        </w:trPr>
        <w:tc>
          <w:tcPr>
            <w:cnfStyle w:val="001000000000"/>
            <w:tcW w:w="6318" w:type="dxa"/>
          </w:tcPr>
          <w:p w:rsidR="00B67AE9" w:rsidRPr="00492251" w:rsidRDefault="00B67AE9" w:rsidP="0077789D">
            <w:pPr>
              <w:pStyle w:val="Tabletext"/>
              <w:rPr>
                <w:rFonts w:ascii="Franklin Gothic Book" w:hAnsi="Franklin Gothic Book"/>
              </w:rPr>
            </w:pPr>
            <w:r w:rsidRPr="00492251">
              <w:rPr>
                <w:rFonts w:ascii="Franklin Gothic Book" w:hAnsi="Franklin Gothic Book"/>
              </w:rPr>
              <w:t xml:space="preserve">Intercept </w:t>
            </w:r>
          </w:p>
        </w:tc>
        <w:tc>
          <w:tcPr>
            <w:tcW w:w="1620" w:type="dxa"/>
          </w:tcPr>
          <w:p w:rsidR="00B67AE9" w:rsidRPr="00492251" w:rsidRDefault="00B67AE9" w:rsidP="0077789D">
            <w:pPr>
              <w:pStyle w:val="Tabletext"/>
              <w:cnfStyle w:val="000000100000"/>
              <w:rPr>
                <w:rFonts w:ascii="Franklin Gothic Book" w:hAnsi="Franklin Gothic Book"/>
                <w:b/>
                <w:bCs/>
                <w:iCs/>
              </w:rPr>
            </w:pPr>
            <w:r w:rsidRPr="00492251">
              <w:rPr>
                <w:rFonts w:ascii="Franklin Gothic Book" w:hAnsi="Franklin Gothic Book"/>
              </w:rPr>
              <w:t>-422.4106</w:t>
            </w:r>
          </w:p>
        </w:tc>
        <w:tc>
          <w:tcPr>
            <w:tcW w:w="1278" w:type="dxa"/>
          </w:tcPr>
          <w:p w:rsidR="00B67AE9" w:rsidRPr="00492251" w:rsidRDefault="00B67AE9" w:rsidP="0077789D">
            <w:pPr>
              <w:pStyle w:val="Tabletext"/>
              <w:cnfStyle w:val="000000100000"/>
              <w:rPr>
                <w:rFonts w:ascii="Franklin Gothic Book" w:hAnsi="Franklin Gothic Book"/>
                <w:b/>
                <w:bCs/>
                <w:iCs/>
              </w:rPr>
            </w:pPr>
            <w:r w:rsidRPr="00492251">
              <w:rPr>
                <w:rFonts w:ascii="Franklin Gothic Book" w:hAnsi="Franklin Gothic Book"/>
              </w:rPr>
              <w:t>-0.77</w:t>
            </w:r>
          </w:p>
        </w:tc>
      </w:tr>
      <w:tr w:rsidR="00B67AE9" w:rsidRPr="00492251" w:rsidTr="00492251">
        <w:trPr>
          <w:cnfStyle w:val="000000010000"/>
          <w:trHeight w:val="288"/>
          <w:jc w:val="center"/>
        </w:trPr>
        <w:tc>
          <w:tcPr>
            <w:cnfStyle w:val="001000000000"/>
            <w:tcW w:w="6318" w:type="dxa"/>
          </w:tcPr>
          <w:p w:rsidR="00B67AE9" w:rsidRPr="00492251" w:rsidRDefault="00B67AE9" w:rsidP="0077789D">
            <w:pPr>
              <w:pStyle w:val="Tabletext"/>
              <w:rPr>
                <w:rFonts w:ascii="Franklin Gothic Book" w:hAnsi="Franklin Gothic Book"/>
              </w:rPr>
            </w:pPr>
            <w:r w:rsidRPr="00492251">
              <w:rPr>
                <w:rFonts w:ascii="Franklin Gothic Book" w:hAnsi="Franklin Gothic Book"/>
              </w:rPr>
              <w:t xml:space="preserve">Freezer dummy (=1 if freezer) </w:t>
            </w:r>
          </w:p>
        </w:tc>
        <w:tc>
          <w:tcPr>
            <w:tcW w:w="1620" w:type="dxa"/>
          </w:tcPr>
          <w:p w:rsidR="00B67AE9" w:rsidRPr="00492251" w:rsidRDefault="00B67AE9" w:rsidP="0077789D">
            <w:pPr>
              <w:pStyle w:val="Tabletext"/>
              <w:cnfStyle w:val="000000010000"/>
              <w:rPr>
                <w:rFonts w:ascii="Franklin Gothic Book" w:hAnsi="Franklin Gothic Book"/>
                <w:b/>
                <w:bCs/>
                <w:iCs/>
              </w:rPr>
            </w:pPr>
            <w:r w:rsidRPr="00492251">
              <w:rPr>
                <w:rFonts w:ascii="Franklin Gothic Book" w:hAnsi="Franklin Gothic Book"/>
              </w:rPr>
              <w:t>169.0536</w:t>
            </w:r>
          </w:p>
        </w:tc>
        <w:tc>
          <w:tcPr>
            <w:tcW w:w="1278" w:type="dxa"/>
          </w:tcPr>
          <w:p w:rsidR="00B67AE9" w:rsidRPr="00492251" w:rsidRDefault="00B67AE9" w:rsidP="0077789D">
            <w:pPr>
              <w:pStyle w:val="Tabletext"/>
              <w:cnfStyle w:val="000000010000"/>
              <w:rPr>
                <w:rFonts w:ascii="Franklin Gothic Book" w:hAnsi="Franklin Gothic Book"/>
                <w:b/>
                <w:bCs/>
                <w:iCs/>
              </w:rPr>
            </w:pPr>
            <w:r w:rsidRPr="00492251">
              <w:rPr>
                <w:rFonts w:ascii="Franklin Gothic Book" w:hAnsi="Franklin Gothic Book"/>
              </w:rPr>
              <w:t>1.84</w:t>
            </w:r>
          </w:p>
        </w:tc>
      </w:tr>
      <w:tr w:rsidR="00B67AE9" w:rsidRPr="00492251" w:rsidTr="00492251">
        <w:trPr>
          <w:cnfStyle w:val="000000100000"/>
          <w:trHeight w:val="288"/>
          <w:jc w:val="center"/>
        </w:trPr>
        <w:tc>
          <w:tcPr>
            <w:cnfStyle w:val="001000000000"/>
            <w:tcW w:w="6318" w:type="dxa"/>
          </w:tcPr>
          <w:p w:rsidR="00B67AE9" w:rsidRPr="00492251" w:rsidRDefault="00B67AE9" w:rsidP="0077789D">
            <w:pPr>
              <w:pStyle w:val="Tabletext"/>
              <w:rPr>
                <w:rFonts w:ascii="Franklin Gothic Book" w:hAnsi="Franklin Gothic Book"/>
              </w:rPr>
            </w:pPr>
            <w:r w:rsidRPr="00492251">
              <w:rPr>
                <w:rFonts w:ascii="Franklin Gothic Book" w:hAnsi="Franklin Gothic Book"/>
              </w:rPr>
              <w:t xml:space="preserve">Bottom freezer dummy (=1 if unit is bottom freezer) </w:t>
            </w:r>
          </w:p>
        </w:tc>
        <w:tc>
          <w:tcPr>
            <w:tcW w:w="1620" w:type="dxa"/>
          </w:tcPr>
          <w:p w:rsidR="00B67AE9" w:rsidRPr="00492251" w:rsidRDefault="00B67AE9" w:rsidP="0077789D">
            <w:pPr>
              <w:pStyle w:val="Tabletext"/>
              <w:cnfStyle w:val="000000100000"/>
              <w:rPr>
                <w:rFonts w:ascii="Franklin Gothic Book" w:hAnsi="Franklin Gothic Book"/>
                <w:b/>
                <w:bCs/>
                <w:iCs/>
              </w:rPr>
            </w:pPr>
            <w:r w:rsidRPr="00492251">
              <w:rPr>
                <w:rFonts w:ascii="Franklin Gothic Book" w:hAnsi="Franklin Gothic Book"/>
              </w:rPr>
              <w:t>595.3794</w:t>
            </w:r>
          </w:p>
        </w:tc>
        <w:tc>
          <w:tcPr>
            <w:tcW w:w="1278" w:type="dxa"/>
          </w:tcPr>
          <w:p w:rsidR="00B67AE9" w:rsidRPr="00492251" w:rsidRDefault="00B67AE9" w:rsidP="0077789D">
            <w:pPr>
              <w:pStyle w:val="Tabletext"/>
              <w:cnfStyle w:val="000000100000"/>
              <w:rPr>
                <w:rFonts w:ascii="Franklin Gothic Book" w:hAnsi="Franklin Gothic Book"/>
                <w:b/>
                <w:bCs/>
                <w:iCs/>
              </w:rPr>
            </w:pPr>
            <w:r w:rsidRPr="00492251">
              <w:rPr>
                <w:rFonts w:ascii="Franklin Gothic Book" w:hAnsi="Franklin Gothic Book"/>
              </w:rPr>
              <w:t>2.91</w:t>
            </w:r>
          </w:p>
        </w:tc>
      </w:tr>
      <w:tr w:rsidR="00B67AE9" w:rsidRPr="00492251" w:rsidTr="00492251">
        <w:trPr>
          <w:cnfStyle w:val="000000010000"/>
          <w:trHeight w:val="288"/>
          <w:jc w:val="center"/>
        </w:trPr>
        <w:tc>
          <w:tcPr>
            <w:cnfStyle w:val="001000000000"/>
            <w:tcW w:w="6318" w:type="dxa"/>
          </w:tcPr>
          <w:p w:rsidR="00B67AE9" w:rsidRPr="00492251" w:rsidRDefault="00B67AE9" w:rsidP="0077789D">
            <w:pPr>
              <w:pStyle w:val="Tabletext"/>
              <w:rPr>
                <w:rFonts w:ascii="Franklin Gothic Book" w:hAnsi="Franklin Gothic Book"/>
                <w:b/>
                <w:bCs/>
                <w:iCs/>
              </w:rPr>
            </w:pPr>
            <w:r w:rsidRPr="00492251">
              <w:rPr>
                <w:rFonts w:ascii="Franklin Gothic Book" w:hAnsi="Franklin Gothic Book"/>
              </w:rPr>
              <w:t>Side by side dummy (= 1 if unit is side-by-side)</w:t>
            </w:r>
          </w:p>
        </w:tc>
        <w:tc>
          <w:tcPr>
            <w:tcW w:w="1620" w:type="dxa"/>
          </w:tcPr>
          <w:p w:rsidR="00B67AE9" w:rsidRPr="00492251" w:rsidRDefault="00B67AE9" w:rsidP="0077789D">
            <w:pPr>
              <w:pStyle w:val="Tabletext"/>
              <w:cnfStyle w:val="000000010000"/>
              <w:rPr>
                <w:rFonts w:ascii="Franklin Gothic Book" w:hAnsi="Franklin Gothic Book"/>
                <w:b/>
                <w:bCs/>
                <w:iCs/>
              </w:rPr>
            </w:pPr>
            <w:r w:rsidRPr="00492251">
              <w:rPr>
                <w:rFonts w:ascii="Franklin Gothic Book" w:hAnsi="Franklin Gothic Book"/>
              </w:rPr>
              <w:t>-129.3553</w:t>
            </w:r>
          </w:p>
        </w:tc>
        <w:tc>
          <w:tcPr>
            <w:tcW w:w="1278" w:type="dxa"/>
          </w:tcPr>
          <w:p w:rsidR="00B67AE9" w:rsidRPr="00492251" w:rsidRDefault="00B67AE9" w:rsidP="0077789D">
            <w:pPr>
              <w:pStyle w:val="Tabletext"/>
              <w:cnfStyle w:val="000000010000"/>
              <w:rPr>
                <w:rFonts w:ascii="Franklin Gothic Book" w:hAnsi="Franklin Gothic Book"/>
                <w:b/>
                <w:bCs/>
                <w:iCs/>
              </w:rPr>
            </w:pPr>
            <w:r w:rsidRPr="00492251">
              <w:rPr>
                <w:rFonts w:ascii="Franklin Gothic Book" w:hAnsi="Franklin Gothic Book"/>
              </w:rPr>
              <w:t>-0.34</w:t>
            </w:r>
          </w:p>
        </w:tc>
      </w:tr>
      <w:tr w:rsidR="00B67AE9" w:rsidRPr="00492251" w:rsidTr="00492251">
        <w:trPr>
          <w:cnfStyle w:val="000000100000"/>
          <w:trHeight w:val="288"/>
          <w:jc w:val="center"/>
        </w:trPr>
        <w:tc>
          <w:tcPr>
            <w:cnfStyle w:val="001000000000"/>
            <w:tcW w:w="6318" w:type="dxa"/>
          </w:tcPr>
          <w:p w:rsidR="00B67AE9" w:rsidRPr="00492251" w:rsidRDefault="00B67AE9" w:rsidP="0077789D">
            <w:pPr>
              <w:pStyle w:val="Tabletext"/>
              <w:rPr>
                <w:rFonts w:ascii="Franklin Gothic Book" w:hAnsi="Franklin Gothic Book"/>
                <w:b/>
                <w:bCs/>
                <w:iCs/>
              </w:rPr>
            </w:pPr>
            <w:r w:rsidRPr="00492251">
              <w:rPr>
                <w:rFonts w:ascii="Franklin Gothic Book" w:hAnsi="Franklin Gothic Book"/>
              </w:rPr>
              <w:t>Single door dummy (= 1 if unit is single door)</w:t>
            </w:r>
          </w:p>
        </w:tc>
        <w:tc>
          <w:tcPr>
            <w:tcW w:w="1620" w:type="dxa"/>
          </w:tcPr>
          <w:p w:rsidR="00B67AE9" w:rsidRPr="00492251" w:rsidRDefault="00B67AE9" w:rsidP="0077789D">
            <w:pPr>
              <w:pStyle w:val="Tabletext"/>
              <w:cnfStyle w:val="000000100000"/>
              <w:rPr>
                <w:rFonts w:ascii="Franklin Gothic Book" w:hAnsi="Franklin Gothic Book"/>
                <w:b/>
                <w:bCs/>
                <w:iCs/>
              </w:rPr>
            </w:pPr>
            <w:r w:rsidRPr="00492251">
              <w:rPr>
                <w:rFonts w:ascii="Franklin Gothic Book" w:hAnsi="Franklin Gothic Book"/>
              </w:rPr>
              <w:t>-417.1026</w:t>
            </w:r>
          </w:p>
        </w:tc>
        <w:tc>
          <w:tcPr>
            <w:tcW w:w="1278" w:type="dxa"/>
          </w:tcPr>
          <w:p w:rsidR="00B67AE9" w:rsidRPr="00492251" w:rsidRDefault="00B67AE9" w:rsidP="0077789D">
            <w:pPr>
              <w:pStyle w:val="Tabletext"/>
              <w:cnfStyle w:val="000000100000"/>
              <w:rPr>
                <w:rFonts w:ascii="Franklin Gothic Book" w:hAnsi="Franklin Gothic Book"/>
                <w:b/>
                <w:bCs/>
                <w:iCs/>
              </w:rPr>
            </w:pPr>
            <w:r w:rsidRPr="00492251">
              <w:rPr>
                <w:rFonts w:ascii="Franklin Gothic Book" w:hAnsi="Franklin Gothic Book"/>
              </w:rPr>
              <w:t>-4.73</w:t>
            </w:r>
          </w:p>
        </w:tc>
      </w:tr>
      <w:tr w:rsidR="00B67AE9" w:rsidRPr="00492251" w:rsidTr="00492251">
        <w:trPr>
          <w:cnfStyle w:val="000000010000"/>
          <w:trHeight w:val="288"/>
          <w:jc w:val="center"/>
        </w:trPr>
        <w:tc>
          <w:tcPr>
            <w:cnfStyle w:val="001000000000"/>
            <w:tcW w:w="6318" w:type="dxa"/>
          </w:tcPr>
          <w:p w:rsidR="00B67AE9" w:rsidRPr="00492251" w:rsidRDefault="00B67AE9" w:rsidP="0077789D">
            <w:pPr>
              <w:pStyle w:val="Tabletext"/>
              <w:rPr>
                <w:rFonts w:ascii="Franklin Gothic Book" w:hAnsi="Franklin Gothic Book"/>
                <w:b/>
                <w:bCs/>
                <w:iCs/>
              </w:rPr>
            </w:pPr>
            <w:r w:rsidRPr="00492251">
              <w:rPr>
                <w:rFonts w:ascii="Franklin Gothic Book" w:hAnsi="Franklin Gothic Book"/>
              </w:rPr>
              <w:t>Frost free dummy (= 1 if unit is frost free)</w:t>
            </w:r>
          </w:p>
        </w:tc>
        <w:tc>
          <w:tcPr>
            <w:tcW w:w="1620" w:type="dxa"/>
          </w:tcPr>
          <w:p w:rsidR="00B67AE9" w:rsidRPr="00492251" w:rsidRDefault="00B67AE9" w:rsidP="0077789D">
            <w:pPr>
              <w:pStyle w:val="Tabletext"/>
              <w:cnfStyle w:val="000000010000"/>
              <w:rPr>
                <w:rFonts w:ascii="Franklin Gothic Book" w:hAnsi="Franklin Gothic Book"/>
                <w:b/>
                <w:bCs/>
                <w:iCs/>
              </w:rPr>
            </w:pPr>
            <w:r w:rsidRPr="00492251">
              <w:rPr>
                <w:rFonts w:ascii="Franklin Gothic Book" w:hAnsi="Franklin Gothic Book"/>
              </w:rPr>
              <w:t>-445.0348</w:t>
            </w:r>
          </w:p>
        </w:tc>
        <w:tc>
          <w:tcPr>
            <w:tcW w:w="1278" w:type="dxa"/>
          </w:tcPr>
          <w:p w:rsidR="00B67AE9" w:rsidRPr="00492251" w:rsidRDefault="00B67AE9" w:rsidP="0077789D">
            <w:pPr>
              <w:pStyle w:val="Tabletext"/>
              <w:cnfStyle w:val="000000010000"/>
              <w:rPr>
                <w:rFonts w:ascii="Franklin Gothic Book" w:hAnsi="Franklin Gothic Book"/>
              </w:rPr>
            </w:pPr>
            <w:r w:rsidRPr="00492251">
              <w:rPr>
                <w:rFonts w:ascii="Franklin Gothic Book" w:hAnsi="Franklin Gothic Book"/>
                <w:b/>
              </w:rPr>
              <w:t>-</w:t>
            </w:r>
            <w:r w:rsidRPr="00492251">
              <w:rPr>
                <w:rFonts w:ascii="Franklin Gothic Book" w:hAnsi="Franklin Gothic Book"/>
              </w:rPr>
              <w:t>1</w:t>
            </w:r>
            <w:r w:rsidRPr="00492251">
              <w:rPr>
                <w:rFonts w:ascii="Franklin Gothic Book" w:hAnsi="Franklin Gothic Book"/>
                <w:b/>
              </w:rPr>
              <w:t>.</w:t>
            </w:r>
            <w:r w:rsidRPr="00492251">
              <w:rPr>
                <w:rFonts w:ascii="Franklin Gothic Book" w:hAnsi="Franklin Gothic Book"/>
              </w:rPr>
              <w:t>00</w:t>
            </w:r>
          </w:p>
        </w:tc>
      </w:tr>
      <w:tr w:rsidR="00B67AE9" w:rsidRPr="00492251" w:rsidTr="00492251">
        <w:trPr>
          <w:cnfStyle w:val="000000100000"/>
          <w:trHeight w:val="288"/>
          <w:jc w:val="center"/>
        </w:trPr>
        <w:tc>
          <w:tcPr>
            <w:cnfStyle w:val="001000000000"/>
            <w:tcW w:w="6318" w:type="dxa"/>
          </w:tcPr>
          <w:p w:rsidR="00B67AE9" w:rsidRPr="00492251" w:rsidRDefault="00B67AE9" w:rsidP="0077789D">
            <w:pPr>
              <w:pStyle w:val="Tabletext"/>
              <w:rPr>
                <w:rFonts w:ascii="Franklin Gothic Book" w:hAnsi="Franklin Gothic Book"/>
                <w:b/>
                <w:bCs/>
                <w:iCs/>
              </w:rPr>
            </w:pPr>
            <w:r w:rsidRPr="00492251">
              <w:rPr>
                <w:rFonts w:ascii="Franklin Gothic Book" w:hAnsi="Franklin Gothic Book"/>
              </w:rPr>
              <w:t>Natural log of unit age</w:t>
            </w:r>
          </w:p>
        </w:tc>
        <w:tc>
          <w:tcPr>
            <w:tcW w:w="1620" w:type="dxa"/>
          </w:tcPr>
          <w:p w:rsidR="00B67AE9" w:rsidRPr="00492251" w:rsidRDefault="00B67AE9" w:rsidP="0077789D">
            <w:pPr>
              <w:pStyle w:val="Tabletext"/>
              <w:cnfStyle w:val="000000100000"/>
              <w:rPr>
                <w:rFonts w:ascii="Franklin Gothic Book" w:hAnsi="Franklin Gothic Book"/>
                <w:b/>
                <w:bCs/>
                <w:iCs/>
              </w:rPr>
            </w:pPr>
            <w:r w:rsidRPr="00492251">
              <w:rPr>
                <w:rFonts w:ascii="Franklin Gothic Book" w:hAnsi="Franklin Gothic Book"/>
              </w:rPr>
              <w:t>405.2134</w:t>
            </w:r>
          </w:p>
        </w:tc>
        <w:tc>
          <w:tcPr>
            <w:tcW w:w="1278" w:type="dxa"/>
          </w:tcPr>
          <w:p w:rsidR="00B67AE9" w:rsidRPr="00492251" w:rsidRDefault="00B67AE9" w:rsidP="0077789D">
            <w:pPr>
              <w:pStyle w:val="Tabletext"/>
              <w:cnfStyle w:val="000000100000"/>
              <w:rPr>
                <w:rFonts w:ascii="Franklin Gothic Book" w:hAnsi="Franklin Gothic Book"/>
                <w:b/>
                <w:bCs/>
                <w:iCs/>
              </w:rPr>
            </w:pPr>
            <w:r w:rsidRPr="00492251">
              <w:rPr>
                <w:rFonts w:ascii="Franklin Gothic Book" w:hAnsi="Franklin Gothic Book"/>
              </w:rPr>
              <w:t>2.15</w:t>
            </w:r>
          </w:p>
        </w:tc>
      </w:tr>
      <w:tr w:rsidR="00B67AE9" w:rsidRPr="00492251" w:rsidTr="00492251">
        <w:trPr>
          <w:cnfStyle w:val="000000010000"/>
          <w:trHeight w:val="288"/>
          <w:jc w:val="center"/>
        </w:trPr>
        <w:tc>
          <w:tcPr>
            <w:cnfStyle w:val="001000000000"/>
            <w:tcW w:w="6318" w:type="dxa"/>
          </w:tcPr>
          <w:p w:rsidR="00B67AE9" w:rsidRPr="00492251" w:rsidRDefault="00B67AE9" w:rsidP="0077789D">
            <w:pPr>
              <w:pStyle w:val="Tabletext"/>
              <w:rPr>
                <w:rFonts w:ascii="Franklin Gothic Book" w:hAnsi="Franklin Gothic Book"/>
                <w:b/>
                <w:bCs/>
                <w:iCs/>
              </w:rPr>
            </w:pPr>
            <w:r w:rsidRPr="00492251">
              <w:rPr>
                <w:rFonts w:ascii="Franklin Gothic Book" w:hAnsi="Franklin Gothic Book"/>
              </w:rPr>
              <w:t>Cubic Feet of unit (per tracking system data)</w:t>
            </w:r>
          </w:p>
        </w:tc>
        <w:tc>
          <w:tcPr>
            <w:tcW w:w="1620" w:type="dxa"/>
          </w:tcPr>
          <w:p w:rsidR="00B67AE9" w:rsidRPr="00492251" w:rsidRDefault="00B67AE9" w:rsidP="0077789D">
            <w:pPr>
              <w:pStyle w:val="Tabletext"/>
              <w:cnfStyle w:val="000000010000"/>
              <w:rPr>
                <w:rFonts w:ascii="Franklin Gothic Book" w:hAnsi="Franklin Gothic Book"/>
                <w:b/>
                <w:bCs/>
                <w:iCs/>
              </w:rPr>
            </w:pPr>
            <w:r w:rsidRPr="00492251">
              <w:rPr>
                <w:rFonts w:ascii="Franklin Gothic Book" w:hAnsi="Franklin Gothic Book"/>
              </w:rPr>
              <w:t>43.6478</w:t>
            </w:r>
          </w:p>
        </w:tc>
        <w:tc>
          <w:tcPr>
            <w:tcW w:w="1278" w:type="dxa"/>
          </w:tcPr>
          <w:p w:rsidR="00B67AE9" w:rsidRPr="00492251" w:rsidRDefault="00B67AE9" w:rsidP="0077789D">
            <w:pPr>
              <w:pStyle w:val="Tabletext"/>
              <w:cnfStyle w:val="000000010000"/>
              <w:rPr>
                <w:rFonts w:ascii="Franklin Gothic Book" w:hAnsi="Franklin Gothic Book"/>
                <w:b/>
                <w:bCs/>
                <w:iCs/>
              </w:rPr>
            </w:pPr>
            <w:r w:rsidRPr="00492251">
              <w:rPr>
                <w:rFonts w:ascii="Franklin Gothic Book" w:hAnsi="Franklin Gothic Book"/>
              </w:rPr>
              <w:t>4.59</w:t>
            </w:r>
          </w:p>
        </w:tc>
      </w:tr>
      <w:tr w:rsidR="00B67AE9" w:rsidRPr="00492251" w:rsidTr="00492251">
        <w:trPr>
          <w:cnfStyle w:val="000000100000"/>
          <w:trHeight w:val="288"/>
          <w:jc w:val="center"/>
        </w:trPr>
        <w:tc>
          <w:tcPr>
            <w:cnfStyle w:val="001000000000"/>
            <w:tcW w:w="6318" w:type="dxa"/>
          </w:tcPr>
          <w:p w:rsidR="00B67AE9" w:rsidRPr="00492251" w:rsidRDefault="00B67AE9" w:rsidP="0077789D">
            <w:pPr>
              <w:pStyle w:val="Tabletext"/>
              <w:rPr>
                <w:rFonts w:ascii="Franklin Gothic Book" w:hAnsi="Franklin Gothic Book"/>
                <w:b/>
                <w:bCs/>
                <w:iCs/>
              </w:rPr>
            </w:pPr>
            <w:r w:rsidRPr="00492251">
              <w:rPr>
                <w:rFonts w:ascii="Franklin Gothic Book" w:hAnsi="Franklin Gothic Book"/>
              </w:rPr>
              <w:t>Label Amps</w:t>
            </w:r>
          </w:p>
        </w:tc>
        <w:tc>
          <w:tcPr>
            <w:tcW w:w="1620" w:type="dxa"/>
          </w:tcPr>
          <w:p w:rsidR="00B67AE9" w:rsidRPr="00492251" w:rsidRDefault="00B67AE9" w:rsidP="0077789D">
            <w:pPr>
              <w:pStyle w:val="Tabletext"/>
              <w:cnfStyle w:val="000000100000"/>
              <w:rPr>
                <w:rFonts w:ascii="Franklin Gothic Book" w:hAnsi="Franklin Gothic Book"/>
                <w:b/>
                <w:bCs/>
                <w:iCs/>
              </w:rPr>
            </w:pPr>
            <w:r w:rsidRPr="00492251">
              <w:rPr>
                <w:rFonts w:ascii="Franklin Gothic Book" w:hAnsi="Franklin Gothic Book"/>
              </w:rPr>
              <w:t>104.1018</w:t>
            </w:r>
          </w:p>
        </w:tc>
        <w:tc>
          <w:tcPr>
            <w:tcW w:w="1278" w:type="dxa"/>
          </w:tcPr>
          <w:p w:rsidR="00B67AE9" w:rsidRPr="00492251" w:rsidRDefault="00B67AE9" w:rsidP="0077789D">
            <w:pPr>
              <w:pStyle w:val="Tabletext"/>
              <w:cnfStyle w:val="000000100000"/>
              <w:rPr>
                <w:rFonts w:ascii="Franklin Gothic Book" w:hAnsi="Franklin Gothic Book"/>
              </w:rPr>
            </w:pPr>
            <w:r w:rsidRPr="00492251">
              <w:rPr>
                <w:rFonts w:ascii="Franklin Gothic Book" w:hAnsi="Franklin Gothic Book"/>
              </w:rPr>
              <w:t>4.83</w:t>
            </w:r>
          </w:p>
        </w:tc>
      </w:tr>
      <w:tr w:rsidR="00B67AE9" w:rsidRPr="00492251" w:rsidTr="00492251">
        <w:trPr>
          <w:cnfStyle w:val="000000010000"/>
          <w:trHeight w:val="288"/>
          <w:jc w:val="center"/>
        </w:trPr>
        <w:tc>
          <w:tcPr>
            <w:cnfStyle w:val="001000000000"/>
            <w:tcW w:w="6318" w:type="dxa"/>
          </w:tcPr>
          <w:p w:rsidR="00B67AE9" w:rsidRPr="00492251" w:rsidRDefault="00B67AE9" w:rsidP="0077789D">
            <w:pPr>
              <w:pStyle w:val="Tabletext"/>
              <w:rPr>
                <w:rFonts w:ascii="Franklin Gothic Book" w:hAnsi="Franklin Gothic Book"/>
                <w:b/>
                <w:bCs/>
                <w:iCs/>
              </w:rPr>
            </w:pPr>
            <w:r w:rsidRPr="00492251">
              <w:rPr>
                <w:rFonts w:ascii="Franklin Gothic Book" w:hAnsi="Franklin Gothic Book"/>
              </w:rPr>
              <w:t>Freezer dummy x frost free dummy</w:t>
            </w:r>
          </w:p>
        </w:tc>
        <w:tc>
          <w:tcPr>
            <w:tcW w:w="1620" w:type="dxa"/>
          </w:tcPr>
          <w:p w:rsidR="00B67AE9" w:rsidRPr="00492251" w:rsidRDefault="00B67AE9" w:rsidP="0077789D">
            <w:pPr>
              <w:pStyle w:val="Tabletext"/>
              <w:cnfStyle w:val="000000010000"/>
              <w:rPr>
                <w:rFonts w:ascii="Franklin Gothic Book" w:hAnsi="Franklin Gothic Book"/>
                <w:b/>
                <w:bCs/>
                <w:iCs/>
              </w:rPr>
            </w:pPr>
            <w:r w:rsidRPr="00492251">
              <w:rPr>
                <w:rFonts w:ascii="Franklin Gothic Book" w:hAnsi="Franklin Gothic Book"/>
              </w:rPr>
              <w:t>319.1097</w:t>
            </w:r>
          </w:p>
        </w:tc>
        <w:tc>
          <w:tcPr>
            <w:tcW w:w="1278" w:type="dxa"/>
          </w:tcPr>
          <w:p w:rsidR="00B67AE9" w:rsidRPr="00492251" w:rsidRDefault="00B67AE9" w:rsidP="0077789D">
            <w:pPr>
              <w:pStyle w:val="Tabletext"/>
              <w:cnfStyle w:val="000000010000"/>
              <w:rPr>
                <w:rFonts w:ascii="Franklin Gothic Book" w:hAnsi="Franklin Gothic Book"/>
                <w:b/>
                <w:bCs/>
                <w:iCs/>
              </w:rPr>
            </w:pPr>
            <w:r w:rsidRPr="00492251">
              <w:rPr>
                <w:rFonts w:ascii="Franklin Gothic Book" w:hAnsi="Franklin Gothic Book"/>
              </w:rPr>
              <w:t>1.94</w:t>
            </w:r>
          </w:p>
        </w:tc>
      </w:tr>
      <w:tr w:rsidR="00B67AE9" w:rsidRPr="00492251" w:rsidTr="00492251">
        <w:trPr>
          <w:cnfStyle w:val="000000100000"/>
          <w:trHeight w:val="288"/>
          <w:jc w:val="center"/>
        </w:trPr>
        <w:tc>
          <w:tcPr>
            <w:cnfStyle w:val="001000000000"/>
            <w:tcW w:w="6318" w:type="dxa"/>
          </w:tcPr>
          <w:p w:rsidR="00B67AE9" w:rsidRPr="00492251" w:rsidRDefault="00B67AE9" w:rsidP="0077789D">
            <w:pPr>
              <w:pStyle w:val="Tabletext"/>
              <w:rPr>
                <w:rFonts w:ascii="Franklin Gothic Book" w:hAnsi="Franklin Gothic Book"/>
                <w:b/>
                <w:bCs/>
                <w:iCs/>
              </w:rPr>
            </w:pPr>
            <w:r w:rsidRPr="00492251">
              <w:rPr>
                <w:rFonts w:ascii="Franklin Gothic Book" w:hAnsi="Franklin Gothic Book"/>
              </w:rPr>
              <w:t>Bottom freezer dummy x frost free dummy</w:t>
            </w:r>
          </w:p>
        </w:tc>
        <w:tc>
          <w:tcPr>
            <w:tcW w:w="1620" w:type="dxa"/>
          </w:tcPr>
          <w:p w:rsidR="00B67AE9" w:rsidRPr="00492251" w:rsidRDefault="00B67AE9" w:rsidP="0077789D">
            <w:pPr>
              <w:pStyle w:val="Tabletext"/>
              <w:cnfStyle w:val="000000100000"/>
              <w:rPr>
                <w:rFonts w:ascii="Franklin Gothic Book" w:hAnsi="Franklin Gothic Book"/>
                <w:b/>
                <w:bCs/>
                <w:iCs/>
              </w:rPr>
            </w:pPr>
            <w:r w:rsidRPr="00492251">
              <w:rPr>
                <w:rFonts w:ascii="Franklin Gothic Book" w:hAnsi="Franklin Gothic Book"/>
              </w:rPr>
              <w:t>-302.0484</w:t>
            </w:r>
          </w:p>
        </w:tc>
        <w:tc>
          <w:tcPr>
            <w:tcW w:w="1278" w:type="dxa"/>
          </w:tcPr>
          <w:p w:rsidR="00B67AE9" w:rsidRPr="00492251" w:rsidRDefault="00B67AE9" w:rsidP="0077789D">
            <w:pPr>
              <w:pStyle w:val="Tabletext"/>
              <w:cnfStyle w:val="000000100000"/>
              <w:rPr>
                <w:rFonts w:ascii="Franklin Gothic Book" w:hAnsi="Franklin Gothic Book"/>
              </w:rPr>
            </w:pPr>
            <w:r w:rsidRPr="00492251">
              <w:rPr>
                <w:rFonts w:ascii="Franklin Gothic Book" w:hAnsi="Franklin Gothic Book"/>
              </w:rPr>
              <w:t>-1.28</w:t>
            </w:r>
          </w:p>
        </w:tc>
      </w:tr>
      <w:tr w:rsidR="00B67AE9" w:rsidRPr="00492251" w:rsidTr="00492251">
        <w:trPr>
          <w:cnfStyle w:val="000000010000"/>
          <w:trHeight w:val="288"/>
          <w:jc w:val="center"/>
        </w:trPr>
        <w:tc>
          <w:tcPr>
            <w:cnfStyle w:val="001000000000"/>
            <w:tcW w:w="6318" w:type="dxa"/>
          </w:tcPr>
          <w:p w:rsidR="00B67AE9" w:rsidRPr="00492251" w:rsidRDefault="00B67AE9" w:rsidP="0077789D">
            <w:pPr>
              <w:pStyle w:val="Tabletext"/>
              <w:rPr>
                <w:rFonts w:ascii="Franklin Gothic Book" w:hAnsi="Franklin Gothic Book"/>
                <w:b/>
                <w:bCs/>
                <w:iCs/>
              </w:rPr>
            </w:pPr>
            <w:r w:rsidRPr="00492251">
              <w:rPr>
                <w:rFonts w:ascii="Franklin Gothic Book" w:hAnsi="Franklin Gothic Book"/>
              </w:rPr>
              <w:t>Side by side dummy x frost free dummy</w:t>
            </w:r>
          </w:p>
        </w:tc>
        <w:tc>
          <w:tcPr>
            <w:tcW w:w="1620" w:type="dxa"/>
          </w:tcPr>
          <w:p w:rsidR="00B67AE9" w:rsidRPr="00492251" w:rsidRDefault="00B67AE9" w:rsidP="0077789D">
            <w:pPr>
              <w:pStyle w:val="Tabletext"/>
              <w:cnfStyle w:val="000000010000"/>
              <w:rPr>
                <w:rFonts w:ascii="Franklin Gothic Book" w:hAnsi="Franklin Gothic Book"/>
                <w:b/>
                <w:bCs/>
                <w:iCs/>
              </w:rPr>
            </w:pPr>
            <w:r w:rsidRPr="00492251">
              <w:rPr>
                <w:rFonts w:ascii="Franklin Gothic Book" w:hAnsi="Franklin Gothic Book"/>
              </w:rPr>
              <w:t>1451.3206</w:t>
            </w:r>
          </w:p>
        </w:tc>
        <w:tc>
          <w:tcPr>
            <w:tcW w:w="1278" w:type="dxa"/>
          </w:tcPr>
          <w:p w:rsidR="00B67AE9" w:rsidRPr="00492251" w:rsidRDefault="00B67AE9" w:rsidP="0077789D">
            <w:pPr>
              <w:pStyle w:val="Tabletext"/>
              <w:cnfStyle w:val="000000010000"/>
              <w:rPr>
                <w:rFonts w:ascii="Franklin Gothic Book" w:hAnsi="Franklin Gothic Book"/>
              </w:rPr>
            </w:pPr>
            <w:r w:rsidRPr="00492251">
              <w:rPr>
                <w:rFonts w:ascii="Franklin Gothic Book" w:hAnsi="Franklin Gothic Book"/>
              </w:rPr>
              <w:t>3.80</w:t>
            </w:r>
          </w:p>
        </w:tc>
      </w:tr>
      <w:tr w:rsidR="00B67AE9" w:rsidRPr="00492251" w:rsidTr="00492251">
        <w:trPr>
          <w:cnfStyle w:val="000000100000"/>
          <w:trHeight w:val="288"/>
          <w:jc w:val="center"/>
        </w:trPr>
        <w:tc>
          <w:tcPr>
            <w:cnfStyle w:val="001000000000"/>
            <w:tcW w:w="6318" w:type="dxa"/>
          </w:tcPr>
          <w:p w:rsidR="00B67AE9" w:rsidRPr="00492251" w:rsidRDefault="00B67AE9" w:rsidP="0077789D">
            <w:pPr>
              <w:pStyle w:val="Tabletext"/>
              <w:rPr>
                <w:rFonts w:ascii="Franklin Gothic Book" w:hAnsi="Franklin Gothic Book"/>
                <w:b/>
                <w:bCs/>
                <w:iCs/>
              </w:rPr>
            </w:pPr>
            <w:r w:rsidRPr="00492251">
              <w:rPr>
                <w:rFonts w:ascii="Franklin Gothic Book" w:hAnsi="Franklin Gothic Book"/>
              </w:rPr>
              <w:t>Side-side dummy x amps</w:t>
            </w:r>
          </w:p>
        </w:tc>
        <w:tc>
          <w:tcPr>
            <w:tcW w:w="1620" w:type="dxa"/>
          </w:tcPr>
          <w:p w:rsidR="00B67AE9" w:rsidRPr="00492251" w:rsidRDefault="00B67AE9" w:rsidP="0077789D">
            <w:pPr>
              <w:pStyle w:val="Tabletext"/>
              <w:cnfStyle w:val="000000100000"/>
              <w:rPr>
                <w:rFonts w:ascii="Franklin Gothic Book" w:hAnsi="Franklin Gothic Book"/>
                <w:b/>
                <w:bCs/>
                <w:iCs/>
              </w:rPr>
            </w:pPr>
            <w:r w:rsidRPr="00492251">
              <w:rPr>
                <w:rFonts w:ascii="Franklin Gothic Book" w:hAnsi="Franklin Gothic Book"/>
              </w:rPr>
              <w:t>-126.4332</w:t>
            </w:r>
          </w:p>
        </w:tc>
        <w:tc>
          <w:tcPr>
            <w:tcW w:w="1278" w:type="dxa"/>
          </w:tcPr>
          <w:p w:rsidR="00B67AE9" w:rsidRPr="00492251" w:rsidRDefault="00B67AE9" w:rsidP="0077789D">
            <w:pPr>
              <w:pStyle w:val="Tabletext"/>
              <w:cnfStyle w:val="000000100000"/>
              <w:rPr>
                <w:rFonts w:ascii="Franklin Gothic Book" w:hAnsi="Franklin Gothic Book"/>
              </w:rPr>
            </w:pPr>
            <w:r w:rsidRPr="00492251">
              <w:rPr>
                <w:rFonts w:ascii="Franklin Gothic Book" w:hAnsi="Franklin Gothic Book"/>
              </w:rPr>
              <w:t>-2.88</w:t>
            </w:r>
          </w:p>
        </w:tc>
      </w:tr>
      <w:tr w:rsidR="00B67AE9" w:rsidRPr="00492251" w:rsidTr="00492251">
        <w:trPr>
          <w:cnfStyle w:val="000000010000"/>
          <w:trHeight w:val="288"/>
          <w:jc w:val="center"/>
        </w:trPr>
        <w:tc>
          <w:tcPr>
            <w:cnfStyle w:val="001000000000"/>
            <w:tcW w:w="6318" w:type="dxa"/>
          </w:tcPr>
          <w:p w:rsidR="00B67AE9" w:rsidRPr="00492251" w:rsidRDefault="00B67AE9" w:rsidP="0077789D">
            <w:pPr>
              <w:pStyle w:val="Tabletext"/>
              <w:rPr>
                <w:rFonts w:ascii="Franklin Gothic Book" w:hAnsi="Franklin Gothic Book"/>
                <w:b/>
                <w:bCs/>
                <w:iCs/>
              </w:rPr>
            </w:pPr>
            <w:r w:rsidRPr="00492251">
              <w:rPr>
                <w:rFonts w:ascii="Franklin Gothic Book" w:hAnsi="Franklin Gothic Book"/>
              </w:rPr>
              <w:t xml:space="preserve">Frost free dummy x </w:t>
            </w:r>
            <w:proofErr w:type="spellStart"/>
            <w:r w:rsidRPr="00492251">
              <w:rPr>
                <w:rFonts w:ascii="Franklin Gothic Book" w:hAnsi="Franklin Gothic Book"/>
              </w:rPr>
              <w:t>ln</w:t>
            </w:r>
            <w:proofErr w:type="spellEnd"/>
            <w:r w:rsidRPr="00492251">
              <w:rPr>
                <w:rFonts w:ascii="Franklin Gothic Book" w:hAnsi="Franklin Gothic Book"/>
              </w:rPr>
              <w:t>(age)</w:t>
            </w:r>
          </w:p>
        </w:tc>
        <w:tc>
          <w:tcPr>
            <w:tcW w:w="1620" w:type="dxa"/>
          </w:tcPr>
          <w:p w:rsidR="00B67AE9" w:rsidRPr="00492251" w:rsidRDefault="00B67AE9" w:rsidP="0077789D">
            <w:pPr>
              <w:pStyle w:val="Tabletext"/>
              <w:cnfStyle w:val="000000010000"/>
              <w:rPr>
                <w:rFonts w:ascii="Franklin Gothic Book" w:hAnsi="Franklin Gothic Book"/>
                <w:b/>
                <w:bCs/>
                <w:iCs/>
              </w:rPr>
            </w:pPr>
            <w:r w:rsidRPr="00492251">
              <w:rPr>
                <w:rFonts w:ascii="Franklin Gothic Book" w:hAnsi="Franklin Gothic Book"/>
              </w:rPr>
              <w:t>299.8206</w:t>
            </w:r>
          </w:p>
        </w:tc>
        <w:tc>
          <w:tcPr>
            <w:tcW w:w="1278" w:type="dxa"/>
          </w:tcPr>
          <w:p w:rsidR="00B67AE9" w:rsidRPr="00492251" w:rsidRDefault="00B67AE9" w:rsidP="0077789D">
            <w:pPr>
              <w:pStyle w:val="Tabletext"/>
              <w:cnfStyle w:val="000000010000"/>
              <w:rPr>
                <w:rFonts w:ascii="Franklin Gothic Book" w:hAnsi="Franklin Gothic Book"/>
                <w:b/>
                <w:bCs/>
                <w:iCs/>
              </w:rPr>
            </w:pPr>
            <w:r w:rsidRPr="00492251">
              <w:rPr>
                <w:rFonts w:ascii="Franklin Gothic Book" w:hAnsi="Franklin Gothic Book"/>
              </w:rPr>
              <w:t>2.09</w:t>
            </w:r>
          </w:p>
        </w:tc>
      </w:tr>
      <w:tr w:rsidR="00B67AE9" w:rsidRPr="00492251" w:rsidTr="00492251">
        <w:trPr>
          <w:cnfStyle w:val="000000100000"/>
          <w:trHeight w:val="288"/>
          <w:jc w:val="center"/>
        </w:trPr>
        <w:tc>
          <w:tcPr>
            <w:cnfStyle w:val="001000000000"/>
            <w:tcW w:w="6318" w:type="dxa"/>
          </w:tcPr>
          <w:p w:rsidR="00B67AE9" w:rsidRPr="00492251" w:rsidRDefault="00B67AE9" w:rsidP="0077789D">
            <w:pPr>
              <w:pStyle w:val="Tabletext"/>
              <w:rPr>
                <w:rFonts w:ascii="Franklin Gothic Book" w:hAnsi="Franklin Gothic Book"/>
                <w:b/>
                <w:bCs/>
                <w:iCs/>
              </w:rPr>
            </w:pPr>
            <w:r w:rsidRPr="00492251">
              <w:rPr>
                <w:rFonts w:ascii="Franklin Gothic Book" w:hAnsi="Franklin Gothic Book"/>
              </w:rPr>
              <w:t>Dummy if unit age is 15 years or greater</w:t>
            </w:r>
          </w:p>
        </w:tc>
        <w:tc>
          <w:tcPr>
            <w:tcW w:w="1620" w:type="dxa"/>
          </w:tcPr>
          <w:p w:rsidR="00B67AE9" w:rsidRPr="00492251" w:rsidRDefault="00B67AE9" w:rsidP="0077789D">
            <w:pPr>
              <w:pStyle w:val="Tabletext"/>
              <w:cnfStyle w:val="000000100000"/>
              <w:rPr>
                <w:rFonts w:ascii="Franklin Gothic Book" w:hAnsi="Franklin Gothic Book"/>
                <w:b/>
                <w:bCs/>
                <w:iCs/>
              </w:rPr>
            </w:pPr>
            <w:r w:rsidRPr="00492251">
              <w:rPr>
                <w:rFonts w:ascii="Franklin Gothic Book" w:hAnsi="Franklin Gothic Book"/>
              </w:rPr>
              <w:t>1197.8349</w:t>
            </w:r>
          </w:p>
        </w:tc>
        <w:tc>
          <w:tcPr>
            <w:tcW w:w="1278" w:type="dxa"/>
          </w:tcPr>
          <w:p w:rsidR="00B67AE9" w:rsidRPr="00492251" w:rsidRDefault="00B67AE9" w:rsidP="0077789D">
            <w:pPr>
              <w:pStyle w:val="Tabletext"/>
              <w:cnfStyle w:val="000000100000"/>
              <w:rPr>
                <w:rFonts w:ascii="Franklin Gothic Book" w:hAnsi="Franklin Gothic Book"/>
                <w:b/>
                <w:bCs/>
                <w:iCs/>
              </w:rPr>
            </w:pPr>
            <w:r w:rsidRPr="00492251">
              <w:rPr>
                <w:rFonts w:ascii="Franklin Gothic Book" w:hAnsi="Franklin Gothic Book"/>
              </w:rPr>
              <w:t>2.61</w:t>
            </w:r>
          </w:p>
        </w:tc>
      </w:tr>
      <w:tr w:rsidR="00B67AE9" w:rsidRPr="00492251" w:rsidTr="00492251">
        <w:trPr>
          <w:cnfStyle w:val="000000010000"/>
          <w:trHeight w:val="288"/>
          <w:jc w:val="center"/>
        </w:trPr>
        <w:tc>
          <w:tcPr>
            <w:cnfStyle w:val="001000000000"/>
            <w:tcW w:w="6318" w:type="dxa"/>
          </w:tcPr>
          <w:p w:rsidR="00B67AE9" w:rsidRPr="00492251" w:rsidRDefault="00B67AE9" w:rsidP="0077789D">
            <w:pPr>
              <w:pStyle w:val="Tabletext"/>
              <w:rPr>
                <w:rFonts w:ascii="Franklin Gothic Book" w:hAnsi="Franklin Gothic Book"/>
                <w:b/>
                <w:bCs/>
                <w:iCs/>
              </w:rPr>
            </w:pPr>
            <w:proofErr w:type="spellStart"/>
            <w:r w:rsidRPr="00492251">
              <w:rPr>
                <w:rFonts w:ascii="Franklin Gothic Book" w:hAnsi="Franklin Gothic Book"/>
              </w:rPr>
              <w:t>Ln</w:t>
            </w:r>
            <w:proofErr w:type="spellEnd"/>
            <w:r w:rsidRPr="00492251">
              <w:rPr>
                <w:rFonts w:ascii="Franklin Gothic Book" w:hAnsi="Franklin Gothic Book"/>
              </w:rPr>
              <w:t xml:space="preserve"> age x age 15 up dummy</w:t>
            </w:r>
          </w:p>
        </w:tc>
        <w:tc>
          <w:tcPr>
            <w:tcW w:w="1620" w:type="dxa"/>
          </w:tcPr>
          <w:p w:rsidR="00B67AE9" w:rsidRPr="00492251" w:rsidRDefault="00B67AE9" w:rsidP="0077789D">
            <w:pPr>
              <w:pStyle w:val="Tabletext"/>
              <w:cnfStyle w:val="000000010000"/>
              <w:rPr>
                <w:rFonts w:ascii="Franklin Gothic Book" w:hAnsi="Franklin Gothic Book"/>
                <w:b/>
                <w:bCs/>
                <w:iCs/>
              </w:rPr>
            </w:pPr>
            <w:r w:rsidRPr="00492251">
              <w:rPr>
                <w:rFonts w:ascii="Franklin Gothic Book" w:hAnsi="Franklin Gothic Book"/>
              </w:rPr>
              <w:t>-524.9782</w:t>
            </w:r>
          </w:p>
        </w:tc>
        <w:tc>
          <w:tcPr>
            <w:tcW w:w="1278" w:type="dxa"/>
          </w:tcPr>
          <w:p w:rsidR="00B67AE9" w:rsidRPr="00492251" w:rsidRDefault="00B67AE9" w:rsidP="0077789D">
            <w:pPr>
              <w:pStyle w:val="Tabletext"/>
              <w:cnfStyle w:val="000000010000"/>
              <w:rPr>
                <w:rFonts w:ascii="Franklin Gothic Book" w:hAnsi="Franklin Gothic Book"/>
                <w:b/>
                <w:bCs/>
                <w:iCs/>
              </w:rPr>
            </w:pPr>
            <w:r w:rsidRPr="00492251">
              <w:rPr>
                <w:rFonts w:ascii="Franklin Gothic Book" w:hAnsi="Franklin Gothic Book"/>
              </w:rPr>
              <w:t>-3.08</w:t>
            </w:r>
          </w:p>
        </w:tc>
      </w:tr>
    </w:tbl>
    <w:p w:rsidR="00B67AE9" w:rsidRPr="00A62678" w:rsidRDefault="00B67AE9" w:rsidP="00B67AE9">
      <w:pPr>
        <w:pStyle w:val="BodyText"/>
      </w:pPr>
    </w:p>
    <w:p w:rsidR="00B67AE9" w:rsidRPr="00A62678" w:rsidRDefault="00B67AE9" w:rsidP="00B67AE9">
      <w:pPr>
        <w:pStyle w:val="BodyText"/>
      </w:pPr>
    </w:p>
    <w:p w:rsidR="00B67AE9" w:rsidRPr="00385947" w:rsidRDefault="00B67AE9" w:rsidP="00A62678">
      <w:pPr>
        <w:pStyle w:val="BodyText"/>
      </w:pPr>
    </w:p>
    <w:sectPr w:rsidR="00B67AE9" w:rsidRPr="00385947" w:rsidSect="0024549D">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7A46" w:rsidRDefault="00547A46">
      <w:r>
        <w:separator/>
      </w:r>
    </w:p>
  </w:endnote>
  <w:endnote w:type="continuationSeparator" w:id="0">
    <w:p w:rsidR="00547A46" w:rsidRDefault="00547A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A46" w:rsidRDefault="00547A46" w:rsidP="0024549D">
    <w:pPr>
      <w:pBdr>
        <w:top w:val="single" w:sz="4" w:space="1" w:color="auto"/>
      </w:pBdr>
      <w:tabs>
        <w:tab w:val="center" w:pos="4320"/>
        <w:tab w:val="right" w:pos="9360"/>
      </w:tabs>
      <w:spacing w:before="100" w:beforeAutospacing="1" w:after="0"/>
      <w:rPr>
        <w:i/>
        <w:sz w:val="20"/>
        <w:szCs w:val="20"/>
      </w:rPr>
    </w:pPr>
    <w:r>
      <w:rPr>
        <w:i/>
        <w:noProof/>
        <w:sz w:val="20"/>
        <w:szCs w:val="20"/>
      </w:rPr>
      <w:drawing>
        <wp:anchor distT="274320" distB="0" distL="114300" distR="114300" simplePos="0" relativeHeight="251662336" behindDoc="0" locked="0" layoutInCell="1" allowOverlap="0">
          <wp:simplePos x="0" y="0"/>
          <wp:positionH relativeFrom="column">
            <wp:posOffset>4457700</wp:posOffset>
          </wp:positionH>
          <wp:positionV relativeFrom="line">
            <wp:posOffset>45720</wp:posOffset>
          </wp:positionV>
          <wp:extent cx="1447800" cy="228600"/>
          <wp:effectExtent l="19050" t="0" r="0" b="0"/>
          <wp:wrapTopAndBottom/>
          <wp:docPr id="2" name="Picture 2" descr="odc_rgb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dc_rgb_footer"/>
                  <pic:cNvPicPr>
                    <a:picLocks noChangeAspect="1" noChangeArrowheads="1"/>
                  </pic:cNvPicPr>
                </pic:nvPicPr>
                <pic:blipFill>
                  <a:blip r:embed="rId1"/>
                  <a:srcRect/>
                  <a:stretch>
                    <a:fillRect/>
                  </a:stretch>
                </pic:blipFill>
                <pic:spPr bwMode="auto">
                  <a:xfrm>
                    <a:off x="0" y="0"/>
                    <a:ext cx="1447800" cy="228600"/>
                  </a:xfrm>
                  <a:prstGeom prst="rect">
                    <a:avLst/>
                  </a:prstGeom>
                  <a:noFill/>
                  <a:ln w="9525">
                    <a:noFill/>
                    <a:miter lim="800000"/>
                    <a:headEnd/>
                    <a:tailEnd/>
                  </a:ln>
                </pic:spPr>
              </pic:pic>
            </a:graphicData>
          </a:graphic>
        </wp:anchor>
      </w:drawing>
    </w:r>
    <w:r w:rsidR="00AE2BB9" w:rsidRPr="004B5748">
      <w:rPr>
        <w:i/>
        <w:sz w:val="20"/>
        <w:szCs w:val="20"/>
      </w:rPr>
      <w:fldChar w:fldCharType="begin"/>
    </w:r>
    <w:r w:rsidRPr="004B5748">
      <w:rPr>
        <w:i/>
        <w:sz w:val="20"/>
        <w:szCs w:val="20"/>
      </w:rPr>
      <w:instrText xml:space="preserve"> FILENAME </w:instrText>
    </w:r>
    <w:r w:rsidR="00AE2BB9" w:rsidRPr="004B5748">
      <w:rPr>
        <w:i/>
        <w:sz w:val="20"/>
        <w:szCs w:val="20"/>
      </w:rPr>
      <w:fldChar w:fldCharType="separate"/>
    </w:r>
    <w:r w:rsidR="00777036">
      <w:rPr>
        <w:i/>
        <w:noProof/>
        <w:sz w:val="20"/>
        <w:szCs w:val="20"/>
      </w:rPr>
      <w:t>PJM ARP Metering DRAFT Report</w:t>
    </w:r>
    <w:r w:rsidR="00AE2BB9" w:rsidRPr="004B5748">
      <w:rPr>
        <w:i/>
        <w:sz w:val="20"/>
        <w:szCs w:val="20"/>
      </w:rPr>
      <w:fldChar w:fldCharType="end"/>
    </w:r>
    <w:r w:rsidRPr="004B5748">
      <w:rPr>
        <w:i/>
        <w:sz w:val="20"/>
        <w:szCs w:val="20"/>
      </w:rPr>
      <w:tab/>
    </w:r>
    <w:r w:rsidRPr="004B5748">
      <w:rPr>
        <w:i/>
        <w:sz w:val="20"/>
        <w:szCs w:val="20"/>
      </w:rPr>
      <w:tab/>
    </w:r>
  </w:p>
  <w:p w:rsidR="00547A46" w:rsidRPr="0024549D" w:rsidRDefault="00547A46" w:rsidP="0024549D">
    <w:pPr>
      <w:pBdr>
        <w:top w:val="single" w:sz="4" w:space="1" w:color="auto"/>
      </w:pBdr>
      <w:tabs>
        <w:tab w:val="center" w:pos="4320"/>
        <w:tab w:val="right" w:pos="9360"/>
      </w:tabs>
      <w:spacing w:after="0"/>
      <w:jc w:val="center"/>
      <w:rPr>
        <w:i/>
        <w:sz w:val="20"/>
        <w:szCs w:val="20"/>
      </w:rPr>
    </w:pPr>
    <w:r w:rsidRPr="003F4513">
      <w:rPr>
        <w:i/>
        <w:sz w:val="20"/>
        <w:szCs w:val="20"/>
      </w:rPr>
      <w:t xml:space="preserve">Page </w:t>
    </w:r>
    <w:r w:rsidR="00AE2BB9">
      <w:rPr>
        <w:i/>
        <w:sz w:val="20"/>
        <w:szCs w:val="20"/>
      </w:rPr>
      <w:fldChar w:fldCharType="begin"/>
    </w:r>
    <w:r>
      <w:rPr>
        <w:i/>
        <w:sz w:val="20"/>
        <w:szCs w:val="20"/>
      </w:rPr>
      <w:instrText xml:space="preserve"> PAGE  \* Arabic  \* MERGEFORMAT </w:instrText>
    </w:r>
    <w:r w:rsidR="00AE2BB9">
      <w:rPr>
        <w:i/>
        <w:sz w:val="20"/>
        <w:szCs w:val="20"/>
      </w:rPr>
      <w:fldChar w:fldCharType="separate"/>
    </w:r>
    <w:r w:rsidR="00237DEF">
      <w:rPr>
        <w:i/>
        <w:noProof/>
        <w:sz w:val="20"/>
        <w:szCs w:val="20"/>
      </w:rPr>
      <w:t>11</w:t>
    </w:r>
    <w:r w:rsidR="00AE2BB9">
      <w:rPr>
        <w:i/>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A46" w:rsidRDefault="00547A46" w:rsidP="0024549D">
    <w:pPr>
      <w:pBdr>
        <w:top w:val="single" w:sz="4" w:space="1" w:color="auto"/>
      </w:pBdr>
      <w:tabs>
        <w:tab w:val="center" w:pos="4320"/>
        <w:tab w:val="right" w:pos="9360"/>
      </w:tabs>
      <w:spacing w:before="100" w:beforeAutospacing="1" w:after="0"/>
      <w:rPr>
        <w:i/>
        <w:sz w:val="20"/>
        <w:szCs w:val="20"/>
      </w:rPr>
    </w:pPr>
    <w:r>
      <w:rPr>
        <w:i/>
        <w:noProof/>
        <w:sz w:val="20"/>
        <w:szCs w:val="20"/>
      </w:rPr>
      <w:drawing>
        <wp:anchor distT="274320" distB="0" distL="114300" distR="114300" simplePos="0" relativeHeight="251660288" behindDoc="0" locked="0" layoutInCell="1" allowOverlap="0">
          <wp:simplePos x="0" y="0"/>
          <wp:positionH relativeFrom="column">
            <wp:posOffset>4457700</wp:posOffset>
          </wp:positionH>
          <wp:positionV relativeFrom="line">
            <wp:posOffset>45720</wp:posOffset>
          </wp:positionV>
          <wp:extent cx="1447800" cy="228600"/>
          <wp:effectExtent l="19050" t="0" r="0" b="0"/>
          <wp:wrapTopAndBottom/>
          <wp:docPr id="1" name="Picture 1" descr="odc_rgb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dc_rgb_footer"/>
                  <pic:cNvPicPr>
                    <a:picLocks noChangeAspect="1" noChangeArrowheads="1"/>
                  </pic:cNvPicPr>
                </pic:nvPicPr>
                <pic:blipFill>
                  <a:blip r:embed="rId1"/>
                  <a:srcRect/>
                  <a:stretch>
                    <a:fillRect/>
                  </a:stretch>
                </pic:blipFill>
                <pic:spPr bwMode="auto">
                  <a:xfrm>
                    <a:off x="0" y="0"/>
                    <a:ext cx="1447800" cy="228600"/>
                  </a:xfrm>
                  <a:prstGeom prst="rect">
                    <a:avLst/>
                  </a:prstGeom>
                  <a:noFill/>
                  <a:ln w="9525">
                    <a:noFill/>
                    <a:miter lim="800000"/>
                    <a:headEnd/>
                    <a:tailEnd/>
                  </a:ln>
                </pic:spPr>
              </pic:pic>
            </a:graphicData>
          </a:graphic>
        </wp:anchor>
      </w:drawing>
    </w:r>
    <w:r w:rsidR="00AE2BB9" w:rsidRPr="004B5748">
      <w:rPr>
        <w:i/>
        <w:sz w:val="20"/>
        <w:szCs w:val="20"/>
      </w:rPr>
      <w:fldChar w:fldCharType="begin"/>
    </w:r>
    <w:r w:rsidRPr="004B5748">
      <w:rPr>
        <w:i/>
        <w:sz w:val="20"/>
        <w:szCs w:val="20"/>
      </w:rPr>
      <w:instrText xml:space="preserve"> FILENAME </w:instrText>
    </w:r>
    <w:r w:rsidR="00AE2BB9" w:rsidRPr="004B5748">
      <w:rPr>
        <w:i/>
        <w:sz w:val="20"/>
        <w:szCs w:val="20"/>
      </w:rPr>
      <w:fldChar w:fldCharType="separate"/>
    </w:r>
    <w:r>
      <w:rPr>
        <w:i/>
        <w:noProof/>
        <w:sz w:val="20"/>
        <w:szCs w:val="20"/>
      </w:rPr>
      <w:t>PJM ARP Metering Report_04-19-2012</w:t>
    </w:r>
    <w:r w:rsidR="00AE2BB9" w:rsidRPr="004B5748">
      <w:rPr>
        <w:i/>
        <w:sz w:val="20"/>
        <w:szCs w:val="20"/>
      </w:rPr>
      <w:fldChar w:fldCharType="end"/>
    </w:r>
    <w:r w:rsidRPr="004B5748">
      <w:rPr>
        <w:i/>
        <w:sz w:val="20"/>
        <w:szCs w:val="20"/>
      </w:rPr>
      <w:tab/>
    </w:r>
    <w:r w:rsidRPr="004B5748">
      <w:rPr>
        <w:i/>
        <w:sz w:val="20"/>
        <w:szCs w:val="20"/>
      </w:rPr>
      <w:tab/>
    </w:r>
  </w:p>
  <w:p w:rsidR="00547A46" w:rsidRPr="0024549D" w:rsidRDefault="00547A46" w:rsidP="0024549D">
    <w:pPr>
      <w:pBdr>
        <w:top w:val="single" w:sz="4" w:space="1" w:color="auto"/>
      </w:pBdr>
      <w:tabs>
        <w:tab w:val="center" w:pos="4320"/>
        <w:tab w:val="right" w:pos="9360"/>
      </w:tabs>
      <w:spacing w:after="0"/>
      <w:jc w:val="center"/>
      <w:rPr>
        <w:i/>
        <w:sz w:val="20"/>
        <w:szCs w:val="20"/>
      </w:rPr>
    </w:pPr>
    <w:r w:rsidRPr="003F4513">
      <w:rPr>
        <w:i/>
        <w:sz w:val="20"/>
        <w:szCs w:val="20"/>
      </w:rPr>
      <w:t xml:space="preserve">Page </w:t>
    </w:r>
    <w:r w:rsidR="00AE2BB9" w:rsidRPr="003F4513">
      <w:rPr>
        <w:rStyle w:val="PageNumber"/>
        <w:i/>
        <w:sz w:val="20"/>
        <w:szCs w:val="20"/>
      </w:rPr>
      <w:fldChar w:fldCharType="begin"/>
    </w:r>
    <w:r w:rsidRPr="003F4513">
      <w:rPr>
        <w:rStyle w:val="PageNumber"/>
        <w:i/>
        <w:sz w:val="20"/>
        <w:szCs w:val="20"/>
      </w:rPr>
      <w:instrText xml:space="preserve"> PAGE </w:instrText>
    </w:r>
    <w:r w:rsidR="00AE2BB9" w:rsidRPr="003F4513">
      <w:rPr>
        <w:rStyle w:val="PageNumber"/>
        <w:i/>
        <w:sz w:val="20"/>
        <w:szCs w:val="20"/>
      </w:rPr>
      <w:fldChar w:fldCharType="separate"/>
    </w:r>
    <w:r>
      <w:rPr>
        <w:rStyle w:val="PageNumber"/>
        <w:i/>
        <w:noProof/>
        <w:sz w:val="20"/>
        <w:szCs w:val="20"/>
      </w:rPr>
      <w:t>i</w:t>
    </w:r>
    <w:r w:rsidR="00AE2BB9" w:rsidRPr="003F4513">
      <w:rPr>
        <w:rStyle w:val="PageNumber"/>
        <w:i/>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7A46" w:rsidRDefault="00547A46">
      <w:r>
        <w:separator/>
      </w:r>
    </w:p>
  </w:footnote>
  <w:footnote w:type="continuationSeparator" w:id="0">
    <w:p w:rsidR="00547A46" w:rsidRDefault="00547A46">
      <w:r>
        <w:continuationSeparator/>
      </w:r>
    </w:p>
  </w:footnote>
  <w:footnote w:id="1">
    <w:p w:rsidR="00547A46" w:rsidRDefault="00547A46" w:rsidP="00690D12">
      <w:pPr>
        <w:pStyle w:val="FootnoteText"/>
      </w:pPr>
      <w:r>
        <w:rPr>
          <w:rStyle w:val="FootnoteReference"/>
        </w:rPr>
        <w:footnoteRef/>
      </w:r>
      <w:r>
        <w:t xml:space="preserve"> </w:t>
      </w:r>
      <w:r w:rsidRPr="00804D86">
        <w:t xml:space="preserve">Each unit was metered for about 2-4 </w:t>
      </w:r>
      <w:proofErr w:type="gramStart"/>
      <w:r w:rsidRPr="00804D86">
        <w:t>weeks,</w:t>
      </w:r>
      <w:proofErr w:type="gramEnd"/>
      <w:r w:rsidRPr="00804D86">
        <w:t xml:space="preserve"> therefore not all units have observations from the summer.</w:t>
      </w:r>
    </w:p>
  </w:footnote>
  <w:footnote w:id="2">
    <w:p w:rsidR="00547A46" w:rsidRDefault="00547A46">
      <w:pPr>
        <w:pStyle w:val="FootnoteText"/>
      </w:pPr>
      <w:r>
        <w:rPr>
          <w:rStyle w:val="FootnoteReference"/>
        </w:rPr>
        <w:footnoteRef/>
      </w:r>
      <w:r>
        <w:t xml:space="preserve"> The metering schedule balanced needs for demand savings analysis and energy savings analysis, for which we needed more observations across winter and shoulder season to generate realistic estimates of annualized </w:t>
      </w:r>
      <w:proofErr w:type="spellStart"/>
      <w:r>
        <w:t>consumpAtion</w:t>
      </w:r>
      <w:proofErr w:type="spellEnd"/>
      <w:r>
        <w:t>.</w:t>
      </w:r>
    </w:p>
  </w:footnote>
  <w:footnote w:id="3">
    <w:p w:rsidR="00547A46" w:rsidRDefault="00547A46">
      <w:pPr>
        <w:pStyle w:val="FootnoteText"/>
      </w:pPr>
      <w:r>
        <w:rPr>
          <w:rStyle w:val="FootnoteReference"/>
        </w:rPr>
        <w:footnoteRef/>
      </w:r>
      <w:r>
        <w:t xml:space="preserve"> Because daily weather conditions and hourly temperature are highly correlated, we included only WTHI, because it is required for defining peak periods. Note that because PJM-defined hours are associated with higher average temperatures, the dummy variable for peak hours may capture some of the relationship between higher temperatures and demand.</w:t>
      </w:r>
    </w:p>
  </w:footnote>
  <w:footnote w:id="4">
    <w:p w:rsidR="00547A46" w:rsidRDefault="00547A46">
      <w:pPr>
        <w:pStyle w:val="FootnoteText"/>
      </w:pPr>
      <w:r>
        <w:rPr>
          <w:rStyle w:val="FootnoteReference"/>
        </w:rPr>
        <w:footnoteRef/>
      </w:r>
      <w:r>
        <w:t xml:space="preserve"> WTHI standards are </w:t>
      </w:r>
      <w:r w:rsidRPr="00F72432">
        <w:t>calculated as average of values from 1998 - 2011.</w:t>
      </w:r>
      <w:r>
        <w:t xml:space="preserve"> Source: </w:t>
      </w:r>
      <w:r w:rsidRPr="00F72432">
        <w:t>http://www.pjm.com/planning/resource-adequacy-planning/~/media/planning/res-adeq/load-forecast/20100308-weather-standards-for-use-in-load-management-certification.ashx</w:t>
      </w:r>
    </w:p>
  </w:footnote>
  <w:footnote w:id="5">
    <w:p w:rsidR="00547A46" w:rsidRDefault="00547A46">
      <w:pPr>
        <w:pStyle w:val="FootnoteText"/>
      </w:pPr>
      <w:r>
        <w:rPr>
          <w:rStyle w:val="FootnoteReference"/>
        </w:rPr>
        <w:footnoteRef/>
      </w:r>
      <w:r>
        <w:t xml:space="preserve"> We also tested using hourly dummies for each peak hour. For most units, a single variable representing the peak period provided better model fit and statistical precision. </w:t>
      </w:r>
    </w:p>
  </w:footnote>
  <w:footnote w:id="6">
    <w:p w:rsidR="00547A46" w:rsidRDefault="00547A46" w:rsidP="00CE586B">
      <w:pPr>
        <w:pStyle w:val="FootnoteText"/>
      </w:pPr>
      <w:r>
        <w:rPr>
          <w:rStyle w:val="FootnoteReference"/>
        </w:rPr>
        <w:footnoteRef/>
      </w:r>
      <w:r>
        <w:t xml:space="preserve"> Indicating that the unit’s demand was minimally sensitive to weather, time of day or day of week during the metering period, and defined as having </w:t>
      </w:r>
      <w:r w:rsidRPr="00A62678">
        <w:t xml:space="preserve">5 or 6 of </w:t>
      </w:r>
      <w:r>
        <w:t xml:space="preserve">the </w:t>
      </w:r>
      <w:r w:rsidRPr="00A62678">
        <w:t xml:space="preserve">6 </w:t>
      </w:r>
      <w:r>
        <w:t>models</w:t>
      </w:r>
      <w:r w:rsidRPr="00A62678">
        <w:t xml:space="preserve"> a negative </w:t>
      </w:r>
      <w:r>
        <w:t>adjusted R-squared, and</w:t>
      </w:r>
      <w:r w:rsidRPr="00A62678">
        <w:t xml:space="preserve"> </w:t>
      </w:r>
      <w:r>
        <w:t xml:space="preserve">none or one of the three key variables significant in </w:t>
      </w:r>
      <w:proofErr w:type="spellStart"/>
      <w:r>
        <w:t>bivariate</w:t>
      </w:r>
      <w:proofErr w:type="spellEnd"/>
      <w:r>
        <w:t xml:space="preserve"> models. These units were examined on a case-by–case basis. </w:t>
      </w:r>
    </w:p>
  </w:footnote>
  <w:footnote w:id="7">
    <w:p w:rsidR="00547A46" w:rsidRDefault="00547A46">
      <w:pPr>
        <w:pStyle w:val="FootnoteText"/>
      </w:pPr>
      <w:r>
        <w:rPr>
          <w:rStyle w:val="FootnoteReference"/>
        </w:rPr>
        <w:footnoteRef/>
      </w:r>
      <w:r>
        <w:t xml:space="preserve"> </w:t>
      </w:r>
      <w:proofErr w:type="gramStart"/>
      <w:r>
        <w:t>Corresponds to an average WTHI of 51.1 across units, and all hours and days of week.</w:t>
      </w:r>
      <w:proofErr w:type="gramEnd"/>
    </w:p>
  </w:footnote>
  <w:footnote w:id="8">
    <w:p w:rsidR="00547A46" w:rsidRDefault="00547A46">
      <w:pPr>
        <w:pStyle w:val="FootnoteText"/>
      </w:pPr>
      <w:r>
        <w:rPr>
          <w:rStyle w:val="FootnoteReference"/>
        </w:rPr>
        <w:footnoteRef/>
      </w:r>
      <w:r>
        <w:t xml:space="preserve"> </w:t>
      </w:r>
      <w:r w:rsidRPr="008B4028">
        <w:t xml:space="preserve">We began by assessing the significance Variables and interaction terms that were significant in the original California model relating DOE test annual UEC (kWh) to explanatory variables. This model has been used to estimate ComEd ARP program savings for the past few years. Though this model is for savings and not demand, we wanted to test the multiple relationships between unit characteristics that were significant in previous studies (though not in ComEd territory) shown in Appendix Table </w:t>
      </w:r>
      <w:r>
        <w:t>11</w:t>
      </w:r>
      <w:r w:rsidRPr="008B4028">
        <w:t>.</w:t>
      </w:r>
    </w:p>
  </w:footnote>
  <w:footnote w:id="9">
    <w:p w:rsidR="00547A46" w:rsidRDefault="00547A46">
      <w:pPr>
        <w:pStyle w:val="FootnoteText"/>
      </w:pPr>
      <w:r>
        <w:rPr>
          <w:rStyle w:val="FootnoteReference"/>
        </w:rPr>
        <w:footnoteRef/>
      </w:r>
      <w:r>
        <w:t xml:space="preserve"> We also examined whether the annual part-use factor would be different if calculated for summer months only, and found a minimal difference in the potential part-use factor and its standard deviation.</w:t>
      </w:r>
    </w:p>
  </w:footnote>
  <w:footnote w:id="10">
    <w:p w:rsidR="00547A46" w:rsidRDefault="00547A46">
      <w:pPr>
        <w:pStyle w:val="FootnoteText"/>
      </w:pPr>
      <w:r>
        <w:rPr>
          <w:rStyle w:val="FootnoteReference"/>
        </w:rPr>
        <w:footnoteRef/>
      </w:r>
      <w:r>
        <w:t xml:space="preserve"> T</w:t>
      </w:r>
      <w:r w:rsidRPr="00FA43E1">
        <w:t>he standard errors used to find relative precision for savings estimates are the square root of the sum of squared standard errors divided by their respective means.</w:t>
      </w:r>
    </w:p>
    <w:p w:rsidR="00547A46" w:rsidRDefault="00547A46">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D4516"/>
    <w:multiLevelType w:val="hybridMultilevel"/>
    <w:tmpl w:val="4E8E0E4A"/>
    <w:lvl w:ilvl="0" w:tplc="E368C8F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BE97827"/>
    <w:multiLevelType w:val="hybridMultilevel"/>
    <w:tmpl w:val="5094CD86"/>
    <w:lvl w:ilvl="0" w:tplc="5224915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3A52A0"/>
    <w:multiLevelType w:val="hybridMultilevel"/>
    <w:tmpl w:val="88DE1D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122A1F"/>
    <w:multiLevelType w:val="hybridMultilevel"/>
    <w:tmpl w:val="3B06D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4B47FF"/>
    <w:multiLevelType w:val="multilevel"/>
    <w:tmpl w:val="84E4BCBC"/>
    <w:lvl w:ilvl="0">
      <w:start w:val="1"/>
      <w:numFmt w:val="decimal"/>
      <w:lvlText w:val="%1."/>
      <w:lvlJc w:val="left"/>
      <w:pPr>
        <w:tabs>
          <w:tab w:val="num" w:pos="360"/>
        </w:tabs>
        <w:ind w:left="1440" w:hanging="1440"/>
      </w:pPr>
      <w:rPr>
        <w:rFonts w:hint="default"/>
      </w:rPr>
    </w:lvl>
    <w:lvl w:ilvl="1">
      <w:start w:val="1"/>
      <w:numFmt w:val="decimal"/>
      <w:lvlText w:val="%1.%2"/>
      <w:lvlJc w:val="left"/>
      <w:pPr>
        <w:tabs>
          <w:tab w:val="num" w:pos="360"/>
        </w:tabs>
        <w:ind w:left="1440" w:hanging="1440"/>
      </w:pPr>
      <w:rPr>
        <w:rFonts w:hint="default"/>
        <w:b/>
        <w:i/>
        <w:color w:val="003366"/>
        <w:sz w:val="32"/>
      </w:rPr>
    </w:lvl>
    <w:lvl w:ilvl="2">
      <w:start w:val="1"/>
      <w:numFmt w:val="decimal"/>
      <w:lvlText w:val="%1.%2.%3"/>
      <w:lvlJc w:val="left"/>
      <w:pPr>
        <w:tabs>
          <w:tab w:val="num" w:pos="360"/>
        </w:tabs>
        <w:ind w:left="2160" w:hanging="2160"/>
      </w:pPr>
      <w:rPr>
        <w:rFonts w:hint="default"/>
      </w:rPr>
    </w:lvl>
    <w:lvl w:ilvl="3">
      <w:start w:val="1"/>
      <w:numFmt w:val="decimal"/>
      <w:lvlText w:val="%1.%2.%3.%4"/>
      <w:lvlJc w:val="left"/>
      <w:pPr>
        <w:tabs>
          <w:tab w:val="num" w:pos="2664"/>
        </w:tabs>
        <w:ind w:left="2664" w:hanging="864"/>
      </w:pPr>
      <w:rPr>
        <w:rFonts w:hint="default"/>
      </w:rPr>
    </w:lvl>
    <w:lvl w:ilvl="4">
      <w:start w:val="1"/>
      <w:numFmt w:val="decimal"/>
      <w:lvlText w:val="%1.%2.%3.%4.%5"/>
      <w:lvlJc w:val="left"/>
      <w:pPr>
        <w:tabs>
          <w:tab w:val="num" w:pos="2808"/>
        </w:tabs>
        <w:ind w:left="2808" w:hanging="1008"/>
      </w:pPr>
      <w:rPr>
        <w:rFonts w:hint="default"/>
      </w:rPr>
    </w:lvl>
    <w:lvl w:ilvl="5">
      <w:start w:val="1"/>
      <w:numFmt w:val="decimal"/>
      <w:pStyle w:val="Heading6"/>
      <w:lvlText w:val="%1.%2.%3.%4.%5.%6"/>
      <w:lvlJc w:val="left"/>
      <w:pPr>
        <w:tabs>
          <w:tab w:val="num" w:pos="2952"/>
        </w:tabs>
        <w:ind w:left="2952" w:hanging="1152"/>
      </w:pPr>
      <w:rPr>
        <w:rFonts w:hint="default"/>
      </w:rPr>
    </w:lvl>
    <w:lvl w:ilvl="6">
      <w:start w:val="1"/>
      <w:numFmt w:val="decimal"/>
      <w:pStyle w:val="Heading7"/>
      <w:lvlText w:val="%1.%2.%3.%4.%5.%6.%7"/>
      <w:lvlJc w:val="left"/>
      <w:pPr>
        <w:tabs>
          <w:tab w:val="num" w:pos="3096"/>
        </w:tabs>
        <w:ind w:left="3096" w:hanging="1296"/>
      </w:pPr>
      <w:rPr>
        <w:rFonts w:hint="default"/>
      </w:rPr>
    </w:lvl>
    <w:lvl w:ilvl="7">
      <w:start w:val="1"/>
      <w:numFmt w:val="decimal"/>
      <w:pStyle w:val="Heading8"/>
      <w:lvlText w:val="%1.%2.%3.%4.%5.%6.%7.%8"/>
      <w:lvlJc w:val="left"/>
      <w:pPr>
        <w:tabs>
          <w:tab w:val="num" w:pos="3240"/>
        </w:tabs>
        <w:ind w:left="3240" w:hanging="1440"/>
      </w:pPr>
      <w:rPr>
        <w:rFonts w:hint="default"/>
      </w:rPr>
    </w:lvl>
    <w:lvl w:ilvl="8">
      <w:start w:val="1"/>
      <w:numFmt w:val="decimal"/>
      <w:pStyle w:val="Heading9"/>
      <w:lvlText w:val="%1.%2.%3.%4.%5.%6.%7.%8.%9"/>
      <w:lvlJc w:val="left"/>
      <w:pPr>
        <w:tabs>
          <w:tab w:val="num" w:pos="3384"/>
        </w:tabs>
        <w:ind w:left="3384" w:hanging="1584"/>
      </w:pPr>
      <w:rPr>
        <w:rFonts w:hint="default"/>
      </w:rPr>
    </w:lvl>
  </w:abstractNum>
  <w:abstractNum w:abstractNumId="5">
    <w:nsid w:val="38F37CFD"/>
    <w:multiLevelType w:val="hybridMultilevel"/>
    <w:tmpl w:val="916208B8"/>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4F04FCE"/>
    <w:multiLevelType w:val="hybridMultilevel"/>
    <w:tmpl w:val="F8A69FAC"/>
    <w:lvl w:ilvl="0" w:tplc="2FB48488">
      <w:start w:val="1"/>
      <w:numFmt w:val="bullet"/>
      <w:pStyle w:val="Bullet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3690553"/>
    <w:multiLevelType w:val="hybridMultilevel"/>
    <w:tmpl w:val="31387A12"/>
    <w:lvl w:ilvl="0" w:tplc="0928AD60">
      <w:start w:val="1"/>
      <w:numFmt w:val="bullet"/>
      <w:lvlText w:val=""/>
      <w:lvlJc w:val="left"/>
      <w:pPr>
        <w:ind w:left="1440" w:hanging="360"/>
      </w:pPr>
      <w:rPr>
        <w:rFonts w:ascii="Symbol" w:hAnsi="Symbol" w:hint="default"/>
      </w:rPr>
    </w:lvl>
    <w:lvl w:ilvl="1" w:tplc="6A90B6CE">
      <w:start w:val="1"/>
      <w:numFmt w:val="bullet"/>
      <w:pStyle w:val="Bullet3"/>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1929F0"/>
    <w:multiLevelType w:val="hybridMultilevel"/>
    <w:tmpl w:val="130AB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8CF16E3"/>
    <w:multiLevelType w:val="hybridMultilevel"/>
    <w:tmpl w:val="92568C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07B017F"/>
    <w:multiLevelType w:val="hybridMultilevel"/>
    <w:tmpl w:val="14543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45B25C4"/>
    <w:multiLevelType w:val="hybridMultilevel"/>
    <w:tmpl w:val="7BBA19E4"/>
    <w:lvl w:ilvl="0" w:tplc="C7B0404C">
      <w:start w:val="1"/>
      <w:numFmt w:val="bullet"/>
      <w:pStyle w:val="Bullet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7DCF553F"/>
    <w:multiLevelType w:val="hybridMultilevel"/>
    <w:tmpl w:val="15F4A2BC"/>
    <w:lvl w:ilvl="0" w:tplc="78C6C0B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11"/>
  </w:num>
  <w:num w:numId="4">
    <w:abstractNumId w:val="7"/>
  </w:num>
  <w:num w:numId="5">
    <w:abstractNumId w:val="2"/>
  </w:num>
  <w:num w:numId="6">
    <w:abstractNumId w:val="9"/>
  </w:num>
  <w:num w:numId="7">
    <w:abstractNumId w:val="10"/>
  </w:num>
  <w:num w:numId="8">
    <w:abstractNumId w:val="12"/>
  </w:num>
  <w:num w:numId="9">
    <w:abstractNumId w:val="1"/>
  </w:num>
  <w:num w:numId="10">
    <w:abstractNumId w:val="8"/>
  </w:num>
  <w:num w:numId="11">
    <w:abstractNumId w:val="0"/>
  </w:num>
  <w:num w:numId="12">
    <w:abstractNumId w:val="3"/>
  </w:num>
  <w:num w:numId="13">
    <w:abstractNumId w:val="5"/>
  </w:num>
  <w:num w:numId="14">
    <w:abstractNumId w:val="11"/>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attachedTemplate r:id="rId1"/>
  <w:stylePaneFormatFilter w:val="3001"/>
  <w:trackRevisions/>
  <w:defaultTabStop w:val="720"/>
  <w:drawingGridHorizontalSpacing w:val="120"/>
  <w:displayHorizontalDrawingGridEvery w:val="2"/>
  <w:characterSpacingControl w:val="doNotCompress"/>
  <w:hdrShapeDefaults>
    <o:shapedefaults v:ext="edit" spidmax="48129"/>
  </w:hdrShapeDefaults>
  <w:footnotePr>
    <w:footnote w:id="-1"/>
    <w:footnote w:id="0"/>
  </w:footnotePr>
  <w:endnotePr>
    <w:endnote w:id="-1"/>
    <w:endnote w:id="0"/>
  </w:endnotePr>
  <w:compat/>
  <w:rsids>
    <w:rsidRoot w:val="00130A07"/>
    <w:rsid w:val="000022DC"/>
    <w:rsid w:val="00002664"/>
    <w:rsid w:val="000035F3"/>
    <w:rsid w:val="0000425C"/>
    <w:rsid w:val="000048FA"/>
    <w:rsid w:val="00004A94"/>
    <w:rsid w:val="00006723"/>
    <w:rsid w:val="000107CD"/>
    <w:rsid w:val="00010D96"/>
    <w:rsid w:val="00010E0E"/>
    <w:rsid w:val="00012598"/>
    <w:rsid w:val="0001290C"/>
    <w:rsid w:val="000131E2"/>
    <w:rsid w:val="000140B6"/>
    <w:rsid w:val="00016C92"/>
    <w:rsid w:val="00016F15"/>
    <w:rsid w:val="00020B2A"/>
    <w:rsid w:val="00020DD8"/>
    <w:rsid w:val="000246CF"/>
    <w:rsid w:val="00024E4C"/>
    <w:rsid w:val="00031030"/>
    <w:rsid w:val="000319CE"/>
    <w:rsid w:val="00033DBE"/>
    <w:rsid w:val="000345FA"/>
    <w:rsid w:val="00034D7A"/>
    <w:rsid w:val="0003623B"/>
    <w:rsid w:val="0003678F"/>
    <w:rsid w:val="00036D6C"/>
    <w:rsid w:val="000378CC"/>
    <w:rsid w:val="00037E48"/>
    <w:rsid w:val="0004102C"/>
    <w:rsid w:val="0004132F"/>
    <w:rsid w:val="00041FB4"/>
    <w:rsid w:val="00044F5A"/>
    <w:rsid w:val="000461A5"/>
    <w:rsid w:val="000502CF"/>
    <w:rsid w:val="00051370"/>
    <w:rsid w:val="0005514E"/>
    <w:rsid w:val="00055448"/>
    <w:rsid w:val="00055FBD"/>
    <w:rsid w:val="0005763B"/>
    <w:rsid w:val="000579BF"/>
    <w:rsid w:val="00060310"/>
    <w:rsid w:val="00061B3E"/>
    <w:rsid w:val="0006272F"/>
    <w:rsid w:val="000630AB"/>
    <w:rsid w:val="00063DAA"/>
    <w:rsid w:val="0006510C"/>
    <w:rsid w:val="00065122"/>
    <w:rsid w:val="00065FF0"/>
    <w:rsid w:val="0006663F"/>
    <w:rsid w:val="0006675D"/>
    <w:rsid w:val="0006796F"/>
    <w:rsid w:val="00071250"/>
    <w:rsid w:val="00071F12"/>
    <w:rsid w:val="00074E11"/>
    <w:rsid w:val="000754B1"/>
    <w:rsid w:val="000764BE"/>
    <w:rsid w:val="000765C7"/>
    <w:rsid w:val="00076F7E"/>
    <w:rsid w:val="0007754D"/>
    <w:rsid w:val="00083808"/>
    <w:rsid w:val="000857C8"/>
    <w:rsid w:val="00087AC3"/>
    <w:rsid w:val="000915B7"/>
    <w:rsid w:val="00094385"/>
    <w:rsid w:val="00097009"/>
    <w:rsid w:val="000A08F9"/>
    <w:rsid w:val="000A66BA"/>
    <w:rsid w:val="000B2531"/>
    <w:rsid w:val="000B61D5"/>
    <w:rsid w:val="000C14DE"/>
    <w:rsid w:val="000C3C32"/>
    <w:rsid w:val="000C3D83"/>
    <w:rsid w:val="000C4563"/>
    <w:rsid w:val="000C745F"/>
    <w:rsid w:val="000D05C8"/>
    <w:rsid w:val="000D0DA2"/>
    <w:rsid w:val="000D388E"/>
    <w:rsid w:val="000D407C"/>
    <w:rsid w:val="000D44C9"/>
    <w:rsid w:val="000D5385"/>
    <w:rsid w:val="000D5D85"/>
    <w:rsid w:val="000D7E2B"/>
    <w:rsid w:val="000E25E0"/>
    <w:rsid w:val="000E2DC6"/>
    <w:rsid w:val="000E4C04"/>
    <w:rsid w:val="000E5420"/>
    <w:rsid w:val="000F16B2"/>
    <w:rsid w:val="000F17F4"/>
    <w:rsid w:val="000F1ED9"/>
    <w:rsid w:val="000F37D8"/>
    <w:rsid w:val="000F4553"/>
    <w:rsid w:val="00100D04"/>
    <w:rsid w:val="00101E59"/>
    <w:rsid w:val="001025F6"/>
    <w:rsid w:val="001069EC"/>
    <w:rsid w:val="00110E44"/>
    <w:rsid w:val="00115259"/>
    <w:rsid w:val="00116406"/>
    <w:rsid w:val="00116A1D"/>
    <w:rsid w:val="00117E60"/>
    <w:rsid w:val="001237B5"/>
    <w:rsid w:val="0012407E"/>
    <w:rsid w:val="00124BBC"/>
    <w:rsid w:val="00124DCA"/>
    <w:rsid w:val="001251FB"/>
    <w:rsid w:val="00125BED"/>
    <w:rsid w:val="00126051"/>
    <w:rsid w:val="00126AE7"/>
    <w:rsid w:val="00126FFE"/>
    <w:rsid w:val="00127CB4"/>
    <w:rsid w:val="00130A07"/>
    <w:rsid w:val="00131E59"/>
    <w:rsid w:val="001320E4"/>
    <w:rsid w:val="001332B1"/>
    <w:rsid w:val="00133A43"/>
    <w:rsid w:val="00134900"/>
    <w:rsid w:val="00137491"/>
    <w:rsid w:val="00137C84"/>
    <w:rsid w:val="00141B35"/>
    <w:rsid w:val="00142361"/>
    <w:rsid w:val="00143ED0"/>
    <w:rsid w:val="001463E8"/>
    <w:rsid w:val="00146442"/>
    <w:rsid w:val="001464BC"/>
    <w:rsid w:val="00147A88"/>
    <w:rsid w:val="00147B4C"/>
    <w:rsid w:val="001514CA"/>
    <w:rsid w:val="0015400B"/>
    <w:rsid w:val="00155E6F"/>
    <w:rsid w:val="001577AD"/>
    <w:rsid w:val="00161593"/>
    <w:rsid w:val="001620F4"/>
    <w:rsid w:val="00171357"/>
    <w:rsid w:val="00172482"/>
    <w:rsid w:val="00173C43"/>
    <w:rsid w:val="00176695"/>
    <w:rsid w:val="0017678D"/>
    <w:rsid w:val="00176D80"/>
    <w:rsid w:val="00180F21"/>
    <w:rsid w:val="0018179C"/>
    <w:rsid w:val="00183F15"/>
    <w:rsid w:val="0018442D"/>
    <w:rsid w:val="00187C53"/>
    <w:rsid w:val="00190169"/>
    <w:rsid w:val="001943C8"/>
    <w:rsid w:val="001963C1"/>
    <w:rsid w:val="00196459"/>
    <w:rsid w:val="001A02EB"/>
    <w:rsid w:val="001A1CA9"/>
    <w:rsid w:val="001A26C6"/>
    <w:rsid w:val="001A305C"/>
    <w:rsid w:val="001A4CEE"/>
    <w:rsid w:val="001B13F0"/>
    <w:rsid w:val="001B2A8E"/>
    <w:rsid w:val="001B2AFB"/>
    <w:rsid w:val="001B370C"/>
    <w:rsid w:val="001B42D7"/>
    <w:rsid w:val="001B5A4D"/>
    <w:rsid w:val="001B66E7"/>
    <w:rsid w:val="001C05F8"/>
    <w:rsid w:val="001C2B31"/>
    <w:rsid w:val="001C2C09"/>
    <w:rsid w:val="001C365D"/>
    <w:rsid w:val="001C41A3"/>
    <w:rsid w:val="001C4A6F"/>
    <w:rsid w:val="001C5022"/>
    <w:rsid w:val="001C56C9"/>
    <w:rsid w:val="001C5FD6"/>
    <w:rsid w:val="001C772A"/>
    <w:rsid w:val="001D0411"/>
    <w:rsid w:val="001D12D8"/>
    <w:rsid w:val="001D3EB1"/>
    <w:rsid w:val="001D4114"/>
    <w:rsid w:val="001D7219"/>
    <w:rsid w:val="001D7F00"/>
    <w:rsid w:val="001E5164"/>
    <w:rsid w:val="001E7143"/>
    <w:rsid w:val="001F1505"/>
    <w:rsid w:val="001F3FC1"/>
    <w:rsid w:val="001F3FD5"/>
    <w:rsid w:val="001F492D"/>
    <w:rsid w:val="001F66E2"/>
    <w:rsid w:val="001F7D96"/>
    <w:rsid w:val="0020101A"/>
    <w:rsid w:val="00201CA5"/>
    <w:rsid w:val="002026BF"/>
    <w:rsid w:val="00202F16"/>
    <w:rsid w:val="00206578"/>
    <w:rsid w:val="0020697A"/>
    <w:rsid w:val="002069A7"/>
    <w:rsid w:val="00206E0C"/>
    <w:rsid w:val="00207F96"/>
    <w:rsid w:val="0021183A"/>
    <w:rsid w:val="00213933"/>
    <w:rsid w:val="00214AED"/>
    <w:rsid w:val="00214B15"/>
    <w:rsid w:val="00214C89"/>
    <w:rsid w:val="0021653D"/>
    <w:rsid w:val="002169DD"/>
    <w:rsid w:val="00220B9C"/>
    <w:rsid w:val="00221973"/>
    <w:rsid w:val="00223452"/>
    <w:rsid w:val="00223570"/>
    <w:rsid w:val="002255D6"/>
    <w:rsid w:val="0022703E"/>
    <w:rsid w:val="002277BD"/>
    <w:rsid w:val="002300C9"/>
    <w:rsid w:val="00236D21"/>
    <w:rsid w:val="00237DEF"/>
    <w:rsid w:val="0024109F"/>
    <w:rsid w:val="00241258"/>
    <w:rsid w:val="00241AFB"/>
    <w:rsid w:val="00241E40"/>
    <w:rsid w:val="00243650"/>
    <w:rsid w:val="00243B66"/>
    <w:rsid w:val="0024549D"/>
    <w:rsid w:val="0024686C"/>
    <w:rsid w:val="00246DD5"/>
    <w:rsid w:val="00247AF0"/>
    <w:rsid w:val="0025373B"/>
    <w:rsid w:val="00253F11"/>
    <w:rsid w:val="0025466A"/>
    <w:rsid w:val="002548DF"/>
    <w:rsid w:val="0025587C"/>
    <w:rsid w:val="00256324"/>
    <w:rsid w:val="00256ADE"/>
    <w:rsid w:val="002606CC"/>
    <w:rsid w:val="002618B0"/>
    <w:rsid w:val="0026307E"/>
    <w:rsid w:val="00265250"/>
    <w:rsid w:val="002658E6"/>
    <w:rsid w:val="00266937"/>
    <w:rsid w:val="00266C3B"/>
    <w:rsid w:val="00266FC5"/>
    <w:rsid w:val="00267372"/>
    <w:rsid w:val="0026746B"/>
    <w:rsid w:val="0026785A"/>
    <w:rsid w:val="00270D33"/>
    <w:rsid w:val="002739C3"/>
    <w:rsid w:val="00276272"/>
    <w:rsid w:val="0027687F"/>
    <w:rsid w:val="00283270"/>
    <w:rsid w:val="00285D08"/>
    <w:rsid w:val="00286AE0"/>
    <w:rsid w:val="00296FC3"/>
    <w:rsid w:val="002A03FA"/>
    <w:rsid w:val="002A0662"/>
    <w:rsid w:val="002A410F"/>
    <w:rsid w:val="002A4FAC"/>
    <w:rsid w:val="002A528A"/>
    <w:rsid w:val="002A5691"/>
    <w:rsid w:val="002A5CE0"/>
    <w:rsid w:val="002B0FFF"/>
    <w:rsid w:val="002B6248"/>
    <w:rsid w:val="002C1687"/>
    <w:rsid w:val="002C1D20"/>
    <w:rsid w:val="002C2326"/>
    <w:rsid w:val="002C3A89"/>
    <w:rsid w:val="002C3D7C"/>
    <w:rsid w:val="002C5B0D"/>
    <w:rsid w:val="002C5DD5"/>
    <w:rsid w:val="002C7294"/>
    <w:rsid w:val="002D1898"/>
    <w:rsid w:val="002D2DEC"/>
    <w:rsid w:val="002D7459"/>
    <w:rsid w:val="002E18CE"/>
    <w:rsid w:val="002E2D7F"/>
    <w:rsid w:val="002E749A"/>
    <w:rsid w:val="002E77A7"/>
    <w:rsid w:val="002F051B"/>
    <w:rsid w:val="002F17D9"/>
    <w:rsid w:val="002F465B"/>
    <w:rsid w:val="002F4993"/>
    <w:rsid w:val="003029CE"/>
    <w:rsid w:val="00302A2B"/>
    <w:rsid w:val="00304460"/>
    <w:rsid w:val="00304956"/>
    <w:rsid w:val="00305495"/>
    <w:rsid w:val="003063BF"/>
    <w:rsid w:val="003079E5"/>
    <w:rsid w:val="0031029F"/>
    <w:rsid w:val="003114BE"/>
    <w:rsid w:val="00311CC6"/>
    <w:rsid w:val="00312804"/>
    <w:rsid w:val="00312D75"/>
    <w:rsid w:val="0031499A"/>
    <w:rsid w:val="0031681D"/>
    <w:rsid w:val="00321291"/>
    <w:rsid w:val="00321D07"/>
    <w:rsid w:val="00322494"/>
    <w:rsid w:val="00322AE2"/>
    <w:rsid w:val="0032328D"/>
    <w:rsid w:val="00326D9B"/>
    <w:rsid w:val="00327C4E"/>
    <w:rsid w:val="00332EF0"/>
    <w:rsid w:val="00333678"/>
    <w:rsid w:val="00334CD3"/>
    <w:rsid w:val="00336106"/>
    <w:rsid w:val="00337C94"/>
    <w:rsid w:val="00340DDF"/>
    <w:rsid w:val="003410C7"/>
    <w:rsid w:val="003418C0"/>
    <w:rsid w:val="00344D0A"/>
    <w:rsid w:val="00345AF0"/>
    <w:rsid w:val="003464D9"/>
    <w:rsid w:val="003509FD"/>
    <w:rsid w:val="0035135E"/>
    <w:rsid w:val="003518C9"/>
    <w:rsid w:val="00351BA9"/>
    <w:rsid w:val="003528DE"/>
    <w:rsid w:val="0035596F"/>
    <w:rsid w:val="0035706B"/>
    <w:rsid w:val="00357352"/>
    <w:rsid w:val="003662B5"/>
    <w:rsid w:val="0036642C"/>
    <w:rsid w:val="00366A98"/>
    <w:rsid w:val="00366F90"/>
    <w:rsid w:val="00370F87"/>
    <w:rsid w:val="00371013"/>
    <w:rsid w:val="003725D4"/>
    <w:rsid w:val="003727DB"/>
    <w:rsid w:val="003740A7"/>
    <w:rsid w:val="003740B9"/>
    <w:rsid w:val="003771B7"/>
    <w:rsid w:val="0037741F"/>
    <w:rsid w:val="00377D8A"/>
    <w:rsid w:val="0038037D"/>
    <w:rsid w:val="00382812"/>
    <w:rsid w:val="00383667"/>
    <w:rsid w:val="003853C1"/>
    <w:rsid w:val="00385947"/>
    <w:rsid w:val="00394046"/>
    <w:rsid w:val="00394724"/>
    <w:rsid w:val="0039665C"/>
    <w:rsid w:val="003A2F8F"/>
    <w:rsid w:val="003A3F26"/>
    <w:rsid w:val="003A45B4"/>
    <w:rsid w:val="003A4CE2"/>
    <w:rsid w:val="003A5891"/>
    <w:rsid w:val="003A5F3D"/>
    <w:rsid w:val="003A69C0"/>
    <w:rsid w:val="003A7AB4"/>
    <w:rsid w:val="003B2A8B"/>
    <w:rsid w:val="003B4F3F"/>
    <w:rsid w:val="003B5D60"/>
    <w:rsid w:val="003B6AC1"/>
    <w:rsid w:val="003B713B"/>
    <w:rsid w:val="003B7EE2"/>
    <w:rsid w:val="003C0730"/>
    <w:rsid w:val="003C152C"/>
    <w:rsid w:val="003C191D"/>
    <w:rsid w:val="003C2241"/>
    <w:rsid w:val="003C31B9"/>
    <w:rsid w:val="003C34F6"/>
    <w:rsid w:val="003C4BCC"/>
    <w:rsid w:val="003C504D"/>
    <w:rsid w:val="003C59AB"/>
    <w:rsid w:val="003C5E8E"/>
    <w:rsid w:val="003C5F95"/>
    <w:rsid w:val="003C6D6C"/>
    <w:rsid w:val="003D59CB"/>
    <w:rsid w:val="003D5C15"/>
    <w:rsid w:val="003E448C"/>
    <w:rsid w:val="003E48EA"/>
    <w:rsid w:val="003E5BB7"/>
    <w:rsid w:val="003E62C1"/>
    <w:rsid w:val="003E77FF"/>
    <w:rsid w:val="003F159A"/>
    <w:rsid w:val="003F1806"/>
    <w:rsid w:val="003F2EE3"/>
    <w:rsid w:val="003F32B1"/>
    <w:rsid w:val="003F3CB3"/>
    <w:rsid w:val="003F56CC"/>
    <w:rsid w:val="003F5C2D"/>
    <w:rsid w:val="003F5C33"/>
    <w:rsid w:val="003F727F"/>
    <w:rsid w:val="00400B13"/>
    <w:rsid w:val="004016F7"/>
    <w:rsid w:val="00402F02"/>
    <w:rsid w:val="00403EC0"/>
    <w:rsid w:val="004047DA"/>
    <w:rsid w:val="00405423"/>
    <w:rsid w:val="004069E6"/>
    <w:rsid w:val="00406D10"/>
    <w:rsid w:val="0040792F"/>
    <w:rsid w:val="00411950"/>
    <w:rsid w:val="0041231B"/>
    <w:rsid w:val="00412DA5"/>
    <w:rsid w:val="00413002"/>
    <w:rsid w:val="004142B4"/>
    <w:rsid w:val="004177DB"/>
    <w:rsid w:val="00417A7F"/>
    <w:rsid w:val="0042059A"/>
    <w:rsid w:val="004209BF"/>
    <w:rsid w:val="00424466"/>
    <w:rsid w:val="00426DF6"/>
    <w:rsid w:val="00431E93"/>
    <w:rsid w:val="004355CB"/>
    <w:rsid w:val="00437026"/>
    <w:rsid w:val="00441218"/>
    <w:rsid w:val="004414E0"/>
    <w:rsid w:val="00443301"/>
    <w:rsid w:val="004442B8"/>
    <w:rsid w:val="00444490"/>
    <w:rsid w:val="00446A37"/>
    <w:rsid w:val="00450794"/>
    <w:rsid w:val="004548F5"/>
    <w:rsid w:val="00455B2B"/>
    <w:rsid w:val="004563D8"/>
    <w:rsid w:val="004576F3"/>
    <w:rsid w:val="00457E89"/>
    <w:rsid w:val="0046061A"/>
    <w:rsid w:val="00460812"/>
    <w:rsid w:val="00461D86"/>
    <w:rsid w:val="004636F8"/>
    <w:rsid w:val="00463835"/>
    <w:rsid w:val="004641A2"/>
    <w:rsid w:val="004662BF"/>
    <w:rsid w:val="004663C8"/>
    <w:rsid w:val="0048263F"/>
    <w:rsid w:val="0048336C"/>
    <w:rsid w:val="00485349"/>
    <w:rsid w:val="004856B3"/>
    <w:rsid w:val="0048659C"/>
    <w:rsid w:val="00492251"/>
    <w:rsid w:val="004959D0"/>
    <w:rsid w:val="004A0EF0"/>
    <w:rsid w:val="004A1FEC"/>
    <w:rsid w:val="004A41FF"/>
    <w:rsid w:val="004A459F"/>
    <w:rsid w:val="004A6FA7"/>
    <w:rsid w:val="004A7BE6"/>
    <w:rsid w:val="004B4733"/>
    <w:rsid w:val="004B6F3D"/>
    <w:rsid w:val="004B7576"/>
    <w:rsid w:val="004C4B24"/>
    <w:rsid w:val="004C59E8"/>
    <w:rsid w:val="004D18F3"/>
    <w:rsid w:val="004D24A2"/>
    <w:rsid w:val="004D267A"/>
    <w:rsid w:val="004D269D"/>
    <w:rsid w:val="004D2F76"/>
    <w:rsid w:val="004D7F57"/>
    <w:rsid w:val="004E004D"/>
    <w:rsid w:val="004E0793"/>
    <w:rsid w:val="004E0BEA"/>
    <w:rsid w:val="004E0F41"/>
    <w:rsid w:val="004E653D"/>
    <w:rsid w:val="004E6D0A"/>
    <w:rsid w:val="004E7034"/>
    <w:rsid w:val="004E74D4"/>
    <w:rsid w:val="004F2757"/>
    <w:rsid w:val="004F2A8B"/>
    <w:rsid w:val="004F2E3D"/>
    <w:rsid w:val="004F3D58"/>
    <w:rsid w:val="004F6047"/>
    <w:rsid w:val="004F6B56"/>
    <w:rsid w:val="004F6BA4"/>
    <w:rsid w:val="004F7478"/>
    <w:rsid w:val="004F79D9"/>
    <w:rsid w:val="00500296"/>
    <w:rsid w:val="00500605"/>
    <w:rsid w:val="00500885"/>
    <w:rsid w:val="0050291C"/>
    <w:rsid w:val="00503054"/>
    <w:rsid w:val="0051066C"/>
    <w:rsid w:val="0051230C"/>
    <w:rsid w:val="00512D73"/>
    <w:rsid w:val="00513ECA"/>
    <w:rsid w:val="0051441E"/>
    <w:rsid w:val="00514D77"/>
    <w:rsid w:val="00516648"/>
    <w:rsid w:val="005203B1"/>
    <w:rsid w:val="00522D2E"/>
    <w:rsid w:val="005274FE"/>
    <w:rsid w:val="005303D2"/>
    <w:rsid w:val="00530CDA"/>
    <w:rsid w:val="00530EF9"/>
    <w:rsid w:val="00531F60"/>
    <w:rsid w:val="0053236D"/>
    <w:rsid w:val="0053523D"/>
    <w:rsid w:val="0053607C"/>
    <w:rsid w:val="005362E2"/>
    <w:rsid w:val="005369EA"/>
    <w:rsid w:val="005370A2"/>
    <w:rsid w:val="00540D05"/>
    <w:rsid w:val="00541188"/>
    <w:rsid w:val="00542334"/>
    <w:rsid w:val="0054432C"/>
    <w:rsid w:val="00547615"/>
    <w:rsid w:val="00547A46"/>
    <w:rsid w:val="00550287"/>
    <w:rsid w:val="005542CC"/>
    <w:rsid w:val="00554E88"/>
    <w:rsid w:val="00556185"/>
    <w:rsid w:val="00556E23"/>
    <w:rsid w:val="005579A8"/>
    <w:rsid w:val="005612CD"/>
    <w:rsid w:val="00561FC5"/>
    <w:rsid w:val="00562B53"/>
    <w:rsid w:val="00563A9A"/>
    <w:rsid w:val="00563B8C"/>
    <w:rsid w:val="00564747"/>
    <w:rsid w:val="00565523"/>
    <w:rsid w:val="00565BCD"/>
    <w:rsid w:val="00566B48"/>
    <w:rsid w:val="00566E67"/>
    <w:rsid w:val="00575F4B"/>
    <w:rsid w:val="00576876"/>
    <w:rsid w:val="0057689F"/>
    <w:rsid w:val="00576C16"/>
    <w:rsid w:val="00581850"/>
    <w:rsid w:val="005819E9"/>
    <w:rsid w:val="005820B3"/>
    <w:rsid w:val="00582576"/>
    <w:rsid w:val="00582F5F"/>
    <w:rsid w:val="00587394"/>
    <w:rsid w:val="005914F8"/>
    <w:rsid w:val="005945BD"/>
    <w:rsid w:val="00594E55"/>
    <w:rsid w:val="00595929"/>
    <w:rsid w:val="00597A53"/>
    <w:rsid w:val="005A1C5D"/>
    <w:rsid w:val="005A44F9"/>
    <w:rsid w:val="005A5B58"/>
    <w:rsid w:val="005B4485"/>
    <w:rsid w:val="005B45CB"/>
    <w:rsid w:val="005B5516"/>
    <w:rsid w:val="005B5C26"/>
    <w:rsid w:val="005B5C99"/>
    <w:rsid w:val="005B79ED"/>
    <w:rsid w:val="005C0F08"/>
    <w:rsid w:val="005C4DB7"/>
    <w:rsid w:val="005C7324"/>
    <w:rsid w:val="005C76E3"/>
    <w:rsid w:val="005D0824"/>
    <w:rsid w:val="005D35A7"/>
    <w:rsid w:val="005D3886"/>
    <w:rsid w:val="005D3BF2"/>
    <w:rsid w:val="005D44EC"/>
    <w:rsid w:val="005D5722"/>
    <w:rsid w:val="005D7249"/>
    <w:rsid w:val="005D7827"/>
    <w:rsid w:val="005D7A4E"/>
    <w:rsid w:val="005E4EE1"/>
    <w:rsid w:val="005E5DC2"/>
    <w:rsid w:val="005F0B8F"/>
    <w:rsid w:val="005F379F"/>
    <w:rsid w:val="005F53FD"/>
    <w:rsid w:val="005F6287"/>
    <w:rsid w:val="005F72D3"/>
    <w:rsid w:val="005F77BE"/>
    <w:rsid w:val="005F7BD3"/>
    <w:rsid w:val="00603BBE"/>
    <w:rsid w:val="006052C6"/>
    <w:rsid w:val="00605A7A"/>
    <w:rsid w:val="00607059"/>
    <w:rsid w:val="00607981"/>
    <w:rsid w:val="006100E6"/>
    <w:rsid w:val="00612968"/>
    <w:rsid w:val="00613B03"/>
    <w:rsid w:val="006162FF"/>
    <w:rsid w:val="00617366"/>
    <w:rsid w:val="00620936"/>
    <w:rsid w:val="00620C02"/>
    <w:rsid w:val="00621049"/>
    <w:rsid w:val="00621C0A"/>
    <w:rsid w:val="00622D08"/>
    <w:rsid w:val="00623A23"/>
    <w:rsid w:val="00624576"/>
    <w:rsid w:val="006249F7"/>
    <w:rsid w:val="00624A03"/>
    <w:rsid w:val="0062636E"/>
    <w:rsid w:val="006265DE"/>
    <w:rsid w:val="00630E7D"/>
    <w:rsid w:val="00633F62"/>
    <w:rsid w:val="006342C1"/>
    <w:rsid w:val="0063671C"/>
    <w:rsid w:val="006429BE"/>
    <w:rsid w:val="0064447E"/>
    <w:rsid w:val="0065198E"/>
    <w:rsid w:val="006529AD"/>
    <w:rsid w:val="00652AEA"/>
    <w:rsid w:val="006548A4"/>
    <w:rsid w:val="00662CD5"/>
    <w:rsid w:val="00662FB2"/>
    <w:rsid w:val="006630FA"/>
    <w:rsid w:val="00664511"/>
    <w:rsid w:val="00671A5C"/>
    <w:rsid w:val="00671F05"/>
    <w:rsid w:val="00673B23"/>
    <w:rsid w:val="006817FC"/>
    <w:rsid w:val="006819B4"/>
    <w:rsid w:val="00684406"/>
    <w:rsid w:val="0068691B"/>
    <w:rsid w:val="00690D12"/>
    <w:rsid w:val="00691F94"/>
    <w:rsid w:val="00692808"/>
    <w:rsid w:val="00693577"/>
    <w:rsid w:val="006938B3"/>
    <w:rsid w:val="00695D3D"/>
    <w:rsid w:val="00696641"/>
    <w:rsid w:val="006A19BA"/>
    <w:rsid w:val="006A2B03"/>
    <w:rsid w:val="006A4DC3"/>
    <w:rsid w:val="006A59ED"/>
    <w:rsid w:val="006A65CE"/>
    <w:rsid w:val="006A6B4A"/>
    <w:rsid w:val="006B074C"/>
    <w:rsid w:val="006B275D"/>
    <w:rsid w:val="006B356B"/>
    <w:rsid w:val="006B38D2"/>
    <w:rsid w:val="006B4385"/>
    <w:rsid w:val="006B4EE9"/>
    <w:rsid w:val="006B5462"/>
    <w:rsid w:val="006B5940"/>
    <w:rsid w:val="006B6A69"/>
    <w:rsid w:val="006C205C"/>
    <w:rsid w:val="006C3AF4"/>
    <w:rsid w:val="006C43A2"/>
    <w:rsid w:val="006C4AF5"/>
    <w:rsid w:val="006D01ED"/>
    <w:rsid w:val="006D03C9"/>
    <w:rsid w:val="006D05DD"/>
    <w:rsid w:val="006D1D8F"/>
    <w:rsid w:val="006D3C10"/>
    <w:rsid w:val="006D57F7"/>
    <w:rsid w:val="006D6199"/>
    <w:rsid w:val="006E01C2"/>
    <w:rsid w:val="006E30C5"/>
    <w:rsid w:val="006E407D"/>
    <w:rsid w:val="006E5123"/>
    <w:rsid w:val="006E741C"/>
    <w:rsid w:val="006F007F"/>
    <w:rsid w:val="006F0A96"/>
    <w:rsid w:val="006F0AE3"/>
    <w:rsid w:val="006F0FE6"/>
    <w:rsid w:val="006F32F9"/>
    <w:rsid w:val="006F498F"/>
    <w:rsid w:val="006F59E5"/>
    <w:rsid w:val="00700A09"/>
    <w:rsid w:val="00700F0D"/>
    <w:rsid w:val="00703EFF"/>
    <w:rsid w:val="00705B70"/>
    <w:rsid w:val="00705BD3"/>
    <w:rsid w:val="00706226"/>
    <w:rsid w:val="0070713B"/>
    <w:rsid w:val="00707A99"/>
    <w:rsid w:val="00707AC2"/>
    <w:rsid w:val="007107C2"/>
    <w:rsid w:val="007116D5"/>
    <w:rsid w:val="00712058"/>
    <w:rsid w:val="007143F3"/>
    <w:rsid w:val="00714BCE"/>
    <w:rsid w:val="00717551"/>
    <w:rsid w:val="00717780"/>
    <w:rsid w:val="00717B09"/>
    <w:rsid w:val="00720E44"/>
    <w:rsid w:val="00721EE9"/>
    <w:rsid w:val="0072202A"/>
    <w:rsid w:val="00723763"/>
    <w:rsid w:val="00723E9C"/>
    <w:rsid w:val="00724026"/>
    <w:rsid w:val="00725732"/>
    <w:rsid w:val="007257E1"/>
    <w:rsid w:val="00726FF6"/>
    <w:rsid w:val="00730147"/>
    <w:rsid w:val="007362F2"/>
    <w:rsid w:val="007403B3"/>
    <w:rsid w:val="007407FE"/>
    <w:rsid w:val="00741B35"/>
    <w:rsid w:val="007423D3"/>
    <w:rsid w:val="00742BCE"/>
    <w:rsid w:val="00742D8F"/>
    <w:rsid w:val="00743A19"/>
    <w:rsid w:val="007452F8"/>
    <w:rsid w:val="007457E8"/>
    <w:rsid w:val="00745856"/>
    <w:rsid w:val="007467F8"/>
    <w:rsid w:val="00747BF9"/>
    <w:rsid w:val="00751850"/>
    <w:rsid w:val="00752F93"/>
    <w:rsid w:val="007539FB"/>
    <w:rsid w:val="0075455C"/>
    <w:rsid w:val="00757AAE"/>
    <w:rsid w:val="00760E74"/>
    <w:rsid w:val="007610A9"/>
    <w:rsid w:val="00762BC5"/>
    <w:rsid w:val="0076328E"/>
    <w:rsid w:val="007635E3"/>
    <w:rsid w:val="007638AD"/>
    <w:rsid w:val="00763A4B"/>
    <w:rsid w:val="0076689D"/>
    <w:rsid w:val="00767669"/>
    <w:rsid w:val="00771867"/>
    <w:rsid w:val="00771A8D"/>
    <w:rsid w:val="00775E29"/>
    <w:rsid w:val="00777036"/>
    <w:rsid w:val="00777706"/>
    <w:rsid w:val="0077789D"/>
    <w:rsid w:val="007822EE"/>
    <w:rsid w:val="007834B9"/>
    <w:rsid w:val="00784E04"/>
    <w:rsid w:val="00785885"/>
    <w:rsid w:val="007873D2"/>
    <w:rsid w:val="00791C61"/>
    <w:rsid w:val="00797582"/>
    <w:rsid w:val="007A0A6D"/>
    <w:rsid w:val="007A16CF"/>
    <w:rsid w:val="007A1DC0"/>
    <w:rsid w:val="007A32CC"/>
    <w:rsid w:val="007A3F08"/>
    <w:rsid w:val="007A4F17"/>
    <w:rsid w:val="007A4FD9"/>
    <w:rsid w:val="007A50EA"/>
    <w:rsid w:val="007A5EC4"/>
    <w:rsid w:val="007B2F30"/>
    <w:rsid w:val="007B3224"/>
    <w:rsid w:val="007B40B2"/>
    <w:rsid w:val="007B4E45"/>
    <w:rsid w:val="007B53EC"/>
    <w:rsid w:val="007B6987"/>
    <w:rsid w:val="007B69E7"/>
    <w:rsid w:val="007B73CB"/>
    <w:rsid w:val="007C0A90"/>
    <w:rsid w:val="007C16BC"/>
    <w:rsid w:val="007C1968"/>
    <w:rsid w:val="007C331E"/>
    <w:rsid w:val="007C43ED"/>
    <w:rsid w:val="007C6427"/>
    <w:rsid w:val="007C661C"/>
    <w:rsid w:val="007C6A0F"/>
    <w:rsid w:val="007D0BA3"/>
    <w:rsid w:val="007D123A"/>
    <w:rsid w:val="007D2874"/>
    <w:rsid w:val="007D5402"/>
    <w:rsid w:val="007D5B30"/>
    <w:rsid w:val="007E08D4"/>
    <w:rsid w:val="007E1C0F"/>
    <w:rsid w:val="007E1C67"/>
    <w:rsid w:val="007E3FC6"/>
    <w:rsid w:val="007F0958"/>
    <w:rsid w:val="007F0DEF"/>
    <w:rsid w:val="007F286B"/>
    <w:rsid w:val="007F2D43"/>
    <w:rsid w:val="007F5C17"/>
    <w:rsid w:val="007F5C25"/>
    <w:rsid w:val="007F7C8E"/>
    <w:rsid w:val="008015A5"/>
    <w:rsid w:val="008027BE"/>
    <w:rsid w:val="00803A9E"/>
    <w:rsid w:val="00804A36"/>
    <w:rsid w:val="00810751"/>
    <w:rsid w:val="008142B3"/>
    <w:rsid w:val="00815FDA"/>
    <w:rsid w:val="0081625F"/>
    <w:rsid w:val="00816BD0"/>
    <w:rsid w:val="00817395"/>
    <w:rsid w:val="0081768C"/>
    <w:rsid w:val="00817CB0"/>
    <w:rsid w:val="00823648"/>
    <w:rsid w:val="00823E39"/>
    <w:rsid w:val="00824AB3"/>
    <w:rsid w:val="0083181F"/>
    <w:rsid w:val="00832DB7"/>
    <w:rsid w:val="00833401"/>
    <w:rsid w:val="0083623F"/>
    <w:rsid w:val="00837A46"/>
    <w:rsid w:val="00843B1F"/>
    <w:rsid w:val="00845B82"/>
    <w:rsid w:val="008466C4"/>
    <w:rsid w:val="0084738F"/>
    <w:rsid w:val="00850FC2"/>
    <w:rsid w:val="008520D5"/>
    <w:rsid w:val="00856675"/>
    <w:rsid w:val="008572A4"/>
    <w:rsid w:val="0086163B"/>
    <w:rsid w:val="00861A9A"/>
    <w:rsid w:val="0086203C"/>
    <w:rsid w:val="00862179"/>
    <w:rsid w:val="0086270A"/>
    <w:rsid w:val="00866268"/>
    <w:rsid w:val="00866FFD"/>
    <w:rsid w:val="00872320"/>
    <w:rsid w:val="0087280E"/>
    <w:rsid w:val="0087731B"/>
    <w:rsid w:val="008820E9"/>
    <w:rsid w:val="00882763"/>
    <w:rsid w:val="00883346"/>
    <w:rsid w:val="00883E4E"/>
    <w:rsid w:val="00887877"/>
    <w:rsid w:val="008957B6"/>
    <w:rsid w:val="008A0ACD"/>
    <w:rsid w:val="008A2953"/>
    <w:rsid w:val="008A5F18"/>
    <w:rsid w:val="008A71F4"/>
    <w:rsid w:val="008B04F9"/>
    <w:rsid w:val="008B259B"/>
    <w:rsid w:val="008B4028"/>
    <w:rsid w:val="008B441B"/>
    <w:rsid w:val="008B548A"/>
    <w:rsid w:val="008B5EF7"/>
    <w:rsid w:val="008C2592"/>
    <w:rsid w:val="008C5EBD"/>
    <w:rsid w:val="008C692A"/>
    <w:rsid w:val="008C7236"/>
    <w:rsid w:val="008D04E8"/>
    <w:rsid w:val="008D27DD"/>
    <w:rsid w:val="008D5211"/>
    <w:rsid w:val="008E0C74"/>
    <w:rsid w:val="008E6832"/>
    <w:rsid w:val="008E72A6"/>
    <w:rsid w:val="008E77DD"/>
    <w:rsid w:val="008E7A05"/>
    <w:rsid w:val="008F1352"/>
    <w:rsid w:val="008F1B7A"/>
    <w:rsid w:val="008F2074"/>
    <w:rsid w:val="008F4412"/>
    <w:rsid w:val="008F499A"/>
    <w:rsid w:val="008F664E"/>
    <w:rsid w:val="008F7ACC"/>
    <w:rsid w:val="008F7C81"/>
    <w:rsid w:val="00900B8A"/>
    <w:rsid w:val="009051C3"/>
    <w:rsid w:val="00905E48"/>
    <w:rsid w:val="00905EEC"/>
    <w:rsid w:val="0090771B"/>
    <w:rsid w:val="0091159B"/>
    <w:rsid w:val="00911C6B"/>
    <w:rsid w:val="009124B2"/>
    <w:rsid w:val="0091276E"/>
    <w:rsid w:val="00914855"/>
    <w:rsid w:val="00916ACB"/>
    <w:rsid w:val="00916BEA"/>
    <w:rsid w:val="0092471B"/>
    <w:rsid w:val="00924E17"/>
    <w:rsid w:val="00927A9F"/>
    <w:rsid w:val="0093107C"/>
    <w:rsid w:val="009321F4"/>
    <w:rsid w:val="00932E46"/>
    <w:rsid w:val="009330AB"/>
    <w:rsid w:val="00934A56"/>
    <w:rsid w:val="00934E6B"/>
    <w:rsid w:val="00935276"/>
    <w:rsid w:val="00942BA9"/>
    <w:rsid w:val="00942F2C"/>
    <w:rsid w:val="0094359F"/>
    <w:rsid w:val="0094598F"/>
    <w:rsid w:val="00946AB2"/>
    <w:rsid w:val="00947595"/>
    <w:rsid w:val="00947605"/>
    <w:rsid w:val="0095063A"/>
    <w:rsid w:val="00952877"/>
    <w:rsid w:val="009529AD"/>
    <w:rsid w:val="00952EF2"/>
    <w:rsid w:val="009537D8"/>
    <w:rsid w:val="009539A1"/>
    <w:rsid w:val="00953EEF"/>
    <w:rsid w:val="00954A9C"/>
    <w:rsid w:val="00955FB6"/>
    <w:rsid w:val="009575FA"/>
    <w:rsid w:val="00957960"/>
    <w:rsid w:val="00960203"/>
    <w:rsid w:val="0096206A"/>
    <w:rsid w:val="00962105"/>
    <w:rsid w:val="009629CB"/>
    <w:rsid w:val="009647BE"/>
    <w:rsid w:val="00970727"/>
    <w:rsid w:val="00970CA8"/>
    <w:rsid w:val="009720DB"/>
    <w:rsid w:val="00972392"/>
    <w:rsid w:val="00972F9D"/>
    <w:rsid w:val="009738A7"/>
    <w:rsid w:val="009751C6"/>
    <w:rsid w:val="00977976"/>
    <w:rsid w:val="00977C64"/>
    <w:rsid w:val="0098066A"/>
    <w:rsid w:val="009826BA"/>
    <w:rsid w:val="00982722"/>
    <w:rsid w:val="009829CD"/>
    <w:rsid w:val="00985062"/>
    <w:rsid w:val="0099056B"/>
    <w:rsid w:val="00991E72"/>
    <w:rsid w:val="00992623"/>
    <w:rsid w:val="0099297B"/>
    <w:rsid w:val="00993B42"/>
    <w:rsid w:val="00996884"/>
    <w:rsid w:val="00997035"/>
    <w:rsid w:val="009A0CC7"/>
    <w:rsid w:val="009A1B2E"/>
    <w:rsid w:val="009A285C"/>
    <w:rsid w:val="009A36B3"/>
    <w:rsid w:val="009A42FF"/>
    <w:rsid w:val="009A4426"/>
    <w:rsid w:val="009B140E"/>
    <w:rsid w:val="009B28B1"/>
    <w:rsid w:val="009B2A42"/>
    <w:rsid w:val="009B411F"/>
    <w:rsid w:val="009B57A5"/>
    <w:rsid w:val="009B6419"/>
    <w:rsid w:val="009B7375"/>
    <w:rsid w:val="009B7F8C"/>
    <w:rsid w:val="009C2059"/>
    <w:rsid w:val="009C5E6B"/>
    <w:rsid w:val="009C6F0F"/>
    <w:rsid w:val="009D22AE"/>
    <w:rsid w:val="009D3058"/>
    <w:rsid w:val="009D383F"/>
    <w:rsid w:val="009D4536"/>
    <w:rsid w:val="009D46F2"/>
    <w:rsid w:val="009D59A7"/>
    <w:rsid w:val="009D61CD"/>
    <w:rsid w:val="009D65EB"/>
    <w:rsid w:val="009D750C"/>
    <w:rsid w:val="009E0B96"/>
    <w:rsid w:val="009E0C48"/>
    <w:rsid w:val="009E278D"/>
    <w:rsid w:val="009E288E"/>
    <w:rsid w:val="009E2E63"/>
    <w:rsid w:val="009E3764"/>
    <w:rsid w:val="009E37F2"/>
    <w:rsid w:val="009E5BA8"/>
    <w:rsid w:val="009E64EA"/>
    <w:rsid w:val="009E6588"/>
    <w:rsid w:val="009F0382"/>
    <w:rsid w:val="009F14B0"/>
    <w:rsid w:val="009F168B"/>
    <w:rsid w:val="009F2C92"/>
    <w:rsid w:val="009F67F3"/>
    <w:rsid w:val="00A025DE"/>
    <w:rsid w:val="00A04879"/>
    <w:rsid w:val="00A06FE9"/>
    <w:rsid w:val="00A071BD"/>
    <w:rsid w:val="00A10754"/>
    <w:rsid w:val="00A11284"/>
    <w:rsid w:val="00A11BD2"/>
    <w:rsid w:val="00A13BC3"/>
    <w:rsid w:val="00A15988"/>
    <w:rsid w:val="00A161FA"/>
    <w:rsid w:val="00A17140"/>
    <w:rsid w:val="00A21969"/>
    <w:rsid w:val="00A2291A"/>
    <w:rsid w:val="00A22B31"/>
    <w:rsid w:val="00A2337E"/>
    <w:rsid w:val="00A23ACF"/>
    <w:rsid w:val="00A24019"/>
    <w:rsid w:val="00A2681E"/>
    <w:rsid w:val="00A26DD7"/>
    <w:rsid w:val="00A31A67"/>
    <w:rsid w:val="00A35895"/>
    <w:rsid w:val="00A36001"/>
    <w:rsid w:val="00A3632A"/>
    <w:rsid w:val="00A36687"/>
    <w:rsid w:val="00A370A0"/>
    <w:rsid w:val="00A3763C"/>
    <w:rsid w:val="00A41263"/>
    <w:rsid w:val="00A41C2F"/>
    <w:rsid w:val="00A42932"/>
    <w:rsid w:val="00A42DB2"/>
    <w:rsid w:val="00A450C4"/>
    <w:rsid w:val="00A450EA"/>
    <w:rsid w:val="00A47606"/>
    <w:rsid w:val="00A5287D"/>
    <w:rsid w:val="00A53D8E"/>
    <w:rsid w:val="00A55631"/>
    <w:rsid w:val="00A55E64"/>
    <w:rsid w:val="00A60AF5"/>
    <w:rsid w:val="00A61B96"/>
    <w:rsid w:val="00A62678"/>
    <w:rsid w:val="00A62AC5"/>
    <w:rsid w:val="00A62C6E"/>
    <w:rsid w:val="00A65597"/>
    <w:rsid w:val="00A657A6"/>
    <w:rsid w:val="00A65980"/>
    <w:rsid w:val="00A67336"/>
    <w:rsid w:val="00A676BD"/>
    <w:rsid w:val="00A67A98"/>
    <w:rsid w:val="00A726F9"/>
    <w:rsid w:val="00A72AA7"/>
    <w:rsid w:val="00A72B6D"/>
    <w:rsid w:val="00A74754"/>
    <w:rsid w:val="00A74868"/>
    <w:rsid w:val="00A758A7"/>
    <w:rsid w:val="00A75EC9"/>
    <w:rsid w:val="00A77702"/>
    <w:rsid w:val="00A80D3C"/>
    <w:rsid w:val="00A82E0C"/>
    <w:rsid w:val="00A8446B"/>
    <w:rsid w:val="00A84DB2"/>
    <w:rsid w:val="00A86344"/>
    <w:rsid w:val="00A863BF"/>
    <w:rsid w:val="00A869E4"/>
    <w:rsid w:val="00A914C3"/>
    <w:rsid w:val="00A91E2A"/>
    <w:rsid w:val="00A929C4"/>
    <w:rsid w:val="00A931A8"/>
    <w:rsid w:val="00A93E4A"/>
    <w:rsid w:val="00A94BFD"/>
    <w:rsid w:val="00A9555D"/>
    <w:rsid w:val="00AA056B"/>
    <w:rsid w:val="00AA074A"/>
    <w:rsid w:val="00AA0F93"/>
    <w:rsid w:val="00AA2E78"/>
    <w:rsid w:val="00AA313D"/>
    <w:rsid w:val="00AA710D"/>
    <w:rsid w:val="00AB21C2"/>
    <w:rsid w:val="00AB2BA2"/>
    <w:rsid w:val="00AB4121"/>
    <w:rsid w:val="00AB4323"/>
    <w:rsid w:val="00AB5E46"/>
    <w:rsid w:val="00AC20D2"/>
    <w:rsid w:val="00AC5810"/>
    <w:rsid w:val="00AC6844"/>
    <w:rsid w:val="00AC6B91"/>
    <w:rsid w:val="00AD2AF4"/>
    <w:rsid w:val="00AD2C41"/>
    <w:rsid w:val="00AD68B1"/>
    <w:rsid w:val="00AE06C6"/>
    <w:rsid w:val="00AE1827"/>
    <w:rsid w:val="00AE298B"/>
    <w:rsid w:val="00AE2BB9"/>
    <w:rsid w:val="00AE4EF5"/>
    <w:rsid w:val="00AE5D92"/>
    <w:rsid w:val="00AE7540"/>
    <w:rsid w:val="00AF3E08"/>
    <w:rsid w:val="00AF4AC5"/>
    <w:rsid w:val="00AF71CF"/>
    <w:rsid w:val="00B007DA"/>
    <w:rsid w:val="00B0278F"/>
    <w:rsid w:val="00B03794"/>
    <w:rsid w:val="00B03DDD"/>
    <w:rsid w:val="00B03F08"/>
    <w:rsid w:val="00B068E2"/>
    <w:rsid w:val="00B104C7"/>
    <w:rsid w:val="00B1084A"/>
    <w:rsid w:val="00B10CDE"/>
    <w:rsid w:val="00B126E4"/>
    <w:rsid w:val="00B13813"/>
    <w:rsid w:val="00B14303"/>
    <w:rsid w:val="00B14EB0"/>
    <w:rsid w:val="00B17BE7"/>
    <w:rsid w:val="00B2229F"/>
    <w:rsid w:val="00B2246E"/>
    <w:rsid w:val="00B2398B"/>
    <w:rsid w:val="00B266AB"/>
    <w:rsid w:val="00B26A3E"/>
    <w:rsid w:val="00B30660"/>
    <w:rsid w:val="00B310D3"/>
    <w:rsid w:val="00B3226A"/>
    <w:rsid w:val="00B32F21"/>
    <w:rsid w:val="00B3446E"/>
    <w:rsid w:val="00B35073"/>
    <w:rsid w:val="00B35639"/>
    <w:rsid w:val="00B43792"/>
    <w:rsid w:val="00B443E1"/>
    <w:rsid w:val="00B455C6"/>
    <w:rsid w:val="00B4670D"/>
    <w:rsid w:val="00B46E37"/>
    <w:rsid w:val="00B471D8"/>
    <w:rsid w:val="00B521C8"/>
    <w:rsid w:val="00B52791"/>
    <w:rsid w:val="00B53425"/>
    <w:rsid w:val="00B54275"/>
    <w:rsid w:val="00B548D9"/>
    <w:rsid w:val="00B54AAB"/>
    <w:rsid w:val="00B55485"/>
    <w:rsid w:val="00B57AAE"/>
    <w:rsid w:val="00B66D4A"/>
    <w:rsid w:val="00B671DD"/>
    <w:rsid w:val="00B67AE9"/>
    <w:rsid w:val="00B70CE5"/>
    <w:rsid w:val="00B71119"/>
    <w:rsid w:val="00B73EF0"/>
    <w:rsid w:val="00B76300"/>
    <w:rsid w:val="00B76822"/>
    <w:rsid w:val="00B77C41"/>
    <w:rsid w:val="00B80D82"/>
    <w:rsid w:val="00B84AD7"/>
    <w:rsid w:val="00B85663"/>
    <w:rsid w:val="00B942E7"/>
    <w:rsid w:val="00B95116"/>
    <w:rsid w:val="00B9626D"/>
    <w:rsid w:val="00B97DA4"/>
    <w:rsid w:val="00B97EEE"/>
    <w:rsid w:val="00BA2152"/>
    <w:rsid w:val="00BA44C5"/>
    <w:rsid w:val="00BA605A"/>
    <w:rsid w:val="00BA7B55"/>
    <w:rsid w:val="00BB09F6"/>
    <w:rsid w:val="00BB15D6"/>
    <w:rsid w:val="00BB1793"/>
    <w:rsid w:val="00BB52C6"/>
    <w:rsid w:val="00BC15E2"/>
    <w:rsid w:val="00BC1F88"/>
    <w:rsid w:val="00BC2B6E"/>
    <w:rsid w:val="00BC3604"/>
    <w:rsid w:val="00BC46D7"/>
    <w:rsid w:val="00BC46EB"/>
    <w:rsid w:val="00BC6C90"/>
    <w:rsid w:val="00BC789C"/>
    <w:rsid w:val="00BC7DB2"/>
    <w:rsid w:val="00BD2A31"/>
    <w:rsid w:val="00BD5B14"/>
    <w:rsid w:val="00BD5DE5"/>
    <w:rsid w:val="00BD6E7C"/>
    <w:rsid w:val="00BD72C0"/>
    <w:rsid w:val="00BE1656"/>
    <w:rsid w:val="00BE573C"/>
    <w:rsid w:val="00BE61FD"/>
    <w:rsid w:val="00BE6E66"/>
    <w:rsid w:val="00BE7EA7"/>
    <w:rsid w:val="00BF0B7A"/>
    <w:rsid w:val="00BF27D8"/>
    <w:rsid w:val="00BF38E5"/>
    <w:rsid w:val="00BF3C40"/>
    <w:rsid w:val="00BF3F5E"/>
    <w:rsid w:val="00BF562B"/>
    <w:rsid w:val="00BF5D8E"/>
    <w:rsid w:val="00C010C0"/>
    <w:rsid w:val="00C03EDA"/>
    <w:rsid w:val="00C04A1F"/>
    <w:rsid w:val="00C04D5C"/>
    <w:rsid w:val="00C0530D"/>
    <w:rsid w:val="00C05BCD"/>
    <w:rsid w:val="00C103F2"/>
    <w:rsid w:val="00C10418"/>
    <w:rsid w:val="00C10460"/>
    <w:rsid w:val="00C112E8"/>
    <w:rsid w:val="00C11B6F"/>
    <w:rsid w:val="00C137A2"/>
    <w:rsid w:val="00C13EBD"/>
    <w:rsid w:val="00C155DD"/>
    <w:rsid w:val="00C1585F"/>
    <w:rsid w:val="00C210F2"/>
    <w:rsid w:val="00C23992"/>
    <w:rsid w:val="00C25748"/>
    <w:rsid w:val="00C25980"/>
    <w:rsid w:val="00C25B90"/>
    <w:rsid w:val="00C3317A"/>
    <w:rsid w:val="00C3409D"/>
    <w:rsid w:val="00C34981"/>
    <w:rsid w:val="00C3579C"/>
    <w:rsid w:val="00C37FE0"/>
    <w:rsid w:val="00C46E48"/>
    <w:rsid w:val="00C477B1"/>
    <w:rsid w:val="00C54DB5"/>
    <w:rsid w:val="00C55000"/>
    <w:rsid w:val="00C55730"/>
    <w:rsid w:val="00C55C08"/>
    <w:rsid w:val="00C55EE4"/>
    <w:rsid w:val="00C5646F"/>
    <w:rsid w:val="00C5749C"/>
    <w:rsid w:val="00C57E2A"/>
    <w:rsid w:val="00C64F2D"/>
    <w:rsid w:val="00C65278"/>
    <w:rsid w:val="00C6645F"/>
    <w:rsid w:val="00C679A7"/>
    <w:rsid w:val="00C71F9F"/>
    <w:rsid w:val="00C74E77"/>
    <w:rsid w:val="00C819C2"/>
    <w:rsid w:val="00C84B9B"/>
    <w:rsid w:val="00C86A3F"/>
    <w:rsid w:val="00C90ADD"/>
    <w:rsid w:val="00C91891"/>
    <w:rsid w:val="00C949F2"/>
    <w:rsid w:val="00C958EF"/>
    <w:rsid w:val="00C960FD"/>
    <w:rsid w:val="00C96259"/>
    <w:rsid w:val="00C964E0"/>
    <w:rsid w:val="00C96676"/>
    <w:rsid w:val="00CA633F"/>
    <w:rsid w:val="00CA776C"/>
    <w:rsid w:val="00CB09E4"/>
    <w:rsid w:val="00CB1660"/>
    <w:rsid w:val="00CB243F"/>
    <w:rsid w:val="00CB386B"/>
    <w:rsid w:val="00CC092A"/>
    <w:rsid w:val="00CC4482"/>
    <w:rsid w:val="00CC591D"/>
    <w:rsid w:val="00CC64E9"/>
    <w:rsid w:val="00CC726B"/>
    <w:rsid w:val="00CD09CA"/>
    <w:rsid w:val="00CD138C"/>
    <w:rsid w:val="00CD2728"/>
    <w:rsid w:val="00CD3D73"/>
    <w:rsid w:val="00CE051F"/>
    <w:rsid w:val="00CE1066"/>
    <w:rsid w:val="00CE1227"/>
    <w:rsid w:val="00CE2EE0"/>
    <w:rsid w:val="00CE586B"/>
    <w:rsid w:val="00CE5C91"/>
    <w:rsid w:val="00CE63A3"/>
    <w:rsid w:val="00CE7325"/>
    <w:rsid w:val="00CF2E83"/>
    <w:rsid w:val="00CF3004"/>
    <w:rsid w:val="00CF308B"/>
    <w:rsid w:val="00CF3502"/>
    <w:rsid w:val="00CF4861"/>
    <w:rsid w:val="00CF4C9A"/>
    <w:rsid w:val="00CF6368"/>
    <w:rsid w:val="00CF781B"/>
    <w:rsid w:val="00D00821"/>
    <w:rsid w:val="00D01944"/>
    <w:rsid w:val="00D01A69"/>
    <w:rsid w:val="00D02530"/>
    <w:rsid w:val="00D03A37"/>
    <w:rsid w:val="00D04487"/>
    <w:rsid w:val="00D066D0"/>
    <w:rsid w:val="00D109E3"/>
    <w:rsid w:val="00D10FCB"/>
    <w:rsid w:val="00D11F71"/>
    <w:rsid w:val="00D122F2"/>
    <w:rsid w:val="00D14899"/>
    <w:rsid w:val="00D16066"/>
    <w:rsid w:val="00D1634F"/>
    <w:rsid w:val="00D17859"/>
    <w:rsid w:val="00D238EE"/>
    <w:rsid w:val="00D24CD1"/>
    <w:rsid w:val="00D25678"/>
    <w:rsid w:val="00D27A7B"/>
    <w:rsid w:val="00D27C2A"/>
    <w:rsid w:val="00D306D5"/>
    <w:rsid w:val="00D32264"/>
    <w:rsid w:val="00D33040"/>
    <w:rsid w:val="00D36406"/>
    <w:rsid w:val="00D40D7F"/>
    <w:rsid w:val="00D41970"/>
    <w:rsid w:val="00D44B78"/>
    <w:rsid w:val="00D452C4"/>
    <w:rsid w:val="00D4662B"/>
    <w:rsid w:val="00D47722"/>
    <w:rsid w:val="00D57440"/>
    <w:rsid w:val="00D57516"/>
    <w:rsid w:val="00D5799A"/>
    <w:rsid w:val="00D61B92"/>
    <w:rsid w:val="00D65D1C"/>
    <w:rsid w:val="00D7076E"/>
    <w:rsid w:val="00D7110B"/>
    <w:rsid w:val="00D713AF"/>
    <w:rsid w:val="00D71EFE"/>
    <w:rsid w:val="00D73D06"/>
    <w:rsid w:val="00D8243C"/>
    <w:rsid w:val="00D82BF7"/>
    <w:rsid w:val="00D84392"/>
    <w:rsid w:val="00D8497C"/>
    <w:rsid w:val="00D92336"/>
    <w:rsid w:val="00D92D2D"/>
    <w:rsid w:val="00D93451"/>
    <w:rsid w:val="00D979EB"/>
    <w:rsid w:val="00DA07D7"/>
    <w:rsid w:val="00DA0C9D"/>
    <w:rsid w:val="00DA2ECE"/>
    <w:rsid w:val="00DA2F41"/>
    <w:rsid w:val="00DA30AB"/>
    <w:rsid w:val="00DA4CB6"/>
    <w:rsid w:val="00DA6968"/>
    <w:rsid w:val="00DB018D"/>
    <w:rsid w:val="00DB2D4A"/>
    <w:rsid w:val="00DB3D9D"/>
    <w:rsid w:val="00DB516F"/>
    <w:rsid w:val="00DB7FE8"/>
    <w:rsid w:val="00DC0CA9"/>
    <w:rsid w:val="00DC24AC"/>
    <w:rsid w:val="00DC2CF4"/>
    <w:rsid w:val="00DC377E"/>
    <w:rsid w:val="00DC6D31"/>
    <w:rsid w:val="00DD0200"/>
    <w:rsid w:val="00DD0F06"/>
    <w:rsid w:val="00DD1040"/>
    <w:rsid w:val="00DD1094"/>
    <w:rsid w:val="00DD19ED"/>
    <w:rsid w:val="00DD25F7"/>
    <w:rsid w:val="00DD4A73"/>
    <w:rsid w:val="00DD5898"/>
    <w:rsid w:val="00DD6686"/>
    <w:rsid w:val="00DD7E5D"/>
    <w:rsid w:val="00DE18D0"/>
    <w:rsid w:val="00DE2A35"/>
    <w:rsid w:val="00DE41EF"/>
    <w:rsid w:val="00DE5133"/>
    <w:rsid w:val="00DE5760"/>
    <w:rsid w:val="00DE5FED"/>
    <w:rsid w:val="00DE603B"/>
    <w:rsid w:val="00DE690E"/>
    <w:rsid w:val="00DE6D99"/>
    <w:rsid w:val="00DF12C1"/>
    <w:rsid w:val="00DF34E5"/>
    <w:rsid w:val="00DF41E7"/>
    <w:rsid w:val="00E00B6A"/>
    <w:rsid w:val="00E01731"/>
    <w:rsid w:val="00E01A2B"/>
    <w:rsid w:val="00E02710"/>
    <w:rsid w:val="00E03AF0"/>
    <w:rsid w:val="00E03C44"/>
    <w:rsid w:val="00E045E9"/>
    <w:rsid w:val="00E05663"/>
    <w:rsid w:val="00E1255A"/>
    <w:rsid w:val="00E1711B"/>
    <w:rsid w:val="00E17C7F"/>
    <w:rsid w:val="00E2264B"/>
    <w:rsid w:val="00E22FF2"/>
    <w:rsid w:val="00E25472"/>
    <w:rsid w:val="00E2705B"/>
    <w:rsid w:val="00E315F8"/>
    <w:rsid w:val="00E31C8F"/>
    <w:rsid w:val="00E33C0D"/>
    <w:rsid w:val="00E37CCA"/>
    <w:rsid w:val="00E40422"/>
    <w:rsid w:val="00E4092F"/>
    <w:rsid w:val="00E42B6B"/>
    <w:rsid w:val="00E50278"/>
    <w:rsid w:val="00E51355"/>
    <w:rsid w:val="00E52D89"/>
    <w:rsid w:val="00E54294"/>
    <w:rsid w:val="00E543F9"/>
    <w:rsid w:val="00E56718"/>
    <w:rsid w:val="00E56F0E"/>
    <w:rsid w:val="00E57610"/>
    <w:rsid w:val="00E612EB"/>
    <w:rsid w:val="00E64E7A"/>
    <w:rsid w:val="00E6548E"/>
    <w:rsid w:val="00E6640F"/>
    <w:rsid w:val="00E6699B"/>
    <w:rsid w:val="00E67196"/>
    <w:rsid w:val="00E672E7"/>
    <w:rsid w:val="00E71FDD"/>
    <w:rsid w:val="00E73F64"/>
    <w:rsid w:val="00E742AF"/>
    <w:rsid w:val="00E743F2"/>
    <w:rsid w:val="00E74837"/>
    <w:rsid w:val="00E757FE"/>
    <w:rsid w:val="00E77EF4"/>
    <w:rsid w:val="00E806FB"/>
    <w:rsid w:val="00E80B5D"/>
    <w:rsid w:val="00E841F8"/>
    <w:rsid w:val="00E8463A"/>
    <w:rsid w:val="00E851F8"/>
    <w:rsid w:val="00E863C6"/>
    <w:rsid w:val="00E86466"/>
    <w:rsid w:val="00E875B0"/>
    <w:rsid w:val="00E927FA"/>
    <w:rsid w:val="00E93D2A"/>
    <w:rsid w:val="00E94DBE"/>
    <w:rsid w:val="00E95674"/>
    <w:rsid w:val="00E97A59"/>
    <w:rsid w:val="00EA0F53"/>
    <w:rsid w:val="00EA11F6"/>
    <w:rsid w:val="00EA36A7"/>
    <w:rsid w:val="00EA3ADB"/>
    <w:rsid w:val="00EA4581"/>
    <w:rsid w:val="00EA60EB"/>
    <w:rsid w:val="00EA674D"/>
    <w:rsid w:val="00EA7CA2"/>
    <w:rsid w:val="00EB08CC"/>
    <w:rsid w:val="00EB0D97"/>
    <w:rsid w:val="00EB4011"/>
    <w:rsid w:val="00EB7826"/>
    <w:rsid w:val="00EB785E"/>
    <w:rsid w:val="00EC0030"/>
    <w:rsid w:val="00EC199D"/>
    <w:rsid w:val="00EC349E"/>
    <w:rsid w:val="00EC568B"/>
    <w:rsid w:val="00EC56B6"/>
    <w:rsid w:val="00ED0F28"/>
    <w:rsid w:val="00ED27C2"/>
    <w:rsid w:val="00ED763A"/>
    <w:rsid w:val="00EE2B37"/>
    <w:rsid w:val="00EE2F3B"/>
    <w:rsid w:val="00EE3512"/>
    <w:rsid w:val="00EE368E"/>
    <w:rsid w:val="00EE3C91"/>
    <w:rsid w:val="00EE6925"/>
    <w:rsid w:val="00EE725B"/>
    <w:rsid w:val="00EE7DD8"/>
    <w:rsid w:val="00EF25A1"/>
    <w:rsid w:val="00EF2AE9"/>
    <w:rsid w:val="00EF34CB"/>
    <w:rsid w:val="00EF3EE2"/>
    <w:rsid w:val="00EF443B"/>
    <w:rsid w:val="00EF51BA"/>
    <w:rsid w:val="00F00FE7"/>
    <w:rsid w:val="00F05094"/>
    <w:rsid w:val="00F05D46"/>
    <w:rsid w:val="00F07221"/>
    <w:rsid w:val="00F15B66"/>
    <w:rsid w:val="00F264FB"/>
    <w:rsid w:val="00F2744F"/>
    <w:rsid w:val="00F3149D"/>
    <w:rsid w:val="00F3335A"/>
    <w:rsid w:val="00F402C5"/>
    <w:rsid w:val="00F406F2"/>
    <w:rsid w:val="00F407A6"/>
    <w:rsid w:val="00F40C0A"/>
    <w:rsid w:val="00F42C25"/>
    <w:rsid w:val="00F43A1B"/>
    <w:rsid w:val="00F442F4"/>
    <w:rsid w:val="00F46915"/>
    <w:rsid w:val="00F508E5"/>
    <w:rsid w:val="00F51169"/>
    <w:rsid w:val="00F5475A"/>
    <w:rsid w:val="00F56D58"/>
    <w:rsid w:val="00F60097"/>
    <w:rsid w:val="00F6028D"/>
    <w:rsid w:val="00F60FDE"/>
    <w:rsid w:val="00F6100C"/>
    <w:rsid w:val="00F61C2B"/>
    <w:rsid w:val="00F62106"/>
    <w:rsid w:val="00F628D7"/>
    <w:rsid w:val="00F636CD"/>
    <w:rsid w:val="00F6397A"/>
    <w:rsid w:val="00F6458E"/>
    <w:rsid w:val="00F657B3"/>
    <w:rsid w:val="00F72432"/>
    <w:rsid w:val="00F7324A"/>
    <w:rsid w:val="00F734CD"/>
    <w:rsid w:val="00F73B1F"/>
    <w:rsid w:val="00F76836"/>
    <w:rsid w:val="00F76E89"/>
    <w:rsid w:val="00F77285"/>
    <w:rsid w:val="00F77779"/>
    <w:rsid w:val="00F81E6D"/>
    <w:rsid w:val="00F91431"/>
    <w:rsid w:val="00F91ADB"/>
    <w:rsid w:val="00F934BC"/>
    <w:rsid w:val="00F959E8"/>
    <w:rsid w:val="00F95D43"/>
    <w:rsid w:val="00F96A86"/>
    <w:rsid w:val="00FA1F8A"/>
    <w:rsid w:val="00FA3899"/>
    <w:rsid w:val="00FA43E1"/>
    <w:rsid w:val="00FB1103"/>
    <w:rsid w:val="00FB169C"/>
    <w:rsid w:val="00FB3028"/>
    <w:rsid w:val="00FB5BF7"/>
    <w:rsid w:val="00FB68D1"/>
    <w:rsid w:val="00FB71B1"/>
    <w:rsid w:val="00FC275C"/>
    <w:rsid w:val="00FC2D59"/>
    <w:rsid w:val="00FC5A38"/>
    <w:rsid w:val="00FD0F37"/>
    <w:rsid w:val="00FD2455"/>
    <w:rsid w:val="00FD2CD7"/>
    <w:rsid w:val="00FD4FA1"/>
    <w:rsid w:val="00FE07B7"/>
    <w:rsid w:val="00FE23D2"/>
    <w:rsid w:val="00FE34F5"/>
    <w:rsid w:val="00FE644C"/>
    <w:rsid w:val="00FF0367"/>
    <w:rsid w:val="00FF0C5D"/>
    <w:rsid w:val="00FF1875"/>
    <w:rsid w:val="00FF2481"/>
    <w:rsid w:val="00FF65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footnote text" w:uiPriority="99"/>
    <w:lsdException w:name="annotation text" w:uiPriority="99"/>
    <w:lsdException w:name="footer" w:uiPriority="99"/>
    <w:lsdException w:name="caption" w:uiPriority="99" w:qFormat="1"/>
    <w:lsdException w:name="footnote reference" w:uiPriority="99"/>
    <w:lsdException w:name="annotation reference" w:uiPriority="99"/>
    <w:lsdException w:name="Title" w:uiPriority="99" w:qFormat="1"/>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latentStyles>
  <w:style w:type="paragraph" w:default="1" w:styleId="Normal">
    <w:name w:val="Normal"/>
    <w:qFormat/>
    <w:rsid w:val="001237B5"/>
    <w:pPr>
      <w:spacing w:after="160"/>
      <w:jc w:val="both"/>
    </w:pPr>
    <w:rPr>
      <w:rFonts w:ascii="Franklin Gothic Book" w:hAnsi="Franklin Gothic Book"/>
      <w:sz w:val="24"/>
      <w:szCs w:val="24"/>
    </w:rPr>
  </w:style>
  <w:style w:type="paragraph" w:styleId="Heading1">
    <w:name w:val="heading 1"/>
    <w:basedOn w:val="Normal"/>
    <w:next w:val="BodyText"/>
    <w:link w:val="Heading1Char"/>
    <w:qFormat/>
    <w:rsid w:val="001D7219"/>
    <w:pPr>
      <w:spacing w:after="360"/>
      <w:jc w:val="left"/>
      <w:outlineLvl w:val="0"/>
    </w:pPr>
    <w:rPr>
      <w:rFonts w:ascii="Verdana" w:hAnsi="Verdana"/>
      <w:b/>
      <w:smallCaps/>
      <w:color w:val="003366"/>
      <w:sz w:val="40"/>
      <w:szCs w:val="20"/>
    </w:rPr>
  </w:style>
  <w:style w:type="paragraph" w:styleId="Heading2">
    <w:name w:val="heading 2"/>
    <w:basedOn w:val="Normal"/>
    <w:next w:val="BodyText"/>
    <w:link w:val="Heading2Char"/>
    <w:qFormat/>
    <w:rsid w:val="001D7219"/>
    <w:pPr>
      <w:spacing w:before="240" w:after="120"/>
      <w:jc w:val="left"/>
      <w:outlineLvl w:val="1"/>
    </w:pPr>
    <w:rPr>
      <w:rFonts w:ascii="Verdana" w:hAnsi="Verdana"/>
      <w:b/>
      <w:i/>
      <w:color w:val="003366"/>
      <w:sz w:val="36"/>
    </w:rPr>
  </w:style>
  <w:style w:type="paragraph" w:styleId="Heading3">
    <w:name w:val="heading 3"/>
    <w:basedOn w:val="Normal"/>
    <w:next w:val="BodyText"/>
    <w:link w:val="Heading3Char"/>
    <w:qFormat/>
    <w:rsid w:val="001D7219"/>
    <w:pPr>
      <w:keepNext/>
      <w:spacing w:before="240" w:after="120"/>
      <w:jc w:val="left"/>
      <w:outlineLvl w:val="2"/>
    </w:pPr>
    <w:rPr>
      <w:rFonts w:ascii="Verdana" w:hAnsi="Verdana" w:cs="Arial"/>
      <w:b/>
      <w:bCs/>
      <w:color w:val="003366"/>
      <w:sz w:val="32"/>
      <w:szCs w:val="26"/>
    </w:rPr>
  </w:style>
  <w:style w:type="paragraph" w:styleId="Heading4">
    <w:name w:val="heading 4"/>
    <w:basedOn w:val="Normal"/>
    <w:next w:val="BodyText"/>
    <w:link w:val="Heading4Char"/>
    <w:qFormat/>
    <w:rsid w:val="009F2C92"/>
    <w:pPr>
      <w:keepNext/>
      <w:spacing w:before="240" w:after="60"/>
      <w:jc w:val="left"/>
      <w:outlineLvl w:val="3"/>
    </w:pPr>
    <w:rPr>
      <w:rFonts w:ascii="Verdana" w:hAnsi="Verdana"/>
      <w:b/>
      <w:bCs/>
      <w:color w:val="003366"/>
      <w:sz w:val="28"/>
      <w:szCs w:val="28"/>
    </w:rPr>
  </w:style>
  <w:style w:type="paragraph" w:styleId="Heading5">
    <w:name w:val="heading 5"/>
    <w:basedOn w:val="Normal"/>
    <w:next w:val="BodyText"/>
    <w:link w:val="Heading5Char"/>
    <w:qFormat/>
    <w:rsid w:val="009F2C92"/>
    <w:pPr>
      <w:spacing w:before="240"/>
      <w:jc w:val="left"/>
      <w:outlineLvl w:val="4"/>
    </w:pPr>
    <w:rPr>
      <w:rFonts w:ascii="Verdana" w:hAnsi="Verdana"/>
      <w:b/>
      <w:bCs/>
      <w:i/>
      <w:iCs/>
      <w:color w:val="003366"/>
      <w:szCs w:val="26"/>
    </w:rPr>
  </w:style>
  <w:style w:type="paragraph" w:styleId="Heading6">
    <w:name w:val="heading 6"/>
    <w:basedOn w:val="Normal"/>
    <w:next w:val="Normal"/>
    <w:rsid w:val="006E5123"/>
    <w:pPr>
      <w:numPr>
        <w:ilvl w:val="5"/>
        <w:numId w:val="1"/>
      </w:numPr>
      <w:spacing w:before="240" w:after="60"/>
      <w:outlineLvl w:val="5"/>
    </w:pPr>
    <w:rPr>
      <w:b/>
      <w:bCs/>
      <w:sz w:val="22"/>
      <w:szCs w:val="22"/>
    </w:rPr>
  </w:style>
  <w:style w:type="paragraph" w:styleId="Heading7">
    <w:name w:val="heading 7"/>
    <w:basedOn w:val="Normal"/>
    <w:next w:val="Normal"/>
    <w:rsid w:val="006E5123"/>
    <w:pPr>
      <w:numPr>
        <w:ilvl w:val="6"/>
        <w:numId w:val="1"/>
      </w:numPr>
      <w:spacing w:before="240" w:after="60"/>
      <w:outlineLvl w:val="6"/>
    </w:pPr>
  </w:style>
  <w:style w:type="paragraph" w:styleId="Heading8">
    <w:name w:val="heading 8"/>
    <w:basedOn w:val="Normal"/>
    <w:next w:val="Normal"/>
    <w:rsid w:val="006E5123"/>
    <w:pPr>
      <w:numPr>
        <w:ilvl w:val="7"/>
        <w:numId w:val="1"/>
      </w:numPr>
      <w:spacing w:before="240" w:after="60"/>
      <w:outlineLvl w:val="7"/>
    </w:pPr>
    <w:rPr>
      <w:i/>
      <w:iCs/>
    </w:rPr>
  </w:style>
  <w:style w:type="paragraph" w:styleId="Heading9">
    <w:name w:val="heading 9"/>
    <w:basedOn w:val="Normal"/>
    <w:next w:val="Normal"/>
    <w:rsid w:val="006E51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D4114"/>
  </w:style>
  <w:style w:type="character" w:customStyle="1" w:styleId="BodyTextChar">
    <w:name w:val="Body Text Char"/>
    <w:basedOn w:val="DefaultParagraphFont"/>
    <w:link w:val="BodyText"/>
    <w:rsid w:val="001D4114"/>
    <w:rPr>
      <w:rFonts w:ascii="Franklin Gothic Book" w:hAnsi="Franklin Gothic Book"/>
      <w:sz w:val="24"/>
      <w:szCs w:val="24"/>
      <w:lang w:val="en-US" w:eastAsia="en-US" w:bidi="ar-SA"/>
    </w:rPr>
  </w:style>
  <w:style w:type="character" w:customStyle="1" w:styleId="Heading1Char">
    <w:name w:val="Heading 1 Char"/>
    <w:basedOn w:val="DefaultParagraphFont"/>
    <w:link w:val="Heading1"/>
    <w:rsid w:val="001D7219"/>
    <w:rPr>
      <w:rFonts w:ascii="Verdana" w:hAnsi="Verdana"/>
      <w:b/>
      <w:smallCaps/>
      <w:color w:val="003366"/>
      <w:sz w:val="40"/>
    </w:rPr>
  </w:style>
  <w:style w:type="paragraph" w:styleId="BlockText">
    <w:name w:val="Block Text"/>
    <w:basedOn w:val="Normal"/>
    <w:rsid w:val="002C3A89"/>
    <w:pPr>
      <w:spacing w:after="120"/>
      <w:ind w:left="1440" w:right="1440"/>
    </w:pPr>
  </w:style>
  <w:style w:type="character" w:customStyle="1" w:styleId="Heading4Char">
    <w:name w:val="Heading 4 Char"/>
    <w:basedOn w:val="DefaultParagraphFont"/>
    <w:link w:val="Heading4"/>
    <w:rsid w:val="009F2C92"/>
    <w:rPr>
      <w:rFonts w:ascii="Verdana" w:hAnsi="Verdana"/>
      <w:b/>
      <w:bCs/>
      <w:color w:val="003366"/>
      <w:sz w:val="28"/>
      <w:szCs w:val="28"/>
      <w:lang w:val="en-US" w:eastAsia="en-US" w:bidi="ar-SA"/>
    </w:rPr>
  </w:style>
  <w:style w:type="character" w:styleId="CommentReference">
    <w:name w:val="annotation reference"/>
    <w:basedOn w:val="DefaultParagraphFont"/>
    <w:uiPriority w:val="99"/>
    <w:semiHidden/>
    <w:rsid w:val="00723E9C"/>
    <w:rPr>
      <w:sz w:val="16"/>
      <w:szCs w:val="16"/>
    </w:rPr>
  </w:style>
  <w:style w:type="paragraph" w:styleId="CommentText">
    <w:name w:val="annotation text"/>
    <w:basedOn w:val="Normal"/>
    <w:link w:val="CommentTextChar"/>
    <w:uiPriority w:val="99"/>
    <w:semiHidden/>
    <w:rsid w:val="00723E9C"/>
    <w:rPr>
      <w:sz w:val="20"/>
      <w:szCs w:val="20"/>
    </w:rPr>
  </w:style>
  <w:style w:type="paragraph" w:styleId="CommentSubject">
    <w:name w:val="annotation subject"/>
    <w:basedOn w:val="CommentText"/>
    <w:next w:val="CommentText"/>
    <w:semiHidden/>
    <w:rsid w:val="00723E9C"/>
    <w:rPr>
      <w:b/>
      <w:bCs/>
    </w:rPr>
  </w:style>
  <w:style w:type="paragraph" w:styleId="BalloonText">
    <w:name w:val="Balloon Text"/>
    <w:basedOn w:val="Normal"/>
    <w:semiHidden/>
    <w:rsid w:val="00723E9C"/>
    <w:rPr>
      <w:rFonts w:ascii="Tahoma" w:hAnsi="Tahoma" w:cs="Tahoma"/>
      <w:sz w:val="16"/>
      <w:szCs w:val="16"/>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rsid w:val="0021653D"/>
    <w:pPr>
      <w:spacing w:after="80"/>
    </w:pPr>
    <w:rPr>
      <w:sz w:val="20"/>
      <w:szCs w:val="20"/>
    </w:rPr>
  </w:style>
  <w:style w:type="character" w:styleId="FootnoteReference">
    <w:name w:val="footnote reference"/>
    <w:basedOn w:val="DefaultParagraphFont"/>
    <w:uiPriority w:val="99"/>
    <w:rsid w:val="00126AE7"/>
    <w:rPr>
      <w:vertAlign w:val="superscript"/>
    </w:rPr>
  </w:style>
  <w:style w:type="paragraph" w:styleId="TOC1">
    <w:name w:val="toc 1"/>
    <w:basedOn w:val="Normal"/>
    <w:next w:val="Normal"/>
    <w:autoRedefine/>
    <w:semiHidden/>
    <w:rsid w:val="005B5516"/>
    <w:pPr>
      <w:tabs>
        <w:tab w:val="right" w:leader="dot" w:pos="9360"/>
      </w:tabs>
      <w:spacing w:before="300"/>
      <w:ind w:left="432" w:hanging="432"/>
    </w:pPr>
    <w:rPr>
      <w:rFonts w:ascii="Verdana" w:hAnsi="Verdana"/>
      <w:b/>
      <w:smallCaps/>
    </w:rPr>
  </w:style>
  <w:style w:type="paragraph" w:styleId="TOC2">
    <w:name w:val="toc 2"/>
    <w:basedOn w:val="Normal"/>
    <w:next w:val="Normal"/>
    <w:autoRedefine/>
    <w:semiHidden/>
    <w:rsid w:val="005B5516"/>
    <w:pPr>
      <w:tabs>
        <w:tab w:val="left" w:pos="1152"/>
        <w:tab w:val="right" w:leader="dot" w:pos="9360"/>
      </w:tabs>
      <w:spacing w:before="200"/>
      <w:ind w:left="936" w:hanging="504"/>
    </w:pPr>
  </w:style>
  <w:style w:type="character" w:styleId="Hyperlink">
    <w:name w:val="Hyperlink"/>
    <w:basedOn w:val="DefaultParagraphFont"/>
    <w:rsid w:val="00131E59"/>
    <w:rPr>
      <w:color w:val="0000FF"/>
      <w:u w:val="single"/>
    </w:rPr>
  </w:style>
  <w:style w:type="paragraph" w:styleId="TOC3">
    <w:name w:val="toc 3"/>
    <w:basedOn w:val="Normal"/>
    <w:next w:val="Normal"/>
    <w:autoRedefine/>
    <w:semiHidden/>
    <w:rsid w:val="005B5516"/>
    <w:pPr>
      <w:tabs>
        <w:tab w:val="right" w:leader="dot" w:pos="9360"/>
      </w:tabs>
      <w:spacing w:before="100"/>
      <w:ind w:left="1584" w:hanging="648"/>
    </w:pPr>
    <w:rPr>
      <w:sz w:val="22"/>
    </w:rPr>
  </w:style>
  <w:style w:type="paragraph" w:styleId="Caption">
    <w:name w:val="caption"/>
    <w:aliases w:val="Table Caption"/>
    <w:basedOn w:val="Normal"/>
    <w:next w:val="Normal"/>
    <w:link w:val="CaptionChar"/>
    <w:uiPriority w:val="99"/>
    <w:qFormat/>
    <w:rsid w:val="00C65278"/>
    <w:pPr>
      <w:keepNext/>
      <w:spacing w:after="80"/>
      <w:jc w:val="center"/>
    </w:pPr>
    <w:rPr>
      <w:b/>
      <w:bCs/>
      <w:szCs w:val="20"/>
    </w:rPr>
  </w:style>
  <w:style w:type="character" w:customStyle="1" w:styleId="CaptionChar">
    <w:name w:val="Caption Char"/>
    <w:aliases w:val="Table Caption Char"/>
    <w:basedOn w:val="DefaultParagraphFont"/>
    <w:link w:val="Caption"/>
    <w:uiPriority w:val="99"/>
    <w:rsid w:val="00C65278"/>
    <w:rPr>
      <w:rFonts w:ascii="Franklin Gothic Book" w:hAnsi="Franklin Gothic Book"/>
      <w:b/>
      <w:bCs/>
      <w:sz w:val="24"/>
      <w:lang w:val="en-US" w:eastAsia="en-US" w:bidi="ar-SA"/>
    </w:rPr>
  </w:style>
  <w:style w:type="paragraph" w:customStyle="1" w:styleId="BulletText">
    <w:name w:val="Bullet Text"/>
    <w:basedOn w:val="BodyText"/>
    <w:semiHidden/>
    <w:rsid w:val="003C2241"/>
    <w:pPr>
      <w:tabs>
        <w:tab w:val="num" w:pos="720"/>
      </w:tabs>
      <w:ind w:left="720" w:hanging="360"/>
    </w:pPr>
  </w:style>
  <w:style w:type="paragraph" w:customStyle="1" w:styleId="Bullet1">
    <w:name w:val="Bullet 1"/>
    <w:basedOn w:val="Normal"/>
    <w:next w:val="BodyText"/>
    <w:qFormat/>
    <w:rsid w:val="00083808"/>
    <w:pPr>
      <w:numPr>
        <w:numId w:val="2"/>
      </w:numPr>
      <w:spacing w:after="120"/>
      <w:ind w:left="360"/>
    </w:pPr>
  </w:style>
  <w:style w:type="paragraph" w:customStyle="1" w:styleId="Bullet2">
    <w:name w:val="Bullet 2"/>
    <w:basedOn w:val="Normal"/>
    <w:next w:val="BodyText"/>
    <w:qFormat/>
    <w:rsid w:val="00083808"/>
    <w:pPr>
      <w:numPr>
        <w:numId w:val="3"/>
      </w:numPr>
      <w:spacing w:after="120"/>
    </w:pPr>
  </w:style>
  <w:style w:type="paragraph" w:customStyle="1" w:styleId="Bullet3">
    <w:name w:val="Bullet 3"/>
    <w:basedOn w:val="Normal"/>
    <w:next w:val="BodyText"/>
    <w:qFormat/>
    <w:rsid w:val="00083808"/>
    <w:pPr>
      <w:numPr>
        <w:ilvl w:val="1"/>
        <w:numId w:val="4"/>
      </w:numPr>
      <w:spacing w:after="120"/>
      <w:ind w:left="1080"/>
    </w:pPr>
  </w:style>
  <w:style w:type="paragraph" w:styleId="TableofFigures">
    <w:name w:val="table of figures"/>
    <w:basedOn w:val="Normal"/>
    <w:next w:val="Normal"/>
    <w:semiHidden/>
    <w:rsid w:val="00BA605A"/>
    <w:pPr>
      <w:spacing w:before="120"/>
    </w:pPr>
  </w:style>
  <w:style w:type="paragraph" w:customStyle="1" w:styleId="AppendixHeading">
    <w:name w:val="Appendix Heading"/>
    <w:basedOn w:val="Heading1"/>
    <w:next w:val="BodyText"/>
    <w:link w:val="AppendixHeadingCharChar"/>
    <w:qFormat/>
    <w:rsid w:val="00767669"/>
  </w:style>
  <w:style w:type="character" w:customStyle="1" w:styleId="AppendixHeadingCharChar">
    <w:name w:val="Appendix Heading Char Char"/>
    <w:basedOn w:val="Heading1Char"/>
    <w:link w:val="AppendixHeading"/>
    <w:rsid w:val="00767669"/>
    <w:rPr>
      <w:b/>
      <w:smallCaps/>
    </w:rPr>
  </w:style>
  <w:style w:type="paragraph" w:styleId="Index1">
    <w:name w:val="index 1"/>
    <w:basedOn w:val="Normal"/>
    <w:next w:val="Normal"/>
    <w:autoRedefine/>
    <w:semiHidden/>
    <w:rsid w:val="001C4A6F"/>
    <w:pPr>
      <w:ind w:left="240" w:hanging="240"/>
    </w:pPr>
  </w:style>
  <w:style w:type="paragraph" w:customStyle="1" w:styleId="TableFootnote">
    <w:name w:val="Table Footnote"/>
    <w:basedOn w:val="Normal"/>
    <w:next w:val="BodyText"/>
    <w:rsid w:val="00CA776C"/>
    <w:pPr>
      <w:spacing w:after="80"/>
    </w:pPr>
    <w:rPr>
      <w:sz w:val="20"/>
      <w:szCs w:val="20"/>
    </w:rPr>
  </w:style>
  <w:style w:type="paragraph" w:styleId="TOCHeading">
    <w:name w:val="TOC Heading"/>
    <w:basedOn w:val="Normal"/>
    <w:next w:val="TOC1"/>
    <w:rsid w:val="00C13EBD"/>
    <w:pPr>
      <w:pBdr>
        <w:bottom w:val="thickThinSmallGap" w:sz="24" w:space="1" w:color="003366"/>
      </w:pBdr>
      <w:spacing w:after="360"/>
    </w:pPr>
    <w:rPr>
      <w:rFonts w:ascii="Verdana" w:hAnsi="Verdana"/>
      <w:b/>
      <w:smallCaps/>
      <w:color w:val="003366"/>
      <w:sz w:val="40"/>
      <w:szCs w:val="40"/>
    </w:rPr>
  </w:style>
  <w:style w:type="paragraph" w:customStyle="1" w:styleId="TitleItalics">
    <w:name w:val="Title Italics"/>
    <w:basedOn w:val="Normal"/>
    <w:uiPriority w:val="99"/>
    <w:semiHidden/>
    <w:rsid w:val="0021653D"/>
    <w:pPr>
      <w:spacing w:before="2280" w:after="0"/>
      <w:jc w:val="center"/>
    </w:pPr>
    <w:rPr>
      <w:rFonts w:ascii="Times New Roman" w:hAnsi="Times New Roman"/>
      <w:bCs/>
      <w:i/>
    </w:rPr>
  </w:style>
  <w:style w:type="paragraph" w:customStyle="1" w:styleId="TitleItalics2">
    <w:name w:val="Title Italics2"/>
    <w:basedOn w:val="TitleItalics"/>
    <w:uiPriority w:val="99"/>
    <w:semiHidden/>
    <w:rsid w:val="0021653D"/>
    <w:pPr>
      <w:spacing w:before="600"/>
    </w:pPr>
    <w:rPr>
      <w:bCs w:val="0"/>
      <w:iCs/>
      <w:szCs w:val="20"/>
    </w:rPr>
  </w:style>
  <w:style w:type="paragraph" w:styleId="Title">
    <w:name w:val="Title"/>
    <w:basedOn w:val="Normal"/>
    <w:link w:val="TitleChar"/>
    <w:uiPriority w:val="99"/>
    <w:qFormat/>
    <w:rsid w:val="0021653D"/>
    <w:pPr>
      <w:spacing w:after="0"/>
      <w:jc w:val="center"/>
    </w:pPr>
    <w:rPr>
      <w:rFonts w:ascii="Arial" w:hAnsi="Arial"/>
      <w:bCs/>
      <w:smallCaps/>
      <w:sz w:val="48"/>
      <w:szCs w:val="48"/>
    </w:rPr>
  </w:style>
  <w:style w:type="paragraph" w:customStyle="1" w:styleId="TitleCompanies">
    <w:name w:val="Title Companies"/>
    <w:basedOn w:val="Normal"/>
    <w:uiPriority w:val="99"/>
    <w:semiHidden/>
    <w:rsid w:val="0021653D"/>
    <w:pPr>
      <w:spacing w:before="120" w:after="0"/>
      <w:jc w:val="center"/>
    </w:pPr>
    <w:rPr>
      <w:rFonts w:ascii="Times New Roman Bold" w:hAnsi="Times New Roman Bold"/>
      <w:b/>
      <w:smallCaps/>
      <w:sz w:val="28"/>
      <w:szCs w:val="28"/>
    </w:rPr>
  </w:style>
  <w:style w:type="paragraph" w:customStyle="1" w:styleId="TitleContact">
    <w:name w:val="Title Contact"/>
    <w:basedOn w:val="Normal"/>
    <w:uiPriority w:val="99"/>
    <w:semiHidden/>
    <w:rsid w:val="0021653D"/>
    <w:pPr>
      <w:spacing w:before="240" w:after="0"/>
      <w:jc w:val="center"/>
    </w:pPr>
    <w:rPr>
      <w:rFonts w:ascii="Times New Roman" w:hAnsi="Times New Roman"/>
    </w:rPr>
  </w:style>
  <w:style w:type="paragraph" w:customStyle="1" w:styleId="TitleText">
    <w:name w:val="Title Text"/>
    <w:basedOn w:val="Normal"/>
    <w:semiHidden/>
    <w:rsid w:val="0021653D"/>
    <w:pPr>
      <w:spacing w:after="0"/>
      <w:jc w:val="center"/>
    </w:pPr>
    <w:rPr>
      <w:rFonts w:ascii="Times New Roman" w:hAnsi="Times New Roman"/>
      <w:bCs/>
    </w:rPr>
  </w:style>
  <w:style w:type="paragraph" w:customStyle="1" w:styleId="Title2">
    <w:name w:val="Title2"/>
    <w:basedOn w:val="Title"/>
    <w:semiHidden/>
    <w:rsid w:val="0021653D"/>
    <w:pPr>
      <w:spacing w:before="360"/>
    </w:pPr>
    <w:rPr>
      <w:b/>
      <w:smallCaps w:val="0"/>
      <w:sz w:val="32"/>
      <w:szCs w:val="32"/>
    </w:rPr>
  </w:style>
  <w:style w:type="character" w:customStyle="1" w:styleId="Heading2Char">
    <w:name w:val="Heading 2 Char"/>
    <w:basedOn w:val="DefaultParagraphFont"/>
    <w:link w:val="Heading2"/>
    <w:rsid w:val="009F2C92"/>
    <w:rPr>
      <w:rFonts w:ascii="Verdana" w:hAnsi="Verdana"/>
      <w:b/>
      <w:i/>
      <w:color w:val="003366"/>
      <w:sz w:val="36"/>
      <w:szCs w:val="24"/>
      <w:lang w:val="en-US" w:eastAsia="en-US" w:bidi="ar-SA"/>
    </w:rPr>
  </w:style>
  <w:style w:type="paragraph" w:styleId="Header">
    <w:name w:val="header"/>
    <w:basedOn w:val="Normal"/>
    <w:rsid w:val="0021653D"/>
    <w:pPr>
      <w:tabs>
        <w:tab w:val="center" w:pos="4320"/>
        <w:tab w:val="right" w:pos="8640"/>
      </w:tabs>
    </w:pPr>
  </w:style>
  <w:style w:type="paragraph" w:styleId="Footer">
    <w:name w:val="footer"/>
    <w:basedOn w:val="Normal"/>
    <w:link w:val="FooterChar"/>
    <w:uiPriority w:val="99"/>
    <w:rsid w:val="0021653D"/>
    <w:pPr>
      <w:tabs>
        <w:tab w:val="center" w:pos="4320"/>
        <w:tab w:val="right" w:pos="8640"/>
      </w:tabs>
    </w:pPr>
  </w:style>
  <w:style w:type="table" w:customStyle="1" w:styleId="ODCTable">
    <w:name w:val="ODC Table"/>
    <w:basedOn w:val="TableNormal"/>
    <w:rsid w:val="001237B5"/>
    <w:rPr>
      <w:rFonts w:ascii="Franklin Gothic Book" w:hAnsi="Franklin Gothic Book"/>
      <w:sz w:val="22"/>
    </w:rPr>
    <w:tblPr>
      <w:jc w:val="center"/>
      <w:tblInd w:w="0" w:type="dxa"/>
      <w:tblBorders>
        <w:top w:val="single" w:sz="4" w:space="0" w:color="auto"/>
        <w:left w:val="single" w:sz="4" w:space="0" w:color="auto"/>
        <w:bottom w:val="single" w:sz="4" w:space="0" w:color="auto"/>
        <w:right w:val="single" w:sz="4" w:space="0" w:color="auto"/>
        <w:insideH w:val="single" w:sz="8" w:space="0" w:color="C0C0C0"/>
        <w:insideV w:val="single" w:sz="8" w:space="0" w:color="000000"/>
      </w:tblBorders>
      <w:tblCellMar>
        <w:top w:w="0" w:type="dxa"/>
        <w:left w:w="115" w:type="dxa"/>
        <w:bottom w:w="0" w:type="dxa"/>
        <w:right w:w="115" w:type="dxa"/>
      </w:tblCellMar>
    </w:tblPr>
    <w:trPr>
      <w:jc w:val="center"/>
    </w:trPr>
    <w:tcPr>
      <w:shd w:val="clear" w:color="auto" w:fill="auto"/>
      <w:vAlign w:val="center"/>
    </w:tcPr>
    <w:tblStylePr w:type="firstRow">
      <w:rPr>
        <w:rFonts w:ascii="Franklin Gothic Book" w:hAnsi="Franklin Gothic Book"/>
        <w:sz w:val="24"/>
      </w:rPr>
      <w:tblPr/>
      <w:tcPr>
        <w:tcBorders>
          <w:bottom w:val="single" w:sz="8" w:space="0" w:color="000000"/>
        </w:tcBorders>
        <w:shd w:val="clear" w:color="auto" w:fill="E0E0E0"/>
      </w:tcPr>
    </w:tblStylePr>
    <w:tblStylePr w:type="firstCol">
      <w:tblPr/>
      <w:tcPr>
        <w:tcBorders>
          <w:right w:val="single" w:sz="8" w:space="0" w:color="000000"/>
        </w:tcBorders>
      </w:tcPr>
    </w:tblStylePr>
  </w:style>
  <w:style w:type="character" w:customStyle="1" w:styleId="Heading3Char">
    <w:name w:val="Heading 3 Char"/>
    <w:basedOn w:val="DefaultParagraphFont"/>
    <w:link w:val="Heading3"/>
    <w:uiPriority w:val="9"/>
    <w:rsid w:val="009F2C92"/>
    <w:rPr>
      <w:rFonts w:ascii="Verdana" w:hAnsi="Verdana" w:cs="Arial"/>
      <w:b/>
      <w:bCs/>
      <w:color w:val="003366"/>
      <w:sz w:val="32"/>
      <w:szCs w:val="26"/>
      <w:lang w:val="en-US" w:eastAsia="en-US" w:bidi="ar-SA"/>
    </w:rPr>
  </w:style>
  <w:style w:type="character" w:customStyle="1" w:styleId="Heading5Char">
    <w:name w:val="Heading 5 Char"/>
    <w:basedOn w:val="DefaultParagraphFont"/>
    <w:link w:val="Heading5"/>
    <w:rsid w:val="009F2C92"/>
    <w:rPr>
      <w:rFonts w:ascii="Verdana" w:hAnsi="Verdana"/>
      <w:b/>
      <w:bCs/>
      <w:i/>
      <w:iCs/>
      <w:color w:val="003366"/>
      <w:sz w:val="24"/>
      <w:szCs w:val="26"/>
      <w:lang w:val="en-US" w:eastAsia="en-US" w:bidi="ar-SA"/>
    </w:rPr>
  </w:style>
  <w:style w:type="character" w:styleId="PageNumber">
    <w:name w:val="page number"/>
    <w:basedOn w:val="DefaultParagraphFont"/>
    <w:rsid w:val="0024549D"/>
  </w:style>
  <w:style w:type="character" w:customStyle="1" w:styleId="FooterChar">
    <w:name w:val="Footer Char"/>
    <w:basedOn w:val="DefaultParagraphFont"/>
    <w:link w:val="Footer"/>
    <w:uiPriority w:val="99"/>
    <w:rsid w:val="0024549D"/>
    <w:rPr>
      <w:rFonts w:ascii="Franklin Gothic Book" w:hAnsi="Franklin Gothic Book"/>
      <w:sz w:val="24"/>
      <w:szCs w:val="24"/>
    </w:rPr>
  </w:style>
  <w:style w:type="table" w:customStyle="1" w:styleId="LightShading-Accent11">
    <w:name w:val="Light Shading - Accent 11"/>
    <w:basedOn w:val="TableNormal"/>
    <w:uiPriority w:val="60"/>
    <w:rsid w:val="00A62678"/>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Grid">
    <w:name w:val="Table Grid"/>
    <w:basedOn w:val="TableNormal"/>
    <w:uiPriority w:val="59"/>
    <w:rsid w:val="00934E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lumns1">
    <w:name w:val="Table Columns 1"/>
    <w:basedOn w:val="TableNormal"/>
    <w:rsid w:val="00B1084A"/>
    <w:pPr>
      <w:spacing w:after="160"/>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BAltSource">
    <w:name w:val="Table SB Alt Source"/>
    <w:basedOn w:val="TableNormal"/>
    <w:rsid w:val="00B67AE9"/>
    <w:pPr>
      <w:spacing w:before="60" w:after="60"/>
    </w:pPr>
    <w:rPr>
      <w:sz w:val="22"/>
    </w:rPr>
    <w:tblPr>
      <w:tblStyleRowBandSize w:val="1"/>
      <w:tblStyleCol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blStylePr w:type="firstRow">
      <w:pPr>
        <w:jc w:val="center"/>
      </w:pPr>
      <w:rPr>
        <w:b/>
      </w:rPr>
      <w:tblPr/>
      <w:tcPr>
        <w:shd w:val="clear" w:color="auto" w:fill="CCCCCC"/>
      </w:tcPr>
    </w:tblStylePr>
    <w:tblStylePr w:type="lastRow">
      <w:rPr>
        <w:rFonts w:ascii="Times New Roman" w:hAnsi="Times New Roman"/>
        <w:i w:val="0"/>
        <w:sz w:val="22"/>
      </w:rPr>
      <w:tblPr/>
      <w:tcPr>
        <w:tcBorders>
          <w:top w:val="single" w:sz="2" w:space="0" w:color="FFFFFF"/>
          <w:left w:val="single" w:sz="2" w:space="0" w:color="FFFFFF"/>
          <w:bottom w:val="single" w:sz="2" w:space="0" w:color="FFFFFF"/>
          <w:right w:val="single" w:sz="2" w:space="0" w:color="FFFFFF"/>
          <w:insideH w:val="single" w:sz="2" w:space="0" w:color="FFFFFF"/>
          <w:insideV w:val="single" w:sz="2" w:space="0" w:color="FFFFFF"/>
          <w:tl2br w:val="nil"/>
          <w:tr2bl w:val="nil"/>
        </w:tcBorders>
        <w:shd w:val="clear" w:color="auto" w:fill="FFFFFF"/>
      </w:tcPr>
    </w:tblStylePr>
    <w:tblStylePr w:type="firstCol">
      <w:pPr>
        <w:wordWrap/>
        <w:jc w:val="left"/>
      </w:pPr>
      <w:rPr>
        <w:rFonts w:ascii="Times New Roman" w:hAnsi="Times New Roman"/>
        <w:sz w:val="22"/>
      </w:rPr>
    </w:tblStylePr>
    <w:tblStylePr w:type="lastCol">
      <w:pPr>
        <w:wordWrap/>
        <w:jc w:val="right"/>
      </w:pPr>
      <w:rPr>
        <w:rFonts w:ascii="Times New Roman" w:hAnsi="Times New Roman"/>
        <w:i w:val="0"/>
      </w:rPr>
    </w:tblStylePr>
    <w:tblStylePr w:type="band1Vert">
      <w:pPr>
        <w:jc w:val="right"/>
      </w:pPr>
    </w:tblStylePr>
    <w:tblStylePr w:type="band2Vert">
      <w:pPr>
        <w:jc w:val="right"/>
      </w:pPr>
      <w:tblPr/>
      <w:tcPr>
        <w:vAlign w:val="bottom"/>
      </w:tcPr>
    </w:tblStylePr>
    <w:tblStylePr w:type="band1Horz">
      <w:rPr>
        <w:rFonts w:ascii="Times New Roman" w:hAnsi="Times New Roman"/>
        <w:sz w:val="22"/>
      </w:rPr>
      <w:tblPr/>
      <w:tcPr>
        <w:shd w:val="clear" w:color="auto" w:fill="F3F3F3"/>
      </w:tcPr>
    </w:tblStylePr>
    <w:tblStylePr w:type="band2Horz">
      <w:rPr>
        <w:rFonts w:ascii="Times New Roman" w:hAnsi="Times New Roman"/>
        <w:sz w:val="22"/>
      </w:rPr>
      <w:tblPr/>
      <w:tcPr>
        <w:shd w:val="clear" w:color="auto" w:fill="E6E6E6"/>
      </w:tcPr>
    </w:tblStylePr>
    <w:tblStylePr w:type="nwCell">
      <w:pPr>
        <w:jc w:val="left"/>
      </w:pPr>
    </w:tblStylePr>
  </w:style>
  <w:style w:type="paragraph" w:customStyle="1" w:styleId="Tabletext">
    <w:name w:val="Table text"/>
    <w:basedOn w:val="Normal"/>
    <w:uiPriority w:val="99"/>
    <w:rsid w:val="00B67AE9"/>
    <w:pPr>
      <w:spacing w:before="60" w:after="0"/>
      <w:jc w:val="left"/>
    </w:pPr>
    <w:rPr>
      <w:rFonts w:ascii="Times New Roman" w:hAnsi="Times New Roman"/>
      <w:sz w:val="22"/>
    </w:rPr>
  </w:style>
  <w:style w:type="paragraph" w:styleId="ListParagraph">
    <w:name w:val="List Paragraph"/>
    <w:basedOn w:val="Normal"/>
    <w:uiPriority w:val="34"/>
    <w:qFormat/>
    <w:rsid w:val="00065FF0"/>
    <w:pPr>
      <w:ind w:left="720"/>
      <w:contextualSpacing/>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link w:val="FootnoteText"/>
    <w:uiPriority w:val="99"/>
    <w:rsid w:val="00690D12"/>
    <w:rPr>
      <w:rFonts w:ascii="Franklin Gothic Book" w:hAnsi="Franklin Gothic Book"/>
    </w:rPr>
  </w:style>
  <w:style w:type="character" w:customStyle="1" w:styleId="CommentTextChar">
    <w:name w:val="Comment Text Char"/>
    <w:basedOn w:val="DefaultParagraphFont"/>
    <w:link w:val="CommentText"/>
    <w:uiPriority w:val="99"/>
    <w:semiHidden/>
    <w:rsid w:val="00690D12"/>
    <w:rPr>
      <w:rFonts w:ascii="Franklin Gothic Book" w:hAnsi="Franklin Gothic Book"/>
    </w:rPr>
  </w:style>
  <w:style w:type="paragraph" w:styleId="Revision">
    <w:name w:val="Revision"/>
    <w:hidden/>
    <w:uiPriority w:val="99"/>
    <w:semiHidden/>
    <w:rsid w:val="007C6A0F"/>
    <w:rPr>
      <w:rFonts w:ascii="Franklin Gothic Book" w:hAnsi="Franklin Gothic Book"/>
      <w:sz w:val="24"/>
      <w:szCs w:val="24"/>
    </w:rPr>
  </w:style>
  <w:style w:type="character" w:customStyle="1" w:styleId="TitleChar">
    <w:name w:val="Title Char"/>
    <w:basedOn w:val="DefaultParagraphFont"/>
    <w:link w:val="Title"/>
    <w:uiPriority w:val="99"/>
    <w:locked/>
    <w:rsid w:val="00547A46"/>
    <w:rPr>
      <w:rFonts w:ascii="Arial" w:hAnsi="Arial"/>
      <w:bCs/>
      <w:smallCaps/>
      <w:sz w:val="48"/>
      <w:szCs w:val="48"/>
    </w:rPr>
  </w:style>
</w:styles>
</file>

<file path=word/webSettings.xml><?xml version="1.0" encoding="utf-8"?>
<w:webSettings xmlns:r="http://schemas.openxmlformats.org/officeDocument/2006/relationships" xmlns:w="http://schemas.openxmlformats.org/wordprocessingml/2006/main">
  <w:divs>
    <w:div w:id="620093">
      <w:bodyDiv w:val="1"/>
      <w:marLeft w:val="0"/>
      <w:marRight w:val="0"/>
      <w:marTop w:val="0"/>
      <w:marBottom w:val="0"/>
      <w:divBdr>
        <w:top w:val="none" w:sz="0" w:space="0" w:color="auto"/>
        <w:left w:val="none" w:sz="0" w:space="0" w:color="auto"/>
        <w:bottom w:val="none" w:sz="0" w:space="0" w:color="auto"/>
        <w:right w:val="none" w:sz="0" w:space="0" w:color="auto"/>
      </w:divBdr>
    </w:div>
    <w:div w:id="46682833">
      <w:bodyDiv w:val="1"/>
      <w:marLeft w:val="0"/>
      <w:marRight w:val="0"/>
      <w:marTop w:val="0"/>
      <w:marBottom w:val="0"/>
      <w:divBdr>
        <w:top w:val="none" w:sz="0" w:space="0" w:color="auto"/>
        <w:left w:val="none" w:sz="0" w:space="0" w:color="auto"/>
        <w:bottom w:val="none" w:sz="0" w:space="0" w:color="auto"/>
        <w:right w:val="none" w:sz="0" w:space="0" w:color="auto"/>
      </w:divBdr>
    </w:div>
    <w:div w:id="298804978">
      <w:bodyDiv w:val="1"/>
      <w:marLeft w:val="0"/>
      <w:marRight w:val="0"/>
      <w:marTop w:val="0"/>
      <w:marBottom w:val="0"/>
      <w:divBdr>
        <w:top w:val="none" w:sz="0" w:space="0" w:color="auto"/>
        <w:left w:val="none" w:sz="0" w:space="0" w:color="auto"/>
        <w:bottom w:val="none" w:sz="0" w:space="0" w:color="auto"/>
        <w:right w:val="none" w:sz="0" w:space="0" w:color="auto"/>
      </w:divBdr>
    </w:div>
    <w:div w:id="482895459">
      <w:bodyDiv w:val="1"/>
      <w:marLeft w:val="0"/>
      <w:marRight w:val="0"/>
      <w:marTop w:val="0"/>
      <w:marBottom w:val="0"/>
      <w:divBdr>
        <w:top w:val="none" w:sz="0" w:space="0" w:color="auto"/>
        <w:left w:val="none" w:sz="0" w:space="0" w:color="auto"/>
        <w:bottom w:val="none" w:sz="0" w:space="0" w:color="auto"/>
        <w:right w:val="none" w:sz="0" w:space="0" w:color="auto"/>
      </w:divBdr>
    </w:div>
    <w:div w:id="574437029">
      <w:bodyDiv w:val="1"/>
      <w:marLeft w:val="0"/>
      <w:marRight w:val="0"/>
      <w:marTop w:val="0"/>
      <w:marBottom w:val="0"/>
      <w:divBdr>
        <w:top w:val="none" w:sz="0" w:space="0" w:color="auto"/>
        <w:left w:val="none" w:sz="0" w:space="0" w:color="auto"/>
        <w:bottom w:val="none" w:sz="0" w:space="0" w:color="auto"/>
        <w:right w:val="none" w:sz="0" w:space="0" w:color="auto"/>
      </w:divBdr>
    </w:div>
    <w:div w:id="724254434">
      <w:bodyDiv w:val="1"/>
      <w:marLeft w:val="0"/>
      <w:marRight w:val="0"/>
      <w:marTop w:val="0"/>
      <w:marBottom w:val="0"/>
      <w:divBdr>
        <w:top w:val="none" w:sz="0" w:space="0" w:color="auto"/>
        <w:left w:val="none" w:sz="0" w:space="0" w:color="auto"/>
        <w:bottom w:val="none" w:sz="0" w:space="0" w:color="auto"/>
        <w:right w:val="none" w:sz="0" w:space="0" w:color="auto"/>
      </w:divBdr>
    </w:div>
    <w:div w:id="788821053">
      <w:bodyDiv w:val="1"/>
      <w:marLeft w:val="0"/>
      <w:marRight w:val="0"/>
      <w:marTop w:val="0"/>
      <w:marBottom w:val="0"/>
      <w:divBdr>
        <w:top w:val="none" w:sz="0" w:space="0" w:color="auto"/>
        <w:left w:val="none" w:sz="0" w:space="0" w:color="auto"/>
        <w:bottom w:val="none" w:sz="0" w:space="0" w:color="auto"/>
        <w:right w:val="none" w:sz="0" w:space="0" w:color="auto"/>
      </w:divBdr>
    </w:div>
    <w:div w:id="808789339">
      <w:bodyDiv w:val="1"/>
      <w:marLeft w:val="0"/>
      <w:marRight w:val="0"/>
      <w:marTop w:val="0"/>
      <w:marBottom w:val="0"/>
      <w:divBdr>
        <w:top w:val="none" w:sz="0" w:space="0" w:color="auto"/>
        <w:left w:val="none" w:sz="0" w:space="0" w:color="auto"/>
        <w:bottom w:val="none" w:sz="0" w:space="0" w:color="auto"/>
        <w:right w:val="none" w:sz="0" w:space="0" w:color="auto"/>
      </w:divBdr>
    </w:div>
    <w:div w:id="843126055">
      <w:bodyDiv w:val="1"/>
      <w:marLeft w:val="0"/>
      <w:marRight w:val="0"/>
      <w:marTop w:val="0"/>
      <w:marBottom w:val="0"/>
      <w:divBdr>
        <w:top w:val="none" w:sz="0" w:space="0" w:color="auto"/>
        <w:left w:val="none" w:sz="0" w:space="0" w:color="auto"/>
        <w:bottom w:val="none" w:sz="0" w:space="0" w:color="auto"/>
        <w:right w:val="none" w:sz="0" w:space="0" w:color="auto"/>
      </w:divBdr>
    </w:div>
    <w:div w:id="876895591">
      <w:bodyDiv w:val="1"/>
      <w:marLeft w:val="0"/>
      <w:marRight w:val="0"/>
      <w:marTop w:val="0"/>
      <w:marBottom w:val="0"/>
      <w:divBdr>
        <w:top w:val="none" w:sz="0" w:space="0" w:color="auto"/>
        <w:left w:val="none" w:sz="0" w:space="0" w:color="auto"/>
        <w:bottom w:val="none" w:sz="0" w:space="0" w:color="auto"/>
        <w:right w:val="none" w:sz="0" w:space="0" w:color="auto"/>
      </w:divBdr>
    </w:div>
    <w:div w:id="878932527">
      <w:bodyDiv w:val="1"/>
      <w:marLeft w:val="0"/>
      <w:marRight w:val="0"/>
      <w:marTop w:val="0"/>
      <w:marBottom w:val="0"/>
      <w:divBdr>
        <w:top w:val="none" w:sz="0" w:space="0" w:color="auto"/>
        <w:left w:val="none" w:sz="0" w:space="0" w:color="auto"/>
        <w:bottom w:val="none" w:sz="0" w:space="0" w:color="auto"/>
        <w:right w:val="none" w:sz="0" w:space="0" w:color="auto"/>
      </w:divBdr>
    </w:div>
    <w:div w:id="918101859">
      <w:bodyDiv w:val="1"/>
      <w:marLeft w:val="0"/>
      <w:marRight w:val="0"/>
      <w:marTop w:val="0"/>
      <w:marBottom w:val="0"/>
      <w:divBdr>
        <w:top w:val="none" w:sz="0" w:space="0" w:color="auto"/>
        <w:left w:val="none" w:sz="0" w:space="0" w:color="auto"/>
        <w:bottom w:val="none" w:sz="0" w:space="0" w:color="auto"/>
        <w:right w:val="none" w:sz="0" w:space="0" w:color="auto"/>
      </w:divBdr>
    </w:div>
    <w:div w:id="936719972">
      <w:bodyDiv w:val="1"/>
      <w:marLeft w:val="0"/>
      <w:marRight w:val="0"/>
      <w:marTop w:val="0"/>
      <w:marBottom w:val="0"/>
      <w:divBdr>
        <w:top w:val="none" w:sz="0" w:space="0" w:color="auto"/>
        <w:left w:val="none" w:sz="0" w:space="0" w:color="auto"/>
        <w:bottom w:val="none" w:sz="0" w:space="0" w:color="auto"/>
        <w:right w:val="none" w:sz="0" w:space="0" w:color="auto"/>
      </w:divBdr>
    </w:div>
    <w:div w:id="1106076313">
      <w:bodyDiv w:val="1"/>
      <w:marLeft w:val="0"/>
      <w:marRight w:val="0"/>
      <w:marTop w:val="0"/>
      <w:marBottom w:val="0"/>
      <w:divBdr>
        <w:top w:val="none" w:sz="0" w:space="0" w:color="auto"/>
        <w:left w:val="none" w:sz="0" w:space="0" w:color="auto"/>
        <w:bottom w:val="none" w:sz="0" w:space="0" w:color="auto"/>
        <w:right w:val="none" w:sz="0" w:space="0" w:color="auto"/>
      </w:divBdr>
    </w:div>
    <w:div w:id="1108355203">
      <w:bodyDiv w:val="1"/>
      <w:marLeft w:val="0"/>
      <w:marRight w:val="0"/>
      <w:marTop w:val="0"/>
      <w:marBottom w:val="0"/>
      <w:divBdr>
        <w:top w:val="none" w:sz="0" w:space="0" w:color="auto"/>
        <w:left w:val="none" w:sz="0" w:space="0" w:color="auto"/>
        <w:bottom w:val="none" w:sz="0" w:space="0" w:color="auto"/>
        <w:right w:val="none" w:sz="0" w:space="0" w:color="auto"/>
      </w:divBdr>
    </w:div>
    <w:div w:id="1120877960">
      <w:bodyDiv w:val="1"/>
      <w:marLeft w:val="0"/>
      <w:marRight w:val="0"/>
      <w:marTop w:val="0"/>
      <w:marBottom w:val="0"/>
      <w:divBdr>
        <w:top w:val="none" w:sz="0" w:space="0" w:color="auto"/>
        <w:left w:val="none" w:sz="0" w:space="0" w:color="auto"/>
        <w:bottom w:val="none" w:sz="0" w:space="0" w:color="auto"/>
        <w:right w:val="none" w:sz="0" w:space="0" w:color="auto"/>
      </w:divBdr>
    </w:div>
    <w:div w:id="1153135023">
      <w:bodyDiv w:val="1"/>
      <w:marLeft w:val="0"/>
      <w:marRight w:val="0"/>
      <w:marTop w:val="0"/>
      <w:marBottom w:val="0"/>
      <w:divBdr>
        <w:top w:val="none" w:sz="0" w:space="0" w:color="auto"/>
        <w:left w:val="none" w:sz="0" w:space="0" w:color="auto"/>
        <w:bottom w:val="none" w:sz="0" w:space="0" w:color="auto"/>
        <w:right w:val="none" w:sz="0" w:space="0" w:color="auto"/>
      </w:divBdr>
    </w:div>
    <w:div w:id="1199854198">
      <w:bodyDiv w:val="1"/>
      <w:marLeft w:val="0"/>
      <w:marRight w:val="0"/>
      <w:marTop w:val="0"/>
      <w:marBottom w:val="0"/>
      <w:divBdr>
        <w:top w:val="none" w:sz="0" w:space="0" w:color="auto"/>
        <w:left w:val="none" w:sz="0" w:space="0" w:color="auto"/>
        <w:bottom w:val="none" w:sz="0" w:space="0" w:color="auto"/>
        <w:right w:val="none" w:sz="0" w:space="0" w:color="auto"/>
      </w:divBdr>
    </w:div>
    <w:div w:id="1218052564">
      <w:bodyDiv w:val="1"/>
      <w:marLeft w:val="0"/>
      <w:marRight w:val="0"/>
      <w:marTop w:val="0"/>
      <w:marBottom w:val="0"/>
      <w:divBdr>
        <w:top w:val="none" w:sz="0" w:space="0" w:color="auto"/>
        <w:left w:val="none" w:sz="0" w:space="0" w:color="auto"/>
        <w:bottom w:val="none" w:sz="0" w:space="0" w:color="auto"/>
        <w:right w:val="none" w:sz="0" w:space="0" w:color="auto"/>
      </w:divBdr>
    </w:div>
    <w:div w:id="1258446897">
      <w:bodyDiv w:val="1"/>
      <w:marLeft w:val="0"/>
      <w:marRight w:val="0"/>
      <w:marTop w:val="0"/>
      <w:marBottom w:val="0"/>
      <w:divBdr>
        <w:top w:val="none" w:sz="0" w:space="0" w:color="auto"/>
        <w:left w:val="none" w:sz="0" w:space="0" w:color="auto"/>
        <w:bottom w:val="none" w:sz="0" w:space="0" w:color="auto"/>
        <w:right w:val="none" w:sz="0" w:space="0" w:color="auto"/>
      </w:divBdr>
    </w:div>
    <w:div w:id="1272468518">
      <w:bodyDiv w:val="1"/>
      <w:marLeft w:val="0"/>
      <w:marRight w:val="0"/>
      <w:marTop w:val="0"/>
      <w:marBottom w:val="0"/>
      <w:divBdr>
        <w:top w:val="none" w:sz="0" w:space="0" w:color="auto"/>
        <w:left w:val="none" w:sz="0" w:space="0" w:color="auto"/>
        <w:bottom w:val="none" w:sz="0" w:space="0" w:color="auto"/>
        <w:right w:val="none" w:sz="0" w:space="0" w:color="auto"/>
      </w:divBdr>
    </w:div>
    <w:div w:id="1566255774">
      <w:bodyDiv w:val="1"/>
      <w:marLeft w:val="0"/>
      <w:marRight w:val="0"/>
      <w:marTop w:val="0"/>
      <w:marBottom w:val="0"/>
      <w:divBdr>
        <w:top w:val="none" w:sz="0" w:space="0" w:color="auto"/>
        <w:left w:val="none" w:sz="0" w:space="0" w:color="auto"/>
        <w:bottom w:val="none" w:sz="0" w:space="0" w:color="auto"/>
        <w:right w:val="none" w:sz="0" w:space="0" w:color="auto"/>
      </w:divBdr>
    </w:div>
    <w:div w:id="1601256952">
      <w:bodyDiv w:val="1"/>
      <w:marLeft w:val="0"/>
      <w:marRight w:val="0"/>
      <w:marTop w:val="0"/>
      <w:marBottom w:val="0"/>
      <w:divBdr>
        <w:top w:val="none" w:sz="0" w:space="0" w:color="auto"/>
        <w:left w:val="none" w:sz="0" w:space="0" w:color="auto"/>
        <w:bottom w:val="none" w:sz="0" w:space="0" w:color="auto"/>
        <w:right w:val="none" w:sz="0" w:space="0" w:color="auto"/>
      </w:divBdr>
    </w:div>
    <w:div w:id="1636716754">
      <w:bodyDiv w:val="1"/>
      <w:marLeft w:val="0"/>
      <w:marRight w:val="0"/>
      <w:marTop w:val="0"/>
      <w:marBottom w:val="0"/>
      <w:divBdr>
        <w:top w:val="none" w:sz="0" w:space="0" w:color="auto"/>
        <w:left w:val="none" w:sz="0" w:space="0" w:color="auto"/>
        <w:bottom w:val="none" w:sz="0" w:space="0" w:color="auto"/>
        <w:right w:val="none" w:sz="0" w:space="0" w:color="auto"/>
      </w:divBdr>
    </w:div>
    <w:div w:id="1742872896">
      <w:bodyDiv w:val="1"/>
      <w:marLeft w:val="0"/>
      <w:marRight w:val="0"/>
      <w:marTop w:val="0"/>
      <w:marBottom w:val="0"/>
      <w:divBdr>
        <w:top w:val="none" w:sz="0" w:space="0" w:color="auto"/>
        <w:left w:val="none" w:sz="0" w:space="0" w:color="auto"/>
        <w:bottom w:val="none" w:sz="0" w:space="0" w:color="auto"/>
        <w:right w:val="none" w:sz="0" w:space="0" w:color="auto"/>
      </w:divBdr>
    </w:div>
    <w:div w:id="1786191410">
      <w:bodyDiv w:val="1"/>
      <w:marLeft w:val="0"/>
      <w:marRight w:val="0"/>
      <w:marTop w:val="0"/>
      <w:marBottom w:val="0"/>
      <w:divBdr>
        <w:top w:val="none" w:sz="0" w:space="0" w:color="auto"/>
        <w:left w:val="none" w:sz="0" w:space="0" w:color="auto"/>
        <w:bottom w:val="none" w:sz="0" w:space="0" w:color="auto"/>
        <w:right w:val="none" w:sz="0" w:space="0" w:color="auto"/>
      </w:divBdr>
    </w:div>
    <w:div w:id="1806121243">
      <w:bodyDiv w:val="1"/>
      <w:marLeft w:val="0"/>
      <w:marRight w:val="0"/>
      <w:marTop w:val="0"/>
      <w:marBottom w:val="0"/>
      <w:divBdr>
        <w:top w:val="none" w:sz="0" w:space="0" w:color="auto"/>
        <w:left w:val="none" w:sz="0" w:space="0" w:color="auto"/>
        <w:bottom w:val="none" w:sz="0" w:space="0" w:color="auto"/>
        <w:right w:val="none" w:sz="0" w:space="0" w:color="auto"/>
      </w:divBdr>
    </w:div>
    <w:div w:id="1844516501">
      <w:bodyDiv w:val="1"/>
      <w:marLeft w:val="0"/>
      <w:marRight w:val="0"/>
      <w:marTop w:val="0"/>
      <w:marBottom w:val="0"/>
      <w:divBdr>
        <w:top w:val="none" w:sz="0" w:space="0" w:color="auto"/>
        <w:left w:val="none" w:sz="0" w:space="0" w:color="auto"/>
        <w:bottom w:val="none" w:sz="0" w:space="0" w:color="auto"/>
        <w:right w:val="none" w:sz="0" w:space="0" w:color="auto"/>
      </w:divBdr>
    </w:div>
    <w:div w:id="1968853605">
      <w:bodyDiv w:val="1"/>
      <w:marLeft w:val="0"/>
      <w:marRight w:val="0"/>
      <w:marTop w:val="0"/>
      <w:marBottom w:val="0"/>
      <w:divBdr>
        <w:top w:val="none" w:sz="0" w:space="0" w:color="auto"/>
        <w:left w:val="none" w:sz="0" w:space="0" w:color="auto"/>
        <w:bottom w:val="none" w:sz="0" w:space="0" w:color="auto"/>
        <w:right w:val="none" w:sz="0" w:space="0" w:color="auto"/>
      </w:divBdr>
    </w:div>
    <w:div w:id="2041391258">
      <w:bodyDiv w:val="1"/>
      <w:marLeft w:val="0"/>
      <w:marRight w:val="0"/>
      <w:marTop w:val="0"/>
      <w:marBottom w:val="0"/>
      <w:divBdr>
        <w:top w:val="none" w:sz="0" w:space="0" w:color="auto"/>
        <w:left w:val="none" w:sz="0" w:space="0" w:color="auto"/>
        <w:bottom w:val="none" w:sz="0" w:space="0" w:color="auto"/>
        <w:right w:val="none" w:sz="0" w:space="0" w:color="auto"/>
      </w:divBdr>
    </w:div>
    <w:div w:id="2085033208">
      <w:bodyDiv w:val="1"/>
      <w:marLeft w:val="0"/>
      <w:marRight w:val="0"/>
      <w:marTop w:val="0"/>
      <w:marBottom w:val="0"/>
      <w:divBdr>
        <w:top w:val="none" w:sz="0" w:space="0" w:color="auto"/>
        <w:left w:val="none" w:sz="0" w:space="0" w:color="auto"/>
        <w:bottom w:val="none" w:sz="0" w:space="0" w:color="auto"/>
        <w:right w:val="none" w:sz="0" w:space="0" w:color="auto"/>
      </w:divBdr>
    </w:div>
    <w:div w:id="2101480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welley\Documents\080609%20ODC%20Me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Knowledge Base Document" ma:contentTypeID="0x0101004E0C76BA01FE49858DBF5D9F1A50EB5B00DCBFC84B25FE5845AA9D5B88FE5CA733" ma:contentTypeVersion="0" ma:contentTypeDescription="Upload a document to the Knowledge Base" ma:contentTypeScope="" ma:versionID="93a2932ef802fbf9e5c09618c4faaa77">
  <xsd:schema xmlns:xsd="http://www.w3.org/2001/XMLSchema" xmlns:p="http://schemas.microsoft.com/office/2006/metadata/properties" xmlns:ns2="C33DFDBF-D427-4D8C-9433-18B0852770B1" targetNamespace="http://schemas.microsoft.com/office/2006/metadata/properties" ma:root="true" ma:fieldsID="356e321087c26ceef0bf51eb121e3a29" ns2:_="">
    <xsd:import namespace="C33DFDBF-D427-4D8C-9433-18B0852770B1"/>
    <xsd:element name="properties">
      <xsd:complexType>
        <xsd:sequence>
          <xsd:element name="documentManagement">
            <xsd:complexType>
              <xsd:all>
                <xsd:element ref="ns2:KBKeywords" minOccurs="0"/>
                <xsd:element ref="ns2:KBRelatedArticles" minOccurs="0"/>
              </xsd:all>
            </xsd:complexType>
          </xsd:element>
        </xsd:sequence>
      </xsd:complexType>
    </xsd:element>
  </xsd:schema>
  <xsd:schema xmlns:xsd="http://www.w3.org/2001/XMLSchema" xmlns:dms="http://schemas.microsoft.com/office/2006/documentManagement/types" targetNamespace="C33DFDBF-D427-4D8C-9433-18B0852770B1" elementFormDefault="qualified">
    <xsd:import namespace="http://schemas.microsoft.com/office/2006/documentManagement/types"/>
    <xsd:element name="KBKeywords" ma:index="8" nillable="true" ma:displayName="Keywords" ma:list="{DA6953EC-B39E-4AB8-AA4D-41A59267F8F8}" ma:internalName="KBKeywords" ma:showField="Title">
      <xsd:complexType>
        <xsd:complexContent>
          <xsd:extension base="dms:MultiChoiceLookup">
            <xsd:sequence>
              <xsd:element name="Value" type="dms:Lookup" maxOccurs="unbounded" minOccurs="0" nillable="true"/>
            </xsd:sequence>
          </xsd:extension>
        </xsd:complexContent>
      </xsd:complexType>
    </xsd:element>
    <xsd:element name="KBRelatedArticles" ma:index="9" nillable="true" ma:displayName="Related Articles" ma:list="Self" ma:internalName="KBRelatedArticles" ma:showField="TextFileNam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KBRelatedArticles xmlns="C33DFDBF-D427-4D8C-9433-18B0852770B1"/>
    <KBKeywords xmlns="C33DFDBF-D427-4D8C-9433-18B0852770B1"/>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BB61F6-042E-43D7-A276-D0E45A703E50}">
  <ds:schemaRefs>
    <ds:schemaRef ds:uri="http://schemas.microsoft.com/sharepoint/v3/contenttype/forms"/>
  </ds:schemaRefs>
</ds:datastoreItem>
</file>

<file path=customXml/itemProps2.xml><?xml version="1.0" encoding="utf-8"?>
<ds:datastoreItem xmlns:ds="http://schemas.openxmlformats.org/officeDocument/2006/customXml" ds:itemID="{63DBD795-98F1-4C6E-8170-36767D82E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3DFDBF-D427-4D8C-9433-18B0852770B1"/>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3D953C9-A535-4CE9-8962-64B7B8066807}">
  <ds:schemaRefs>
    <ds:schemaRef ds:uri="http://schemas.microsoft.com/office/2006/metadata/properties"/>
    <ds:schemaRef ds:uri="C33DFDBF-D427-4D8C-9433-18B0852770B1"/>
  </ds:schemaRefs>
</ds:datastoreItem>
</file>

<file path=customXml/itemProps4.xml><?xml version="1.0" encoding="utf-8"?>
<ds:datastoreItem xmlns:ds="http://schemas.openxmlformats.org/officeDocument/2006/customXml" ds:itemID="{024457C8-0870-4B28-9B7A-8E2EB0711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080609 ODC Memo</Template>
  <TotalTime>15</TotalTime>
  <Pages>14</Pages>
  <Words>3244</Words>
  <Characters>19333</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Template Guideline work by Mary</vt:lpstr>
    </vt:vector>
  </TitlesOfParts>
  <Company>Equipoise Consulting Inc</Company>
  <LinksUpToDate>false</LinksUpToDate>
  <CharactersWithSpaces>22532</CharactersWithSpaces>
  <SharedDoc>false</SharedDoc>
  <HLinks>
    <vt:vector size="36" baseType="variant">
      <vt:variant>
        <vt:i4>1048627</vt:i4>
      </vt:variant>
      <vt:variant>
        <vt:i4>47</vt:i4>
      </vt:variant>
      <vt:variant>
        <vt:i4>0</vt:i4>
      </vt:variant>
      <vt:variant>
        <vt:i4>5</vt:i4>
      </vt:variant>
      <vt:variant>
        <vt:lpwstr/>
      </vt:variant>
      <vt:variant>
        <vt:lpwstr>_Toc214678284</vt:lpwstr>
      </vt:variant>
      <vt:variant>
        <vt:i4>1048627</vt:i4>
      </vt:variant>
      <vt:variant>
        <vt:i4>38</vt:i4>
      </vt:variant>
      <vt:variant>
        <vt:i4>0</vt:i4>
      </vt:variant>
      <vt:variant>
        <vt:i4>5</vt:i4>
      </vt:variant>
      <vt:variant>
        <vt:lpwstr/>
      </vt:variant>
      <vt:variant>
        <vt:lpwstr>_Toc214678282</vt:lpwstr>
      </vt:variant>
      <vt:variant>
        <vt:i4>2031667</vt:i4>
      </vt:variant>
      <vt:variant>
        <vt:i4>29</vt:i4>
      </vt:variant>
      <vt:variant>
        <vt:i4>0</vt:i4>
      </vt:variant>
      <vt:variant>
        <vt:i4>5</vt:i4>
      </vt:variant>
      <vt:variant>
        <vt:lpwstr/>
      </vt:variant>
      <vt:variant>
        <vt:lpwstr>_Toc214678279</vt:lpwstr>
      </vt:variant>
      <vt:variant>
        <vt:i4>2031667</vt:i4>
      </vt:variant>
      <vt:variant>
        <vt:i4>20</vt:i4>
      </vt:variant>
      <vt:variant>
        <vt:i4>0</vt:i4>
      </vt:variant>
      <vt:variant>
        <vt:i4>5</vt:i4>
      </vt:variant>
      <vt:variant>
        <vt:lpwstr/>
      </vt:variant>
      <vt:variant>
        <vt:lpwstr>_Toc214678276</vt:lpwstr>
      </vt:variant>
      <vt:variant>
        <vt:i4>2031667</vt:i4>
      </vt:variant>
      <vt:variant>
        <vt:i4>11</vt:i4>
      </vt:variant>
      <vt:variant>
        <vt:i4>0</vt:i4>
      </vt:variant>
      <vt:variant>
        <vt:i4>5</vt:i4>
      </vt:variant>
      <vt:variant>
        <vt:lpwstr/>
      </vt:variant>
      <vt:variant>
        <vt:lpwstr>_Toc214678274</vt:lpwstr>
      </vt:variant>
      <vt:variant>
        <vt:i4>2031667</vt:i4>
      </vt:variant>
      <vt:variant>
        <vt:i4>5</vt:i4>
      </vt:variant>
      <vt:variant>
        <vt:i4>0</vt:i4>
      </vt:variant>
      <vt:variant>
        <vt:i4>5</vt:i4>
      </vt:variant>
      <vt:variant>
        <vt:lpwstr/>
      </vt:variant>
      <vt:variant>
        <vt:lpwstr>_Toc214678273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Guideline work by Mary</dc:title>
  <dc:creator>adwelley</dc:creator>
  <cp:lastModifiedBy>adwelley</cp:lastModifiedBy>
  <cp:revision>4</cp:revision>
  <cp:lastPrinted>2012-04-19T16:27:00Z</cp:lastPrinted>
  <dcterms:created xsi:type="dcterms:W3CDTF">2012-05-30T15:51:00Z</dcterms:created>
  <dcterms:modified xsi:type="dcterms:W3CDTF">2012-05-30T15:58:00Z</dcterms:modified>
  <cp:contentType>Knowledge Base 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0x0101004E0C76BA01FE49858DBF5D9F1A50EB5B00DCBFC84B25FE5845AA9D5B88FE5CA733</vt:lpwstr>
  </property>
</Properties>
</file>