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0A0" w:firstRow="1" w:lastRow="0" w:firstColumn="1" w:lastColumn="0" w:noHBand="0" w:noVBand="0"/>
      </w:tblPr>
      <w:tblGrid>
        <w:gridCol w:w="825"/>
        <w:gridCol w:w="8175"/>
      </w:tblGrid>
      <w:tr w:rsidR="000A60E3" w14:paraId="2F9B6074" w14:textId="77777777" w:rsidTr="00A92A63">
        <w:tc>
          <w:tcPr>
            <w:tcW w:w="826" w:type="dxa"/>
          </w:tcPr>
          <w:p w14:paraId="6BBA13E8" w14:textId="77777777" w:rsidR="000A60E3" w:rsidRPr="006703D6" w:rsidRDefault="0068512A" w:rsidP="006703D6">
            <w:pPr>
              <w:pStyle w:val="MemoLabel"/>
            </w:pPr>
            <w:r w:rsidRPr="006703D6">
              <w:t>To:</w:t>
            </w:r>
          </w:p>
        </w:tc>
        <w:tc>
          <w:tcPr>
            <w:tcW w:w="8390" w:type="dxa"/>
          </w:tcPr>
          <w:p w14:paraId="5C9A898A" w14:textId="1994AC4E" w:rsidR="000A60E3" w:rsidRPr="00A92A63" w:rsidRDefault="003A4512" w:rsidP="006703D6">
            <w:pPr>
              <w:pStyle w:val="MemoBody"/>
            </w:pPr>
            <w:r>
              <w:t xml:space="preserve">Illinois </w:t>
            </w:r>
            <w:r w:rsidR="003602BD">
              <w:t>Technical Advisory Committee (TAC)</w:t>
            </w:r>
            <w:r w:rsidDel="003A4512">
              <w:t xml:space="preserve"> </w:t>
            </w:r>
          </w:p>
        </w:tc>
      </w:tr>
      <w:tr w:rsidR="000A60E3" w14:paraId="0F14B943" w14:textId="77777777" w:rsidTr="00A92A63">
        <w:tc>
          <w:tcPr>
            <w:tcW w:w="826" w:type="dxa"/>
          </w:tcPr>
          <w:p w14:paraId="76D01C80" w14:textId="77777777" w:rsidR="000A60E3" w:rsidRPr="006703D6" w:rsidRDefault="000A60E3" w:rsidP="006703D6">
            <w:pPr>
              <w:pStyle w:val="MemoLabel"/>
            </w:pPr>
          </w:p>
        </w:tc>
        <w:tc>
          <w:tcPr>
            <w:tcW w:w="8390" w:type="dxa"/>
          </w:tcPr>
          <w:p w14:paraId="28E25CF4" w14:textId="77777777" w:rsidR="000A60E3" w:rsidRPr="00A92A63" w:rsidRDefault="000A60E3" w:rsidP="006703D6">
            <w:pPr>
              <w:pStyle w:val="MemoBody"/>
            </w:pPr>
          </w:p>
        </w:tc>
      </w:tr>
      <w:tr w:rsidR="000A60E3" w14:paraId="6E4454EC" w14:textId="77777777" w:rsidTr="00A92A63">
        <w:tc>
          <w:tcPr>
            <w:tcW w:w="826" w:type="dxa"/>
          </w:tcPr>
          <w:p w14:paraId="2913F0CB" w14:textId="77777777" w:rsidR="000A60E3" w:rsidRPr="006703D6" w:rsidRDefault="0068512A" w:rsidP="006703D6">
            <w:pPr>
              <w:pStyle w:val="MemoLabel"/>
            </w:pPr>
            <w:r w:rsidRPr="006703D6">
              <w:t>From:</w:t>
            </w:r>
          </w:p>
        </w:tc>
        <w:tc>
          <w:tcPr>
            <w:tcW w:w="8390" w:type="dxa"/>
          </w:tcPr>
          <w:p w14:paraId="7D097116" w14:textId="7C8C5582" w:rsidR="000A60E3" w:rsidRPr="00A92A63" w:rsidRDefault="00BA0382" w:rsidP="006703D6">
            <w:pPr>
              <w:pStyle w:val="MemoBody"/>
            </w:pPr>
            <w:r>
              <w:t>Ryan Powanda, Qi Jin, Vergil Weatherford, Sagar Deo</w:t>
            </w:r>
            <w:r w:rsidR="003602BD">
              <w:t xml:space="preserve">; Navigant </w:t>
            </w:r>
          </w:p>
        </w:tc>
      </w:tr>
      <w:tr w:rsidR="000A60E3" w14:paraId="5FF9E1AB" w14:textId="77777777" w:rsidTr="00A92A63">
        <w:tc>
          <w:tcPr>
            <w:tcW w:w="826" w:type="dxa"/>
          </w:tcPr>
          <w:p w14:paraId="4E7ACC5B" w14:textId="77777777" w:rsidR="000A60E3" w:rsidRPr="006703D6" w:rsidRDefault="000A60E3" w:rsidP="006703D6">
            <w:pPr>
              <w:pStyle w:val="MemoLabel"/>
            </w:pPr>
          </w:p>
        </w:tc>
        <w:tc>
          <w:tcPr>
            <w:tcW w:w="8390" w:type="dxa"/>
          </w:tcPr>
          <w:p w14:paraId="57FEAB2E" w14:textId="77777777" w:rsidR="000A60E3" w:rsidRPr="00A92A63" w:rsidRDefault="000A60E3" w:rsidP="006703D6">
            <w:pPr>
              <w:pStyle w:val="MemoBody"/>
            </w:pPr>
          </w:p>
        </w:tc>
      </w:tr>
      <w:tr w:rsidR="000A60E3" w14:paraId="57C0F281" w14:textId="77777777" w:rsidTr="00A92A63">
        <w:tc>
          <w:tcPr>
            <w:tcW w:w="826" w:type="dxa"/>
          </w:tcPr>
          <w:p w14:paraId="105354C9" w14:textId="77777777" w:rsidR="000A60E3" w:rsidRPr="006703D6" w:rsidRDefault="0068512A" w:rsidP="006703D6">
            <w:pPr>
              <w:pStyle w:val="MemoLabel"/>
            </w:pPr>
            <w:r w:rsidRPr="006703D6">
              <w:t>Date:</w:t>
            </w:r>
          </w:p>
        </w:tc>
        <w:tc>
          <w:tcPr>
            <w:tcW w:w="8390" w:type="dxa"/>
          </w:tcPr>
          <w:p w14:paraId="67E85991" w14:textId="74B9F3E0" w:rsidR="000A60E3" w:rsidRPr="00A92A63" w:rsidRDefault="00BA0382" w:rsidP="006703D6">
            <w:pPr>
              <w:pStyle w:val="MemoBody"/>
            </w:pPr>
            <w:r>
              <w:t>June 2</w:t>
            </w:r>
            <w:r w:rsidR="00137517">
              <w:t>8</w:t>
            </w:r>
            <w:r>
              <w:t>, 2018</w:t>
            </w:r>
          </w:p>
        </w:tc>
      </w:tr>
      <w:tr w:rsidR="000A60E3" w14:paraId="76F28382" w14:textId="77777777" w:rsidTr="00A92A63">
        <w:tc>
          <w:tcPr>
            <w:tcW w:w="826" w:type="dxa"/>
          </w:tcPr>
          <w:p w14:paraId="20242F1C" w14:textId="77777777" w:rsidR="000A60E3" w:rsidRPr="006703D6" w:rsidRDefault="000A60E3" w:rsidP="006703D6">
            <w:pPr>
              <w:pStyle w:val="MemoLabel"/>
            </w:pPr>
          </w:p>
        </w:tc>
        <w:tc>
          <w:tcPr>
            <w:tcW w:w="8390" w:type="dxa"/>
          </w:tcPr>
          <w:p w14:paraId="272FFC65" w14:textId="77777777" w:rsidR="000A60E3" w:rsidRPr="00A92A63" w:rsidRDefault="000A60E3" w:rsidP="006703D6">
            <w:pPr>
              <w:pStyle w:val="MemoBody"/>
            </w:pPr>
          </w:p>
        </w:tc>
      </w:tr>
      <w:tr w:rsidR="000A60E3" w14:paraId="2EB6088B" w14:textId="77777777" w:rsidTr="00A92A63">
        <w:tc>
          <w:tcPr>
            <w:tcW w:w="826" w:type="dxa"/>
          </w:tcPr>
          <w:p w14:paraId="50AC03BE" w14:textId="77777777" w:rsidR="000A60E3" w:rsidRPr="006703D6" w:rsidRDefault="0068512A" w:rsidP="006703D6">
            <w:pPr>
              <w:pStyle w:val="MemoLabel"/>
            </w:pPr>
            <w:r w:rsidRPr="006703D6">
              <w:t>Re:</w:t>
            </w:r>
          </w:p>
        </w:tc>
        <w:tc>
          <w:tcPr>
            <w:tcW w:w="8390" w:type="dxa"/>
          </w:tcPr>
          <w:p w14:paraId="7218710E" w14:textId="1A6A22A1" w:rsidR="000A60E3" w:rsidRPr="00A92A63" w:rsidRDefault="00137517" w:rsidP="006703D6">
            <w:pPr>
              <w:pStyle w:val="MemoBody"/>
            </w:pPr>
            <w:r>
              <w:t xml:space="preserve">Illinois </w:t>
            </w:r>
            <w:r w:rsidR="00D2021A">
              <w:t xml:space="preserve">Commercial Lighting </w:t>
            </w:r>
            <w:r w:rsidR="00BA0382">
              <w:t xml:space="preserve">Load Shape </w:t>
            </w:r>
            <w:r w:rsidR="00D2021A">
              <w:t>Development</w:t>
            </w:r>
            <w:r w:rsidR="003D31D7">
              <w:t xml:space="preserve"> Using EmPOWER Maryland Lighting Logger Data</w:t>
            </w:r>
          </w:p>
        </w:tc>
      </w:tr>
    </w:tbl>
    <w:p w14:paraId="18728A0D" w14:textId="77777777" w:rsidR="0068512A" w:rsidRDefault="0068512A" w:rsidP="00A92A63">
      <w:pPr>
        <w:pStyle w:val="MemoLabel"/>
      </w:pPr>
    </w:p>
    <w:p w14:paraId="7D26C81F" w14:textId="1FD5DC35" w:rsidR="00BA0382" w:rsidRDefault="00BA0382" w:rsidP="00A92A63">
      <w:pPr>
        <w:pStyle w:val="MemoLabel"/>
      </w:pPr>
    </w:p>
    <w:p w14:paraId="6A6D9958" w14:textId="77777777" w:rsidR="00CA1EC5" w:rsidRDefault="00CA1EC5" w:rsidP="00A92A63">
      <w:pPr>
        <w:pStyle w:val="MemoLabel"/>
      </w:pPr>
    </w:p>
    <w:p w14:paraId="53D83E54" w14:textId="23EA46A4" w:rsidR="00893D9C" w:rsidRDefault="00893D9C" w:rsidP="00CA1EC5">
      <w:pPr>
        <w:pStyle w:val="Heading1"/>
      </w:pPr>
      <w:bookmarkStart w:id="0" w:name="_Ref480881796"/>
      <w:bookmarkStart w:id="1" w:name="_Toc480915184"/>
      <w:bookmarkStart w:id="2" w:name="_Toc481004147"/>
      <w:bookmarkStart w:id="3" w:name="_Toc482013055"/>
      <w:bookmarkStart w:id="4" w:name="_Ref480829578"/>
      <w:bookmarkStart w:id="5" w:name="_Toc480915182"/>
      <w:bookmarkStart w:id="6" w:name="_Toc481004145"/>
      <w:bookmarkStart w:id="7" w:name="_Toc482013053"/>
      <w:bookmarkStart w:id="8" w:name="_GoBack"/>
      <w:bookmarkEnd w:id="8"/>
      <w:r>
        <w:t>Introduction</w:t>
      </w:r>
    </w:p>
    <w:p w14:paraId="6DA4CEAD" w14:textId="77777777" w:rsidR="00CA1EC5" w:rsidRPr="00CA1EC5" w:rsidRDefault="00CA1EC5" w:rsidP="00CA1EC5"/>
    <w:p w14:paraId="7958C2F9" w14:textId="372C4088" w:rsidR="00803D62" w:rsidRDefault="00803D62" w:rsidP="002829DB">
      <w:r>
        <w:t>This memorandum details Navigant’s approach in summarizing commercial lighting logger data collected</w:t>
      </w:r>
      <w:r w:rsidR="00D06A2E">
        <w:t xml:space="preserve"> during five separate metering studies for EmPOWER, Maryland</w:t>
      </w:r>
      <w:r w:rsidR="002829DB">
        <w:t xml:space="preserve">, during the years 2010, 2011, 2012, 2013, and 2016. These data are summarized to </w:t>
      </w:r>
      <w:r>
        <w:t xml:space="preserve">derive 8760 lighting load shapes for the Illinois </w:t>
      </w:r>
      <w:r w:rsidR="00D34457">
        <w:t>Technical Reference Manual (</w:t>
      </w:r>
      <w:r>
        <w:t>TRM</w:t>
      </w:r>
      <w:r w:rsidR="00D34457">
        <w:t>)</w:t>
      </w:r>
      <w:r>
        <w:t xml:space="preserve">. Navigant </w:t>
      </w:r>
      <w:r w:rsidR="00145656">
        <w:t>is recommending</w:t>
      </w:r>
      <w:r>
        <w:t xml:space="preserve"> that the IL </w:t>
      </w:r>
      <w:r w:rsidR="003602BD">
        <w:t>Technical Advisory Committee</w:t>
      </w:r>
      <w:r>
        <w:t xml:space="preserve"> (IL </w:t>
      </w:r>
      <w:r w:rsidR="003602BD">
        <w:t>TAC</w:t>
      </w:r>
      <w:r>
        <w:t>) adopt thes</w:t>
      </w:r>
      <w:r w:rsidR="00145656">
        <w:t xml:space="preserve">e lighting load shapes </w:t>
      </w:r>
      <w:r w:rsidR="003602BD">
        <w:t xml:space="preserve">in the </w:t>
      </w:r>
      <w:r w:rsidR="00145656">
        <w:t>IL TRM</w:t>
      </w:r>
      <w:r w:rsidR="00E96684">
        <w:t xml:space="preserve"> </w:t>
      </w:r>
      <w:r>
        <w:t>in the interim while additional primary research is conducted in Illinois during forthcoming commercial lighting metering studies.</w:t>
      </w:r>
      <w:r w:rsidR="006F7500">
        <w:t xml:space="preserve"> Navigant submits the building-level and commercial sector-level load shapes as a separate Microsoft Excel file to the IL TAC.</w:t>
      </w:r>
      <w:r w:rsidR="006F7500">
        <w:rPr>
          <w:rStyle w:val="FootnoteReference"/>
        </w:rPr>
        <w:footnoteReference w:id="1"/>
      </w:r>
      <w:r w:rsidR="00145656">
        <w:t xml:space="preserve"> </w:t>
      </w:r>
    </w:p>
    <w:p w14:paraId="0566CD04" w14:textId="77777777" w:rsidR="00D6382F" w:rsidRDefault="00D6382F" w:rsidP="00893D9C"/>
    <w:p w14:paraId="2D209ACB" w14:textId="1BCFD609" w:rsidR="002829DB" w:rsidRDefault="00D2021A" w:rsidP="00C962CC">
      <w:r>
        <w:t>Navigant</w:t>
      </w:r>
      <w:r w:rsidR="002829DB">
        <w:t>’s commercial lighting metering study conducted in Maryland in 2016</w:t>
      </w:r>
      <w:r>
        <w:t xml:space="preserve"> </w:t>
      </w:r>
      <w:r w:rsidR="002829DB">
        <w:t>was a long-term metering study intended to log</w:t>
      </w:r>
      <w:r w:rsidR="00C962CC">
        <w:t xml:space="preserve"> both summer and winter</w:t>
      </w:r>
      <w:r w:rsidR="00F736C7">
        <w:t xml:space="preserve"> </w:t>
      </w:r>
      <w:r w:rsidR="00C962CC">
        <w:t xml:space="preserve">periods and </w:t>
      </w:r>
      <w:r w:rsidR="002829DB">
        <w:t xml:space="preserve">to </w:t>
      </w:r>
      <w:r w:rsidR="00C962CC">
        <w:t>determine whether commercial lighting consumption varies from month to month</w:t>
      </w:r>
      <w:r w:rsidR="003602BD">
        <w:t xml:space="preserve"> and</w:t>
      </w:r>
      <w:r w:rsidR="00C962CC">
        <w:t xml:space="preserve"> throughout the year</w:t>
      </w:r>
      <w:r w:rsidR="002829DB">
        <w:t>. These results provided</w:t>
      </w:r>
      <w:r w:rsidR="00C962CC">
        <w:t xml:space="preserve"> statistically robust estimates of peak demand impacts during both summer and winter PJM interconnection performance periods. Navigant submitted the </w:t>
      </w:r>
      <w:r w:rsidR="003602BD">
        <w:t>hours of use (</w:t>
      </w:r>
      <w:r w:rsidR="00C962CC">
        <w:t>HOU</w:t>
      </w:r>
      <w:r w:rsidR="003602BD">
        <w:t>)</w:t>
      </w:r>
      <w:r w:rsidR="00C962CC">
        <w:t xml:space="preserve"> and</w:t>
      </w:r>
      <w:r w:rsidR="003602BD">
        <w:t xml:space="preserve"> coincidence factor (</w:t>
      </w:r>
      <w:r w:rsidR="00C962CC">
        <w:t>CF</w:t>
      </w:r>
      <w:r w:rsidR="003602BD">
        <w:t>)</w:t>
      </w:r>
      <w:r w:rsidR="00C962CC">
        <w:t xml:space="preserve"> results from this study to the </w:t>
      </w:r>
      <w:r>
        <w:t>Mid-Atlantic TRM</w:t>
      </w:r>
      <w:r w:rsidR="002829DB">
        <w:rPr>
          <w:rStyle w:val="FootnoteReference"/>
        </w:rPr>
        <w:footnoteReference w:id="2"/>
      </w:r>
      <w:r w:rsidR="00C962CC">
        <w:t xml:space="preserve">, and also provides detailed documentation </w:t>
      </w:r>
      <w:r w:rsidR="00C962CC">
        <w:lastRenderedPageBreak/>
        <w:t>of study design and</w:t>
      </w:r>
      <w:r w:rsidR="009E631E">
        <w:t xml:space="preserve"> </w:t>
      </w:r>
      <w:r w:rsidR="00C962CC">
        <w:t xml:space="preserve">methods in </w:t>
      </w:r>
      <w:r w:rsidR="00A16979">
        <w:t xml:space="preserve">a recent </w:t>
      </w:r>
      <w:r w:rsidR="00F736C7">
        <w:t>International Energy Program Evaluation Conference (</w:t>
      </w:r>
      <w:r w:rsidR="00A16979">
        <w:t>IEPEC</w:t>
      </w:r>
      <w:r w:rsidR="00F736C7">
        <w:t>)</w:t>
      </w:r>
      <w:r w:rsidR="00A16979">
        <w:t xml:space="preserve"> conference paper detailing </w:t>
      </w:r>
      <w:r w:rsidR="00C962CC">
        <w:t>the EmPOWER</w:t>
      </w:r>
      <w:r w:rsidR="009E631E">
        <w:t xml:space="preserve"> 2017 Winter Metering </w:t>
      </w:r>
      <w:r w:rsidR="00A16979">
        <w:t>study.</w:t>
      </w:r>
      <w:r w:rsidR="00A16979">
        <w:rPr>
          <w:rStyle w:val="FootnoteReference"/>
        </w:rPr>
        <w:footnoteReference w:id="3"/>
      </w:r>
      <w:r w:rsidR="00A16979">
        <w:t xml:space="preserve"> </w:t>
      </w:r>
    </w:p>
    <w:p w14:paraId="0280251F" w14:textId="51CCD8DD" w:rsidR="002829DB" w:rsidRDefault="002829DB" w:rsidP="00C962CC"/>
    <w:p w14:paraId="3AA889AD" w14:textId="40142366" w:rsidR="00D6382F" w:rsidRDefault="00D6382F" w:rsidP="00C962CC">
      <w:r>
        <w:fldChar w:fldCharType="begin"/>
      </w:r>
      <w:r>
        <w:instrText xml:space="preserve"> REF _Ref517885487 \h </w:instrText>
      </w:r>
      <w:r>
        <w:fldChar w:fldCharType="separate"/>
      </w:r>
      <w:r>
        <w:t xml:space="preserve">Table </w:t>
      </w:r>
      <w:r>
        <w:rPr>
          <w:noProof/>
        </w:rPr>
        <w:t>1</w:t>
      </w:r>
      <w:r>
        <w:fldChar w:fldCharType="end"/>
      </w:r>
      <w:r>
        <w:t xml:space="preserve"> shows the number of sites and loggers used from the EmPOWER lighting metering study to derive 8760 load shapes for the IL TRM. These sample sizes are summarized by six primary building types, and an ‘Other’ building type which comprise less frequent building types.</w:t>
      </w:r>
    </w:p>
    <w:p w14:paraId="5F9ED027" w14:textId="3DCA48A6" w:rsidR="006F7500" w:rsidRDefault="00800A0E" w:rsidP="00800A0E">
      <w:pPr>
        <w:tabs>
          <w:tab w:val="left" w:pos="3274"/>
        </w:tabs>
      </w:pPr>
      <w:r>
        <w:tab/>
      </w:r>
    </w:p>
    <w:p w14:paraId="3C5C184D" w14:textId="59F4CBFC" w:rsidR="00D6382F" w:rsidRDefault="00D6382F" w:rsidP="00D6382F">
      <w:pPr>
        <w:pStyle w:val="Caption"/>
      </w:pPr>
      <w:bookmarkStart w:id="9" w:name="_Ref517885487"/>
      <w:r>
        <w:t xml:space="preserve">Table </w:t>
      </w:r>
      <w:r w:rsidR="00CA1EC5">
        <w:fldChar w:fldCharType="begin"/>
      </w:r>
      <w:r w:rsidR="00CA1EC5">
        <w:instrText xml:space="preserve"> SEQ Table \* ARABIC </w:instrText>
      </w:r>
      <w:r w:rsidR="00CA1EC5">
        <w:fldChar w:fldCharType="separate"/>
      </w:r>
      <w:r>
        <w:rPr>
          <w:noProof/>
        </w:rPr>
        <w:t>1</w:t>
      </w:r>
      <w:r w:rsidR="00CA1EC5">
        <w:rPr>
          <w:noProof/>
        </w:rPr>
        <w:fldChar w:fldCharType="end"/>
      </w:r>
      <w:bookmarkEnd w:id="9"/>
      <w:r>
        <w:t>: Lighting Metering Sample Size Summary</w:t>
      </w:r>
      <w:r>
        <w:rPr>
          <w:rStyle w:val="FootnoteReference"/>
        </w:rPr>
        <w:footnoteReference w:id="4"/>
      </w:r>
      <w:r>
        <w:t xml:space="preserve"> </w:t>
      </w:r>
    </w:p>
    <w:tbl>
      <w:tblPr>
        <w:tblStyle w:val="EnergyTable1-Toptwo"/>
        <w:tblW w:w="0" w:type="auto"/>
        <w:tblLayout w:type="fixed"/>
        <w:tblLook w:val="04A0" w:firstRow="1" w:lastRow="0" w:firstColumn="1" w:lastColumn="0" w:noHBand="0" w:noVBand="1"/>
      </w:tblPr>
      <w:tblGrid>
        <w:gridCol w:w="2106"/>
        <w:gridCol w:w="1585"/>
        <w:gridCol w:w="2069"/>
      </w:tblGrid>
      <w:tr w:rsidR="00D6382F" w:rsidRPr="00D8443A" w14:paraId="496847ED" w14:textId="77777777" w:rsidTr="00C23CDF">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2106" w:type="dxa"/>
            <w:hideMark/>
          </w:tcPr>
          <w:p w14:paraId="341D11C6" w14:textId="77777777" w:rsidR="00D6382F" w:rsidRPr="00E14DD9" w:rsidRDefault="00D6382F" w:rsidP="00C23CDF">
            <w:pPr>
              <w:tabs>
                <w:tab w:val="left" w:pos="6015"/>
              </w:tabs>
              <w:rPr>
                <w:rFonts w:ascii="Arial Narrow" w:hAnsi="Arial Narrow"/>
                <w:b w:val="0"/>
                <w:bCs/>
              </w:rPr>
            </w:pPr>
            <w:r w:rsidRPr="00E14DD9">
              <w:rPr>
                <w:rFonts w:ascii="Arial Narrow" w:hAnsi="Arial Narrow"/>
                <w:bCs/>
              </w:rPr>
              <w:t>Building Type</w:t>
            </w:r>
          </w:p>
        </w:tc>
        <w:tc>
          <w:tcPr>
            <w:tcW w:w="1585" w:type="dxa"/>
            <w:hideMark/>
          </w:tcPr>
          <w:p w14:paraId="5A3FB491" w14:textId="77777777" w:rsidR="00D6382F" w:rsidRPr="00E14DD9" w:rsidRDefault="00D6382F" w:rsidP="00C23CDF">
            <w:pPr>
              <w:tabs>
                <w:tab w:val="left" w:pos="6015"/>
              </w:tabs>
              <w:cnfStyle w:val="100000000000" w:firstRow="1" w:lastRow="0" w:firstColumn="0" w:lastColumn="0" w:oddVBand="0" w:evenVBand="0" w:oddHBand="0" w:evenHBand="0" w:firstRowFirstColumn="0" w:firstRowLastColumn="0" w:lastRowFirstColumn="0" w:lastRowLastColumn="0"/>
              <w:rPr>
                <w:rFonts w:ascii="Arial Narrow" w:hAnsi="Arial Narrow"/>
                <w:b w:val="0"/>
                <w:bCs/>
              </w:rPr>
            </w:pPr>
            <w:r w:rsidRPr="00E14DD9">
              <w:rPr>
                <w:rFonts w:ascii="Arial Narrow" w:hAnsi="Arial Narrow"/>
                <w:bCs/>
              </w:rPr>
              <w:t xml:space="preserve">Number of </w:t>
            </w:r>
            <w:r>
              <w:rPr>
                <w:rFonts w:ascii="Arial Narrow" w:hAnsi="Arial Narrow"/>
                <w:bCs/>
              </w:rPr>
              <w:t>Logged S</w:t>
            </w:r>
            <w:r w:rsidRPr="00E14DD9">
              <w:rPr>
                <w:rFonts w:ascii="Arial Narrow" w:hAnsi="Arial Narrow"/>
                <w:bCs/>
              </w:rPr>
              <w:t>ites</w:t>
            </w:r>
          </w:p>
        </w:tc>
        <w:tc>
          <w:tcPr>
            <w:tcW w:w="2069" w:type="dxa"/>
            <w:hideMark/>
          </w:tcPr>
          <w:p w14:paraId="58FEFE22" w14:textId="77777777" w:rsidR="00D6382F" w:rsidRPr="00E14DD9" w:rsidRDefault="00D6382F" w:rsidP="00C23CDF">
            <w:pPr>
              <w:tabs>
                <w:tab w:val="left" w:pos="6015"/>
              </w:tabs>
              <w:cnfStyle w:val="100000000000" w:firstRow="1" w:lastRow="0" w:firstColumn="0" w:lastColumn="0" w:oddVBand="0" w:evenVBand="0" w:oddHBand="0" w:evenHBand="0" w:firstRowFirstColumn="0" w:firstRowLastColumn="0" w:lastRowFirstColumn="0" w:lastRowLastColumn="0"/>
              <w:rPr>
                <w:rFonts w:ascii="Arial Narrow" w:hAnsi="Arial Narrow"/>
                <w:b w:val="0"/>
                <w:bCs/>
              </w:rPr>
            </w:pPr>
            <w:r>
              <w:rPr>
                <w:rFonts w:ascii="Arial Narrow" w:hAnsi="Arial Narrow"/>
                <w:bCs/>
              </w:rPr>
              <w:t xml:space="preserve">Total </w:t>
            </w:r>
            <w:r w:rsidRPr="00E14DD9">
              <w:rPr>
                <w:rFonts w:ascii="Arial Narrow" w:hAnsi="Arial Narrow"/>
                <w:bCs/>
              </w:rPr>
              <w:t xml:space="preserve">Number of </w:t>
            </w:r>
            <w:r>
              <w:rPr>
                <w:rFonts w:ascii="Arial Narrow" w:hAnsi="Arial Narrow"/>
                <w:bCs/>
              </w:rPr>
              <w:t>Lighting L</w:t>
            </w:r>
            <w:r w:rsidRPr="00E14DD9">
              <w:rPr>
                <w:rFonts w:ascii="Arial Narrow" w:hAnsi="Arial Narrow"/>
                <w:bCs/>
              </w:rPr>
              <w:t>oggers</w:t>
            </w:r>
            <w:r>
              <w:rPr>
                <w:rFonts w:ascii="Arial Narrow" w:hAnsi="Arial Narrow"/>
                <w:bCs/>
              </w:rPr>
              <w:t xml:space="preserve"> Included in Analysis</w:t>
            </w:r>
          </w:p>
        </w:tc>
      </w:tr>
      <w:tr w:rsidR="00D6382F" w:rsidRPr="00D8443A" w14:paraId="23969131" w14:textId="77777777" w:rsidTr="00C23CD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noWrap/>
            <w:hideMark/>
          </w:tcPr>
          <w:p w14:paraId="409C2651" w14:textId="77777777" w:rsidR="00D6382F" w:rsidRPr="00E14DD9" w:rsidRDefault="00D6382F" w:rsidP="00C23CDF">
            <w:pPr>
              <w:tabs>
                <w:tab w:val="left" w:pos="6015"/>
              </w:tabs>
              <w:rPr>
                <w:rFonts w:ascii="Arial Narrow" w:hAnsi="Arial Narrow"/>
              </w:rPr>
            </w:pPr>
            <w:r w:rsidRPr="00E14DD9">
              <w:rPr>
                <w:rFonts w:ascii="Arial Narrow" w:hAnsi="Arial Narrow"/>
              </w:rPr>
              <w:t>Education</w:t>
            </w:r>
          </w:p>
        </w:tc>
        <w:tc>
          <w:tcPr>
            <w:tcW w:w="1585" w:type="dxa"/>
            <w:noWrap/>
          </w:tcPr>
          <w:p w14:paraId="4176B563"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91</w:t>
            </w:r>
          </w:p>
        </w:tc>
        <w:tc>
          <w:tcPr>
            <w:tcW w:w="2069" w:type="dxa"/>
            <w:noWrap/>
          </w:tcPr>
          <w:p w14:paraId="02196724"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244</w:t>
            </w:r>
          </w:p>
        </w:tc>
      </w:tr>
      <w:tr w:rsidR="00D6382F" w:rsidRPr="00D8443A" w14:paraId="3AADF138" w14:textId="77777777" w:rsidTr="00C23CDF">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noWrap/>
            <w:hideMark/>
          </w:tcPr>
          <w:p w14:paraId="624CD8B9" w14:textId="77777777" w:rsidR="00D6382F" w:rsidRPr="00E14DD9" w:rsidRDefault="00D6382F" w:rsidP="00C23CDF">
            <w:pPr>
              <w:tabs>
                <w:tab w:val="left" w:pos="6015"/>
              </w:tabs>
              <w:rPr>
                <w:rFonts w:ascii="Arial Narrow" w:hAnsi="Arial Narrow"/>
              </w:rPr>
            </w:pPr>
            <w:r w:rsidRPr="00E14DD9">
              <w:rPr>
                <w:rFonts w:ascii="Arial Narrow" w:hAnsi="Arial Narrow"/>
              </w:rPr>
              <w:t>Grocery</w:t>
            </w:r>
          </w:p>
        </w:tc>
        <w:tc>
          <w:tcPr>
            <w:tcW w:w="1585" w:type="dxa"/>
            <w:noWrap/>
          </w:tcPr>
          <w:p w14:paraId="39230C78"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23</w:t>
            </w:r>
          </w:p>
        </w:tc>
        <w:tc>
          <w:tcPr>
            <w:tcW w:w="2069" w:type="dxa"/>
            <w:noWrap/>
          </w:tcPr>
          <w:p w14:paraId="10A23A94"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76</w:t>
            </w:r>
          </w:p>
        </w:tc>
      </w:tr>
      <w:tr w:rsidR="00D6382F" w:rsidRPr="00D8443A" w14:paraId="28FF1F5B" w14:textId="77777777" w:rsidTr="00C23CD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noWrap/>
            <w:hideMark/>
          </w:tcPr>
          <w:p w14:paraId="3E0BC6B0" w14:textId="77777777" w:rsidR="00D6382F" w:rsidRPr="00E14DD9" w:rsidRDefault="00D6382F" w:rsidP="00C23CDF">
            <w:pPr>
              <w:tabs>
                <w:tab w:val="left" w:pos="6015"/>
              </w:tabs>
              <w:rPr>
                <w:rFonts w:ascii="Arial Narrow" w:hAnsi="Arial Narrow"/>
              </w:rPr>
            </w:pPr>
            <w:r w:rsidRPr="00E14DD9">
              <w:rPr>
                <w:rFonts w:ascii="Arial Narrow" w:hAnsi="Arial Narrow"/>
              </w:rPr>
              <w:t>Health</w:t>
            </w:r>
          </w:p>
        </w:tc>
        <w:tc>
          <w:tcPr>
            <w:tcW w:w="1585" w:type="dxa"/>
            <w:noWrap/>
          </w:tcPr>
          <w:p w14:paraId="64D22381"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23</w:t>
            </w:r>
          </w:p>
        </w:tc>
        <w:tc>
          <w:tcPr>
            <w:tcW w:w="2069" w:type="dxa"/>
            <w:noWrap/>
          </w:tcPr>
          <w:p w14:paraId="6CA8F655"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87</w:t>
            </w:r>
          </w:p>
        </w:tc>
      </w:tr>
      <w:tr w:rsidR="00D6382F" w:rsidRPr="00D8443A" w14:paraId="1B6ED1E1" w14:textId="77777777" w:rsidTr="00C23CDF">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noWrap/>
            <w:hideMark/>
          </w:tcPr>
          <w:p w14:paraId="5E629EED" w14:textId="77777777" w:rsidR="00D6382F" w:rsidRPr="00E14DD9" w:rsidRDefault="00D6382F" w:rsidP="00C23CDF">
            <w:pPr>
              <w:tabs>
                <w:tab w:val="left" w:pos="6015"/>
              </w:tabs>
              <w:rPr>
                <w:rFonts w:ascii="Arial Narrow" w:hAnsi="Arial Narrow"/>
              </w:rPr>
            </w:pPr>
            <w:r w:rsidRPr="00E14DD9">
              <w:rPr>
                <w:rFonts w:ascii="Arial Narrow" w:hAnsi="Arial Narrow"/>
              </w:rPr>
              <w:t>Office</w:t>
            </w:r>
          </w:p>
        </w:tc>
        <w:tc>
          <w:tcPr>
            <w:tcW w:w="1585" w:type="dxa"/>
            <w:noWrap/>
          </w:tcPr>
          <w:p w14:paraId="0877E522"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51</w:t>
            </w:r>
          </w:p>
        </w:tc>
        <w:tc>
          <w:tcPr>
            <w:tcW w:w="2069" w:type="dxa"/>
            <w:noWrap/>
          </w:tcPr>
          <w:p w14:paraId="7A9E0691"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168</w:t>
            </w:r>
          </w:p>
        </w:tc>
      </w:tr>
      <w:tr w:rsidR="00D6382F" w:rsidRPr="00D8443A" w14:paraId="5750AF1B" w14:textId="77777777" w:rsidTr="00C23CD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tcBorders>
              <w:bottom w:val="single" w:sz="4" w:space="0" w:color="DCDDDE"/>
            </w:tcBorders>
            <w:noWrap/>
            <w:hideMark/>
          </w:tcPr>
          <w:p w14:paraId="0576591E" w14:textId="77777777" w:rsidR="00D6382F" w:rsidRPr="00E14DD9" w:rsidRDefault="00D6382F" w:rsidP="00C23CDF">
            <w:pPr>
              <w:tabs>
                <w:tab w:val="left" w:pos="6015"/>
              </w:tabs>
              <w:rPr>
                <w:rFonts w:ascii="Arial Narrow" w:hAnsi="Arial Narrow"/>
              </w:rPr>
            </w:pPr>
            <w:r w:rsidRPr="00E14DD9">
              <w:rPr>
                <w:rFonts w:ascii="Arial Narrow" w:hAnsi="Arial Narrow"/>
              </w:rPr>
              <w:t>Retail</w:t>
            </w:r>
          </w:p>
        </w:tc>
        <w:tc>
          <w:tcPr>
            <w:tcW w:w="1585" w:type="dxa"/>
            <w:tcBorders>
              <w:bottom w:val="single" w:sz="4" w:space="0" w:color="DCDDDE"/>
            </w:tcBorders>
            <w:noWrap/>
          </w:tcPr>
          <w:p w14:paraId="2845861A"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57</w:t>
            </w:r>
          </w:p>
        </w:tc>
        <w:tc>
          <w:tcPr>
            <w:tcW w:w="2069" w:type="dxa"/>
            <w:tcBorders>
              <w:bottom w:val="single" w:sz="4" w:space="0" w:color="DCDDDE"/>
            </w:tcBorders>
            <w:noWrap/>
          </w:tcPr>
          <w:p w14:paraId="0E3661C0"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156</w:t>
            </w:r>
          </w:p>
        </w:tc>
      </w:tr>
      <w:tr w:rsidR="00D6382F" w:rsidRPr="00D8443A" w14:paraId="411A7DFF" w14:textId="77777777" w:rsidTr="00C23CDF">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tcBorders>
              <w:top w:val="single" w:sz="4" w:space="0" w:color="DCDDDE"/>
              <w:bottom w:val="single" w:sz="4" w:space="0" w:color="BFBFBF" w:themeColor="background1" w:themeShade="BF"/>
            </w:tcBorders>
            <w:noWrap/>
            <w:hideMark/>
          </w:tcPr>
          <w:p w14:paraId="4D5A8D07" w14:textId="77777777" w:rsidR="00D6382F" w:rsidRPr="00E14DD9" w:rsidRDefault="00D6382F" w:rsidP="00C23CDF">
            <w:pPr>
              <w:tabs>
                <w:tab w:val="left" w:pos="6015"/>
              </w:tabs>
              <w:rPr>
                <w:rFonts w:ascii="Arial Narrow" w:hAnsi="Arial Narrow"/>
              </w:rPr>
            </w:pPr>
            <w:r w:rsidRPr="00E14DD9">
              <w:rPr>
                <w:rFonts w:ascii="Arial Narrow" w:hAnsi="Arial Narrow"/>
              </w:rPr>
              <w:t>Warehouse/Industrial</w:t>
            </w:r>
          </w:p>
        </w:tc>
        <w:tc>
          <w:tcPr>
            <w:tcW w:w="1585" w:type="dxa"/>
            <w:tcBorders>
              <w:top w:val="single" w:sz="4" w:space="0" w:color="DCDDDE"/>
              <w:bottom w:val="single" w:sz="4" w:space="0" w:color="BFBFBF" w:themeColor="background1" w:themeShade="BF"/>
            </w:tcBorders>
            <w:noWrap/>
          </w:tcPr>
          <w:p w14:paraId="25E126CD"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71</w:t>
            </w:r>
          </w:p>
        </w:tc>
        <w:tc>
          <w:tcPr>
            <w:tcW w:w="2069" w:type="dxa"/>
            <w:tcBorders>
              <w:top w:val="single" w:sz="4" w:space="0" w:color="DCDDDE"/>
              <w:bottom w:val="single" w:sz="4" w:space="0" w:color="BFBFBF" w:themeColor="background1" w:themeShade="BF"/>
            </w:tcBorders>
            <w:noWrap/>
          </w:tcPr>
          <w:p w14:paraId="499A5778"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251</w:t>
            </w:r>
          </w:p>
        </w:tc>
      </w:tr>
      <w:tr w:rsidR="00D6382F" w:rsidRPr="00D8443A" w14:paraId="473F082F" w14:textId="77777777" w:rsidTr="00C23CD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tcBorders>
              <w:top w:val="single" w:sz="4" w:space="0" w:color="BFBFBF" w:themeColor="background1" w:themeShade="BF"/>
              <w:bottom w:val="single" w:sz="4" w:space="0" w:color="auto"/>
            </w:tcBorders>
            <w:noWrap/>
          </w:tcPr>
          <w:p w14:paraId="30606C97" w14:textId="77777777" w:rsidR="00D6382F" w:rsidRPr="00E14DD9" w:rsidRDefault="00D6382F" w:rsidP="00C23CDF">
            <w:pPr>
              <w:tabs>
                <w:tab w:val="left" w:pos="6015"/>
              </w:tabs>
              <w:rPr>
                <w:rFonts w:ascii="Arial Narrow" w:hAnsi="Arial Narrow"/>
              </w:rPr>
            </w:pPr>
            <w:r w:rsidRPr="00E14DD9">
              <w:rPr>
                <w:rFonts w:ascii="Arial Narrow" w:hAnsi="Arial Narrow"/>
              </w:rPr>
              <w:t>Other</w:t>
            </w:r>
          </w:p>
        </w:tc>
        <w:tc>
          <w:tcPr>
            <w:tcW w:w="1585" w:type="dxa"/>
            <w:tcBorders>
              <w:top w:val="single" w:sz="4" w:space="0" w:color="BFBFBF" w:themeColor="background1" w:themeShade="BF"/>
              <w:bottom w:val="single" w:sz="4" w:space="0" w:color="auto"/>
            </w:tcBorders>
            <w:noWrap/>
          </w:tcPr>
          <w:p w14:paraId="7E32A53C"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201</w:t>
            </w:r>
          </w:p>
        </w:tc>
        <w:tc>
          <w:tcPr>
            <w:tcW w:w="2069" w:type="dxa"/>
            <w:tcBorders>
              <w:top w:val="single" w:sz="4" w:space="0" w:color="BFBFBF" w:themeColor="background1" w:themeShade="BF"/>
              <w:bottom w:val="single" w:sz="4" w:space="0" w:color="auto"/>
            </w:tcBorders>
            <w:noWrap/>
          </w:tcPr>
          <w:p w14:paraId="77F9DA77" w14:textId="77777777" w:rsidR="00D6382F" w:rsidRPr="00E14DD9" w:rsidRDefault="00D6382F" w:rsidP="00C23CDF">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485</w:t>
            </w:r>
          </w:p>
        </w:tc>
      </w:tr>
      <w:tr w:rsidR="00D6382F" w:rsidRPr="00D8443A" w14:paraId="79BBC335" w14:textId="77777777" w:rsidTr="00C23CDF">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106" w:type="dxa"/>
            <w:tcBorders>
              <w:top w:val="single" w:sz="4" w:space="0" w:color="auto"/>
            </w:tcBorders>
            <w:noWrap/>
            <w:hideMark/>
          </w:tcPr>
          <w:p w14:paraId="5829BDC7" w14:textId="77777777" w:rsidR="00D6382F" w:rsidRPr="00E14DD9" w:rsidRDefault="00D6382F" w:rsidP="00C23CDF">
            <w:pPr>
              <w:tabs>
                <w:tab w:val="left" w:pos="6015"/>
              </w:tabs>
              <w:rPr>
                <w:rFonts w:ascii="Arial Narrow" w:hAnsi="Arial Narrow"/>
              </w:rPr>
            </w:pPr>
            <w:r w:rsidRPr="00E14DD9">
              <w:rPr>
                <w:rFonts w:ascii="Arial Narrow" w:hAnsi="Arial Narrow"/>
              </w:rPr>
              <w:t>Total</w:t>
            </w:r>
          </w:p>
        </w:tc>
        <w:tc>
          <w:tcPr>
            <w:tcW w:w="1585" w:type="dxa"/>
            <w:tcBorders>
              <w:top w:val="single" w:sz="4" w:space="0" w:color="auto"/>
            </w:tcBorders>
            <w:noWrap/>
            <w:hideMark/>
          </w:tcPr>
          <w:p w14:paraId="546258CD"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517</w:t>
            </w:r>
          </w:p>
        </w:tc>
        <w:tc>
          <w:tcPr>
            <w:tcW w:w="2069" w:type="dxa"/>
            <w:tcBorders>
              <w:top w:val="single" w:sz="4" w:space="0" w:color="auto"/>
            </w:tcBorders>
            <w:noWrap/>
            <w:hideMark/>
          </w:tcPr>
          <w:p w14:paraId="5BF5A4AF" w14:textId="77777777" w:rsidR="00D6382F" w:rsidRPr="00E14DD9" w:rsidRDefault="00D6382F" w:rsidP="00C23CDF">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1</w:t>
            </w:r>
            <w:r>
              <w:rPr>
                <w:rFonts w:ascii="Arial Narrow" w:hAnsi="Arial Narrow"/>
              </w:rPr>
              <w:t>,</w:t>
            </w:r>
            <w:r w:rsidRPr="00E14DD9">
              <w:rPr>
                <w:rFonts w:ascii="Arial Narrow" w:hAnsi="Arial Narrow"/>
              </w:rPr>
              <w:t>467</w:t>
            </w:r>
          </w:p>
        </w:tc>
      </w:tr>
    </w:tbl>
    <w:p w14:paraId="338F4209" w14:textId="5E033159" w:rsidR="00D6382F" w:rsidRDefault="00A46A31" w:rsidP="00C962CC">
      <w:pPr>
        <w:rPr>
          <w:i/>
          <w:sz w:val="16"/>
        </w:rPr>
      </w:pPr>
      <w:r>
        <w:t xml:space="preserve">                             </w:t>
      </w:r>
      <w:r w:rsidRPr="0087610D">
        <w:rPr>
          <w:i/>
          <w:sz w:val="16"/>
        </w:rPr>
        <w:t xml:space="preserve">Source: Navigant EmPOWER Maryland </w:t>
      </w:r>
      <w:r w:rsidR="0087610D">
        <w:rPr>
          <w:i/>
          <w:sz w:val="16"/>
        </w:rPr>
        <w:t xml:space="preserve">Lighting </w:t>
      </w:r>
      <w:r w:rsidRPr="0087610D">
        <w:rPr>
          <w:i/>
          <w:sz w:val="16"/>
        </w:rPr>
        <w:t>Metering Study</w:t>
      </w:r>
    </w:p>
    <w:p w14:paraId="3B890A0F" w14:textId="370AD67A" w:rsidR="00CA1EC5" w:rsidRDefault="00CA1EC5" w:rsidP="00C962CC">
      <w:pPr>
        <w:rPr>
          <w:i/>
          <w:sz w:val="16"/>
        </w:rPr>
      </w:pPr>
    </w:p>
    <w:p w14:paraId="35D2E268" w14:textId="77777777" w:rsidR="00CA1EC5" w:rsidRPr="0087610D" w:rsidRDefault="00CA1EC5" w:rsidP="00C962CC">
      <w:pPr>
        <w:rPr>
          <w:i/>
        </w:rPr>
      </w:pPr>
    </w:p>
    <w:p w14:paraId="68188547" w14:textId="4B5CF388" w:rsidR="003602BD" w:rsidRDefault="003602BD" w:rsidP="00CA1EC5">
      <w:pPr>
        <w:pStyle w:val="Heading1"/>
      </w:pPr>
      <w:r w:rsidRPr="00D6382F">
        <w:t>Data Analysis Methodology</w:t>
      </w:r>
    </w:p>
    <w:p w14:paraId="47F77D60" w14:textId="77777777" w:rsidR="00CA1EC5" w:rsidRPr="00CA1EC5" w:rsidRDefault="00CA1EC5" w:rsidP="00CA1EC5"/>
    <w:p w14:paraId="338C2F84" w14:textId="2A9291AB" w:rsidR="003D31D7" w:rsidRDefault="003D31D7" w:rsidP="003D31D7">
      <w:r w:rsidRPr="00663622">
        <w:t xml:space="preserve">Navigant used a different analysis methodology to derive 8760 lighting load shapes for the IL than was used in the EmPOWER 2017 Winter Metering study to derive annual HOU and CF results. The EmPOWER study established a relationship between summer and winter peaks based on a regression model fit using the 2016 actual logged period (winter/summer) and applied to the historic (summer-only) data to refine the estimate of winter peak CF. </w:t>
      </w:r>
      <w:r>
        <w:t xml:space="preserve">In the current </w:t>
      </w:r>
      <w:r w:rsidR="00907CAE">
        <w:t>analysis</w:t>
      </w:r>
      <w:r>
        <w:t xml:space="preserve"> of this data for the IL TRM to derive hourly load shapes, Navigant employs </w:t>
      </w:r>
      <w:r w:rsidRPr="00663622">
        <w:t>a simplified approach</w:t>
      </w:r>
      <w:r>
        <w:t xml:space="preserve"> using a</w:t>
      </w:r>
      <w:r w:rsidRPr="00663622">
        <w:t xml:space="preserve"> binned extrapolation</w:t>
      </w:r>
      <w:r>
        <w:t xml:space="preserve"> method to extrapolate </w:t>
      </w:r>
      <w:r w:rsidRPr="00663622">
        <w:t>from logged period</w:t>
      </w:r>
      <w:r>
        <w:t>s</w:t>
      </w:r>
      <w:r w:rsidRPr="00663622">
        <w:t xml:space="preserve"> to </w:t>
      </w:r>
      <w:r>
        <w:t xml:space="preserve">the </w:t>
      </w:r>
      <w:r w:rsidRPr="00663622">
        <w:t>full yea</w:t>
      </w:r>
      <w:r>
        <w:t xml:space="preserve">r. </w:t>
      </w:r>
    </w:p>
    <w:p w14:paraId="7F3B7876" w14:textId="77777777" w:rsidR="003D31D7" w:rsidRDefault="003D31D7" w:rsidP="003D31D7"/>
    <w:p w14:paraId="1EBA0F1E" w14:textId="7278CC91" w:rsidR="003D31D7" w:rsidRPr="002C23E8" w:rsidRDefault="003D31D7" w:rsidP="003D31D7">
      <w:r>
        <w:t xml:space="preserve">In the binned extrapolation method, </w:t>
      </w:r>
      <w:r w:rsidR="00596505">
        <w:t xml:space="preserve">Navigant calculated average </w:t>
      </w:r>
      <w:r>
        <w:t xml:space="preserve">on-time fractions for each </w:t>
      </w:r>
      <w:r w:rsidR="00596505">
        <w:t>logger using the following binning variables - hour of day</w:t>
      </w:r>
      <w:r w:rsidR="004A1205">
        <w:t xml:space="preserve">, </w:t>
      </w:r>
      <w:r w:rsidR="00596505">
        <w:t>w</w:t>
      </w:r>
      <w:r>
        <w:t>eekday</w:t>
      </w:r>
      <w:r w:rsidR="004A1205">
        <w:t xml:space="preserve"> and </w:t>
      </w:r>
      <w:r w:rsidR="00596505">
        <w:t>weekend/holiday day types.</w:t>
      </w:r>
      <w:r>
        <w:t xml:space="preserve"> </w:t>
      </w:r>
      <w:r w:rsidR="00596505">
        <w:lastRenderedPageBreak/>
        <w:t xml:space="preserve">Navigant then used these </w:t>
      </w:r>
      <w:r>
        <w:t xml:space="preserve">binned averages to </w:t>
      </w:r>
      <w:r w:rsidR="00907CAE">
        <w:t>extrapolate</w:t>
      </w:r>
      <w:r w:rsidR="00596505">
        <w:t xml:space="preserve"> to </w:t>
      </w:r>
      <w:r>
        <w:t>hours of the analysis period for which on-time fractions were not logged. For the 2016</w:t>
      </w:r>
      <w:r w:rsidR="00596505">
        <w:t xml:space="preserve"> E</w:t>
      </w:r>
      <w:r w:rsidR="004A1205">
        <w:t>m</w:t>
      </w:r>
      <w:r w:rsidR="00596505">
        <w:t>POWER Winter Metering study</w:t>
      </w:r>
      <w:r>
        <w:t>, the average logged period</w:t>
      </w:r>
      <w:r w:rsidR="00596505">
        <w:t xml:space="preserve"> was</w:t>
      </w:r>
      <w:r>
        <w:t xml:space="preserve"> approximately 9 months during the winter, spring, and summer months. For</w:t>
      </w:r>
      <w:r w:rsidR="00596505">
        <w:t xml:space="preserve"> the data collected during the </w:t>
      </w:r>
      <w:r>
        <w:t>2010-2013 studies, the average logged period was approximately 1 month during the summer.</w:t>
      </w:r>
    </w:p>
    <w:p w14:paraId="4B5E7854" w14:textId="77777777" w:rsidR="003D31D7" w:rsidRDefault="003D31D7" w:rsidP="002C23E8"/>
    <w:p w14:paraId="5050CD23" w14:textId="32DA440B" w:rsidR="00137517" w:rsidRDefault="002C23E8" w:rsidP="00137517">
      <w:r>
        <w:t xml:space="preserve">Using the logger data from the 517 sampled sites as a starting point, Navigant extrapolated and summarized the data to generate </w:t>
      </w:r>
      <w:r w:rsidR="00B668E9">
        <w:t xml:space="preserve">both </w:t>
      </w:r>
      <w:r>
        <w:t>building</w:t>
      </w:r>
      <w:r w:rsidR="004A1205">
        <w:t>-</w:t>
      </w:r>
      <w:r>
        <w:t xml:space="preserve">level and </w:t>
      </w:r>
      <w:r w:rsidR="004A1205">
        <w:t>space-level</w:t>
      </w:r>
      <w:r w:rsidR="00B668E9">
        <w:t xml:space="preserve"> </w:t>
      </w:r>
      <w:r>
        <w:t xml:space="preserve">load shapes. </w:t>
      </w:r>
      <w:r w:rsidR="00137517">
        <w:t xml:space="preserve">In the EmPOWER study, Navigant summarized HOU and CF estimates at the space-level where possible by </w:t>
      </w:r>
      <w:r w:rsidR="00583975">
        <w:t xml:space="preserve">combining </w:t>
      </w:r>
      <w:r w:rsidR="00137517">
        <w:t>logger</w:t>
      </w:r>
      <w:r w:rsidR="00583975">
        <w:t xml:space="preserve"> results</w:t>
      </w:r>
      <w:r w:rsidR="00137517">
        <w:t xml:space="preserve"> from </w:t>
      </w:r>
      <w:r w:rsidR="00C00607">
        <w:t>unique</w:t>
      </w:r>
      <w:r w:rsidR="004A1205">
        <w:t xml:space="preserve"> </w:t>
      </w:r>
      <w:r w:rsidR="00137517">
        <w:t>space type to form larger groups which, when combined, yielded statistically significant parameter estimates.</w:t>
      </w:r>
      <w:r w:rsidR="00137517">
        <w:rPr>
          <w:rStyle w:val="FootnoteReference"/>
          <w:rFonts w:eastAsiaTheme="majorEastAsia"/>
        </w:rPr>
        <w:footnoteReference w:id="5"/>
      </w:r>
      <w:r w:rsidR="00137517">
        <w:t xml:space="preserve"> </w:t>
      </w:r>
      <w:r w:rsidR="00583975">
        <w:fldChar w:fldCharType="begin"/>
      </w:r>
      <w:r w:rsidR="00583975">
        <w:instrText xml:space="preserve"> REF _Ref517947646 \h </w:instrText>
      </w:r>
      <w:r w:rsidR="00583975">
        <w:fldChar w:fldCharType="separate"/>
      </w:r>
      <w:r w:rsidR="00583975">
        <w:t xml:space="preserve">Table </w:t>
      </w:r>
      <w:r w:rsidR="00583975">
        <w:rPr>
          <w:noProof/>
        </w:rPr>
        <w:t>2</w:t>
      </w:r>
      <w:r w:rsidR="00583975">
        <w:fldChar w:fldCharType="end"/>
      </w:r>
      <w:r w:rsidR="00583975">
        <w:t xml:space="preserve"> shows the space type results </w:t>
      </w:r>
      <w:r w:rsidR="00907CAE">
        <w:t>summarized</w:t>
      </w:r>
      <w:r w:rsidR="00583975">
        <w:t xml:space="preserve"> in the EmPOWER study.</w:t>
      </w:r>
      <w:r w:rsidR="00800A0E">
        <w:t xml:space="preserve"> </w:t>
      </w:r>
    </w:p>
    <w:p w14:paraId="46DA9107" w14:textId="77777777" w:rsidR="00137517" w:rsidRDefault="00137517" w:rsidP="00137517"/>
    <w:p w14:paraId="49FAA72A" w14:textId="787C7C65" w:rsidR="00137517" w:rsidRDefault="00137517" w:rsidP="00137517">
      <w:pPr>
        <w:pStyle w:val="Caption"/>
      </w:pPr>
      <w:bookmarkStart w:id="10" w:name="_Ref517947646"/>
      <w:r>
        <w:t xml:space="preserve">Table </w:t>
      </w:r>
      <w:fldSimple w:instr=" SEQ Table \* ARABIC ">
        <w:r>
          <w:rPr>
            <w:noProof/>
          </w:rPr>
          <w:t>2</w:t>
        </w:r>
      </w:fldSimple>
      <w:bookmarkEnd w:id="10"/>
      <w:r>
        <w:t xml:space="preserve">: </w:t>
      </w:r>
      <w:r w:rsidR="004A1205">
        <w:t xml:space="preserve">EmPOWER </w:t>
      </w:r>
      <w:r w:rsidR="00C00607">
        <w:t>Building - Space Type Parameters Summarized</w:t>
      </w:r>
      <w:r>
        <w:t xml:space="preserve">  </w:t>
      </w:r>
    </w:p>
    <w:tbl>
      <w:tblPr>
        <w:tblStyle w:val="EnergyTable1-Toptwo"/>
        <w:tblW w:w="9110" w:type="dxa"/>
        <w:tblLayout w:type="fixed"/>
        <w:tblLook w:val="04A0" w:firstRow="1" w:lastRow="0" w:firstColumn="1" w:lastColumn="0" w:noHBand="0" w:noVBand="1"/>
      </w:tblPr>
      <w:tblGrid>
        <w:gridCol w:w="1710"/>
        <w:gridCol w:w="7377"/>
        <w:gridCol w:w="23"/>
      </w:tblGrid>
      <w:tr w:rsidR="00137517" w:rsidRPr="00D8443A" w14:paraId="03AF620C" w14:textId="77777777" w:rsidTr="00D40E43">
        <w:trPr>
          <w:gridAfter w:val="1"/>
          <w:cnfStyle w:val="100000000000" w:firstRow="1" w:lastRow="0" w:firstColumn="0" w:lastColumn="0" w:oddVBand="0" w:evenVBand="0" w:oddHBand="0" w:evenHBand="0" w:firstRowFirstColumn="0" w:firstRowLastColumn="0" w:lastRowFirstColumn="0" w:lastRowLastColumn="0"/>
          <w:wAfter w:w="23" w:type="dxa"/>
          <w:trHeight w:val="315"/>
          <w:tblHeader/>
        </w:trPr>
        <w:tc>
          <w:tcPr>
            <w:cnfStyle w:val="001000000000" w:firstRow="0" w:lastRow="0" w:firstColumn="1" w:lastColumn="0" w:oddVBand="0" w:evenVBand="0" w:oddHBand="0" w:evenHBand="0" w:firstRowFirstColumn="0" w:firstRowLastColumn="0" w:lastRowFirstColumn="0" w:lastRowLastColumn="0"/>
            <w:tcW w:w="1710" w:type="dxa"/>
            <w:hideMark/>
          </w:tcPr>
          <w:p w14:paraId="2FEBC622" w14:textId="77777777" w:rsidR="00137517" w:rsidRPr="00E14DD9" w:rsidRDefault="00137517" w:rsidP="00D40E43">
            <w:pPr>
              <w:tabs>
                <w:tab w:val="left" w:pos="6015"/>
              </w:tabs>
              <w:rPr>
                <w:rFonts w:ascii="Arial Narrow" w:hAnsi="Arial Narrow"/>
                <w:b w:val="0"/>
                <w:bCs/>
              </w:rPr>
            </w:pPr>
            <w:r w:rsidRPr="00E14DD9">
              <w:rPr>
                <w:rFonts w:ascii="Arial Narrow" w:hAnsi="Arial Narrow"/>
                <w:bCs/>
              </w:rPr>
              <w:t>Building Type</w:t>
            </w:r>
          </w:p>
        </w:tc>
        <w:tc>
          <w:tcPr>
            <w:tcW w:w="7377" w:type="dxa"/>
            <w:hideMark/>
          </w:tcPr>
          <w:p w14:paraId="031CD1F5" w14:textId="77777777" w:rsidR="00137517" w:rsidRPr="00E14DD9" w:rsidRDefault="00137517" w:rsidP="00D40E43">
            <w:pPr>
              <w:tabs>
                <w:tab w:val="left" w:pos="6015"/>
              </w:tabs>
              <w:cnfStyle w:val="100000000000" w:firstRow="1" w:lastRow="0" w:firstColumn="0" w:lastColumn="0" w:oddVBand="0" w:evenVBand="0" w:oddHBand="0" w:evenHBand="0" w:firstRowFirstColumn="0" w:firstRowLastColumn="0" w:lastRowFirstColumn="0" w:lastRowLastColumn="0"/>
              <w:rPr>
                <w:rFonts w:ascii="Arial Narrow" w:hAnsi="Arial Narrow"/>
                <w:b w:val="0"/>
                <w:bCs/>
              </w:rPr>
            </w:pPr>
            <w:r w:rsidRPr="00E14DD9">
              <w:rPr>
                <w:rFonts w:ascii="Arial Narrow" w:hAnsi="Arial Narrow"/>
                <w:bCs/>
              </w:rPr>
              <w:t>Space Types</w:t>
            </w:r>
          </w:p>
        </w:tc>
      </w:tr>
      <w:tr w:rsidR="00137517" w:rsidRPr="00D8443A" w14:paraId="17CD51F5" w14:textId="77777777" w:rsidTr="00D40E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noWrap/>
            <w:hideMark/>
          </w:tcPr>
          <w:p w14:paraId="7A51291F" w14:textId="77777777" w:rsidR="00137517" w:rsidRPr="00E14DD9" w:rsidRDefault="00137517" w:rsidP="00D40E43">
            <w:pPr>
              <w:tabs>
                <w:tab w:val="left" w:pos="6015"/>
              </w:tabs>
              <w:rPr>
                <w:rFonts w:ascii="Arial Narrow" w:hAnsi="Arial Narrow"/>
              </w:rPr>
            </w:pPr>
            <w:r w:rsidRPr="00E14DD9">
              <w:rPr>
                <w:rFonts w:ascii="Arial Narrow" w:hAnsi="Arial Narrow"/>
              </w:rPr>
              <w:t>Education</w:t>
            </w:r>
          </w:p>
        </w:tc>
        <w:tc>
          <w:tcPr>
            <w:tcW w:w="7400" w:type="dxa"/>
            <w:gridSpan w:val="2"/>
            <w:noWrap/>
          </w:tcPr>
          <w:p w14:paraId="16A37507" w14:textId="77777777" w:rsidR="00137517" w:rsidRPr="00E14DD9" w:rsidRDefault="00137517" w:rsidP="00D40E43">
            <w:pPr>
              <w:tabs>
                <w:tab w:val="left" w:pos="6015"/>
              </w:tabs>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Classroom/Lecture, Corridor/Hallways, Office (Executive/Private), Office (Open Plan), Other, Office (General)</w:t>
            </w:r>
          </w:p>
        </w:tc>
      </w:tr>
      <w:tr w:rsidR="00137517" w:rsidRPr="00D8443A" w14:paraId="64793685" w14:textId="77777777" w:rsidTr="00D40E43">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noWrap/>
            <w:hideMark/>
          </w:tcPr>
          <w:p w14:paraId="3ACDD143" w14:textId="77777777" w:rsidR="00137517" w:rsidRPr="00E14DD9" w:rsidRDefault="00137517" w:rsidP="00D40E43">
            <w:pPr>
              <w:tabs>
                <w:tab w:val="left" w:pos="6015"/>
              </w:tabs>
              <w:rPr>
                <w:rFonts w:ascii="Arial Narrow" w:hAnsi="Arial Narrow"/>
              </w:rPr>
            </w:pPr>
            <w:r w:rsidRPr="00E14DD9">
              <w:rPr>
                <w:rFonts w:ascii="Arial Narrow" w:hAnsi="Arial Narrow"/>
              </w:rPr>
              <w:t>Grocery</w:t>
            </w:r>
          </w:p>
        </w:tc>
        <w:tc>
          <w:tcPr>
            <w:tcW w:w="7400" w:type="dxa"/>
            <w:gridSpan w:val="2"/>
            <w:noWrap/>
          </w:tcPr>
          <w:p w14:paraId="04E1C618" w14:textId="77777777" w:rsidR="00137517" w:rsidRPr="00E14DD9" w:rsidRDefault="00137517" w:rsidP="00D40E43">
            <w:pPr>
              <w:tabs>
                <w:tab w:val="left" w:pos="6015"/>
              </w:tabs>
              <w:jc w:val="lef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Retail Sales/Showroom, Other, Storage (Conditioned &amp; Walk-In Refrigerator/Freezer)</w:t>
            </w:r>
          </w:p>
        </w:tc>
      </w:tr>
      <w:tr w:rsidR="00137517" w:rsidRPr="00D8443A" w14:paraId="2F9D14A4" w14:textId="77777777" w:rsidTr="00D40E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noWrap/>
            <w:hideMark/>
          </w:tcPr>
          <w:p w14:paraId="192D882D" w14:textId="77777777" w:rsidR="00137517" w:rsidRPr="00E14DD9" w:rsidRDefault="00137517" w:rsidP="00D40E43">
            <w:pPr>
              <w:tabs>
                <w:tab w:val="left" w:pos="6015"/>
              </w:tabs>
              <w:rPr>
                <w:rFonts w:ascii="Arial Narrow" w:hAnsi="Arial Narrow"/>
              </w:rPr>
            </w:pPr>
            <w:r w:rsidRPr="00E14DD9">
              <w:rPr>
                <w:rFonts w:ascii="Arial Narrow" w:hAnsi="Arial Narrow"/>
              </w:rPr>
              <w:t>Health</w:t>
            </w:r>
          </w:p>
        </w:tc>
        <w:tc>
          <w:tcPr>
            <w:tcW w:w="7400" w:type="dxa"/>
            <w:gridSpan w:val="2"/>
            <w:noWrap/>
          </w:tcPr>
          <w:p w14:paraId="02CDE37E" w14:textId="77777777" w:rsidR="00137517" w:rsidRPr="00E14DD9" w:rsidRDefault="00137517" w:rsidP="00D40E43">
            <w:pPr>
              <w:tabs>
                <w:tab w:val="left" w:pos="6015"/>
              </w:tabs>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Other, Corridor/Hallways</w:t>
            </w:r>
          </w:p>
        </w:tc>
      </w:tr>
      <w:tr w:rsidR="00137517" w:rsidRPr="00D8443A" w14:paraId="036607DC" w14:textId="77777777" w:rsidTr="00D40E43">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noWrap/>
            <w:hideMark/>
          </w:tcPr>
          <w:p w14:paraId="382DB671" w14:textId="77777777" w:rsidR="00137517" w:rsidRPr="00E14DD9" w:rsidRDefault="00137517" w:rsidP="00D40E43">
            <w:pPr>
              <w:tabs>
                <w:tab w:val="left" w:pos="6015"/>
              </w:tabs>
              <w:rPr>
                <w:rFonts w:ascii="Arial Narrow" w:hAnsi="Arial Narrow"/>
              </w:rPr>
            </w:pPr>
            <w:r w:rsidRPr="00E14DD9">
              <w:rPr>
                <w:rFonts w:ascii="Arial Narrow" w:hAnsi="Arial Narrow"/>
              </w:rPr>
              <w:t>Office</w:t>
            </w:r>
          </w:p>
        </w:tc>
        <w:tc>
          <w:tcPr>
            <w:tcW w:w="7400" w:type="dxa"/>
            <w:gridSpan w:val="2"/>
            <w:noWrap/>
          </w:tcPr>
          <w:p w14:paraId="4CBCD5E1" w14:textId="77777777" w:rsidR="00137517" w:rsidRPr="00E14DD9" w:rsidRDefault="00137517" w:rsidP="00D40E43">
            <w:pPr>
              <w:tabs>
                <w:tab w:val="left" w:pos="6015"/>
              </w:tabs>
              <w:jc w:val="lef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Corridor/Hallways, Lobby (Main Entry and Assembly), Office (General), Other</w:t>
            </w:r>
          </w:p>
        </w:tc>
      </w:tr>
      <w:tr w:rsidR="00137517" w:rsidRPr="00D8443A" w14:paraId="15539227" w14:textId="77777777" w:rsidTr="00D40E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tcBorders>
              <w:bottom w:val="single" w:sz="4" w:space="0" w:color="DCDDDE"/>
            </w:tcBorders>
            <w:noWrap/>
            <w:hideMark/>
          </w:tcPr>
          <w:p w14:paraId="7C4844B5" w14:textId="77777777" w:rsidR="00137517" w:rsidRPr="00E14DD9" w:rsidRDefault="00137517" w:rsidP="00D40E43">
            <w:pPr>
              <w:tabs>
                <w:tab w:val="left" w:pos="6015"/>
              </w:tabs>
              <w:rPr>
                <w:rFonts w:ascii="Arial Narrow" w:hAnsi="Arial Narrow"/>
              </w:rPr>
            </w:pPr>
            <w:r w:rsidRPr="00E14DD9">
              <w:rPr>
                <w:rFonts w:ascii="Arial Narrow" w:hAnsi="Arial Narrow"/>
              </w:rPr>
              <w:t>Retail</w:t>
            </w:r>
          </w:p>
        </w:tc>
        <w:tc>
          <w:tcPr>
            <w:tcW w:w="7400" w:type="dxa"/>
            <w:gridSpan w:val="2"/>
            <w:tcBorders>
              <w:bottom w:val="single" w:sz="4" w:space="0" w:color="DCDDDE"/>
            </w:tcBorders>
            <w:noWrap/>
          </w:tcPr>
          <w:p w14:paraId="7B80C006" w14:textId="77777777" w:rsidR="00137517" w:rsidRPr="00E14DD9" w:rsidRDefault="00137517" w:rsidP="00D40E43">
            <w:pPr>
              <w:tabs>
                <w:tab w:val="left" w:pos="6015"/>
              </w:tabs>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Retail Sales/Showroom, Office (General), Other, Restrooms, Lobby (Main Entry and Assembly), Parking Garage</w:t>
            </w:r>
          </w:p>
        </w:tc>
      </w:tr>
      <w:tr w:rsidR="00137517" w:rsidRPr="00D8443A" w14:paraId="6479BD47" w14:textId="77777777" w:rsidTr="00D40E43">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tcBorders>
              <w:top w:val="single" w:sz="4" w:space="0" w:color="DCDDDE"/>
              <w:bottom w:val="single" w:sz="4" w:space="0" w:color="BFBFBF" w:themeColor="background1" w:themeShade="BF"/>
            </w:tcBorders>
            <w:noWrap/>
            <w:hideMark/>
          </w:tcPr>
          <w:p w14:paraId="421AB244" w14:textId="77777777" w:rsidR="00137517" w:rsidRDefault="00137517" w:rsidP="00D40E43">
            <w:pPr>
              <w:tabs>
                <w:tab w:val="left" w:pos="6015"/>
              </w:tabs>
              <w:rPr>
                <w:rFonts w:ascii="Arial Narrow" w:hAnsi="Arial Narrow"/>
              </w:rPr>
            </w:pPr>
            <w:r w:rsidRPr="00E14DD9">
              <w:rPr>
                <w:rFonts w:ascii="Arial Narrow" w:hAnsi="Arial Narrow"/>
              </w:rPr>
              <w:t>Warehouse/</w:t>
            </w:r>
          </w:p>
          <w:p w14:paraId="1535BB37" w14:textId="77777777" w:rsidR="00137517" w:rsidRPr="00E14DD9" w:rsidRDefault="00137517" w:rsidP="00D40E43">
            <w:pPr>
              <w:tabs>
                <w:tab w:val="left" w:pos="6015"/>
              </w:tabs>
              <w:rPr>
                <w:rFonts w:ascii="Arial Narrow" w:hAnsi="Arial Narrow"/>
              </w:rPr>
            </w:pPr>
            <w:r w:rsidRPr="00E14DD9">
              <w:rPr>
                <w:rFonts w:ascii="Arial Narrow" w:hAnsi="Arial Narrow"/>
              </w:rPr>
              <w:t>Industrial</w:t>
            </w:r>
          </w:p>
        </w:tc>
        <w:tc>
          <w:tcPr>
            <w:tcW w:w="7400" w:type="dxa"/>
            <w:gridSpan w:val="2"/>
            <w:tcBorders>
              <w:top w:val="single" w:sz="4" w:space="0" w:color="DCDDDE"/>
              <w:bottom w:val="single" w:sz="4" w:space="0" w:color="BFBFBF" w:themeColor="background1" w:themeShade="BF"/>
            </w:tcBorders>
            <w:noWrap/>
          </w:tcPr>
          <w:p w14:paraId="495BDEA8" w14:textId="77777777" w:rsidR="00137517" w:rsidRPr="00E14DD9" w:rsidRDefault="00137517" w:rsidP="00D40E43">
            <w:pPr>
              <w:tabs>
                <w:tab w:val="left" w:pos="6015"/>
              </w:tabs>
              <w:jc w:val="left"/>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E14DD9">
              <w:rPr>
                <w:rFonts w:ascii="Arial Narrow" w:hAnsi="Arial Narrow"/>
              </w:rPr>
              <w:t>Comm/Ind Work (General Low Bay), Auto Repair Workshop, Other, Storage (Conditioned &amp; Walk-In Refrigerator/Freezer), Comm/Ind Work (General High Bay), Office (General), Restrooms</w:t>
            </w:r>
          </w:p>
        </w:tc>
      </w:tr>
      <w:tr w:rsidR="00137517" w:rsidRPr="00D8443A" w14:paraId="1DB1705D" w14:textId="77777777" w:rsidTr="00D40E4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710" w:type="dxa"/>
            <w:tcBorders>
              <w:top w:val="single" w:sz="4" w:space="0" w:color="BFBFBF" w:themeColor="background1" w:themeShade="BF"/>
              <w:bottom w:val="single" w:sz="4" w:space="0" w:color="auto"/>
            </w:tcBorders>
            <w:noWrap/>
          </w:tcPr>
          <w:p w14:paraId="2D5F3C5D" w14:textId="77777777" w:rsidR="00137517" w:rsidRPr="00E14DD9" w:rsidRDefault="00137517" w:rsidP="00D40E43">
            <w:pPr>
              <w:tabs>
                <w:tab w:val="left" w:pos="6015"/>
              </w:tabs>
              <w:rPr>
                <w:rFonts w:ascii="Arial Narrow" w:hAnsi="Arial Narrow"/>
              </w:rPr>
            </w:pPr>
            <w:r w:rsidRPr="00E14DD9">
              <w:rPr>
                <w:rFonts w:ascii="Arial Narrow" w:hAnsi="Arial Narrow"/>
              </w:rPr>
              <w:t>Other</w:t>
            </w:r>
          </w:p>
        </w:tc>
        <w:tc>
          <w:tcPr>
            <w:tcW w:w="7400" w:type="dxa"/>
            <w:gridSpan w:val="2"/>
            <w:tcBorders>
              <w:top w:val="single" w:sz="4" w:space="0" w:color="BFBFBF" w:themeColor="background1" w:themeShade="BF"/>
              <w:bottom w:val="single" w:sz="4" w:space="0" w:color="auto"/>
            </w:tcBorders>
            <w:noWrap/>
          </w:tcPr>
          <w:p w14:paraId="399B8105" w14:textId="77777777" w:rsidR="00137517" w:rsidRPr="00E14DD9" w:rsidRDefault="00137517" w:rsidP="00D40E43">
            <w:pPr>
              <w:tabs>
                <w:tab w:val="left" w:pos="6015"/>
              </w:tabs>
              <w:jc w:val="left"/>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14DD9">
              <w:rPr>
                <w:rFonts w:ascii="Arial Narrow" w:hAnsi="Arial Narrow"/>
              </w:rPr>
              <w:t>Mechanical/Electrical Room, Office (General), Restrooms, Storage (Conditioned &amp; Walk-In Refrigerator/Freezer), Corridor/Hallways, Auto Repair Workshop, Retail Sales/Showroom, Kitchen/Break room &amp; Food Prep, Other, Locker and Dressing Room, Parking Garage, Classroom/Lecture, Outside/Outdoor Area</w:t>
            </w:r>
          </w:p>
        </w:tc>
      </w:tr>
    </w:tbl>
    <w:p w14:paraId="3B306791" w14:textId="469CA7A2" w:rsidR="00137517" w:rsidRPr="0087610D" w:rsidRDefault="00A46A31" w:rsidP="00137517">
      <w:pPr>
        <w:rPr>
          <w:i/>
          <w:sz w:val="16"/>
        </w:rPr>
      </w:pPr>
      <w:r w:rsidRPr="0087610D">
        <w:rPr>
          <w:i/>
          <w:sz w:val="16"/>
        </w:rPr>
        <w:t>Source: Navigant EmPOWER Maryland</w:t>
      </w:r>
      <w:r w:rsidR="0087610D">
        <w:rPr>
          <w:i/>
          <w:sz w:val="16"/>
        </w:rPr>
        <w:t xml:space="preserve"> Lighting</w:t>
      </w:r>
      <w:r w:rsidRPr="0087610D">
        <w:rPr>
          <w:i/>
          <w:sz w:val="16"/>
        </w:rPr>
        <w:t xml:space="preserve"> Metering Study</w:t>
      </w:r>
    </w:p>
    <w:p w14:paraId="7460D03C" w14:textId="77777777" w:rsidR="00137517" w:rsidRDefault="00137517" w:rsidP="002C23E8"/>
    <w:p w14:paraId="5A3B06AD" w14:textId="2DFD456D" w:rsidR="002C23E8" w:rsidRDefault="00583975" w:rsidP="002C23E8">
      <w:r>
        <w:t xml:space="preserve">For the IL TRM load shapes analysis, </w:t>
      </w:r>
      <w:r w:rsidR="003D31D7">
        <w:t xml:space="preserve">Navigant also weighted the building-level load shape results to derive </w:t>
      </w:r>
      <w:r w:rsidR="003D31D7" w:rsidRPr="004230D3">
        <w:t xml:space="preserve">commercial sector-level indoor and outdoor lighting load shapes using weights calculated from ComEd C&amp;I </w:t>
      </w:r>
      <w:r w:rsidR="00E01DA4">
        <w:t xml:space="preserve">Standard and Small Business </w:t>
      </w:r>
      <w:r w:rsidR="003D31D7" w:rsidRPr="004230D3">
        <w:t xml:space="preserve">program tracking data. </w:t>
      </w:r>
      <w:r w:rsidR="006F7500" w:rsidRPr="004230D3">
        <w:t>Navigant submits the building-level</w:t>
      </w:r>
      <w:r w:rsidR="003D31D7" w:rsidRPr="004230D3">
        <w:t xml:space="preserve"> and sector-level</w:t>
      </w:r>
      <w:r w:rsidR="006F7500" w:rsidRPr="004230D3">
        <w:t xml:space="preserve"> load shapes as a separate Microsoft Excel </w:t>
      </w:r>
      <w:r w:rsidR="003D31D7" w:rsidRPr="004230D3">
        <w:t>file to the IL TAC and does not provide the space-level load shapes at this time. The methodology section</w:t>
      </w:r>
      <w:r w:rsidR="00596505" w:rsidRPr="004230D3">
        <w:t>s</w:t>
      </w:r>
      <w:r w:rsidR="003D31D7" w:rsidRPr="004230D3">
        <w:t xml:space="preserve"> below details Navigant’s scheme to weight lighting logger parameters from the space-type to both building and sector-level results.</w:t>
      </w:r>
      <w:r w:rsidR="003D31D7">
        <w:t xml:space="preserve"> </w:t>
      </w:r>
    </w:p>
    <w:bookmarkEnd w:id="0"/>
    <w:bookmarkEnd w:id="1"/>
    <w:bookmarkEnd w:id="2"/>
    <w:bookmarkEnd w:id="3"/>
    <w:p w14:paraId="76BEE92C" w14:textId="77777777" w:rsidR="00BA0382" w:rsidRDefault="00BA0382" w:rsidP="002C23E8">
      <w:pPr>
        <w:pStyle w:val="Heading2"/>
      </w:pPr>
      <w:r>
        <w:t>Logger Weighting</w:t>
      </w:r>
      <w:bookmarkEnd w:id="4"/>
      <w:bookmarkEnd w:id="5"/>
      <w:bookmarkEnd w:id="6"/>
      <w:bookmarkEnd w:id="7"/>
    </w:p>
    <w:p w14:paraId="150440DC" w14:textId="2C4F6872" w:rsidR="00BA0382" w:rsidRDefault="00BA0382" w:rsidP="00BA0382">
      <w:r>
        <w:t>For each parameter of interest</w:t>
      </w:r>
      <w:r w:rsidR="00583975">
        <w:t xml:space="preserve"> (hours of use, summer and winter period coincidence factors)</w:t>
      </w:r>
      <w:r>
        <w:t>, Navigant calculated weighted averages for each logged:</w:t>
      </w:r>
    </w:p>
    <w:p w14:paraId="5F3905C5" w14:textId="22DF4972" w:rsidR="00BA0382" w:rsidRDefault="00C00607" w:rsidP="00BA0382">
      <w:pPr>
        <w:pStyle w:val="ListParagraph"/>
        <w:numPr>
          <w:ilvl w:val="0"/>
          <w:numId w:val="40"/>
        </w:numPr>
      </w:pPr>
      <w:r>
        <w:lastRenderedPageBreak/>
        <w:t>B</w:t>
      </w:r>
      <w:r w:rsidR="00BA0382">
        <w:t>uilding type</w:t>
      </w:r>
    </w:p>
    <w:p w14:paraId="299F4C35" w14:textId="793B8556" w:rsidR="00BA0382" w:rsidRDefault="00C00607" w:rsidP="00BA0382">
      <w:pPr>
        <w:pStyle w:val="ListParagraph"/>
        <w:numPr>
          <w:ilvl w:val="0"/>
          <w:numId w:val="40"/>
        </w:numPr>
      </w:pPr>
      <w:r>
        <w:t>S</w:t>
      </w:r>
      <w:r w:rsidR="00BA0382">
        <w:t>pace type</w:t>
      </w:r>
    </w:p>
    <w:p w14:paraId="5F3B4779" w14:textId="1FECD1FF" w:rsidR="00BA0382" w:rsidRDefault="00C00607" w:rsidP="00BA0382">
      <w:pPr>
        <w:pStyle w:val="ListParagraph"/>
        <w:numPr>
          <w:ilvl w:val="0"/>
          <w:numId w:val="40"/>
        </w:numPr>
      </w:pPr>
      <w:r>
        <w:t>B</w:t>
      </w:r>
      <w:r w:rsidR="00BA0382">
        <w:t>uild</w:t>
      </w:r>
      <w:r w:rsidR="00AB2A68">
        <w:t>ing type-space type combination</w:t>
      </w:r>
      <w:r w:rsidR="00BA0382">
        <w:t xml:space="preserve">  </w:t>
      </w:r>
    </w:p>
    <w:p w14:paraId="0031CBF8" w14:textId="77777777" w:rsidR="00BA0382" w:rsidRDefault="00BA0382" w:rsidP="00BA0382"/>
    <w:p w14:paraId="116AA8DC" w14:textId="6B77C128" w:rsidR="00BA0382" w:rsidRDefault="00BA0382" w:rsidP="00BA0382">
      <w:r>
        <w:rPr>
          <w:rFonts w:eastAsia="Arial"/>
        </w:rPr>
        <w:t xml:space="preserve">Each rolled-up building type, space type, and building type-space type factor starts with an individual logger in the space type of a building for a specific project. Navigant extrapolates this data to space type, building type-space type, and building type parameters by weighting at each level. </w:t>
      </w:r>
      <w:r>
        <w:t xml:space="preserve">Navigant calculates weighted averages so that the final values are representative of the overall </w:t>
      </w:r>
      <w:r w:rsidR="001A1A49">
        <w:t xml:space="preserve">EmPOWER </w:t>
      </w:r>
      <w:r>
        <w:t>program participant population rather than just the sampled circuits.</w:t>
      </w:r>
    </w:p>
    <w:p w14:paraId="43DCC981" w14:textId="77777777" w:rsidR="00BA0382" w:rsidRDefault="00BA0382" w:rsidP="00BA0382">
      <w:pPr>
        <w:rPr>
          <w:rFonts w:eastAsia="Arial"/>
        </w:rPr>
      </w:pPr>
    </w:p>
    <w:p w14:paraId="082B29F2" w14:textId="20EA5413" w:rsidR="00BA0382" w:rsidRPr="00AB2A68" w:rsidRDefault="00BA0382" w:rsidP="00BA0382">
      <w:pPr>
        <w:rPr>
          <w:rFonts w:eastAsia="Arial"/>
          <w:b/>
          <w:i/>
        </w:rPr>
      </w:pPr>
      <w:r w:rsidRPr="00AB2A68">
        <w:rPr>
          <w:rFonts w:eastAsia="Arial"/>
          <w:b/>
          <w:i/>
        </w:rPr>
        <w:t>Combining</w:t>
      </w:r>
      <w:r w:rsidR="00EC0DD8">
        <w:rPr>
          <w:rFonts w:eastAsia="Arial"/>
          <w:b/>
          <w:i/>
        </w:rPr>
        <w:t xml:space="preserve"> L</w:t>
      </w:r>
      <w:r w:rsidRPr="00AB2A68">
        <w:rPr>
          <w:rFonts w:eastAsia="Arial"/>
          <w:b/>
          <w:i/>
        </w:rPr>
        <w:t xml:space="preserve">oggers in the </w:t>
      </w:r>
      <w:r w:rsidR="00EC0DD8">
        <w:rPr>
          <w:rFonts w:eastAsia="Arial"/>
          <w:b/>
          <w:i/>
        </w:rPr>
        <w:t>S</w:t>
      </w:r>
      <w:r w:rsidRPr="00AB2A68">
        <w:rPr>
          <w:rFonts w:eastAsia="Arial"/>
          <w:b/>
          <w:i/>
        </w:rPr>
        <w:t xml:space="preserve">ame </w:t>
      </w:r>
      <w:r w:rsidR="00EC0DD8">
        <w:rPr>
          <w:rFonts w:eastAsia="Arial"/>
          <w:b/>
          <w:i/>
        </w:rPr>
        <w:t>A</w:t>
      </w:r>
      <w:r w:rsidRPr="00AB2A68">
        <w:rPr>
          <w:rFonts w:eastAsia="Arial"/>
          <w:b/>
          <w:i/>
        </w:rPr>
        <w:t>rea</w:t>
      </w:r>
    </w:p>
    <w:p w14:paraId="7AF4EAEC" w14:textId="77777777" w:rsidR="00BA0382" w:rsidRDefault="00BA0382" w:rsidP="00BA0382">
      <w:pPr>
        <w:rPr>
          <w:rFonts w:eastAsia="Arial"/>
        </w:rPr>
      </w:pPr>
    </w:p>
    <w:p w14:paraId="20E560EA" w14:textId="7AC4B0C4" w:rsidR="00BA0382" w:rsidRDefault="00BA0382" w:rsidP="00BA0382">
      <w:pPr>
        <w:rPr>
          <w:rFonts w:eastAsia="Arial"/>
        </w:rPr>
      </w:pPr>
      <w:r>
        <w:rPr>
          <w:rFonts w:eastAsia="Arial"/>
        </w:rPr>
        <w:t xml:space="preserve">Starting with the individual space type within a </w:t>
      </w:r>
      <w:r w:rsidR="00EC0DD8">
        <w:rPr>
          <w:rFonts w:eastAsia="Arial"/>
        </w:rPr>
        <w:t xml:space="preserve">particular </w:t>
      </w:r>
      <w:r>
        <w:rPr>
          <w:rFonts w:eastAsia="Arial"/>
        </w:rPr>
        <w:t xml:space="preserve">building, Navigant had to account for the fact that some areas had more than one </w:t>
      </w:r>
      <w:r w:rsidR="00EC0DD8">
        <w:rPr>
          <w:rFonts w:eastAsia="Arial"/>
        </w:rPr>
        <w:t xml:space="preserve">lighting </w:t>
      </w:r>
      <w:r>
        <w:rPr>
          <w:rFonts w:eastAsia="Arial"/>
        </w:rPr>
        <w:t>logger installed</w:t>
      </w:r>
      <w:r w:rsidR="00583975">
        <w:rPr>
          <w:rFonts w:eastAsia="Arial"/>
        </w:rPr>
        <w:t xml:space="preserve"> for redundancy or because the </w:t>
      </w:r>
      <w:r w:rsidR="00907CAE">
        <w:rPr>
          <w:rFonts w:eastAsia="Arial"/>
        </w:rPr>
        <w:t>space</w:t>
      </w:r>
      <w:r w:rsidR="00583975">
        <w:rPr>
          <w:rFonts w:eastAsia="Arial"/>
        </w:rPr>
        <w:t xml:space="preserve"> represented a large portion of the overall site-level lighting savings.</w:t>
      </w:r>
      <w:r>
        <w:rPr>
          <w:rFonts w:eastAsia="Arial"/>
        </w:rPr>
        <w:t xml:space="preserve"> In these instances, Navigant took a </w:t>
      </w:r>
      <w:r w:rsidR="00AB2A68">
        <w:rPr>
          <w:rFonts w:eastAsia="Arial"/>
        </w:rPr>
        <w:t>simple</w:t>
      </w:r>
      <w:r>
        <w:rPr>
          <w:rFonts w:eastAsia="Arial"/>
        </w:rPr>
        <w:t xml:space="preserve"> average of the parameters calculated </w:t>
      </w:r>
      <w:r w:rsidR="00EC0DD8">
        <w:rPr>
          <w:rFonts w:eastAsia="Arial"/>
        </w:rPr>
        <w:t>for</w:t>
      </w:r>
      <w:r>
        <w:rPr>
          <w:rFonts w:eastAsia="Arial"/>
        </w:rPr>
        <w:t xml:space="preserve"> each logger.</w:t>
      </w:r>
    </w:p>
    <w:p w14:paraId="1AC3AA2E" w14:textId="77777777" w:rsidR="00BA0382" w:rsidRDefault="00BA0382" w:rsidP="00BA0382">
      <w:pPr>
        <w:rPr>
          <w:rFonts w:eastAsia="Arial"/>
        </w:rPr>
      </w:pPr>
    </w:p>
    <w:p w14:paraId="5F6470E3" w14:textId="77777777" w:rsidR="00BA0382" w:rsidRDefault="00BA0382" w:rsidP="00BA0382">
      <w:pPr>
        <w:jc w:val="center"/>
        <w:rPr>
          <w:rFonts w:eastAsia="Arial"/>
        </w:rPr>
      </w:pPr>
      <w:r>
        <w:rPr>
          <w:rFonts w:eastAsia="Arial"/>
          <w:noProof/>
          <w:lang w:eastAsia="zh-CN"/>
        </w:rPr>
        <w:drawing>
          <wp:inline distT="0" distB="0" distL="0" distR="0" wp14:anchorId="51528899" wp14:editId="664F368A">
            <wp:extent cx="2048510" cy="1645920"/>
            <wp:effectExtent l="0" t="0" r="0" b="0"/>
            <wp:docPr id="1199337888" name="Picture 1199337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8510" cy="1645920"/>
                    </a:xfrm>
                    <a:prstGeom prst="rect">
                      <a:avLst/>
                    </a:prstGeom>
                    <a:noFill/>
                  </pic:spPr>
                </pic:pic>
              </a:graphicData>
            </a:graphic>
          </wp:inline>
        </w:drawing>
      </w:r>
    </w:p>
    <w:p w14:paraId="2B4BADED" w14:textId="778426B5" w:rsidR="00BA0382" w:rsidRDefault="00BA0382" w:rsidP="00BA0382">
      <w:pPr>
        <w:pStyle w:val="Caption"/>
      </w:pPr>
      <w:bookmarkStart w:id="11" w:name="_Ref480975938"/>
      <w:r>
        <w:t xml:space="preserve">Figure </w:t>
      </w:r>
      <w:r w:rsidR="00CA1EC5">
        <w:fldChar w:fldCharType="begin"/>
      </w:r>
      <w:r w:rsidR="00CA1EC5">
        <w:instrText xml:space="preserve"> SEQ Figure \* ARABIC </w:instrText>
      </w:r>
      <w:r w:rsidR="00CA1EC5">
        <w:fldChar w:fldCharType="separate"/>
      </w:r>
      <w:r>
        <w:rPr>
          <w:noProof/>
        </w:rPr>
        <w:t>1</w:t>
      </w:r>
      <w:r w:rsidR="00CA1EC5">
        <w:rPr>
          <w:noProof/>
        </w:rPr>
        <w:fldChar w:fldCharType="end"/>
      </w:r>
      <w:bookmarkEnd w:id="11"/>
      <w:r w:rsidR="00AB2A68">
        <w:t xml:space="preserve">: Combining Loggers </w:t>
      </w:r>
      <w:r w:rsidR="00E8532B">
        <w:t>within</w:t>
      </w:r>
      <w:r w:rsidR="00AB2A68">
        <w:t xml:space="preserve"> the S</w:t>
      </w:r>
      <w:r>
        <w:t xml:space="preserve">ame </w:t>
      </w:r>
      <w:r w:rsidR="00AB2A68">
        <w:t>A</w:t>
      </w:r>
      <w:r>
        <w:t>rea</w:t>
      </w:r>
    </w:p>
    <w:p w14:paraId="115C216F" w14:textId="77777777" w:rsidR="00BA0382" w:rsidRDefault="00BA0382" w:rsidP="00BA0382">
      <w:pPr>
        <w:rPr>
          <w:rFonts w:eastAsia="Cambria Math"/>
          <w:i/>
        </w:rPr>
      </w:pPr>
    </w:p>
    <w:p w14:paraId="167B6BFB" w14:textId="57D4536D" w:rsidR="00BA0382" w:rsidRDefault="00BA0382" w:rsidP="00BA0382">
      <w:pPr>
        <w:spacing w:line="240" w:lineRule="auto"/>
        <w:rPr>
          <w:rFonts w:eastAsia="Cambria Math"/>
          <w:i/>
        </w:rPr>
      </w:pPr>
    </w:p>
    <w:p w14:paraId="17EA28B2" w14:textId="69BBFC6E" w:rsidR="00BA0382" w:rsidRPr="00AB2A68" w:rsidRDefault="00BA0382" w:rsidP="00BA0382">
      <w:pPr>
        <w:rPr>
          <w:rFonts w:eastAsia="Cambria Math"/>
          <w:b/>
        </w:rPr>
      </w:pPr>
      <w:r w:rsidRPr="00AB2A68">
        <w:rPr>
          <w:rFonts w:eastAsia="Cambria Math"/>
          <w:b/>
          <w:i/>
        </w:rPr>
        <w:t xml:space="preserve">Combining </w:t>
      </w:r>
      <w:r w:rsidR="00EC0DD8">
        <w:rPr>
          <w:rFonts w:eastAsia="Cambria Math"/>
          <w:b/>
          <w:i/>
        </w:rPr>
        <w:t>Logged A</w:t>
      </w:r>
      <w:r w:rsidRPr="00AB2A68">
        <w:rPr>
          <w:rFonts w:eastAsia="Cambria Math"/>
          <w:b/>
          <w:i/>
        </w:rPr>
        <w:t xml:space="preserve">reas to a </w:t>
      </w:r>
      <w:r w:rsidR="00EC0DD8">
        <w:rPr>
          <w:rFonts w:eastAsia="Cambria Math"/>
          <w:b/>
          <w:i/>
        </w:rPr>
        <w:t>S</w:t>
      </w:r>
      <w:r w:rsidRPr="00AB2A68">
        <w:rPr>
          <w:rFonts w:eastAsia="Cambria Math"/>
          <w:b/>
          <w:i/>
        </w:rPr>
        <w:t xml:space="preserve">ingle </w:t>
      </w:r>
      <w:r w:rsidR="00EC0DD8">
        <w:rPr>
          <w:rFonts w:eastAsia="Cambria Math"/>
          <w:b/>
          <w:i/>
        </w:rPr>
        <w:t>B</w:t>
      </w:r>
      <w:r w:rsidRPr="00AB2A68">
        <w:rPr>
          <w:rFonts w:eastAsia="Cambria Math"/>
          <w:b/>
          <w:i/>
        </w:rPr>
        <w:t xml:space="preserve">uilding </w:t>
      </w:r>
      <w:r w:rsidR="00EC0DD8">
        <w:rPr>
          <w:rFonts w:eastAsia="Cambria Math"/>
          <w:b/>
          <w:i/>
        </w:rPr>
        <w:t>T</w:t>
      </w:r>
      <w:r w:rsidRPr="00AB2A68">
        <w:rPr>
          <w:rFonts w:eastAsia="Cambria Math"/>
          <w:b/>
          <w:i/>
        </w:rPr>
        <w:t>ype /</w:t>
      </w:r>
      <w:r w:rsidR="00EC0DD8">
        <w:rPr>
          <w:rFonts w:eastAsia="Cambria Math"/>
          <w:b/>
          <w:i/>
        </w:rPr>
        <w:t xml:space="preserve"> S</w:t>
      </w:r>
      <w:r w:rsidRPr="00AB2A68">
        <w:rPr>
          <w:rFonts w:eastAsia="Cambria Math"/>
          <w:b/>
          <w:i/>
        </w:rPr>
        <w:t xml:space="preserve">pace </w:t>
      </w:r>
      <w:r w:rsidR="00EC0DD8">
        <w:rPr>
          <w:rFonts w:eastAsia="Cambria Math"/>
          <w:b/>
          <w:i/>
        </w:rPr>
        <w:t>T</w:t>
      </w:r>
      <w:r w:rsidRPr="00AB2A68">
        <w:rPr>
          <w:rFonts w:eastAsia="Cambria Math"/>
          <w:b/>
          <w:i/>
        </w:rPr>
        <w:t xml:space="preserve">ype </w:t>
      </w:r>
      <w:r w:rsidR="00EC0DD8">
        <w:rPr>
          <w:rFonts w:eastAsia="Cambria Math"/>
          <w:b/>
          <w:i/>
        </w:rPr>
        <w:t>C</w:t>
      </w:r>
      <w:r w:rsidRPr="00AB2A68">
        <w:rPr>
          <w:rFonts w:eastAsia="Cambria Math"/>
          <w:b/>
          <w:i/>
        </w:rPr>
        <w:t>ombination</w:t>
      </w:r>
    </w:p>
    <w:p w14:paraId="0D27E419" w14:textId="77777777" w:rsidR="00BA0382" w:rsidRDefault="00BA0382" w:rsidP="00BA0382">
      <w:pPr>
        <w:rPr>
          <w:rFonts w:eastAsia="Cambria Math"/>
        </w:rPr>
      </w:pPr>
    </w:p>
    <w:p w14:paraId="4E6645BC" w14:textId="611AD5CF" w:rsidR="00BA0382" w:rsidRPr="00362FFC" w:rsidRDefault="00BA0382" w:rsidP="00BA0382">
      <w:pPr>
        <w:rPr>
          <w:rFonts w:eastAsia="Cambria Math"/>
        </w:rPr>
      </w:pPr>
      <w:r>
        <w:rPr>
          <w:rFonts w:eastAsia="Cambria Math"/>
        </w:rPr>
        <w:t xml:space="preserve">Once Navigant had a parameter value for each logged area in a site, </w:t>
      </w:r>
      <w:r w:rsidR="004D3420">
        <w:rPr>
          <w:rFonts w:eastAsia="Cambria Math"/>
        </w:rPr>
        <w:t>the analysis team</w:t>
      </w:r>
      <w:r>
        <w:rPr>
          <w:rFonts w:eastAsia="Cambria Math"/>
        </w:rPr>
        <w:t xml:space="preserve"> then took all the areas within a building type for a particular space type (e.g., open offices, hallways, conference rooms, etc.) and created a single parameter for that space type within that particular building </w:t>
      </w:r>
      <w:r w:rsidR="004D3420">
        <w:rPr>
          <w:rFonts w:eastAsia="Cambria Math"/>
        </w:rPr>
        <w:t xml:space="preserve">type </w:t>
      </w:r>
      <w:r>
        <w:rPr>
          <w:rFonts w:eastAsia="Cambria Math"/>
        </w:rPr>
        <w:t xml:space="preserve">(see example in </w:t>
      </w:r>
      <w:r>
        <w:rPr>
          <w:rFonts w:eastAsia="Cambria Math"/>
        </w:rPr>
        <w:fldChar w:fldCharType="begin"/>
      </w:r>
      <w:r>
        <w:rPr>
          <w:rFonts w:eastAsia="Cambria Math"/>
        </w:rPr>
        <w:instrText xml:space="preserve"> REF _Ref480969904 \h </w:instrText>
      </w:r>
      <w:r>
        <w:rPr>
          <w:rFonts w:eastAsia="Cambria Math"/>
        </w:rPr>
      </w:r>
      <w:r>
        <w:rPr>
          <w:rFonts w:eastAsia="Cambria Math"/>
        </w:rPr>
        <w:fldChar w:fldCharType="separate"/>
      </w:r>
      <w:r>
        <w:t xml:space="preserve">Figure </w:t>
      </w:r>
      <w:r>
        <w:rPr>
          <w:noProof/>
        </w:rPr>
        <w:t>2</w:t>
      </w:r>
      <w:r>
        <w:rPr>
          <w:rFonts w:eastAsia="Cambria Math"/>
        </w:rPr>
        <w:fldChar w:fldCharType="end"/>
      </w:r>
      <w:r>
        <w:rPr>
          <w:rFonts w:eastAsia="Cambria Math"/>
        </w:rPr>
        <w:t>). The parameters were averaged to compu</w:t>
      </w:r>
      <w:r w:rsidR="004D3420">
        <w:rPr>
          <w:rFonts w:eastAsia="Cambria Math"/>
        </w:rPr>
        <w:t xml:space="preserve">te a single parameter per space </w:t>
      </w:r>
      <w:r>
        <w:rPr>
          <w:rFonts w:eastAsia="Cambria Math"/>
        </w:rPr>
        <w:t>type per site.</w:t>
      </w:r>
      <w:r w:rsidR="00EC0DD8" w:rsidRPr="00362FFC">
        <w:rPr>
          <w:rFonts w:eastAsia="Cambria Math"/>
        </w:rPr>
        <w:t xml:space="preserve"> </w:t>
      </w:r>
    </w:p>
    <w:p w14:paraId="448E0F0B" w14:textId="77777777" w:rsidR="00BA0382" w:rsidRDefault="00BA0382" w:rsidP="00BA0382"/>
    <w:p w14:paraId="18E3F95B" w14:textId="77777777" w:rsidR="00BA0382" w:rsidRDefault="00BA0382" w:rsidP="00BA0382">
      <w:pPr>
        <w:jc w:val="center"/>
      </w:pPr>
    </w:p>
    <w:p w14:paraId="7CE1E229" w14:textId="77777777" w:rsidR="00BA0382" w:rsidRDefault="00BA0382" w:rsidP="00BA0382">
      <w:pPr>
        <w:jc w:val="center"/>
      </w:pPr>
      <w:r>
        <w:rPr>
          <w:noProof/>
          <w:lang w:eastAsia="zh-CN"/>
        </w:rPr>
        <w:lastRenderedPageBreak/>
        <w:drawing>
          <wp:inline distT="0" distB="0" distL="0" distR="0" wp14:anchorId="07EC27A0" wp14:editId="09B8D04A">
            <wp:extent cx="2457732" cy="251939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467465" cy="2529373"/>
                    </a:xfrm>
                    <a:prstGeom prst="rect">
                      <a:avLst/>
                    </a:prstGeom>
                  </pic:spPr>
                </pic:pic>
              </a:graphicData>
            </a:graphic>
          </wp:inline>
        </w:drawing>
      </w:r>
    </w:p>
    <w:p w14:paraId="00AE3164" w14:textId="46B94AF0" w:rsidR="00BA0382" w:rsidRDefault="00BA0382" w:rsidP="00BA0382">
      <w:pPr>
        <w:pStyle w:val="Caption"/>
      </w:pPr>
      <w:bookmarkStart w:id="12" w:name="_Ref480969904"/>
      <w:r>
        <w:t xml:space="preserve">Figure </w:t>
      </w:r>
      <w:r w:rsidR="00CA1EC5">
        <w:fldChar w:fldCharType="begin"/>
      </w:r>
      <w:r w:rsidR="00CA1EC5">
        <w:instrText xml:space="preserve"> SEQ Figure \* ARABIC </w:instrText>
      </w:r>
      <w:r w:rsidR="00CA1EC5">
        <w:fldChar w:fldCharType="separate"/>
      </w:r>
      <w:r>
        <w:rPr>
          <w:noProof/>
        </w:rPr>
        <w:t>2</w:t>
      </w:r>
      <w:r w:rsidR="00CA1EC5">
        <w:rPr>
          <w:noProof/>
        </w:rPr>
        <w:fldChar w:fldCharType="end"/>
      </w:r>
      <w:bookmarkEnd w:id="12"/>
      <w:r>
        <w:t xml:space="preserve">: </w:t>
      </w:r>
      <w:r w:rsidRPr="00ED44E2">
        <w:t xml:space="preserve">Combining </w:t>
      </w:r>
      <w:r w:rsidR="00AB2A68">
        <w:t>L</w:t>
      </w:r>
      <w:r w:rsidRPr="00ED44E2">
        <w:t xml:space="preserve">ogged </w:t>
      </w:r>
      <w:r w:rsidR="00AB2A68">
        <w:t>A</w:t>
      </w:r>
      <w:r w:rsidRPr="00ED44E2">
        <w:t xml:space="preserve">reas to a </w:t>
      </w:r>
      <w:r w:rsidR="00AB2A68">
        <w:t>S</w:t>
      </w:r>
      <w:r w:rsidRPr="00ED44E2">
        <w:t xml:space="preserve">ingle </w:t>
      </w:r>
      <w:r w:rsidR="00AB2A68">
        <w:t>S</w:t>
      </w:r>
      <w:r>
        <w:t xml:space="preserve">pace </w:t>
      </w:r>
      <w:r w:rsidR="00AB2A68">
        <w:t>T</w:t>
      </w:r>
      <w:r w:rsidRPr="00ED44E2">
        <w:t xml:space="preserve">ype </w:t>
      </w:r>
      <w:r>
        <w:t xml:space="preserve">per </w:t>
      </w:r>
      <w:r w:rsidR="00AB2A68">
        <w:t>S</w:t>
      </w:r>
      <w:r>
        <w:t>ite</w:t>
      </w:r>
    </w:p>
    <w:p w14:paraId="4CEDB572" w14:textId="579BD8B6" w:rsidR="00BA0382" w:rsidRDefault="00BA0382" w:rsidP="00BA0382">
      <w:pPr>
        <w:spacing w:line="240" w:lineRule="auto"/>
        <w:rPr>
          <w:rFonts w:eastAsia="Cambria Math"/>
          <w:i/>
        </w:rPr>
      </w:pPr>
    </w:p>
    <w:p w14:paraId="5656B8CB" w14:textId="2D347C5D" w:rsidR="00BA0382" w:rsidRPr="00AB2A68" w:rsidRDefault="00BA0382" w:rsidP="00BA0382">
      <w:pPr>
        <w:rPr>
          <w:rFonts w:eastAsia="Cambria Math"/>
          <w:b/>
          <w:i/>
        </w:rPr>
      </w:pPr>
      <w:r w:rsidRPr="00AB2A68">
        <w:rPr>
          <w:rFonts w:eastAsia="Cambria Math"/>
          <w:b/>
          <w:i/>
        </w:rPr>
        <w:t xml:space="preserve">Combining </w:t>
      </w:r>
      <w:r w:rsidR="00EC0DD8">
        <w:rPr>
          <w:rFonts w:eastAsia="Cambria Math"/>
          <w:b/>
          <w:i/>
        </w:rPr>
        <w:t>S</w:t>
      </w:r>
      <w:r w:rsidRPr="00AB2A68">
        <w:rPr>
          <w:rFonts w:eastAsia="Cambria Math"/>
          <w:b/>
          <w:i/>
        </w:rPr>
        <w:t xml:space="preserve">pace </w:t>
      </w:r>
      <w:r w:rsidR="00EC0DD8">
        <w:rPr>
          <w:rFonts w:eastAsia="Cambria Math"/>
          <w:b/>
          <w:i/>
        </w:rPr>
        <w:t>T</w:t>
      </w:r>
      <w:r w:rsidRPr="00AB2A68">
        <w:rPr>
          <w:rFonts w:eastAsia="Cambria Math"/>
          <w:b/>
          <w:i/>
        </w:rPr>
        <w:t xml:space="preserve">ypes </w:t>
      </w:r>
      <w:r w:rsidR="00E8532B">
        <w:rPr>
          <w:rFonts w:eastAsia="Cambria Math"/>
          <w:b/>
          <w:i/>
        </w:rPr>
        <w:t>across</w:t>
      </w:r>
      <w:r w:rsidRPr="00AB2A68">
        <w:rPr>
          <w:rFonts w:eastAsia="Cambria Math"/>
          <w:b/>
          <w:i/>
        </w:rPr>
        <w:t xml:space="preserve"> </w:t>
      </w:r>
      <w:r w:rsidR="004D3420">
        <w:rPr>
          <w:rFonts w:eastAsia="Cambria Math"/>
          <w:b/>
          <w:i/>
        </w:rPr>
        <w:t xml:space="preserve">Sampled </w:t>
      </w:r>
      <w:r w:rsidR="00EC0DD8">
        <w:rPr>
          <w:rFonts w:eastAsia="Cambria Math"/>
          <w:b/>
          <w:i/>
        </w:rPr>
        <w:t>S</w:t>
      </w:r>
      <w:r w:rsidRPr="00AB2A68">
        <w:rPr>
          <w:rFonts w:eastAsia="Cambria Math"/>
          <w:b/>
          <w:i/>
        </w:rPr>
        <w:t>ites to</w:t>
      </w:r>
      <w:r w:rsidR="00EC0DD8">
        <w:rPr>
          <w:rFonts w:eastAsia="Cambria Math"/>
          <w:b/>
          <w:i/>
        </w:rPr>
        <w:t xml:space="preserve"> </w:t>
      </w:r>
      <w:r w:rsidR="004D3420">
        <w:rPr>
          <w:rFonts w:eastAsia="Cambria Math"/>
          <w:b/>
          <w:i/>
        </w:rPr>
        <w:t xml:space="preserve">Derive </w:t>
      </w:r>
      <w:r w:rsidR="00EC0DD8">
        <w:rPr>
          <w:rFonts w:eastAsia="Cambria Math"/>
          <w:b/>
          <w:i/>
        </w:rPr>
        <w:t>S</w:t>
      </w:r>
      <w:r w:rsidRPr="00AB2A68">
        <w:rPr>
          <w:rFonts w:eastAsia="Cambria Math"/>
          <w:b/>
          <w:i/>
        </w:rPr>
        <w:t xml:space="preserve">ingle </w:t>
      </w:r>
      <w:r w:rsidR="00EC0DD8">
        <w:rPr>
          <w:rFonts w:eastAsia="Cambria Math"/>
          <w:b/>
          <w:i/>
        </w:rPr>
        <w:t>B</w:t>
      </w:r>
      <w:r w:rsidRPr="00AB2A68">
        <w:rPr>
          <w:rFonts w:eastAsia="Cambria Math"/>
          <w:b/>
          <w:i/>
        </w:rPr>
        <w:t xml:space="preserve">uilding </w:t>
      </w:r>
      <w:r w:rsidR="00EC0DD8">
        <w:rPr>
          <w:rFonts w:eastAsia="Cambria Math"/>
          <w:b/>
          <w:i/>
        </w:rPr>
        <w:t>T</w:t>
      </w:r>
      <w:r w:rsidRPr="00AB2A68">
        <w:rPr>
          <w:rFonts w:eastAsia="Cambria Math"/>
          <w:b/>
          <w:i/>
        </w:rPr>
        <w:t>ype</w:t>
      </w:r>
      <w:r w:rsidR="00EC0DD8">
        <w:rPr>
          <w:rFonts w:eastAsia="Cambria Math"/>
          <w:b/>
          <w:i/>
        </w:rPr>
        <w:t xml:space="preserve"> / S</w:t>
      </w:r>
      <w:r w:rsidRPr="00AB2A68">
        <w:rPr>
          <w:rFonts w:eastAsia="Cambria Math"/>
          <w:b/>
          <w:i/>
        </w:rPr>
        <w:t xml:space="preserve">pace </w:t>
      </w:r>
      <w:r w:rsidR="00EC0DD8">
        <w:rPr>
          <w:rFonts w:eastAsia="Cambria Math"/>
          <w:b/>
          <w:i/>
        </w:rPr>
        <w:t>T</w:t>
      </w:r>
      <w:r w:rsidRPr="00AB2A68">
        <w:rPr>
          <w:rFonts w:eastAsia="Cambria Math"/>
          <w:b/>
          <w:i/>
        </w:rPr>
        <w:t xml:space="preserve">ype </w:t>
      </w:r>
      <w:r w:rsidR="004D3420">
        <w:rPr>
          <w:rFonts w:eastAsia="Cambria Math"/>
          <w:b/>
          <w:i/>
        </w:rPr>
        <w:t>Parameters</w:t>
      </w:r>
    </w:p>
    <w:p w14:paraId="57FC308A" w14:textId="77777777" w:rsidR="00BA0382" w:rsidRDefault="00BA0382" w:rsidP="00BA0382">
      <w:pPr>
        <w:rPr>
          <w:rFonts w:eastAsia="Cambria Math"/>
          <w:i/>
        </w:rPr>
      </w:pPr>
    </w:p>
    <w:p w14:paraId="00DF1473" w14:textId="73E44AF7" w:rsidR="00BA0382" w:rsidRDefault="00BA0382" w:rsidP="00BA0382">
      <w:pPr>
        <w:rPr>
          <w:rFonts w:eastAsia="Cambria Math"/>
        </w:rPr>
      </w:pPr>
      <w:r>
        <w:rPr>
          <w:rFonts w:eastAsia="Cambria Math"/>
        </w:rPr>
        <w:t xml:space="preserve">Navigant used </w:t>
      </w:r>
      <w:r w:rsidR="004D3420">
        <w:rPr>
          <w:rFonts w:eastAsia="Cambria Math"/>
        </w:rPr>
        <w:t>the ‘</w:t>
      </w:r>
      <w:r>
        <w:rPr>
          <w:rFonts w:eastAsia="Cambria Math"/>
        </w:rPr>
        <w:t>connected watts</w:t>
      </w:r>
      <w:r w:rsidR="004D3420">
        <w:rPr>
          <w:rFonts w:eastAsia="Cambria Math"/>
        </w:rPr>
        <w:t>’ metric</w:t>
      </w:r>
      <w:r>
        <w:rPr>
          <w:rFonts w:eastAsia="Cambria Math"/>
        </w:rPr>
        <w:t xml:space="preserve"> to </w:t>
      </w:r>
      <w:r w:rsidR="004D3420">
        <w:rPr>
          <w:rFonts w:eastAsia="Cambria Math"/>
        </w:rPr>
        <w:t xml:space="preserve">weight the results from </w:t>
      </w:r>
      <w:r>
        <w:rPr>
          <w:rFonts w:eastAsia="Cambria Math"/>
        </w:rPr>
        <w:t>various logged space type</w:t>
      </w:r>
      <w:r w:rsidR="004D3420">
        <w:rPr>
          <w:rFonts w:eastAsia="Cambria Math"/>
        </w:rPr>
        <w:t xml:space="preserve">s across sampled building </w:t>
      </w:r>
      <w:r>
        <w:rPr>
          <w:rFonts w:eastAsia="Cambria Math"/>
        </w:rPr>
        <w:t>sites</w:t>
      </w:r>
      <w:r w:rsidR="004D3420">
        <w:rPr>
          <w:rFonts w:eastAsia="Cambria Math"/>
        </w:rPr>
        <w:t xml:space="preserve"> to derive overall space-type parameters for each </w:t>
      </w:r>
      <w:r>
        <w:rPr>
          <w:rFonts w:eastAsia="Cambria Math"/>
        </w:rPr>
        <w:t>building type</w:t>
      </w:r>
      <w:r w:rsidR="001A1A49">
        <w:rPr>
          <w:rFonts w:eastAsia="Cambria Math"/>
        </w:rPr>
        <w:t>,</w:t>
      </w:r>
      <w:r>
        <w:rPr>
          <w:rFonts w:eastAsia="Cambria Math"/>
        </w:rPr>
        <w:t xml:space="preserve"> as shown in </w:t>
      </w:r>
      <w:r>
        <w:rPr>
          <w:rFonts w:eastAsia="Cambria Math"/>
        </w:rPr>
        <w:fldChar w:fldCharType="begin"/>
      </w:r>
      <w:r>
        <w:rPr>
          <w:rFonts w:eastAsia="Cambria Math"/>
        </w:rPr>
        <w:instrText xml:space="preserve"> REF _Ref480976804 \h </w:instrText>
      </w:r>
      <w:r>
        <w:rPr>
          <w:rFonts w:eastAsia="Cambria Math"/>
        </w:rPr>
      </w:r>
      <w:r>
        <w:rPr>
          <w:rFonts w:eastAsia="Cambria Math"/>
        </w:rPr>
        <w:fldChar w:fldCharType="separate"/>
      </w:r>
      <w:r>
        <w:t xml:space="preserve">Figure </w:t>
      </w:r>
      <w:r>
        <w:rPr>
          <w:noProof/>
        </w:rPr>
        <w:t>3</w:t>
      </w:r>
      <w:r>
        <w:rPr>
          <w:rFonts w:eastAsia="Cambria Math"/>
        </w:rPr>
        <w:fldChar w:fldCharType="end"/>
      </w:r>
      <w:r w:rsidR="00EC0DD8">
        <w:rPr>
          <w:rFonts w:eastAsia="Cambria Math"/>
        </w:rPr>
        <w:t>.</w:t>
      </w:r>
      <w:r w:rsidR="004D3420">
        <w:rPr>
          <w:rFonts w:eastAsia="Cambria Math"/>
        </w:rPr>
        <w:t xml:space="preserve"> Navigant summarized connected watts through analysis of EmPOWER program tracking data and onsite </w:t>
      </w:r>
      <w:r w:rsidR="00C00607">
        <w:rPr>
          <w:rFonts w:eastAsia="Cambria Math"/>
        </w:rPr>
        <w:t>verification</w:t>
      </w:r>
      <w:r w:rsidR="004D3420">
        <w:rPr>
          <w:rFonts w:eastAsia="Cambria Math"/>
        </w:rPr>
        <w:t xml:space="preserve"> of fixture quantity and rated wattage.</w:t>
      </w:r>
    </w:p>
    <w:p w14:paraId="09202BFD" w14:textId="2FF08325" w:rsidR="00BA0382" w:rsidRDefault="00BA0382" w:rsidP="00BA0382"/>
    <w:p w14:paraId="7FC4B403" w14:textId="77777777" w:rsidR="00BA0382" w:rsidRDefault="00BA0382" w:rsidP="00BA0382">
      <w:pPr>
        <w:jc w:val="center"/>
        <w:rPr>
          <w:rFonts w:eastAsia="Arial"/>
        </w:rPr>
      </w:pPr>
      <w:r>
        <w:rPr>
          <w:noProof/>
          <w:lang w:eastAsia="zh-CN"/>
        </w:rPr>
        <w:drawing>
          <wp:inline distT="0" distB="0" distL="0" distR="0" wp14:anchorId="121B4BFA" wp14:editId="7140141A">
            <wp:extent cx="5785033" cy="3027871"/>
            <wp:effectExtent l="0" t="0" r="635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7961" cy="3034637"/>
                    </a:xfrm>
                    <a:prstGeom prst="rect">
                      <a:avLst/>
                    </a:prstGeom>
                  </pic:spPr>
                </pic:pic>
              </a:graphicData>
            </a:graphic>
          </wp:inline>
        </w:drawing>
      </w:r>
    </w:p>
    <w:p w14:paraId="383ADC5A" w14:textId="3DBAC12D" w:rsidR="00BA0382" w:rsidRDefault="00BA0382" w:rsidP="00BA0382">
      <w:pPr>
        <w:pStyle w:val="Caption"/>
        <w:rPr>
          <w:rFonts w:eastAsia="Arial"/>
        </w:rPr>
      </w:pPr>
      <w:bookmarkStart w:id="13" w:name="_Ref480976804"/>
      <w:r>
        <w:t xml:space="preserve">Figure </w:t>
      </w:r>
      <w:r w:rsidR="00CA1EC5">
        <w:fldChar w:fldCharType="begin"/>
      </w:r>
      <w:r w:rsidR="00CA1EC5">
        <w:instrText xml:space="preserve"> SEQ Figure \* ARABIC </w:instrText>
      </w:r>
      <w:r w:rsidR="00CA1EC5">
        <w:fldChar w:fldCharType="separate"/>
      </w:r>
      <w:r>
        <w:rPr>
          <w:noProof/>
        </w:rPr>
        <w:t>3</w:t>
      </w:r>
      <w:r w:rsidR="00CA1EC5">
        <w:rPr>
          <w:noProof/>
        </w:rPr>
        <w:fldChar w:fldCharType="end"/>
      </w:r>
      <w:bookmarkEnd w:id="13"/>
      <w:r>
        <w:t xml:space="preserve"> - </w:t>
      </w:r>
      <w:r>
        <w:rPr>
          <w:rFonts w:eastAsia="Cambria Math"/>
          <w:i/>
        </w:rPr>
        <w:t xml:space="preserve">Combining </w:t>
      </w:r>
      <w:r w:rsidR="00AB2A68">
        <w:rPr>
          <w:rFonts w:eastAsia="Cambria Math"/>
          <w:i/>
        </w:rPr>
        <w:t>S</w:t>
      </w:r>
      <w:r>
        <w:rPr>
          <w:rFonts w:eastAsia="Cambria Math"/>
          <w:i/>
        </w:rPr>
        <w:t>pace-</w:t>
      </w:r>
      <w:r w:rsidR="00AB2A68">
        <w:rPr>
          <w:rFonts w:eastAsia="Cambria Math"/>
          <w:i/>
        </w:rPr>
        <w:t>T</w:t>
      </w:r>
      <w:r>
        <w:rPr>
          <w:rFonts w:eastAsia="Cambria Math"/>
          <w:i/>
        </w:rPr>
        <w:t xml:space="preserve">ypes across </w:t>
      </w:r>
      <w:r w:rsidR="00AB2A68">
        <w:rPr>
          <w:rFonts w:eastAsia="Cambria Math"/>
          <w:i/>
        </w:rPr>
        <w:t>S</w:t>
      </w:r>
      <w:r>
        <w:rPr>
          <w:rFonts w:eastAsia="Cambria Math"/>
          <w:i/>
        </w:rPr>
        <w:t xml:space="preserve">ites to </w:t>
      </w:r>
      <w:r w:rsidR="00AB2A68">
        <w:rPr>
          <w:rFonts w:eastAsia="Cambria Math"/>
          <w:i/>
        </w:rPr>
        <w:t>S</w:t>
      </w:r>
      <w:r>
        <w:rPr>
          <w:rFonts w:eastAsia="Cambria Math"/>
          <w:i/>
        </w:rPr>
        <w:t xml:space="preserve">ingle </w:t>
      </w:r>
      <w:r w:rsidR="00AB2A68">
        <w:rPr>
          <w:rFonts w:eastAsia="Cambria Math"/>
          <w:i/>
        </w:rPr>
        <w:t>B</w:t>
      </w:r>
      <w:r>
        <w:rPr>
          <w:rFonts w:eastAsia="Cambria Math"/>
          <w:i/>
        </w:rPr>
        <w:t xml:space="preserve">uilding </w:t>
      </w:r>
      <w:r w:rsidR="00AB2A68">
        <w:rPr>
          <w:rFonts w:eastAsia="Cambria Math"/>
          <w:i/>
        </w:rPr>
        <w:t>T</w:t>
      </w:r>
      <w:r>
        <w:rPr>
          <w:rFonts w:eastAsia="Cambria Math"/>
          <w:i/>
        </w:rPr>
        <w:t>ype-</w:t>
      </w:r>
      <w:r w:rsidR="00AB2A68">
        <w:rPr>
          <w:rFonts w:eastAsia="Cambria Math"/>
          <w:i/>
        </w:rPr>
        <w:t>S</w:t>
      </w:r>
      <w:r>
        <w:rPr>
          <w:rFonts w:eastAsia="Cambria Math"/>
          <w:i/>
        </w:rPr>
        <w:t xml:space="preserve">pace </w:t>
      </w:r>
      <w:r w:rsidR="00AB2A68">
        <w:rPr>
          <w:rFonts w:eastAsia="Cambria Math"/>
          <w:i/>
        </w:rPr>
        <w:t>T</w:t>
      </w:r>
      <w:r>
        <w:rPr>
          <w:rFonts w:eastAsia="Cambria Math"/>
          <w:i/>
        </w:rPr>
        <w:t xml:space="preserve">ype </w:t>
      </w:r>
      <w:r w:rsidR="00AB2A68">
        <w:rPr>
          <w:rFonts w:eastAsia="Cambria Math"/>
          <w:i/>
        </w:rPr>
        <w:t>F</w:t>
      </w:r>
      <w:r>
        <w:rPr>
          <w:rFonts w:eastAsia="Cambria Math"/>
          <w:i/>
        </w:rPr>
        <w:t>actors</w:t>
      </w:r>
    </w:p>
    <w:p w14:paraId="4524314D" w14:textId="77777777" w:rsidR="00BA0382" w:rsidRDefault="00BA0382" w:rsidP="00BA0382">
      <w:pPr>
        <w:rPr>
          <w:rFonts w:eastAsia="Arial"/>
        </w:rPr>
      </w:pPr>
    </w:p>
    <w:p w14:paraId="22D240AE" w14:textId="77777777" w:rsidR="00BA0382" w:rsidRDefault="00BA0382" w:rsidP="00BA0382">
      <w:pPr>
        <w:rPr>
          <w:rFonts w:eastAsia="Arial"/>
        </w:rPr>
      </w:pPr>
    </w:p>
    <w:p w14:paraId="77080D5A" w14:textId="6C87CD75" w:rsidR="00BA0382" w:rsidRPr="00AB2A68" w:rsidRDefault="004D3420" w:rsidP="00BA0382">
      <w:pPr>
        <w:rPr>
          <w:rFonts w:eastAsia="Cambria Math"/>
          <w:b/>
          <w:i/>
        </w:rPr>
      </w:pPr>
      <w:r>
        <w:rPr>
          <w:rFonts w:eastAsia="Cambria Math"/>
          <w:b/>
          <w:i/>
        </w:rPr>
        <w:t>Weighting</w:t>
      </w:r>
      <w:r w:rsidR="00BA0382" w:rsidRPr="00AB2A68">
        <w:rPr>
          <w:rFonts w:eastAsia="Cambria Math"/>
          <w:b/>
          <w:i/>
        </w:rPr>
        <w:t xml:space="preserve"> </w:t>
      </w:r>
      <w:r>
        <w:rPr>
          <w:rFonts w:eastAsia="Cambria Math"/>
          <w:b/>
          <w:i/>
        </w:rPr>
        <w:t>B</w:t>
      </w:r>
      <w:r w:rsidR="00BA0382" w:rsidRPr="00AB2A68">
        <w:rPr>
          <w:rFonts w:eastAsia="Cambria Math"/>
          <w:b/>
          <w:i/>
        </w:rPr>
        <w:t xml:space="preserve">uilding </w:t>
      </w:r>
      <w:r>
        <w:rPr>
          <w:rFonts w:eastAsia="Cambria Math"/>
          <w:b/>
          <w:i/>
        </w:rPr>
        <w:t>T</w:t>
      </w:r>
      <w:r w:rsidR="00BA0382" w:rsidRPr="00AB2A68">
        <w:rPr>
          <w:rFonts w:eastAsia="Cambria Math"/>
          <w:b/>
          <w:i/>
        </w:rPr>
        <w:t>ype</w:t>
      </w:r>
      <w:r>
        <w:rPr>
          <w:rFonts w:eastAsia="Cambria Math"/>
          <w:b/>
          <w:i/>
        </w:rPr>
        <w:t xml:space="preserve"> / S</w:t>
      </w:r>
      <w:r w:rsidR="00BA0382" w:rsidRPr="00AB2A68">
        <w:rPr>
          <w:rFonts w:eastAsia="Cambria Math"/>
          <w:b/>
          <w:i/>
        </w:rPr>
        <w:t xml:space="preserve">pace </w:t>
      </w:r>
      <w:r>
        <w:rPr>
          <w:rFonts w:eastAsia="Cambria Math"/>
          <w:b/>
          <w:i/>
        </w:rPr>
        <w:t>T</w:t>
      </w:r>
      <w:r w:rsidR="00BA0382" w:rsidRPr="00AB2A68">
        <w:rPr>
          <w:rFonts w:eastAsia="Cambria Math"/>
          <w:b/>
          <w:i/>
        </w:rPr>
        <w:t xml:space="preserve">ype </w:t>
      </w:r>
      <w:r>
        <w:rPr>
          <w:rFonts w:eastAsia="Cambria Math"/>
          <w:b/>
          <w:i/>
        </w:rPr>
        <w:t>Parameters to Derive</w:t>
      </w:r>
      <w:r w:rsidR="00BA0382" w:rsidRPr="00AB2A68">
        <w:rPr>
          <w:rFonts w:eastAsia="Cambria Math"/>
          <w:b/>
          <w:i/>
        </w:rPr>
        <w:t xml:space="preserve"> </w:t>
      </w:r>
      <w:r>
        <w:rPr>
          <w:rFonts w:eastAsia="Cambria Math"/>
          <w:b/>
          <w:i/>
        </w:rPr>
        <w:t>B</w:t>
      </w:r>
      <w:r w:rsidR="00BA0382" w:rsidRPr="00AB2A68">
        <w:rPr>
          <w:rFonts w:eastAsia="Cambria Math"/>
          <w:b/>
          <w:i/>
        </w:rPr>
        <w:t>uilding-</w:t>
      </w:r>
      <w:r>
        <w:rPr>
          <w:rFonts w:eastAsia="Cambria Math"/>
          <w:b/>
          <w:i/>
        </w:rPr>
        <w:t>L</w:t>
      </w:r>
      <w:r w:rsidR="00BA0382" w:rsidRPr="00AB2A68">
        <w:rPr>
          <w:rFonts w:eastAsia="Cambria Math"/>
          <w:b/>
          <w:i/>
        </w:rPr>
        <w:t xml:space="preserve">evel </w:t>
      </w:r>
      <w:r>
        <w:rPr>
          <w:rFonts w:eastAsia="Cambria Math"/>
          <w:b/>
          <w:i/>
        </w:rPr>
        <w:t>Parameters</w:t>
      </w:r>
    </w:p>
    <w:p w14:paraId="0AF5341A" w14:textId="77777777" w:rsidR="00BA0382" w:rsidRDefault="00BA0382" w:rsidP="00BA0382">
      <w:pPr>
        <w:rPr>
          <w:rFonts w:eastAsia="Cambria Math"/>
        </w:rPr>
      </w:pPr>
    </w:p>
    <w:p w14:paraId="7BDC8D67" w14:textId="2DB9DD60" w:rsidR="00BA0382" w:rsidRDefault="00BA0382" w:rsidP="00BA0382">
      <w:pPr>
        <w:rPr>
          <w:rFonts w:eastAsia="Arial"/>
        </w:rPr>
      </w:pPr>
      <w:r w:rsidRPr="198F1EF9">
        <w:rPr>
          <w:rFonts w:eastAsia="Arial"/>
        </w:rPr>
        <w:t>Navigant derived the building</w:t>
      </w:r>
      <w:r>
        <w:rPr>
          <w:rFonts w:eastAsia="Arial"/>
        </w:rPr>
        <w:t xml:space="preserve"> </w:t>
      </w:r>
      <w:r w:rsidRPr="198F1EF9">
        <w:rPr>
          <w:rFonts w:eastAsia="Arial"/>
        </w:rPr>
        <w:t xml:space="preserve">level weighted parameters using </w:t>
      </w:r>
      <w:r>
        <w:rPr>
          <w:rFonts w:eastAsia="Arial"/>
        </w:rPr>
        <w:t xml:space="preserve">the building type-space type distribution from </w:t>
      </w:r>
      <w:r w:rsidR="00583975">
        <w:rPr>
          <w:rFonts w:eastAsia="Arial"/>
        </w:rPr>
        <w:t xml:space="preserve">EmPOWER lighting program participation over </w:t>
      </w:r>
      <w:r w:rsidR="00907CAE">
        <w:rPr>
          <w:rFonts w:eastAsia="Arial"/>
        </w:rPr>
        <w:t>multiple</w:t>
      </w:r>
      <w:r w:rsidR="00583975">
        <w:rPr>
          <w:rFonts w:eastAsia="Arial"/>
        </w:rPr>
        <w:t xml:space="preserve"> program years.</w:t>
      </w:r>
    </w:p>
    <w:p w14:paraId="04D675CE" w14:textId="77777777" w:rsidR="00AB2A68" w:rsidRDefault="00AB2A68" w:rsidP="00BA0382">
      <w:pPr>
        <w:rPr>
          <w:rFonts w:eastAsia="Arial"/>
        </w:rPr>
      </w:pPr>
    </w:p>
    <w:p w14:paraId="37DF287B" w14:textId="61C7BC59" w:rsidR="00BA0382" w:rsidRPr="00AB2A68" w:rsidRDefault="007E488B" w:rsidP="00BA0382">
      <w:pPr>
        <w:rPr>
          <w:rFonts w:eastAsia="Cambria Math"/>
          <w:b/>
          <w:i/>
        </w:rPr>
      </w:pPr>
      <w:r w:rsidRPr="00AB2A68">
        <w:rPr>
          <w:rFonts w:eastAsia="Cambria Math"/>
          <w:b/>
          <w:i/>
        </w:rPr>
        <w:t xml:space="preserve">Combining </w:t>
      </w:r>
      <w:r w:rsidR="004D3420">
        <w:rPr>
          <w:rFonts w:eastAsia="Cambria Math"/>
          <w:b/>
          <w:i/>
        </w:rPr>
        <w:t>B</w:t>
      </w:r>
      <w:r w:rsidRPr="00AB2A68">
        <w:rPr>
          <w:rFonts w:eastAsia="Cambria Math"/>
          <w:b/>
          <w:i/>
        </w:rPr>
        <w:t>uilding</w:t>
      </w:r>
      <w:r w:rsidR="004D3420">
        <w:rPr>
          <w:rFonts w:eastAsia="Cambria Math"/>
          <w:b/>
          <w:i/>
        </w:rPr>
        <w:t>-Level</w:t>
      </w:r>
      <w:r w:rsidRPr="00AB2A68">
        <w:rPr>
          <w:rFonts w:eastAsia="Cambria Math"/>
          <w:b/>
          <w:i/>
        </w:rPr>
        <w:t xml:space="preserve"> </w:t>
      </w:r>
      <w:r w:rsidR="004D3420">
        <w:rPr>
          <w:rFonts w:eastAsia="Cambria Math"/>
          <w:b/>
          <w:i/>
        </w:rPr>
        <w:t>L</w:t>
      </w:r>
      <w:r w:rsidRPr="00AB2A68">
        <w:rPr>
          <w:rFonts w:eastAsia="Cambria Math"/>
          <w:b/>
          <w:i/>
        </w:rPr>
        <w:t xml:space="preserve">oad </w:t>
      </w:r>
      <w:r w:rsidR="004D3420">
        <w:rPr>
          <w:rFonts w:eastAsia="Cambria Math"/>
          <w:b/>
          <w:i/>
        </w:rPr>
        <w:t>S</w:t>
      </w:r>
      <w:r w:rsidRPr="00AB2A68">
        <w:rPr>
          <w:rFonts w:eastAsia="Cambria Math"/>
          <w:b/>
          <w:i/>
        </w:rPr>
        <w:t xml:space="preserve">hapes to </w:t>
      </w:r>
      <w:r w:rsidR="004D3420">
        <w:rPr>
          <w:rFonts w:eastAsia="Cambria Math"/>
          <w:b/>
          <w:i/>
        </w:rPr>
        <w:t>D</w:t>
      </w:r>
      <w:r w:rsidRPr="00AB2A68">
        <w:rPr>
          <w:rFonts w:eastAsia="Cambria Math"/>
          <w:b/>
          <w:i/>
        </w:rPr>
        <w:t xml:space="preserve">etermine </w:t>
      </w:r>
      <w:r w:rsidR="004D3420">
        <w:rPr>
          <w:rFonts w:eastAsia="Cambria Math"/>
          <w:b/>
          <w:i/>
        </w:rPr>
        <w:t>C</w:t>
      </w:r>
      <w:r w:rsidRPr="00AB2A68">
        <w:rPr>
          <w:rFonts w:eastAsia="Cambria Math"/>
          <w:b/>
          <w:i/>
        </w:rPr>
        <w:t xml:space="preserve">ommercial </w:t>
      </w:r>
      <w:r w:rsidR="004D3420">
        <w:rPr>
          <w:rFonts w:eastAsia="Cambria Math"/>
          <w:b/>
          <w:i/>
        </w:rPr>
        <w:t>S</w:t>
      </w:r>
      <w:r w:rsidRPr="00AB2A68">
        <w:rPr>
          <w:rFonts w:eastAsia="Cambria Math"/>
          <w:b/>
          <w:i/>
        </w:rPr>
        <w:t>ector</w:t>
      </w:r>
      <w:r w:rsidR="004D3420">
        <w:rPr>
          <w:rFonts w:eastAsia="Cambria Math"/>
          <w:b/>
          <w:i/>
        </w:rPr>
        <w:t>-L</w:t>
      </w:r>
      <w:r w:rsidRPr="00AB2A68">
        <w:rPr>
          <w:rFonts w:eastAsia="Cambria Math"/>
          <w:b/>
          <w:i/>
        </w:rPr>
        <w:t>evel</w:t>
      </w:r>
      <w:r w:rsidR="00B224CB" w:rsidRPr="00AB2A68">
        <w:rPr>
          <w:rFonts w:eastAsia="Cambria Math"/>
          <w:b/>
          <w:i/>
        </w:rPr>
        <w:t xml:space="preserve"> </w:t>
      </w:r>
      <w:r w:rsidR="004D3420">
        <w:rPr>
          <w:rFonts w:eastAsia="Cambria Math"/>
          <w:b/>
          <w:i/>
        </w:rPr>
        <w:t>Parameters</w:t>
      </w:r>
    </w:p>
    <w:p w14:paraId="6E8E829C" w14:textId="77777777" w:rsidR="007E488B" w:rsidRDefault="007E488B" w:rsidP="00BA0382">
      <w:pPr>
        <w:rPr>
          <w:rFonts w:eastAsia="Arial"/>
        </w:rPr>
      </w:pPr>
    </w:p>
    <w:p w14:paraId="1C4139BE" w14:textId="4F2CE0BE" w:rsidR="00EA2B4F" w:rsidRDefault="00253470" w:rsidP="00BA0382">
      <w:pPr>
        <w:rPr>
          <w:rFonts w:eastAsia="Arial"/>
        </w:rPr>
      </w:pPr>
      <w:r>
        <w:rPr>
          <w:rFonts w:eastAsia="Arial"/>
        </w:rPr>
        <w:t xml:space="preserve">Lastly, </w:t>
      </w:r>
      <w:r w:rsidR="00EA2B4F">
        <w:rPr>
          <w:rFonts w:eastAsia="Arial"/>
        </w:rPr>
        <w:t>Navigant combined building</w:t>
      </w:r>
      <w:r w:rsidR="00583975">
        <w:rPr>
          <w:rFonts w:eastAsia="Arial"/>
        </w:rPr>
        <w:t>-</w:t>
      </w:r>
      <w:r w:rsidR="00EA2B4F">
        <w:rPr>
          <w:rFonts w:eastAsia="Arial"/>
        </w:rPr>
        <w:t xml:space="preserve">level </w:t>
      </w:r>
      <w:r>
        <w:rPr>
          <w:rFonts w:eastAsia="Arial"/>
        </w:rPr>
        <w:t xml:space="preserve">parameters across </w:t>
      </w:r>
      <w:r w:rsidR="004D3420">
        <w:rPr>
          <w:rFonts w:eastAsia="Arial"/>
        </w:rPr>
        <w:t xml:space="preserve">the various </w:t>
      </w:r>
      <w:r>
        <w:rPr>
          <w:rFonts w:eastAsia="Arial"/>
        </w:rPr>
        <w:t>building types</w:t>
      </w:r>
      <w:r w:rsidR="00EA2B4F">
        <w:rPr>
          <w:rFonts w:eastAsia="Arial"/>
        </w:rPr>
        <w:t xml:space="preserve"> </w:t>
      </w:r>
      <w:r>
        <w:rPr>
          <w:rFonts w:eastAsia="Arial"/>
        </w:rPr>
        <w:t>to determine the overall 8760 load shapes</w:t>
      </w:r>
      <w:r w:rsidR="00B224CB">
        <w:rPr>
          <w:rFonts w:eastAsia="Arial"/>
        </w:rPr>
        <w:t xml:space="preserve"> </w:t>
      </w:r>
      <w:r>
        <w:rPr>
          <w:rFonts w:eastAsia="Arial"/>
        </w:rPr>
        <w:t xml:space="preserve">for commercial sector lighting. </w:t>
      </w:r>
      <w:r w:rsidR="00E52D74">
        <w:rPr>
          <w:rFonts w:eastAsia="Arial"/>
        </w:rPr>
        <w:t xml:space="preserve">The overall 8760 load shape was calculated using a weighted average based on the distribution of </w:t>
      </w:r>
      <w:r w:rsidR="00C00607">
        <w:rPr>
          <w:rFonts w:eastAsia="Arial"/>
        </w:rPr>
        <w:t xml:space="preserve">participation (project count) </w:t>
      </w:r>
      <w:r w:rsidR="00F4085C">
        <w:rPr>
          <w:rFonts w:eastAsia="Arial"/>
        </w:rPr>
        <w:t xml:space="preserve">across all building types </w:t>
      </w:r>
      <w:r w:rsidR="00E52D74">
        <w:rPr>
          <w:rFonts w:eastAsia="Arial"/>
        </w:rPr>
        <w:t>for the prior two years of the ComEd Small Business and Business Standard programs.</w:t>
      </w:r>
      <w:r w:rsidR="0087610D">
        <w:rPr>
          <w:rFonts w:eastAsia="Arial"/>
        </w:rPr>
        <w:t xml:space="preserve"> </w:t>
      </w:r>
      <w:r w:rsidR="004D3420">
        <w:rPr>
          <w:rFonts w:eastAsia="Arial"/>
        </w:rPr>
        <w:t>The ComEd tracking data contained 37 unique building types. Navigant mapped these 37 building types to one of the seven building types listed below to complete the weighting.</w:t>
      </w:r>
      <w:r w:rsidR="004D3420" w:rsidRPr="004D3420">
        <w:rPr>
          <w:rFonts w:eastAsia="Arial"/>
        </w:rPr>
        <w:t xml:space="preserve"> </w:t>
      </w:r>
      <w:r w:rsidR="004D3420">
        <w:rPr>
          <w:rFonts w:eastAsia="Arial"/>
        </w:rPr>
        <w:fldChar w:fldCharType="begin"/>
      </w:r>
      <w:r w:rsidR="004D3420">
        <w:rPr>
          <w:rFonts w:eastAsia="Arial"/>
        </w:rPr>
        <w:instrText xml:space="preserve"> REF _Ref517974683 \h </w:instrText>
      </w:r>
      <w:r w:rsidR="004D3420">
        <w:rPr>
          <w:rFonts w:eastAsia="Arial"/>
        </w:rPr>
      </w:r>
      <w:r w:rsidR="004D3420">
        <w:rPr>
          <w:rFonts w:eastAsia="Arial"/>
        </w:rPr>
        <w:fldChar w:fldCharType="separate"/>
      </w:r>
      <w:r w:rsidR="004D3420">
        <w:t xml:space="preserve">Table </w:t>
      </w:r>
      <w:r w:rsidR="004D3420">
        <w:rPr>
          <w:noProof/>
        </w:rPr>
        <w:t>3</w:t>
      </w:r>
      <w:r w:rsidR="004D3420">
        <w:rPr>
          <w:rFonts w:eastAsia="Arial"/>
        </w:rPr>
        <w:fldChar w:fldCharType="end"/>
      </w:r>
      <w:r w:rsidR="004D3420">
        <w:rPr>
          <w:rFonts w:eastAsia="Arial"/>
        </w:rPr>
        <w:t xml:space="preserve"> shows the weighting factors used to weight the building-level results to the sector-level.</w:t>
      </w:r>
    </w:p>
    <w:p w14:paraId="62A67519" w14:textId="1222F928" w:rsidR="004D3420" w:rsidRDefault="004D3420" w:rsidP="00BA0382">
      <w:pPr>
        <w:rPr>
          <w:rFonts w:eastAsia="Arial"/>
        </w:rPr>
      </w:pPr>
    </w:p>
    <w:p w14:paraId="2F1124F1" w14:textId="504D5A07" w:rsidR="00C244CE" w:rsidRDefault="00C244CE" w:rsidP="00C244CE">
      <w:pPr>
        <w:pStyle w:val="Caption"/>
      </w:pPr>
      <w:bookmarkStart w:id="14" w:name="_Ref517974683"/>
      <w:r>
        <w:t xml:space="preserve">Table </w:t>
      </w:r>
      <w:r w:rsidR="00CA1EC5">
        <w:fldChar w:fldCharType="begin"/>
      </w:r>
      <w:r w:rsidR="00CA1EC5">
        <w:instrText xml:space="preserve"> SEQ Table \* ARABIC </w:instrText>
      </w:r>
      <w:r w:rsidR="00CA1EC5">
        <w:fldChar w:fldCharType="separate"/>
      </w:r>
      <w:r w:rsidR="0087610D">
        <w:rPr>
          <w:noProof/>
        </w:rPr>
        <w:t>3</w:t>
      </w:r>
      <w:r w:rsidR="00CA1EC5">
        <w:rPr>
          <w:noProof/>
        </w:rPr>
        <w:fldChar w:fldCharType="end"/>
      </w:r>
      <w:bookmarkEnd w:id="14"/>
      <w:r>
        <w:t xml:space="preserve">: Building </w:t>
      </w:r>
      <w:r w:rsidR="0087610D">
        <w:t>–</w:t>
      </w:r>
      <w:r>
        <w:t xml:space="preserve"> </w:t>
      </w:r>
      <w:r w:rsidR="0087610D">
        <w:t>Sector-Level Weighting Factors</w:t>
      </w:r>
      <w:r w:rsidR="00C00607">
        <w:t xml:space="preserve"> Using ComEd Tracking Data</w:t>
      </w:r>
    </w:p>
    <w:tbl>
      <w:tblPr>
        <w:tblStyle w:val="EnergyTable1-Toptwo"/>
        <w:tblW w:w="0" w:type="auto"/>
        <w:tblLook w:val="04A0" w:firstRow="1" w:lastRow="0" w:firstColumn="1" w:lastColumn="0" w:noHBand="0" w:noVBand="1"/>
      </w:tblPr>
      <w:tblGrid>
        <w:gridCol w:w="1766"/>
        <w:gridCol w:w="1647"/>
      </w:tblGrid>
      <w:tr w:rsidR="00C244CE" w:rsidRPr="00D8443A" w14:paraId="0EE4C35D" w14:textId="77777777" w:rsidTr="00C244CE">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3FC2EDF1" w14:textId="77777777" w:rsidR="00C244CE" w:rsidRPr="00E14DD9" w:rsidRDefault="00C244CE" w:rsidP="00194F02">
            <w:pPr>
              <w:tabs>
                <w:tab w:val="left" w:pos="6015"/>
              </w:tabs>
              <w:rPr>
                <w:rFonts w:ascii="Arial Narrow" w:hAnsi="Arial Narrow"/>
                <w:b w:val="0"/>
                <w:bCs/>
              </w:rPr>
            </w:pPr>
            <w:r w:rsidRPr="00E14DD9">
              <w:rPr>
                <w:rFonts w:ascii="Arial Narrow" w:hAnsi="Arial Narrow"/>
                <w:bCs/>
              </w:rPr>
              <w:t>Building Type</w:t>
            </w:r>
          </w:p>
        </w:tc>
        <w:tc>
          <w:tcPr>
            <w:tcW w:w="0" w:type="auto"/>
            <w:hideMark/>
          </w:tcPr>
          <w:p w14:paraId="342F1FD3" w14:textId="1ED4471A" w:rsidR="00C244CE" w:rsidRPr="00E14DD9" w:rsidRDefault="00C244CE" w:rsidP="00194F02">
            <w:pPr>
              <w:tabs>
                <w:tab w:val="left" w:pos="6015"/>
              </w:tabs>
              <w:cnfStyle w:val="100000000000" w:firstRow="1" w:lastRow="0" w:firstColumn="0" w:lastColumn="0" w:oddVBand="0" w:evenVBand="0" w:oddHBand="0" w:evenHBand="0" w:firstRowFirstColumn="0" w:firstRowLastColumn="0" w:lastRowFirstColumn="0" w:lastRowLastColumn="0"/>
              <w:rPr>
                <w:rFonts w:ascii="Arial Narrow" w:hAnsi="Arial Narrow"/>
                <w:b w:val="0"/>
                <w:bCs/>
              </w:rPr>
            </w:pPr>
            <w:r>
              <w:rPr>
                <w:rFonts w:ascii="Arial Narrow" w:hAnsi="Arial Narrow"/>
                <w:bCs/>
              </w:rPr>
              <w:t>Weight</w:t>
            </w:r>
            <w:r w:rsidR="0087610D">
              <w:rPr>
                <w:rFonts w:ascii="Arial Narrow" w:hAnsi="Arial Narrow"/>
                <w:bCs/>
              </w:rPr>
              <w:t>ing Factors</w:t>
            </w:r>
          </w:p>
        </w:tc>
      </w:tr>
      <w:tr w:rsidR="00C244CE" w:rsidRPr="00D8443A" w14:paraId="1E463A81" w14:textId="77777777" w:rsidTr="00C244C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noWrap/>
            <w:vAlign w:val="top"/>
            <w:hideMark/>
          </w:tcPr>
          <w:p w14:paraId="792774DD" w14:textId="24EB27DB" w:rsidR="00C244CE" w:rsidRPr="00E14DD9" w:rsidRDefault="00C244CE" w:rsidP="00C244CE">
            <w:pPr>
              <w:tabs>
                <w:tab w:val="left" w:pos="6015"/>
              </w:tabs>
              <w:rPr>
                <w:rFonts w:ascii="Arial Narrow" w:hAnsi="Arial Narrow"/>
              </w:rPr>
            </w:pPr>
            <w:r w:rsidRPr="00C244CE">
              <w:rPr>
                <w:rFonts w:ascii="Arial Narrow" w:hAnsi="Arial Narrow"/>
              </w:rPr>
              <w:t>Education</w:t>
            </w:r>
          </w:p>
        </w:tc>
        <w:tc>
          <w:tcPr>
            <w:tcW w:w="0" w:type="auto"/>
            <w:noWrap/>
            <w:vAlign w:val="top"/>
          </w:tcPr>
          <w:p w14:paraId="79BB3752" w14:textId="00B8D9D7" w:rsidR="00C244CE" w:rsidRPr="00E14DD9" w:rsidRDefault="00C244CE" w:rsidP="00C244CE">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244CE">
              <w:rPr>
                <w:rFonts w:ascii="Arial Narrow" w:hAnsi="Arial Narrow"/>
              </w:rPr>
              <w:t>0.75%</w:t>
            </w:r>
          </w:p>
        </w:tc>
      </w:tr>
      <w:tr w:rsidR="00C244CE" w:rsidRPr="00D8443A" w14:paraId="39579211" w14:textId="77777777" w:rsidTr="00C244C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noWrap/>
            <w:vAlign w:val="top"/>
            <w:hideMark/>
          </w:tcPr>
          <w:p w14:paraId="073F2821" w14:textId="6DD35A2A" w:rsidR="00C244CE" w:rsidRPr="00E14DD9" w:rsidRDefault="00C244CE" w:rsidP="00C244CE">
            <w:pPr>
              <w:tabs>
                <w:tab w:val="left" w:pos="6015"/>
              </w:tabs>
              <w:rPr>
                <w:rFonts w:ascii="Arial Narrow" w:hAnsi="Arial Narrow"/>
              </w:rPr>
            </w:pPr>
            <w:r w:rsidRPr="00C244CE">
              <w:rPr>
                <w:rFonts w:ascii="Arial Narrow" w:hAnsi="Arial Narrow"/>
              </w:rPr>
              <w:t>Grocery</w:t>
            </w:r>
          </w:p>
        </w:tc>
        <w:tc>
          <w:tcPr>
            <w:tcW w:w="0" w:type="auto"/>
            <w:noWrap/>
            <w:vAlign w:val="top"/>
          </w:tcPr>
          <w:p w14:paraId="1CF3357C" w14:textId="4E89C800" w:rsidR="00C244CE" w:rsidRPr="00E14DD9" w:rsidRDefault="00C244CE" w:rsidP="00C244CE">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C244CE">
              <w:rPr>
                <w:rFonts w:ascii="Arial Narrow" w:hAnsi="Arial Narrow"/>
              </w:rPr>
              <w:t>2.59%</w:t>
            </w:r>
          </w:p>
        </w:tc>
      </w:tr>
      <w:tr w:rsidR="00C244CE" w:rsidRPr="00D8443A" w14:paraId="71C15268" w14:textId="77777777" w:rsidTr="00C244C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noWrap/>
            <w:vAlign w:val="top"/>
            <w:hideMark/>
          </w:tcPr>
          <w:p w14:paraId="6F8B5C9B" w14:textId="34E09512" w:rsidR="00C244CE" w:rsidRPr="00E14DD9" w:rsidRDefault="00C244CE" w:rsidP="00C244CE">
            <w:pPr>
              <w:tabs>
                <w:tab w:val="left" w:pos="6015"/>
              </w:tabs>
              <w:rPr>
                <w:rFonts w:ascii="Arial Narrow" w:hAnsi="Arial Narrow"/>
              </w:rPr>
            </w:pPr>
            <w:r w:rsidRPr="00C244CE">
              <w:rPr>
                <w:rFonts w:ascii="Arial Narrow" w:hAnsi="Arial Narrow"/>
              </w:rPr>
              <w:t>Health</w:t>
            </w:r>
          </w:p>
        </w:tc>
        <w:tc>
          <w:tcPr>
            <w:tcW w:w="0" w:type="auto"/>
            <w:noWrap/>
            <w:vAlign w:val="top"/>
          </w:tcPr>
          <w:p w14:paraId="506C9C9F" w14:textId="16CA7900" w:rsidR="00C244CE" w:rsidRPr="00E14DD9" w:rsidRDefault="00C244CE" w:rsidP="00C244CE">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244CE">
              <w:rPr>
                <w:rFonts w:ascii="Arial Narrow" w:hAnsi="Arial Narrow"/>
              </w:rPr>
              <w:t>1.19%</w:t>
            </w:r>
          </w:p>
        </w:tc>
      </w:tr>
      <w:tr w:rsidR="00C244CE" w:rsidRPr="00D8443A" w14:paraId="7249F7E2" w14:textId="77777777" w:rsidTr="00C244C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noWrap/>
            <w:vAlign w:val="top"/>
            <w:hideMark/>
          </w:tcPr>
          <w:p w14:paraId="20834709" w14:textId="37A384AB" w:rsidR="00C244CE" w:rsidRPr="00E14DD9" w:rsidRDefault="00C244CE" w:rsidP="00C244CE">
            <w:pPr>
              <w:tabs>
                <w:tab w:val="left" w:pos="6015"/>
              </w:tabs>
              <w:rPr>
                <w:rFonts w:ascii="Arial Narrow" w:hAnsi="Arial Narrow"/>
              </w:rPr>
            </w:pPr>
            <w:r w:rsidRPr="00C244CE">
              <w:rPr>
                <w:rFonts w:ascii="Arial Narrow" w:hAnsi="Arial Narrow"/>
              </w:rPr>
              <w:t>Office</w:t>
            </w:r>
          </w:p>
        </w:tc>
        <w:tc>
          <w:tcPr>
            <w:tcW w:w="0" w:type="auto"/>
            <w:noWrap/>
            <w:vAlign w:val="top"/>
          </w:tcPr>
          <w:p w14:paraId="6748E36F" w14:textId="7090C180" w:rsidR="00C244CE" w:rsidRPr="00E14DD9" w:rsidRDefault="00C244CE" w:rsidP="00C244CE">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C244CE">
              <w:rPr>
                <w:rFonts w:ascii="Arial Narrow" w:hAnsi="Arial Narrow"/>
              </w:rPr>
              <w:t>17.62%</w:t>
            </w:r>
          </w:p>
        </w:tc>
      </w:tr>
      <w:tr w:rsidR="00C244CE" w:rsidRPr="00D8443A" w14:paraId="0B006812" w14:textId="77777777" w:rsidTr="00C244C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DCDDDE"/>
            </w:tcBorders>
            <w:noWrap/>
            <w:vAlign w:val="top"/>
            <w:hideMark/>
          </w:tcPr>
          <w:p w14:paraId="1AB77BC9" w14:textId="0F044A0E" w:rsidR="00C244CE" w:rsidRPr="00E14DD9" w:rsidRDefault="00C244CE" w:rsidP="00C244CE">
            <w:pPr>
              <w:tabs>
                <w:tab w:val="left" w:pos="6015"/>
              </w:tabs>
              <w:rPr>
                <w:rFonts w:ascii="Arial Narrow" w:hAnsi="Arial Narrow"/>
              </w:rPr>
            </w:pPr>
            <w:r w:rsidRPr="00C244CE">
              <w:rPr>
                <w:rFonts w:ascii="Arial Narrow" w:hAnsi="Arial Narrow"/>
              </w:rPr>
              <w:t>Other</w:t>
            </w:r>
          </w:p>
        </w:tc>
        <w:tc>
          <w:tcPr>
            <w:tcW w:w="0" w:type="auto"/>
            <w:tcBorders>
              <w:bottom w:val="single" w:sz="4" w:space="0" w:color="DCDDDE"/>
            </w:tcBorders>
            <w:noWrap/>
            <w:vAlign w:val="top"/>
          </w:tcPr>
          <w:p w14:paraId="0C148A0A" w14:textId="7C5C36CB" w:rsidR="00C244CE" w:rsidRPr="00E14DD9" w:rsidRDefault="00C244CE" w:rsidP="00C244CE">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244CE">
              <w:rPr>
                <w:rFonts w:ascii="Arial Narrow" w:hAnsi="Arial Narrow"/>
              </w:rPr>
              <w:t>17.76%</w:t>
            </w:r>
          </w:p>
        </w:tc>
      </w:tr>
      <w:tr w:rsidR="00C244CE" w:rsidRPr="00D8443A" w14:paraId="1C4CE6EA" w14:textId="77777777" w:rsidTr="00C244CE">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DCDDDE"/>
              <w:bottom w:val="single" w:sz="4" w:space="0" w:color="BFBFBF" w:themeColor="background1" w:themeShade="BF"/>
            </w:tcBorders>
            <w:noWrap/>
            <w:vAlign w:val="top"/>
            <w:hideMark/>
          </w:tcPr>
          <w:p w14:paraId="3F67B232" w14:textId="4E2C2C14" w:rsidR="00C244CE" w:rsidRPr="00E14DD9" w:rsidRDefault="00C244CE" w:rsidP="00C244CE">
            <w:pPr>
              <w:tabs>
                <w:tab w:val="left" w:pos="6015"/>
              </w:tabs>
              <w:rPr>
                <w:rFonts w:ascii="Arial Narrow" w:hAnsi="Arial Narrow"/>
              </w:rPr>
            </w:pPr>
            <w:r w:rsidRPr="00C244CE">
              <w:rPr>
                <w:rFonts w:ascii="Arial Narrow" w:hAnsi="Arial Narrow"/>
              </w:rPr>
              <w:t>Retail</w:t>
            </w:r>
          </w:p>
        </w:tc>
        <w:tc>
          <w:tcPr>
            <w:tcW w:w="0" w:type="auto"/>
            <w:tcBorders>
              <w:top w:val="single" w:sz="4" w:space="0" w:color="DCDDDE"/>
              <w:bottom w:val="single" w:sz="4" w:space="0" w:color="BFBFBF" w:themeColor="background1" w:themeShade="BF"/>
            </w:tcBorders>
            <w:noWrap/>
            <w:vAlign w:val="top"/>
          </w:tcPr>
          <w:p w14:paraId="082C0873" w14:textId="78AF0E24" w:rsidR="00C244CE" w:rsidRPr="00E14DD9" w:rsidRDefault="00C244CE" w:rsidP="00C244CE">
            <w:pPr>
              <w:tabs>
                <w:tab w:val="left" w:pos="6015"/>
              </w:tabs>
              <w:cnfStyle w:val="000000010000" w:firstRow="0" w:lastRow="0" w:firstColumn="0" w:lastColumn="0" w:oddVBand="0" w:evenVBand="0" w:oddHBand="0" w:evenHBand="1" w:firstRowFirstColumn="0" w:firstRowLastColumn="0" w:lastRowFirstColumn="0" w:lastRowLastColumn="0"/>
              <w:rPr>
                <w:rFonts w:ascii="Arial Narrow" w:hAnsi="Arial Narrow"/>
              </w:rPr>
            </w:pPr>
            <w:r w:rsidRPr="00C244CE">
              <w:rPr>
                <w:rFonts w:ascii="Arial Narrow" w:hAnsi="Arial Narrow"/>
              </w:rPr>
              <w:t>42.94%</w:t>
            </w:r>
          </w:p>
        </w:tc>
      </w:tr>
      <w:tr w:rsidR="00C244CE" w:rsidRPr="00D8443A" w14:paraId="13B8B240" w14:textId="77777777" w:rsidTr="00C244C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BFBFBF" w:themeColor="background1" w:themeShade="BF"/>
              <w:bottom w:val="single" w:sz="4" w:space="0" w:color="auto"/>
            </w:tcBorders>
            <w:noWrap/>
            <w:vAlign w:val="top"/>
          </w:tcPr>
          <w:p w14:paraId="4D436F41" w14:textId="19E8AD5B" w:rsidR="00C244CE" w:rsidRPr="00E14DD9" w:rsidRDefault="00C244CE" w:rsidP="00C244CE">
            <w:pPr>
              <w:tabs>
                <w:tab w:val="left" w:pos="6015"/>
              </w:tabs>
              <w:rPr>
                <w:rFonts w:ascii="Arial Narrow" w:hAnsi="Arial Narrow"/>
              </w:rPr>
            </w:pPr>
            <w:r w:rsidRPr="00C244CE">
              <w:rPr>
                <w:rFonts w:ascii="Arial Narrow" w:hAnsi="Arial Narrow"/>
              </w:rPr>
              <w:t>Warehouse/Industrial</w:t>
            </w:r>
          </w:p>
        </w:tc>
        <w:tc>
          <w:tcPr>
            <w:tcW w:w="0" w:type="auto"/>
            <w:tcBorders>
              <w:top w:val="single" w:sz="4" w:space="0" w:color="BFBFBF" w:themeColor="background1" w:themeShade="BF"/>
              <w:bottom w:val="single" w:sz="4" w:space="0" w:color="auto"/>
            </w:tcBorders>
            <w:noWrap/>
            <w:vAlign w:val="top"/>
          </w:tcPr>
          <w:p w14:paraId="2F0FFF0F" w14:textId="6EBE79C8" w:rsidR="00C244CE" w:rsidRPr="00E14DD9" w:rsidRDefault="00C244CE" w:rsidP="00C244CE">
            <w:pPr>
              <w:tabs>
                <w:tab w:val="left" w:pos="6015"/>
              </w:tabs>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C244CE">
              <w:rPr>
                <w:rFonts w:ascii="Arial Narrow" w:hAnsi="Arial Narrow"/>
              </w:rPr>
              <w:t>17.16%</w:t>
            </w:r>
          </w:p>
        </w:tc>
      </w:tr>
    </w:tbl>
    <w:p w14:paraId="5BCAC444" w14:textId="0443329C" w:rsidR="00583975" w:rsidRDefault="00C244CE" w:rsidP="00C244CE">
      <w:pPr>
        <w:pStyle w:val="MemoLabel"/>
        <w:ind w:left="2520"/>
        <w:rPr>
          <w:b w:val="0"/>
          <w:i/>
          <w:sz w:val="16"/>
        </w:rPr>
      </w:pPr>
      <w:r w:rsidRPr="0087610D">
        <w:rPr>
          <w:b w:val="0"/>
          <w:i/>
          <w:sz w:val="16"/>
        </w:rPr>
        <w:t xml:space="preserve">Source: Navigant’s </w:t>
      </w:r>
      <w:r w:rsidR="0087610D">
        <w:rPr>
          <w:b w:val="0"/>
          <w:i/>
          <w:sz w:val="16"/>
        </w:rPr>
        <w:t>A</w:t>
      </w:r>
      <w:r w:rsidRPr="0087610D">
        <w:rPr>
          <w:b w:val="0"/>
          <w:i/>
          <w:sz w:val="16"/>
        </w:rPr>
        <w:t>nalysis of ComE</w:t>
      </w:r>
      <w:r w:rsidR="0087610D">
        <w:rPr>
          <w:b w:val="0"/>
          <w:i/>
          <w:sz w:val="16"/>
        </w:rPr>
        <w:t>d Standard and Small Business</w:t>
      </w:r>
      <w:r w:rsidRPr="0087610D">
        <w:rPr>
          <w:b w:val="0"/>
          <w:i/>
          <w:sz w:val="16"/>
        </w:rPr>
        <w:t xml:space="preserve"> </w:t>
      </w:r>
      <w:r w:rsidR="0087610D">
        <w:rPr>
          <w:b w:val="0"/>
          <w:i/>
          <w:sz w:val="16"/>
        </w:rPr>
        <w:t>T</w:t>
      </w:r>
      <w:r w:rsidRPr="0087610D">
        <w:rPr>
          <w:b w:val="0"/>
          <w:i/>
          <w:sz w:val="16"/>
        </w:rPr>
        <w:t xml:space="preserve">racking </w:t>
      </w:r>
      <w:r w:rsidR="0087610D">
        <w:rPr>
          <w:b w:val="0"/>
          <w:i/>
          <w:sz w:val="16"/>
        </w:rPr>
        <w:t>D</w:t>
      </w:r>
      <w:r w:rsidRPr="0087610D">
        <w:rPr>
          <w:b w:val="0"/>
          <w:i/>
          <w:sz w:val="16"/>
        </w:rPr>
        <w:t>ata</w:t>
      </w:r>
      <w:r w:rsidR="00C00607">
        <w:rPr>
          <w:b w:val="0"/>
          <w:i/>
          <w:sz w:val="16"/>
        </w:rPr>
        <w:t>; Weighted by Project Count</w:t>
      </w:r>
    </w:p>
    <w:p w14:paraId="3AEF42F7" w14:textId="77777777" w:rsidR="004D3420" w:rsidRPr="0087610D" w:rsidRDefault="004D3420" w:rsidP="00C244CE">
      <w:pPr>
        <w:pStyle w:val="MemoLabel"/>
        <w:ind w:left="2520"/>
        <w:rPr>
          <w:b w:val="0"/>
          <w:i/>
          <w:sz w:val="16"/>
        </w:rPr>
      </w:pPr>
    </w:p>
    <w:p w14:paraId="68710210" w14:textId="0D8DC0E2" w:rsidR="00BA0382" w:rsidRDefault="00BA0382" w:rsidP="002C23E8">
      <w:pPr>
        <w:pStyle w:val="Heading2"/>
      </w:pPr>
      <w:r>
        <w:t>Uncertainty</w:t>
      </w:r>
      <w:r w:rsidR="00EC0DD8">
        <w:t xml:space="preserve"> Analysis</w:t>
      </w:r>
    </w:p>
    <w:p w14:paraId="52691F6A" w14:textId="6DDDD271" w:rsidR="00BA0382" w:rsidRDefault="00BA0382" w:rsidP="00330B6C">
      <w:r>
        <w:t xml:space="preserve">Understanding the uncertainty around the </w:t>
      </w:r>
      <w:r w:rsidR="000E5717">
        <w:t>hourly load shapes</w:t>
      </w:r>
      <w:r>
        <w:t xml:space="preserve"> and hours-of-use parameters is key to being able to correctly interpret the results.  Navigant considered </w:t>
      </w:r>
      <w:r w:rsidR="00330B6C">
        <w:t>only sampling error in the calculation of uncertainty.</w:t>
      </w:r>
    </w:p>
    <w:p w14:paraId="71DF26AB" w14:textId="77777777" w:rsidR="00F4085C" w:rsidRDefault="00F4085C" w:rsidP="00330B6C">
      <w:pPr>
        <w:rPr>
          <w:rFonts w:eastAsia="Arial" w:cs="Arial"/>
        </w:rPr>
      </w:pPr>
    </w:p>
    <w:p w14:paraId="2BCA54E4" w14:textId="77777777" w:rsidR="00BA0382" w:rsidRDefault="00BA0382" w:rsidP="00BA0382">
      <w:r>
        <w:t>Other sources of error not considered include:</w:t>
      </w:r>
    </w:p>
    <w:p w14:paraId="67D994CF" w14:textId="5A017144" w:rsidR="009B6F8B" w:rsidRPr="002C23E8" w:rsidRDefault="009B6F8B" w:rsidP="00F4085C">
      <w:pPr>
        <w:pStyle w:val="ListParagraph"/>
        <w:numPr>
          <w:ilvl w:val="0"/>
          <w:numId w:val="42"/>
        </w:numPr>
        <w:spacing w:before="0"/>
        <w:rPr>
          <w:rFonts w:eastAsia="Arial" w:cs="Arial"/>
        </w:rPr>
      </w:pPr>
      <w:r>
        <w:t>Within-site sampling erro</w:t>
      </w:r>
      <w:r w:rsidR="004230D3">
        <w:t>r</w:t>
      </w:r>
    </w:p>
    <w:p w14:paraId="0C277A0F" w14:textId="572B2B9F" w:rsidR="00BA0382" w:rsidRDefault="00BA0382" w:rsidP="00F4085C">
      <w:pPr>
        <w:pStyle w:val="ListParagraph"/>
        <w:numPr>
          <w:ilvl w:val="0"/>
          <w:numId w:val="42"/>
        </w:numPr>
        <w:spacing w:before="0"/>
        <w:rPr>
          <w:rFonts w:eastAsia="Arial" w:cs="Arial"/>
        </w:rPr>
      </w:pPr>
      <w:r>
        <w:t>Instrumentation error of loggers</w:t>
      </w:r>
      <w:r w:rsidR="004230D3">
        <w:t>, although Navigant performed thorough data cleaning and logger validation</w:t>
      </w:r>
    </w:p>
    <w:p w14:paraId="5FB77174" w14:textId="4AC4E78D" w:rsidR="00BA0382" w:rsidRDefault="00330B6C" w:rsidP="00BA0382">
      <w:pPr>
        <w:pStyle w:val="ListParagraph"/>
        <w:numPr>
          <w:ilvl w:val="0"/>
          <w:numId w:val="42"/>
        </w:numPr>
        <w:spacing w:before="0"/>
      </w:pPr>
      <w:r>
        <w:t>Logged-period-to-8760</w:t>
      </w:r>
      <w:r w:rsidR="00BA0382">
        <w:t xml:space="preserve"> extrapolation error</w:t>
      </w:r>
    </w:p>
    <w:p w14:paraId="7EF3E0E3" w14:textId="02F056DE" w:rsidR="00F4085C" w:rsidRDefault="00F4085C" w:rsidP="00F4085C"/>
    <w:p w14:paraId="594123D7" w14:textId="12393BA1" w:rsidR="00F4085C" w:rsidRDefault="004230D3" w:rsidP="00F4085C">
      <w:r>
        <w:t>Navigant used the f</w:t>
      </w:r>
      <w:r w:rsidR="003F50C1" w:rsidRPr="003F50C1">
        <w:t>ollowing equations to calculate the relat</w:t>
      </w:r>
      <w:r w:rsidR="003F50C1">
        <w:t xml:space="preserve">ive precision at </w:t>
      </w:r>
      <w:r w:rsidR="002054C2">
        <w:t xml:space="preserve">the </w:t>
      </w:r>
      <w:r w:rsidR="003F50C1">
        <w:t>90% confidence level</w:t>
      </w:r>
      <w:r w:rsidR="00B37063">
        <w:t xml:space="preserve"> for </w:t>
      </w:r>
      <w:r w:rsidR="001B1014">
        <w:t xml:space="preserve">all </w:t>
      </w:r>
      <w:r>
        <w:t xml:space="preserve">the hourly 8760 </w:t>
      </w:r>
      <w:r w:rsidR="001B1014">
        <w:t>coincidence factors (CF)</w:t>
      </w:r>
      <w:r>
        <w:t>:</w:t>
      </w:r>
    </w:p>
    <w:p w14:paraId="17FAD00B" w14:textId="00BC1D58" w:rsidR="003F50C1" w:rsidRDefault="003F50C1" w:rsidP="00F4085C"/>
    <w:p w14:paraId="4BBE743D" w14:textId="20B911C9" w:rsidR="003F50C1" w:rsidRPr="00B37063" w:rsidRDefault="00CA1EC5" w:rsidP="00F4085C">
      <m:oMathPara>
        <m:oMath>
          <m:sSub>
            <m:sSubPr>
              <m:ctrlPr>
                <w:rPr>
                  <w:rFonts w:ascii="Cambria Math" w:hAnsi="Cambria Math"/>
                  <w:i/>
                </w:rPr>
              </m:ctrlPr>
            </m:sSubPr>
            <m:e>
              <m:r>
                <w:rPr>
                  <w:rFonts w:ascii="Cambria Math" w:hAnsi="Cambria Math"/>
                </w:rPr>
                <m:t>RP</m:t>
              </m:r>
            </m:e>
            <m:sub>
              <m:r>
                <w:rPr>
                  <w:rFonts w:ascii="Cambria Math" w:hAnsi="Cambria Math"/>
                </w:rPr>
                <m:t>90</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90</m:t>
                  </m:r>
                </m:sub>
              </m:sSub>
              <m:r>
                <w:rPr>
                  <w:rFonts w:ascii="Cambria Math" w:hAnsi="Cambria Math"/>
                </w:rPr>
                <m:t>×SE</m:t>
              </m:r>
            </m:num>
            <m:den>
              <m:r>
                <w:rPr>
                  <w:rFonts w:ascii="Cambria Math" w:hAnsi="Cambria Math"/>
                </w:rPr>
                <m:t>CF</m:t>
              </m:r>
            </m:den>
          </m:f>
        </m:oMath>
      </m:oMathPara>
    </w:p>
    <w:p w14:paraId="76EC0DCE" w14:textId="77777777" w:rsidR="00B37063" w:rsidRPr="003F50C1" w:rsidRDefault="00B37063" w:rsidP="00F4085C"/>
    <w:p w14:paraId="12006D66" w14:textId="4B863625" w:rsidR="003F50C1" w:rsidRPr="00B37063" w:rsidRDefault="00E94FF6" w:rsidP="00F4085C">
      <m:oMathPara>
        <m:oMath>
          <m:r>
            <w:rPr>
              <w:rFonts w:ascii="Cambria Math" w:hAnsi="Cambria Math"/>
            </w:rPr>
            <m:t xml:space="preserve">SE= </m:t>
          </m:r>
          <m:f>
            <m:fPr>
              <m:ctrlPr>
                <w:rPr>
                  <w:rFonts w:ascii="Cambria Math" w:hAnsi="Cambria Math"/>
                  <w:i/>
                </w:rPr>
              </m:ctrlPr>
            </m:fPr>
            <m:num>
              <m:sSub>
                <m:sSubPr>
                  <m:ctrlPr>
                    <w:rPr>
                      <w:rFonts w:ascii="Cambria Math" w:hAnsi="Cambria Math"/>
                      <w:i/>
                    </w:rPr>
                  </m:ctrlPr>
                </m:sSubPr>
                <m:e>
                  <m:r>
                    <w:rPr>
                      <w:rFonts w:ascii="Cambria Math" w:hAnsi="Cambria Math"/>
                    </w:rPr>
                    <m:t>CF</m:t>
                  </m:r>
                </m:e>
                <m:sub>
                  <m:r>
                    <w:rPr>
                      <w:rFonts w:ascii="Cambria Math" w:hAnsi="Cambria Math"/>
                    </w:rPr>
                    <m:t>SD</m:t>
                  </m:r>
                </m:sub>
              </m:sSub>
            </m:num>
            <m:den>
              <m:r>
                <w:rPr>
                  <w:rFonts w:ascii="Cambria Math" w:hAnsi="Cambria Math"/>
                </w:rPr>
                <m:t>√n_sitespaces</m:t>
              </m:r>
            </m:den>
          </m:f>
        </m:oMath>
      </m:oMathPara>
    </w:p>
    <w:p w14:paraId="76D808E6" w14:textId="5DF10212" w:rsidR="00B37063" w:rsidRDefault="00B37063" w:rsidP="00F4085C"/>
    <w:p w14:paraId="01E95DE9" w14:textId="5C891957" w:rsidR="00B37063" w:rsidRDefault="00B37063" w:rsidP="00F4085C">
      <w:r>
        <w:t>Where,</w:t>
      </w:r>
    </w:p>
    <w:p w14:paraId="129E09E8" w14:textId="459E59E0" w:rsidR="00B37063" w:rsidRDefault="00B37063" w:rsidP="00F4085C">
      <w:r>
        <w:t>RP</w:t>
      </w:r>
      <w:r w:rsidRPr="002C23E8">
        <w:rPr>
          <w:vertAlign w:val="subscript"/>
        </w:rPr>
        <w:t>90</w:t>
      </w:r>
      <w:r>
        <w:t xml:space="preserve">     = Relative precision of the roll-up at 90% confidence</w:t>
      </w:r>
    </w:p>
    <w:p w14:paraId="66EAB652" w14:textId="0B9470A5" w:rsidR="00B37063" w:rsidRDefault="00B37063" w:rsidP="00F4085C">
      <w:r>
        <w:t>t</w:t>
      </w:r>
      <w:r w:rsidRPr="002C23E8">
        <w:rPr>
          <w:vertAlign w:val="subscript"/>
        </w:rPr>
        <w:t>90</w:t>
      </w:r>
      <w:r>
        <w:t xml:space="preserve">         = </w:t>
      </w:r>
      <w:r w:rsidR="001B1014">
        <w:t>T-Statistic for 90% confidence level</w:t>
      </w:r>
    </w:p>
    <w:p w14:paraId="58B2244F" w14:textId="1C441171" w:rsidR="001B1014" w:rsidRDefault="001B1014" w:rsidP="00F4085C">
      <w:r>
        <w:t xml:space="preserve">SE        = Standard Error </w:t>
      </w:r>
      <w:r w:rsidR="00DF5BAE">
        <w:t>of the roll-up</w:t>
      </w:r>
    </w:p>
    <w:p w14:paraId="255E0470" w14:textId="1DA88D94" w:rsidR="001B1014" w:rsidRDefault="001B1014" w:rsidP="00F4085C">
      <w:r>
        <w:t xml:space="preserve">CF        = </w:t>
      </w:r>
      <w:r w:rsidR="00B75191">
        <w:t xml:space="preserve">Mean </w:t>
      </w:r>
      <w:r>
        <w:t>Coincidence factor</w:t>
      </w:r>
      <w:r w:rsidR="00B75191">
        <w:t xml:space="preserve"> for the roll-up</w:t>
      </w:r>
    </w:p>
    <w:p w14:paraId="664C1DB0" w14:textId="0C418CDC" w:rsidR="00B75191" w:rsidRDefault="00B75191" w:rsidP="00F4085C">
      <w:r>
        <w:t>CF</w:t>
      </w:r>
      <w:r w:rsidRPr="002C23E8">
        <w:rPr>
          <w:vertAlign w:val="subscript"/>
        </w:rPr>
        <w:t>SD</w:t>
      </w:r>
      <w:r>
        <w:rPr>
          <w:vertAlign w:val="subscript"/>
        </w:rPr>
        <w:softHyphen/>
      </w:r>
      <w:r>
        <w:t xml:space="preserve">     = Standard Deviation of the CF roll-up</w:t>
      </w:r>
    </w:p>
    <w:p w14:paraId="49C597A8" w14:textId="0D2EF465" w:rsidR="00B75191" w:rsidRPr="00B75191" w:rsidRDefault="00B75191" w:rsidP="00F4085C">
      <w:r>
        <w:t>n_site    = Number of sites being rolled-up</w:t>
      </w:r>
    </w:p>
    <w:p w14:paraId="051A3C73" w14:textId="77777777" w:rsidR="007E06CD" w:rsidRDefault="007E06CD" w:rsidP="00145656">
      <w:pPr>
        <w:pStyle w:val="ODCBodyText"/>
        <w:rPr>
          <w:rFonts w:ascii="Arial" w:hAnsi="Arial"/>
          <w:b/>
          <w:bCs/>
          <w:color w:val="1F497D"/>
          <w:sz w:val="20"/>
        </w:rPr>
      </w:pPr>
    </w:p>
    <w:p w14:paraId="5B27B68F" w14:textId="162CFE87" w:rsidR="00EC0DD8" w:rsidRDefault="00EC0DD8" w:rsidP="00CA1EC5">
      <w:pPr>
        <w:pStyle w:val="Heading1"/>
      </w:pPr>
      <w:r>
        <w:t>Analysis Limitations and Considerations for Future Research</w:t>
      </w:r>
    </w:p>
    <w:p w14:paraId="572D4E4B" w14:textId="77777777" w:rsidR="00CA1EC5" w:rsidRPr="00CA1EC5" w:rsidRDefault="00CA1EC5" w:rsidP="00CA1EC5"/>
    <w:p w14:paraId="46EA927A" w14:textId="713513B5" w:rsidR="00145656" w:rsidRDefault="00507FB8" w:rsidP="00145656">
      <w:r>
        <w:t xml:space="preserve">Navigant summarized load shapes for </w:t>
      </w:r>
      <w:r w:rsidR="004230D3">
        <w:t>six</w:t>
      </w:r>
      <w:r>
        <w:t xml:space="preserve"> main building types and</w:t>
      </w:r>
      <w:r w:rsidR="00661288">
        <w:t xml:space="preserve"> an</w:t>
      </w:r>
      <w:r>
        <w:t xml:space="preserve"> </w:t>
      </w:r>
      <w:r w:rsidR="004230D3">
        <w:t>‘</w:t>
      </w:r>
      <w:r>
        <w:t>Other</w:t>
      </w:r>
      <w:r w:rsidR="004230D3">
        <w:t>’</w:t>
      </w:r>
      <w:r w:rsidR="00661288">
        <w:t xml:space="preserve"> building type that includes the remainder of logged data across less frequent building types. N</w:t>
      </w:r>
      <w:r w:rsidR="00175FF9">
        <w:t>a</w:t>
      </w:r>
      <w:r w:rsidR="00661288">
        <w:t xml:space="preserve">vigant also summarized commercial </w:t>
      </w:r>
      <w:r>
        <w:t>sector</w:t>
      </w:r>
      <w:r w:rsidR="00661288">
        <w:t xml:space="preserve">-level load shapes for </w:t>
      </w:r>
      <w:r>
        <w:t xml:space="preserve">indoor and outdoor lighting. </w:t>
      </w:r>
    </w:p>
    <w:p w14:paraId="467A8A71" w14:textId="4E8B11DE" w:rsidR="00507FB8" w:rsidRDefault="00507FB8" w:rsidP="00145656"/>
    <w:p w14:paraId="3969D390" w14:textId="6BA3AA7F" w:rsidR="00034DC8" w:rsidRDefault="00034DC8" w:rsidP="00145656">
      <w:r>
        <w:t xml:space="preserve">Navigant recommends further research in Illinois </w:t>
      </w:r>
      <w:r w:rsidR="004230D3">
        <w:t>to collect long-term lighting metering data (at least nine months including both summer and winter peak periods and a Fall or Spring shoulder season) for a large sample of building types. This research can be conducted with C&amp;I lighting program participants alongside the standard evaluations conducted for Illinois utilities. The results from this analysis can provide robust estimates of HOU</w:t>
      </w:r>
      <w:r w:rsidR="00A16772">
        <w:t>,</w:t>
      </w:r>
      <w:r w:rsidR="0087610D">
        <w:t xml:space="preserve"> </w:t>
      </w:r>
      <w:r w:rsidR="004230D3">
        <w:t>CF</w:t>
      </w:r>
      <w:r w:rsidR="00A16772">
        <w:t>,</w:t>
      </w:r>
      <w:r w:rsidR="0087610D">
        <w:t xml:space="preserve"> </w:t>
      </w:r>
      <w:r w:rsidR="00A16772">
        <w:t>and load shapes</w:t>
      </w:r>
      <w:r w:rsidR="004230D3">
        <w:t xml:space="preserve"> at the building-level. Space-level analysis may reduce or eliminate the need for annual site specific metering studies for lighting program participants, as was done in Maryland for EmPOWER utilities. Future research can also include study design considerations for lighting controls. </w:t>
      </w:r>
    </w:p>
    <w:p w14:paraId="0793B4DF" w14:textId="77777777" w:rsidR="004230D3" w:rsidRDefault="004230D3" w:rsidP="00145656"/>
    <w:p w14:paraId="5FE1D0A8" w14:textId="3CFD8CF2" w:rsidR="00661288" w:rsidRDefault="00661288" w:rsidP="0087610D">
      <w:pPr>
        <w:pStyle w:val="ListParagraph"/>
      </w:pPr>
    </w:p>
    <w:p w14:paraId="18DD699F" w14:textId="51E6E03F" w:rsidR="00661288" w:rsidRDefault="00661288" w:rsidP="00AB2A68">
      <w:pPr>
        <w:pStyle w:val="ListParagraph"/>
      </w:pPr>
    </w:p>
    <w:p w14:paraId="00449021" w14:textId="77777777" w:rsidR="00507FB8" w:rsidRPr="00803D62" w:rsidRDefault="00507FB8" w:rsidP="00145656"/>
    <w:sectPr w:rsidR="00507FB8" w:rsidRPr="00803D62" w:rsidSect="00BE7857">
      <w:headerReference w:type="default" r:id="rId14"/>
      <w:headerReference w:type="first" r:id="rId15"/>
      <w:footerReference w:type="first" r:id="rId16"/>
      <w:pgSz w:w="12240" w:h="15840" w:code="1"/>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C8556" w14:textId="77777777" w:rsidR="00907041" w:rsidRDefault="00907041" w:rsidP="00C43B53">
      <w:pPr>
        <w:spacing w:line="240" w:lineRule="auto"/>
      </w:pPr>
      <w:r>
        <w:separator/>
      </w:r>
    </w:p>
  </w:endnote>
  <w:endnote w:type="continuationSeparator" w:id="0">
    <w:p w14:paraId="21DD32A9" w14:textId="77777777" w:rsidR="00907041" w:rsidRDefault="00907041" w:rsidP="00C43B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F2632" w14:textId="77777777" w:rsidR="001805A8" w:rsidRDefault="001805A8">
    <w:pPr>
      <w:pStyle w:val="Footer"/>
    </w:pPr>
  </w:p>
  <w:p w14:paraId="3349184B" w14:textId="77777777" w:rsidR="001805A8" w:rsidRDefault="001805A8">
    <w:pPr>
      <w:pStyle w:val="Footer"/>
    </w:pPr>
  </w:p>
  <w:p w14:paraId="1635BDB4" w14:textId="77777777" w:rsidR="001805A8" w:rsidRDefault="001805A8">
    <w:pPr>
      <w:pStyle w:val="Footer"/>
    </w:pPr>
  </w:p>
  <w:p w14:paraId="26BB6EAB" w14:textId="77777777" w:rsidR="001805A8" w:rsidRDefault="001805A8">
    <w:pPr>
      <w:pStyle w:val="Footer"/>
    </w:pPr>
  </w:p>
  <w:p w14:paraId="7F916C83" w14:textId="77777777" w:rsidR="001805A8" w:rsidRDefault="001805A8">
    <w:pPr>
      <w:pStyle w:val="Footer"/>
    </w:pPr>
  </w:p>
  <w:p w14:paraId="08FCC7FE" w14:textId="77777777" w:rsidR="001805A8" w:rsidRDefault="001805A8">
    <w:pPr>
      <w:pStyle w:val="Footer"/>
    </w:pPr>
  </w:p>
  <w:p w14:paraId="64910C0D" w14:textId="77777777" w:rsidR="001805A8" w:rsidRDefault="001805A8">
    <w:pPr>
      <w:pStyle w:val="Footer"/>
    </w:pPr>
  </w:p>
  <w:p w14:paraId="2B883214" w14:textId="77777777" w:rsidR="001805A8" w:rsidRDefault="001805A8">
    <w:pPr>
      <w:pStyle w:val="Footer"/>
    </w:pPr>
  </w:p>
  <w:p w14:paraId="22F5FD90" w14:textId="77777777" w:rsidR="001805A8" w:rsidRDefault="001805A8">
    <w:pPr>
      <w:pStyle w:val="Footer"/>
    </w:pPr>
    <w:r>
      <w:rPr>
        <w:noProof/>
        <w:lang w:eastAsia="zh-CN"/>
      </w:rPr>
      <mc:AlternateContent>
        <mc:Choice Requires="wps">
          <w:drawing>
            <wp:anchor distT="0" distB="0" distL="114300" distR="114300" simplePos="0" relativeHeight="251662336" behindDoc="0" locked="0" layoutInCell="1" allowOverlap="1" wp14:anchorId="6F2F51EC" wp14:editId="0566BA75">
              <wp:simplePos x="0" y="0"/>
              <wp:positionH relativeFrom="column">
                <wp:posOffset>-587375</wp:posOffset>
              </wp:positionH>
              <wp:positionV relativeFrom="paragraph">
                <wp:posOffset>-884555</wp:posOffset>
              </wp:positionV>
              <wp:extent cx="1811655" cy="95631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95631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00FA9B" w14:textId="650A48A0" w:rsidR="001805A8" w:rsidRDefault="004F6B9C" w:rsidP="00DC7AC8">
                          <w:pPr>
                            <w:pStyle w:val="FooterAddress"/>
                          </w:pPr>
                          <w:r w:rsidRPr="004F6B9C">
                            <w:t>150 N Riverside Plaza | Suite 2100 | Chicago, IL 60606 | USA</w:t>
                          </w:r>
                        </w:p>
                        <w:p w14:paraId="28A9A666" w14:textId="77777777" w:rsidR="001805A8" w:rsidRDefault="001805A8" w:rsidP="00DC7AC8">
                          <w:pPr>
                            <w:pStyle w:val="FooterAddress"/>
                          </w:pPr>
                          <w:r>
                            <w:t>navigant.com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2F51EC" id="_x0000_t202" coordsize="21600,21600" o:spt="202" path="m,l,21600r21600,l21600,xe">
              <v:stroke joinstyle="miter"/>
              <v:path gradientshapeok="t" o:connecttype="rect"/>
            </v:shapetype>
            <v:shape id="Text Box 29" o:spid="_x0000_s1026" type="#_x0000_t202" style="position:absolute;margin-left:-46.25pt;margin-top:-69.65pt;width:142.65pt;height:7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" filled="f" stroked="f">
              <v:textbox>
                <w:txbxContent>
                  <w:p w14:paraId="6900FA9B" w14:textId="650A48A0" w:rsidR="001805A8" w:rsidRDefault="004F6B9C" w:rsidP="00DC7AC8">
                    <w:pPr>
                      <w:pStyle w:val="FooterAddress"/>
                    </w:pPr>
                    <w:r w:rsidRPr="004F6B9C">
                      <w:t>150 N Riverside Plaza | Suite 2100 | Chicago, IL 60606 | USA</w:t>
                    </w:r>
                  </w:p>
                  <w:p w14:paraId="28A9A666" w14:textId="77777777" w:rsidR="001805A8" w:rsidRDefault="001805A8" w:rsidP="00DC7AC8">
                    <w:pPr>
                      <w:pStyle w:val="FooterAddress"/>
                    </w:pPr>
                    <w:r>
                      <w:t>navigant.com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B10B4" w14:textId="77777777" w:rsidR="00907041" w:rsidRDefault="00907041" w:rsidP="00C43B53">
      <w:pPr>
        <w:spacing w:line="240" w:lineRule="auto"/>
      </w:pPr>
      <w:r>
        <w:separator/>
      </w:r>
    </w:p>
  </w:footnote>
  <w:footnote w:type="continuationSeparator" w:id="0">
    <w:p w14:paraId="21EFB382" w14:textId="77777777" w:rsidR="00907041" w:rsidRDefault="00907041" w:rsidP="00C43B53">
      <w:pPr>
        <w:spacing w:line="240" w:lineRule="auto"/>
      </w:pPr>
      <w:r>
        <w:continuationSeparator/>
      </w:r>
    </w:p>
  </w:footnote>
  <w:footnote w:id="1">
    <w:p w14:paraId="37B47B3F" w14:textId="3C15E922" w:rsidR="006F7500" w:rsidRDefault="006F7500">
      <w:pPr>
        <w:pStyle w:val="FootnoteText"/>
      </w:pPr>
      <w:r w:rsidRPr="0087610D">
        <w:rPr>
          <w:rStyle w:val="FootnoteReference"/>
        </w:rPr>
        <w:footnoteRef/>
      </w:r>
      <w:r w:rsidRPr="0087610D">
        <w:t xml:space="preserve"> </w:t>
      </w:r>
      <w:r w:rsidR="00F736C7" w:rsidRPr="005E4FE2">
        <w:t>“</w:t>
      </w:r>
      <w:r w:rsidRPr="005E4FE2">
        <w:t>IL Commercial Lighting Load Shapes_2018-06-28</w:t>
      </w:r>
      <w:r w:rsidR="00F736C7" w:rsidRPr="00F736C7">
        <w:t>.xlsx</w:t>
      </w:r>
      <w:r w:rsidR="005E4FE2">
        <w:t>”</w:t>
      </w:r>
      <w:r w:rsidR="00F736C7">
        <w:t xml:space="preserve"> </w:t>
      </w:r>
    </w:p>
  </w:footnote>
  <w:footnote w:id="2">
    <w:p w14:paraId="4E9ECB99" w14:textId="47FFBB86" w:rsidR="002829DB" w:rsidRDefault="002829DB">
      <w:pPr>
        <w:pStyle w:val="FootnoteText"/>
      </w:pPr>
      <w:r>
        <w:rPr>
          <w:rStyle w:val="FootnoteReference"/>
        </w:rPr>
        <w:footnoteRef/>
      </w:r>
      <w:r>
        <w:t xml:space="preserve"> </w:t>
      </w:r>
      <w:r w:rsidRPr="002829DB">
        <w:t>http://www.neep.org/sites/default/files/resources/Mid_Atlantic_TRM_V7_FINAL.pdf</w:t>
      </w:r>
    </w:p>
  </w:footnote>
  <w:footnote w:id="3">
    <w:p w14:paraId="558D38EC" w14:textId="706663C4" w:rsidR="00A16979" w:rsidRDefault="00A16979">
      <w:pPr>
        <w:pStyle w:val="FootnoteText"/>
      </w:pPr>
      <w:r>
        <w:rPr>
          <w:rStyle w:val="FootnoteReference"/>
        </w:rPr>
        <w:footnoteRef/>
      </w:r>
      <w:r>
        <w:t xml:space="preserve"> </w:t>
      </w:r>
      <w:r w:rsidR="006C30E8">
        <w:t xml:space="preserve">Hermansen K., Weatherford V., Elszasz J., Spencer J., and Robinson S (2017). </w:t>
      </w:r>
      <w:r w:rsidR="00F736C7">
        <w:t xml:space="preserve">Shedding Light on Winter Lighting. </w:t>
      </w:r>
      <w:r w:rsidR="006C30E8">
        <w:t xml:space="preserve">2017 International Energy Program Evaluation Conference, Baltimore, MD. </w:t>
      </w:r>
      <w:r w:rsidRPr="00A16979">
        <w:t>http://www.iepec.org/2017-proceedings/65243-iepec-1.3717521/t001-1.3718144/f001-1.3718145/a014-1.3718150/an053-1.3718151.html</w:t>
      </w:r>
    </w:p>
  </w:footnote>
  <w:footnote w:id="4">
    <w:p w14:paraId="333CCF33" w14:textId="62CA9C95" w:rsidR="00D6382F" w:rsidRDefault="00D6382F" w:rsidP="00D6382F">
      <w:pPr>
        <w:pStyle w:val="FootnoteText"/>
      </w:pPr>
      <w:r>
        <w:rPr>
          <w:rStyle w:val="FootnoteReference"/>
        </w:rPr>
        <w:footnoteRef/>
      </w:r>
      <w:r w:rsidR="00663622">
        <w:t xml:space="preserve"> The sample sizes used in this IL TRM load shape analysis are greater than the sample size used in the EmPOWER lighting metering study to derive HOU and CF. In the EmPOWER study, Navigant employed a Bayesian statistical analysis method to estimate within-site error calculation and </w:t>
      </w:r>
      <w:r w:rsidR="00C00607">
        <w:t>improve</w:t>
      </w:r>
      <w:r w:rsidR="00663622">
        <w:t xml:space="preserve"> confidence and precision of the resulting parameter estimates. This technique required a minimum of 3 loggers within each building type/space type combination for inclusion in the analysis. Navigant did not employ the Bayesian analysis technique for the IL load shapes analysis and can therefore use the </w:t>
      </w:r>
      <w:r w:rsidR="00962266">
        <w:t xml:space="preserve">additional sites and loggers in this analysis. </w:t>
      </w:r>
    </w:p>
  </w:footnote>
  <w:footnote w:id="5">
    <w:p w14:paraId="26C57BDA" w14:textId="56587A72" w:rsidR="00137517" w:rsidRDefault="00137517" w:rsidP="00137517">
      <w:pPr>
        <w:pStyle w:val="FootnoteText"/>
      </w:pPr>
      <w:r>
        <w:rPr>
          <w:rStyle w:val="FootnoteReference"/>
          <w:rFonts w:eastAsiaTheme="majorEastAsia"/>
        </w:rPr>
        <w:footnoteRef/>
      </w:r>
      <w:r>
        <w:t xml:space="preserve"> Maximum of 35% relative precision across both winter and summer CF parameters at the 90% confidence 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1F54E" w14:textId="2135A09D" w:rsidR="000A60E3" w:rsidRDefault="0068512A">
    <w:pPr>
      <w:pStyle w:val="Header"/>
      <w:rPr>
        <w:szCs w:val="18"/>
      </w:rPr>
    </w:pPr>
    <w:r>
      <w:rPr>
        <w:szCs w:val="18"/>
      </w:rPr>
      <w:t xml:space="preserve">Memorandum to </w:t>
    </w:r>
    <w:r w:rsidR="00585FD3">
      <w:rPr>
        <w:szCs w:val="18"/>
      </w:rPr>
      <w:t>Illinois Technical Advisory Committee</w:t>
    </w:r>
  </w:p>
  <w:p w14:paraId="2B2C6BDB" w14:textId="215F64B4" w:rsidR="000A60E3" w:rsidRDefault="00893D9C">
    <w:pPr>
      <w:pStyle w:val="Header"/>
      <w:rPr>
        <w:szCs w:val="18"/>
      </w:rPr>
    </w:pPr>
    <w:r>
      <w:rPr>
        <w:szCs w:val="18"/>
      </w:rPr>
      <w:t>June 29, 2018</w:t>
    </w:r>
  </w:p>
  <w:p w14:paraId="62328513" w14:textId="4C152B26" w:rsidR="000A60E3" w:rsidRDefault="0068512A">
    <w:pPr>
      <w:pStyle w:val="Header"/>
      <w:rPr>
        <w:szCs w:val="18"/>
      </w:rPr>
    </w:pPr>
    <w:r>
      <w:rPr>
        <w:szCs w:val="18"/>
      </w:rPr>
      <w:t xml:space="preserve">Page </w:t>
    </w:r>
    <w:r w:rsidR="000A60E3">
      <w:rPr>
        <w:szCs w:val="18"/>
      </w:rPr>
      <w:fldChar w:fldCharType="begin"/>
    </w:r>
    <w:r>
      <w:rPr>
        <w:szCs w:val="18"/>
      </w:rPr>
      <w:instrText xml:space="preserve"> PAGE </w:instrText>
    </w:r>
    <w:r w:rsidR="000A60E3">
      <w:rPr>
        <w:szCs w:val="18"/>
      </w:rPr>
      <w:fldChar w:fldCharType="separate"/>
    </w:r>
    <w:r w:rsidR="00CA1EC5">
      <w:rPr>
        <w:noProof/>
        <w:szCs w:val="18"/>
      </w:rPr>
      <w:t>2</w:t>
    </w:r>
    <w:r w:rsidR="000A60E3">
      <w:rPr>
        <w:szCs w:val="18"/>
      </w:rPr>
      <w:fldChar w:fldCharType="end"/>
    </w:r>
    <w:r>
      <w:rPr>
        <w:szCs w:val="18"/>
      </w:rPr>
      <w:t xml:space="preserve"> of </w:t>
    </w:r>
    <w:r w:rsidR="000A60E3">
      <w:rPr>
        <w:szCs w:val="18"/>
      </w:rPr>
      <w:fldChar w:fldCharType="begin"/>
    </w:r>
    <w:r>
      <w:rPr>
        <w:szCs w:val="18"/>
      </w:rPr>
      <w:instrText xml:space="preserve"> NUMPAGES </w:instrText>
    </w:r>
    <w:r w:rsidR="000A60E3">
      <w:rPr>
        <w:szCs w:val="18"/>
      </w:rPr>
      <w:fldChar w:fldCharType="separate"/>
    </w:r>
    <w:r w:rsidR="00CA1EC5">
      <w:rPr>
        <w:noProof/>
        <w:szCs w:val="18"/>
      </w:rPr>
      <w:t>7</w:t>
    </w:r>
    <w:r w:rsidR="000A60E3">
      <w:rPr>
        <w:szCs w:val="18"/>
      </w:rPr>
      <w:fldChar w:fldCharType="end"/>
    </w:r>
  </w:p>
  <w:p w14:paraId="472825E9" w14:textId="77777777" w:rsidR="000A60E3" w:rsidRDefault="000A60E3">
    <w:pPr>
      <w:pStyle w:val="Header"/>
      <w:rPr>
        <w:szCs w:val="18"/>
      </w:rPr>
    </w:pPr>
  </w:p>
  <w:p w14:paraId="6A4326B8" w14:textId="77777777" w:rsidR="000A60E3" w:rsidRDefault="000A60E3">
    <w:pPr>
      <w:pStyle w:val="Header"/>
      <w:rPr>
        <w:szCs w:val="18"/>
      </w:rPr>
    </w:pPr>
  </w:p>
  <w:p w14:paraId="2D316133" w14:textId="77777777" w:rsidR="000A60E3" w:rsidRDefault="000A60E3">
    <w:pPr>
      <w:pStyle w:val="Header"/>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06F14" w14:textId="77777777" w:rsidR="000A60E3" w:rsidRDefault="000A60E3">
    <w:pPr>
      <w:pStyle w:val="Header"/>
      <w:spacing w:line="200" w:lineRule="exact"/>
    </w:pPr>
  </w:p>
  <w:p w14:paraId="5F72213D" w14:textId="77777777" w:rsidR="000A60E3" w:rsidRDefault="000A60E3">
    <w:pPr>
      <w:pStyle w:val="Header"/>
      <w:spacing w:line="200" w:lineRule="exact"/>
    </w:pPr>
  </w:p>
  <w:p w14:paraId="38720C3C" w14:textId="77777777" w:rsidR="000A60E3" w:rsidRDefault="000A60E3">
    <w:pPr>
      <w:pStyle w:val="Header"/>
      <w:spacing w:line="200" w:lineRule="exact"/>
    </w:pPr>
  </w:p>
  <w:p w14:paraId="0A4C22EE" w14:textId="77777777" w:rsidR="000A60E3" w:rsidRDefault="000A60E3">
    <w:pPr>
      <w:pStyle w:val="Header"/>
      <w:spacing w:line="200" w:lineRule="exact"/>
    </w:pPr>
  </w:p>
  <w:p w14:paraId="25E4C2BA" w14:textId="77777777" w:rsidR="000A60E3" w:rsidRDefault="00C61A95">
    <w:pPr>
      <w:pStyle w:val="Header"/>
      <w:spacing w:line="200" w:lineRule="exact"/>
    </w:pPr>
    <w:r>
      <w:rPr>
        <w:noProof/>
        <w:lang w:eastAsia="zh-CN"/>
      </w:rPr>
      <w:drawing>
        <wp:anchor distT="0" distB="0" distL="114300" distR="114300" simplePos="0" relativeHeight="251658752" behindDoc="0" locked="0" layoutInCell="1" allowOverlap="1" wp14:anchorId="169A3420" wp14:editId="34CE7370">
          <wp:simplePos x="0" y="0"/>
          <wp:positionH relativeFrom="column">
            <wp:posOffset>-507365</wp:posOffset>
          </wp:positionH>
          <wp:positionV relativeFrom="paragraph">
            <wp:posOffset>97155</wp:posOffset>
          </wp:positionV>
          <wp:extent cx="1562100" cy="273175"/>
          <wp:effectExtent l="0" t="0" r="0" b="635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Graphics\Marketing\Brand Refresh\Logos\M_NavigantLogo_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100" cy="273175"/>
                  </a:xfrm>
                  <a:prstGeom prst="rect">
                    <a:avLst/>
                  </a:prstGeom>
                  <a:noFill/>
                  <a:ln w="9525">
                    <a:noFill/>
                    <a:miter lim="800000"/>
                    <a:headEnd/>
                    <a:tailEnd/>
                  </a:ln>
                </pic:spPr>
              </pic:pic>
            </a:graphicData>
          </a:graphic>
        </wp:anchor>
      </w:drawing>
    </w:r>
  </w:p>
  <w:p w14:paraId="540F313C" w14:textId="77777777" w:rsidR="000A60E3" w:rsidRDefault="000A60E3">
    <w:pPr>
      <w:pStyle w:val="Header"/>
      <w:spacing w:line="200" w:lineRule="exact"/>
    </w:pPr>
  </w:p>
  <w:p w14:paraId="65E0B891" w14:textId="77777777" w:rsidR="000A60E3" w:rsidRDefault="000A60E3">
    <w:pPr>
      <w:pStyle w:val="Header"/>
      <w:spacing w:line="200" w:lineRule="exact"/>
    </w:pPr>
  </w:p>
  <w:p w14:paraId="7915707C" w14:textId="77777777" w:rsidR="000A60E3" w:rsidRDefault="000A60E3">
    <w:pPr>
      <w:pStyle w:val="Header"/>
      <w:spacing w:line="200" w:lineRule="exact"/>
    </w:pPr>
  </w:p>
  <w:p w14:paraId="46892EC5" w14:textId="77777777" w:rsidR="000A60E3" w:rsidRDefault="000A60E3">
    <w:pPr>
      <w:pStyle w:val="Header"/>
      <w:spacing w:line="200" w:lineRule="exact"/>
    </w:pPr>
  </w:p>
  <w:p w14:paraId="17D420CC" w14:textId="77777777" w:rsidR="000A60E3" w:rsidRDefault="000A60E3">
    <w:pPr>
      <w:pStyle w:val="Header"/>
      <w:spacing w:line="200" w:lineRule="exact"/>
    </w:pPr>
  </w:p>
  <w:p w14:paraId="3FFAF4CC" w14:textId="77777777" w:rsidR="000A60E3" w:rsidRDefault="000A60E3">
    <w:pPr>
      <w:pStyle w:val="Header"/>
      <w:spacing w:line="200" w:lineRule="exact"/>
    </w:pPr>
  </w:p>
  <w:p w14:paraId="198E02EA" w14:textId="77777777" w:rsidR="000A60E3" w:rsidRDefault="000A60E3">
    <w:pPr>
      <w:pStyle w:val="Header"/>
      <w:spacing w:line="200" w:lineRule="exact"/>
    </w:pPr>
  </w:p>
  <w:p w14:paraId="78128573" w14:textId="77777777" w:rsidR="000A60E3" w:rsidRDefault="0068512A" w:rsidP="00DC7AC8">
    <w:pPr>
      <w:pStyle w:val="MemorandumHeader"/>
      <w:rPr>
        <w:i/>
        <w:iCs/>
      </w:rPr>
    </w:pPr>
    <w:r>
      <w:t>Memorandum</w:t>
    </w:r>
  </w:p>
  <w:p w14:paraId="799680B0" w14:textId="77777777" w:rsidR="000A60E3" w:rsidRDefault="000A60E3">
    <w:pPr>
      <w:pStyle w:val="Header"/>
      <w:spacing w:line="200" w:lineRule="exact"/>
    </w:pPr>
  </w:p>
  <w:p w14:paraId="1DD3E024" w14:textId="77777777" w:rsidR="000A60E3" w:rsidRDefault="000A60E3">
    <w:pPr>
      <w:pStyle w:val="Header"/>
      <w:spacing w:line="200" w:lineRule="exact"/>
    </w:pPr>
  </w:p>
  <w:p w14:paraId="644A96D3" w14:textId="77777777" w:rsidR="000A60E3" w:rsidRDefault="000A60E3">
    <w:pPr>
      <w:pStyle w:val="Heade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772E162"/>
    <w:lvl w:ilvl="0">
      <w:numFmt w:val="decimal"/>
      <w:pStyle w:val="Bullet-ItalicIndent"/>
      <w:lvlText w:val="*"/>
      <w:lvlJc w:val="left"/>
    </w:lvl>
  </w:abstractNum>
  <w:abstractNum w:abstractNumId="1" w15:restartNumberingAfterBreak="0">
    <w:nsid w:val="046264E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9D22F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65179FF"/>
    <w:multiLevelType w:val="multilevel"/>
    <w:tmpl w:val="5B3C8FC6"/>
    <w:lvl w:ilvl="0">
      <w:start w:val="1"/>
      <w:numFmt w:val="decimal"/>
      <w:suff w:val="space"/>
      <w:lvlText w:val="%1."/>
      <w:lvlJc w:val="left"/>
      <w:pPr>
        <w:ind w:left="432" w:hanging="432"/>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ascii="Arial Bold" w:hAnsi="Arial Bold" w:hint="default"/>
        <w:b/>
        <w:i/>
        <w:color w:val="555759"/>
        <w:kern w:val="0"/>
        <w:position w:val="0"/>
        <w:sz w:val="20"/>
      </w:rPr>
    </w:lvl>
    <w:lvl w:ilvl="4">
      <w:start w:val="1"/>
      <w:numFmt w:val="upperLetter"/>
      <w:suff w:val="space"/>
      <w:lvlText w:val="Appendix %5."/>
      <w:lvlJc w:val="left"/>
      <w:pPr>
        <w:ind w:left="1098" w:hanging="1098"/>
      </w:pPr>
      <w:rPr>
        <w:rFonts w:ascii="Arial Bold" w:hAnsi="Arial Bold" w:hint="default"/>
        <w:b/>
        <w:bCs w:val="0"/>
        <w:i w:val="0"/>
        <w:iCs w:val="0"/>
        <w:caps/>
        <w:smallCaps w:val="0"/>
        <w:strike w:val="0"/>
        <w:dstrike w:val="0"/>
        <w:noProof w:val="0"/>
        <w:vanish w:val="0"/>
        <w:color w:val="4F81BD" w:themeColor="accent1"/>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5.%6"/>
      <w:lvlJc w:val="left"/>
      <w:pPr>
        <w:ind w:left="720" w:hanging="720"/>
      </w:pPr>
      <w:rPr>
        <w:rFonts w:ascii="Arial Bold" w:hAnsi="Arial Bold" w:hint="default"/>
        <w:b/>
        <w:i w:val="0"/>
        <w:color w:val="555759"/>
        <w:kern w:val="0"/>
        <w:sz w:val="26"/>
      </w:rPr>
    </w:lvl>
    <w:lvl w:ilvl="6">
      <w:start w:val="1"/>
      <w:numFmt w:val="none"/>
      <w:lvlText w:val=""/>
      <w:lvlJc w:val="left"/>
      <w:pPr>
        <w:ind w:left="720" w:hanging="720"/>
      </w:pPr>
      <w:rPr>
        <w:rFonts w:ascii="Palatino Linotype" w:hAnsi="Palatino Linotype" w:hint="default"/>
        <w:b/>
        <w:i/>
        <w:color w:val="auto"/>
        <w:sz w:val="24"/>
      </w:rPr>
    </w:lvl>
    <w:lvl w:ilvl="7">
      <w:start w:val="1"/>
      <w:numFmt w:val="none"/>
      <w:lvlText w:val=""/>
      <w:lvlJc w:val="left"/>
      <w:pPr>
        <w:ind w:left="720" w:hanging="720"/>
      </w:pPr>
      <w:rPr>
        <w:rFonts w:ascii="Arial Narrow" w:hAnsi="Arial Narrow" w:hint="default"/>
        <w:b/>
        <w:i w:val="0"/>
        <w:color w:val="A15500"/>
        <w:sz w:val="20"/>
        <w:u w:color="FFFFFF"/>
      </w:rPr>
    </w:lvl>
    <w:lvl w:ilvl="8">
      <w:start w:val="1"/>
      <w:numFmt w:val="none"/>
      <w:lvlText w:val=""/>
      <w:lvlJc w:val="left"/>
      <w:pPr>
        <w:ind w:left="1584" w:hanging="1584"/>
      </w:pPr>
      <w:rPr>
        <w:rFonts w:hint="default"/>
      </w:rPr>
    </w:lvl>
  </w:abstractNum>
  <w:abstractNum w:abstractNumId="4" w15:restartNumberingAfterBreak="0">
    <w:nsid w:val="088C1D7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A2C5903"/>
    <w:multiLevelType w:val="hybridMultilevel"/>
    <w:tmpl w:val="42ECD0A2"/>
    <w:lvl w:ilvl="0" w:tplc="4CB2BBAC">
      <w:start w:val="1"/>
      <w:numFmt w:val="decimal"/>
      <w:lvlText w:val="%1."/>
      <w:lvlJc w:val="left"/>
      <w:pPr>
        <w:ind w:left="720" w:hanging="360"/>
      </w:pPr>
    </w:lvl>
    <w:lvl w:ilvl="1" w:tplc="2C8EC004">
      <w:start w:val="1"/>
      <w:numFmt w:val="lowerLetter"/>
      <w:lvlText w:val="%2."/>
      <w:lvlJc w:val="left"/>
      <w:pPr>
        <w:ind w:left="1440" w:hanging="360"/>
      </w:pPr>
    </w:lvl>
    <w:lvl w:ilvl="2" w:tplc="FB3CBB8C">
      <w:start w:val="1"/>
      <w:numFmt w:val="lowerRoman"/>
      <w:lvlText w:val="%3."/>
      <w:lvlJc w:val="right"/>
      <w:pPr>
        <w:ind w:left="2160" w:hanging="180"/>
      </w:pPr>
    </w:lvl>
    <w:lvl w:ilvl="3" w:tplc="A44EBEE4">
      <w:start w:val="1"/>
      <w:numFmt w:val="decimal"/>
      <w:lvlText w:val="%4."/>
      <w:lvlJc w:val="left"/>
      <w:pPr>
        <w:ind w:left="2880" w:hanging="360"/>
      </w:pPr>
    </w:lvl>
    <w:lvl w:ilvl="4" w:tplc="EA485790">
      <w:start w:val="1"/>
      <w:numFmt w:val="lowerLetter"/>
      <w:lvlText w:val="%5."/>
      <w:lvlJc w:val="left"/>
      <w:pPr>
        <w:ind w:left="3600" w:hanging="360"/>
      </w:pPr>
    </w:lvl>
    <w:lvl w:ilvl="5" w:tplc="C7F48EA6">
      <w:start w:val="1"/>
      <w:numFmt w:val="lowerRoman"/>
      <w:lvlText w:val="%6."/>
      <w:lvlJc w:val="right"/>
      <w:pPr>
        <w:ind w:left="4320" w:hanging="180"/>
      </w:pPr>
    </w:lvl>
    <w:lvl w:ilvl="6" w:tplc="11FC3908">
      <w:start w:val="1"/>
      <w:numFmt w:val="decimal"/>
      <w:lvlText w:val="%7."/>
      <w:lvlJc w:val="left"/>
      <w:pPr>
        <w:ind w:left="5040" w:hanging="360"/>
      </w:pPr>
    </w:lvl>
    <w:lvl w:ilvl="7" w:tplc="6F2ED8D0">
      <w:start w:val="1"/>
      <w:numFmt w:val="lowerLetter"/>
      <w:lvlText w:val="%8."/>
      <w:lvlJc w:val="left"/>
      <w:pPr>
        <w:ind w:left="5760" w:hanging="360"/>
      </w:pPr>
    </w:lvl>
    <w:lvl w:ilvl="8" w:tplc="2F289AB2">
      <w:start w:val="1"/>
      <w:numFmt w:val="lowerRoman"/>
      <w:lvlText w:val="%9."/>
      <w:lvlJc w:val="right"/>
      <w:pPr>
        <w:ind w:left="6480" w:hanging="180"/>
      </w:pPr>
    </w:lvl>
  </w:abstractNum>
  <w:abstractNum w:abstractNumId="6" w15:restartNumberingAfterBreak="0">
    <w:nsid w:val="0D674AE9"/>
    <w:multiLevelType w:val="singleLevel"/>
    <w:tmpl w:val="24D67C08"/>
    <w:lvl w:ilvl="0">
      <w:start w:val="1"/>
      <w:numFmt w:val="upperLetter"/>
      <w:lvlText w:val="%1."/>
      <w:lvlJc w:val="left"/>
      <w:pPr>
        <w:tabs>
          <w:tab w:val="num" w:pos="720"/>
        </w:tabs>
        <w:ind w:left="720" w:hanging="720"/>
      </w:pPr>
      <w:rPr>
        <w:rFonts w:hint="default"/>
      </w:rPr>
    </w:lvl>
  </w:abstractNum>
  <w:abstractNum w:abstractNumId="7" w15:restartNumberingAfterBreak="0">
    <w:nsid w:val="0EF04A3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78169C0"/>
    <w:multiLevelType w:val="singleLevel"/>
    <w:tmpl w:val="7840C80E"/>
    <w:lvl w:ilvl="0">
      <w:start w:val="1"/>
      <w:numFmt w:val="upperLetter"/>
      <w:lvlText w:val="%1."/>
      <w:lvlJc w:val="left"/>
      <w:pPr>
        <w:tabs>
          <w:tab w:val="num" w:pos="720"/>
        </w:tabs>
        <w:ind w:left="720" w:hanging="720"/>
      </w:pPr>
      <w:rPr>
        <w:rFonts w:hint="default"/>
      </w:rPr>
    </w:lvl>
  </w:abstractNum>
  <w:abstractNum w:abstractNumId="9" w15:restartNumberingAfterBreak="0">
    <w:nsid w:val="19DB19D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A3B10B5"/>
    <w:multiLevelType w:val="singleLevel"/>
    <w:tmpl w:val="28DAA796"/>
    <w:lvl w:ilvl="0">
      <w:start w:val="17"/>
      <w:numFmt w:val="upperLetter"/>
      <w:lvlText w:val="%1."/>
      <w:lvlJc w:val="left"/>
      <w:pPr>
        <w:tabs>
          <w:tab w:val="num" w:pos="720"/>
        </w:tabs>
        <w:ind w:left="720" w:hanging="720"/>
      </w:pPr>
      <w:rPr>
        <w:rFonts w:hint="default"/>
      </w:rPr>
    </w:lvl>
  </w:abstractNum>
  <w:abstractNum w:abstractNumId="11" w15:restartNumberingAfterBreak="0">
    <w:nsid w:val="22152B7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2DF7F12"/>
    <w:multiLevelType w:val="singleLevel"/>
    <w:tmpl w:val="5964AA8C"/>
    <w:lvl w:ilvl="0">
      <w:start w:val="1"/>
      <w:numFmt w:val="upperLetter"/>
      <w:lvlText w:val="%1."/>
      <w:lvlJc w:val="left"/>
      <w:pPr>
        <w:tabs>
          <w:tab w:val="num" w:pos="720"/>
        </w:tabs>
        <w:ind w:left="720" w:hanging="720"/>
      </w:pPr>
      <w:rPr>
        <w:rFonts w:hint="default"/>
      </w:rPr>
    </w:lvl>
  </w:abstractNum>
  <w:abstractNum w:abstractNumId="13" w15:restartNumberingAfterBreak="0">
    <w:nsid w:val="23C16B7F"/>
    <w:multiLevelType w:val="singleLevel"/>
    <w:tmpl w:val="5F84A852"/>
    <w:lvl w:ilvl="0">
      <w:start w:val="1"/>
      <w:numFmt w:val="upperLetter"/>
      <w:lvlText w:val=""/>
      <w:lvlJc w:val="left"/>
      <w:pPr>
        <w:tabs>
          <w:tab w:val="num" w:pos="360"/>
        </w:tabs>
        <w:ind w:left="360" w:hanging="360"/>
      </w:pPr>
      <w:rPr>
        <w:rFonts w:ascii="Arial" w:hAnsi="Arial" w:hint="default"/>
      </w:rPr>
    </w:lvl>
  </w:abstractNum>
  <w:abstractNum w:abstractNumId="14" w15:restartNumberingAfterBreak="0">
    <w:nsid w:val="280D24C4"/>
    <w:multiLevelType w:val="hybridMultilevel"/>
    <w:tmpl w:val="652E33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86D190D"/>
    <w:multiLevelType w:val="singleLevel"/>
    <w:tmpl w:val="979812B4"/>
    <w:lvl w:ilvl="0">
      <w:start w:val="17"/>
      <w:numFmt w:val="upperLetter"/>
      <w:lvlText w:val="%1."/>
      <w:lvlJc w:val="left"/>
      <w:pPr>
        <w:tabs>
          <w:tab w:val="num" w:pos="720"/>
        </w:tabs>
        <w:ind w:left="720" w:hanging="720"/>
      </w:pPr>
      <w:rPr>
        <w:rFonts w:hint="default"/>
      </w:rPr>
    </w:lvl>
  </w:abstractNum>
  <w:abstractNum w:abstractNumId="16" w15:restartNumberingAfterBreak="0">
    <w:nsid w:val="2A9A1D08"/>
    <w:multiLevelType w:val="singleLevel"/>
    <w:tmpl w:val="FAEE1AE8"/>
    <w:lvl w:ilvl="0">
      <w:start w:val="17"/>
      <w:numFmt w:val="upperLetter"/>
      <w:lvlText w:val="%1."/>
      <w:lvlJc w:val="left"/>
      <w:pPr>
        <w:tabs>
          <w:tab w:val="num" w:pos="720"/>
        </w:tabs>
        <w:ind w:left="720" w:hanging="720"/>
      </w:pPr>
      <w:rPr>
        <w:rFonts w:hint="default"/>
      </w:rPr>
    </w:lvl>
  </w:abstractNum>
  <w:abstractNum w:abstractNumId="17" w15:restartNumberingAfterBreak="0">
    <w:nsid w:val="2B800B53"/>
    <w:multiLevelType w:val="multilevel"/>
    <w:tmpl w:val="7D405FF0"/>
    <w:lvl w:ilvl="0">
      <w:start w:val="1"/>
      <w:numFmt w:val="upperLetter"/>
      <w:suff w:val="space"/>
      <w:lvlText w:val="%1."/>
      <w:lvlJc w:val="left"/>
      <w:pPr>
        <w:ind w:left="432" w:hanging="432"/>
      </w:pPr>
      <w:rPr>
        <w:rFonts w:hint="default"/>
      </w:rPr>
    </w:lvl>
    <w:lvl w:ilvl="1">
      <w:start w:val="1"/>
      <w:numFmt w:val="decimal"/>
      <w:suff w:val="space"/>
      <w:lvlText w:val="%1.%2"/>
      <w:lvlJc w:val="left"/>
      <w:pPr>
        <w:ind w:left="720" w:hanging="720"/>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ascii="Arial Bold" w:hAnsi="Arial Bold" w:hint="default"/>
        <w:b/>
        <w:i/>
        <w:color w:val="555759"/>
        <w:kern w:val="0"/>
        <w:position w:val="0"/>
        <w:sz w:val="20"/>
      </w:rPr>
    </w:lvl>
    <w:lvl w:ilvl="4">
      <w:start w:val="1"/>
      <w:numFmt w:val="upperLetter"/>
      <w:suff w:val="space"/>
      <w:lvlText w:val="Appendix %5."/>
      <w:lvlJc w:val="left"/>
      <w:pPr>
        <w:ind w:left="1098" w:hanging="1098"/>
      </w:pPr>
      <w:rPr>
        <w:rFonts w:ascii="Arial Bold" w:hAnsi="Arial Bold" w:hint="default"/>
        <w:b/>
        <w:bCs w:val="0"/>
        <w:i w:val="0"/>
        <w:iCs w:val="0"/>
        <w:caps/>
        <w:smallCaps w:val="0"/>
        <w:strike w:val="0"/>
        <w:dstrike w:val="0"/>
        <w:vanish w:val="0"/>
        <w:color w:val="4F81BD" w:themeColor="accent1"/>
        <w:spacing w:val="0"/>
        <w:kern w:val="0"/>
        <w:position w:val="0"/>
        <w:u w:val="none"/>
        <w:effect w:val="none"/>
        <w:vertAlign w:val="baseline"/>
        <w:em w:val="none"/>
      </w:rPr>
    </w:lvl>
    <w:lvl w:ilvl="5">
      <w:start w:val="1"/>
      <w:numFmt w:val="decimal"/>
      <w:suff w:val="space"/>
      <w:lvlText w:val="%5.%6"/>
      <w:lvlJc w:val="left"/>
      <w:pPr>
        <w:ind w:left="720" w:hanging="720"/>
      </w:pPr>
      <w:rPr>
        <w:rFonts w:ascii="Arial Bold" w:hAnsi="Arial Bold" w:hint="default"/>
        <w:b/>
        <w:i w:val="0"/>
        <w:color w:val="555759"/>
        <w:kern w:val="0"/>
        <w:sz w:val="26"/>
      </w:rPr>
    </w:lvl>
    <w:lvl w:ilvl="6">
      <w:start w:val="1"/>
      <w:numFmt w:val="none"/>
      <w:lvlText w:val=""/>
      <w:lvlJc w:val="left"/>
      <w:pPr>
        <w:ind w:left="720" w:hanging="720"/>
      </w:pPr>
      <w:rPr>
        <w:rFonts w:ascii="Palatino Linotype" w:hAnsi="Palatino Linotype" w:hint="default"/>
        <w:b/>
        <w:i/>
        <w:color w:val="auto"/>
        <w:sz w:val="24"/>
      </w:rPr>
    </w:lvl>
    <w:lvl w:ilvl="7">
      <w:start w:val="1"/>
      <w:numFmt w:val="none"/>
      <w:lvlText w:val=""/>
      <w:lvlJc w:val="left"/>
      <w:pPr>
        <w:ind w:left="720" w:hanging="720"/>
      </w:pPr>
      <w:rPr>
        <w:rFonts w:ascii="Arial Narrow" w:hAnsi="Arial Narrow" w:hint="default"/>
        <w:b/>
        <w:i w:val="0"/>
        <w:color w:val="A15500"/>
        <w:sz w:val="20"/>
        <w:u w:color="FFFFFF"/>
      </w:rPr>
    </w:lvl>
    <w:lvl w:ilvl="8">
      <w:start w:val="1"/>
      <w:numFmt w:val="none"/>
      <w:lvlText w:val=""/>
      <w:lvlJc w:val="left"/>
      <w:pPr>
        <w:ind w:left="1584" w:hanging="1584"/>
      </w:pPr>
      <w:rPr>
        <w:rFonts w:hint="default"/>
      </w:rPr>
    </w:lvl>
  </w:abstractNum>
  <w:abstractNum w:abstractNumId="18" w15:restartNumberingAfterBreak="0">
    <w:nsid w:val="2FFB7185"/>
    <w:multiLevelType w:val="singleLevel"/>
    <w:tmpl w:val="8430B4F0"/>
    <w:lvl w:ilvl="0">
      <w:start w:val="1"/>
      <w:numFmt w:val="upperLetter"/>
      <w:lvlText w:val="%1."/>
      <w:lvlJc w:val="left"/>
      <w:pPr>
        <w:tabs>
          <w:tab w:val="num" w:pos="720"/>
        </w:tabs>
        <w:ind w:left="720" w:hanging="720"/>
      </w:pPr>
      <w:rPr>
        <w:rFonts w:hint="default"/>
      </w:rPr>
    </w:lvl>
  </w:abstractNum>
  <w:abstractNum w:abstractNumId="19" w15:restartNumberingAfterBreak="0">
    <w:nsid w:val="31CF081A"/>
    <w:multiLevelType w:val="singleLevel"/>
    <w:tmpl w:val="E87EBD42"/>
    <w:lvl w:ilvl="0">
      <w:start w:val="1"/>
      <w:numFmt w:val="upperLetter"/>
      <w:lvlText w:val="%1."/>
      <w:lvlJc w:val="left"/>
      <w:pPr>
        <w:tabs>
          <w:tab w:val="num" w:pos="720"/>
        </w:tabs>
        <w:ind w:left="720" w:hanging="720"/>
      </w:pPr>
      <w:rPr>
        <w:rFonts w:hint="default"/>
      </w:rPr>
    </w:lvl>
  </w:abstractNum>
  <w:abstractNum w:abstractNumId="20" w15:restartNumberingAfterBreak="0">
    <w:nsid w:val="345E2A9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34BC4C6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69943E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C166606"/>
    <w:multiLevelType w:val="singleLevel"/>
    <w:tmpl w:val="819803F8"/>
    <w:lvl w:ilvl="0">
      <w:start w:val="1"/>
      <w:numFmt w:val="upperLetter"/>
      <w:lvlText w:val="%1."/>
      <w:lvlJc w:val="left"/>
      <w:pPr>
        <w:tabs>
          <w:tab w:val="num" w:pos="720"/>
        </w:tabs>
        <w:ind w:left="720" w:hanging="720"/>
      </w:pPr>
      <w:rPr>
        <w:rFonts w:hint="default"/>
      </w:rPr>
    </w:lvl>
  </w:abstractNum>
  <w:abstractNum w:abstractNumId="24" w15:restartNumberingAfterBreak="0">
    <w:nsid w:val="43D2154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C0D5804"/>
    <w:multiLevelType w:val="hybridMultilevel"/>
    <w:tmpl w:val="D282553E"/>
    <w:lvl w:ilvl="0" w:tplc="9454F97E">
      <w:start w:val="1"/>
      <w:numFmt w:val="bullet"/>
      <w:lvlText w:val=""/>
      <w:lvlJc w:val="left"/>
      <w:pPr>
        <w:ind w:left="720" w:hanging="360"/>
      </w:pPr>
      <w:rPr>
        <w:rFonts w:ascii="Symbol" w:hAnsi="Symbol" w:hint="default"/>
      </w:rPr>
    </w:lvl>
    <w:lvl w:ilvl="1" w:tplc="DCF6599E">
      <w:start w:val="1"/>
      <w:numFmt w:val="bullet"/>
      <w:lvlText w:val="o"/>
      <w:lvlJc w:val="left"/>
      <w:pPr>
        <w:ind w:left="1440" w:hanging="360"/>
      </w:pPr>
      <w:rPr>
        <w:rFonts w:ascii="Courier New" w:hAnsi="Courier New" w:hint="default"/>
      </w:rPr>
    </w:lvl>
    <w:lvl w:ilvl="2" w:tplc="6AEA1374">
      <w:start w:val="1"/>
      <w:numFmt w:val="bullet"/>
      <w:lvlText w:val=""/>
      <w:lvlJc w:val="left"/>
      <w:pPr>
        <w:ind w:left="2160" w:hanging="360"/>
      </w:pPr>
      <w:rPr>
        <w:rFonts w:ascii="Wingdings" w:hAnsi="Wingdings" w:hint="default"/>
      </w:rPr>
    </w:lvl>
    <w:lvl w:ilvl="3" w:tplc="99864570">
      <w:start w:val="1"/>
      <w:numFmt w:val="bullet"/>
      <w:lvlText w:val=""/>
      <w:lvlJc w:val="left"/>
      <w:pPr>
        <w:ind w:left="2880" w:hanging="360"/>
      </w:pPr>
      <w:rPr>
        <w:rFonts w:ascii="Symbol" w:hAnsi="Symbol" w:hint="default"/>
      </w:rPr>
    </w:lvl>
    <w:lvl w:ilvl="4" w:tplc="62780374">
      <w:start w:val="1"/>
      <w:numFmt w:val="bullet"/>
      <w:lvlText w:val="o"/>
      <w:lvlJc w:val="left"/>
      <w:pPr>
        <w:ind w:left="3600" w:hanging="360"/>
      </w:pPr>
      <w:rPr>
        <w:rFonts w:ascii="Courier New" w:hAnsi="Courier New" w:hint="default"/>
      </w:rPr>
    </w:lvl>
    <w:lvl w:ilvl="5" w:tplc="F44A3E28">
      <w:start w:val="1"/>
      <w:numFmt w:val="bullet"/>
      <w:lvlText w:val=""/>
      <w:lvlJc w:val="left"/>
      <w:pPr>
        <w:ind w:left="4320" w:hanging="360"/>
      </w:pPr>
      <w:rPr>
        <w:rFonts w:ascii="Wingdings" w:hAnsi="Wingdings" w:hint="default"/>
      </w:rPr>
    </w:lvl>
    <w:lvl w:ilvl="6" w:tplc="09AA2822">
      <w:start w:val="1"/>
      <w:numFmt w:val="bullet"/>
      <w:lvlText w:val=""/>
      <w:lvlJc w:val="left"/>
      <w:pPr>
        <w:ind w:left="5040" w:hanging="360"/>
      </w:pPr>
      <w:rPr>
        <w:rFonts w:ascii="Symbol" w:hAnsi="Symbol" w:hint="default"/>
      </w:rPr>
    </w:lvl>
    <w:lvl w:ilvl="7" w:tplc="264C8CE0">
      <w:start w:val="1"/>
      <w:numFmt w:val="bullet"/>
      <w:lvlText w:val="o"/>
      <w:lvlJc w:val="left"/>
      <w:pPr>
        <w:ind w:left="5760" w:hanging="360"/>
      </w:pPr>
      <w:rPr>
        <w:rFonts w:ascii="Courier New" w:hAnsi="Courier New" w:hint="default"/>
      </w:rPr>
    </w:lvl>
    <w:lvl w:ilvl="8" w:tplc="D1DC7212">
      <w:start w:val="1"/>
      <w:numFmt w:val="bullet"/>
      <w:lvlText w:val=""/>
      <w:lvlJc w:val="left"/>
      <w:pPr>
        <w:ind w:left="6480" w:hanging="360"/>
      </w:pPr>
      <w:rPr>
        <w:rFonts w:ascii="Wingdings" w:hAnsi="Wingdings" w:hint="default"/>
      </w:rPr>
    </w:lvl>
  </w:abstractNum>
  <w:abstractNum w:abstractNumId="26" w15:restartNumberingAfterBreak="0">
    <w:nsid w:val="4DD4068F"/>
    <w:multiLevelType w:val="singleLevel"/>
    <w:tmpl w:val="B3624B7C"/>
    <w:lvl w:ilvl="0">
      <w:start w:val="17"/>
      <w:numFmt w:val="upperLetter"/>
      <w:lvlText w:val="%1."/>
      <w:lvlJc w:val="left"/>
      <w:pPr>
        <w:tabs>
          <w:tab w:val="num" w:pos="720"/>
        </w:tabs>
        <w:ind w:left="720" w:hanging="720"/>
      </w:pPr>
      <w:rPr>
        <w:rFonts w:hint="default"/>
      </w:rPr>
    </w:lvl>
  </w:abstractNum>
  <w:abstractNum w:abstractNumId="27" w15:restartNumberingAfterBreak="0">
    <w:nsid w:val="53F9351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7092D6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587F5AC9"/>
    <w:multiLevelType w:val="singleLevel"/>
    <w:tmpl w:val="46407B1C"/>
    <w:lvl w:ilvl="0">
      <w:start w:val="1"/>
      <w:numFmt w:val="upperLetter"/>
      <w:lvlText w:val="%1."/>
      <w:lvlJc w:val="left"/>
      <w:pPr>
        <w:tabs>
          <w:tab w:val="num" w:pos="720"/>
        </w:tabs>
        <w:ind w:left="720" w:hanging="720"/>
      </w:pPr>
      <w:rPr>
        <w:rFonts w:hint="default"/>
      </w:rPr>
    </w:lvl>
  </w:abstractNum>
  <w:abstractNum w:abstractNumId="30" w15:restartNumberingAfterBreak="0">
    <w:nsid w:val="592F1CB7"/>
    <w:multiLevelType w:val="singleLevel"/>
    <w:tmpl w:val="86C0E5C6"/>
    <w:lvl w:ilvl="0">
      <w:start w:val="17"/>
      <w:numFmt w:val="upperLetter"/>
      <w:lvlText w:val="%1."/>
      <w:lvlJc w:val="left"/>
      <w:pPr>
        <w:tabs>
          <w:tab w:val="num" w:pos="720"/>
        </w:tabs>
        <w:ind w:left="720" w:hanging="720"/>
      </w:pPr>
      <w:rPr>
        <w:rFonts w:hint="default"/>
      </w:rPr>
    </w:lvl>
  </w:abstractNum>
  <w:abstractNum w:abstractNumId="31" w15:restartNumberingAfterBreak="0">
    <w:nsid w:val="59F85145"/>
    <w:multiLevelType w:val="singleLevel"/>
    <w:tmpl w:val="22B25576"/>
    <w:lvl w:ilvl="0">
      <w:start w:val="1"/>
      <w:numFmt w:val="upperLetter"/>
      <w:lvlText w:val="%1."/>
      <w:lvlJc w:val="left"/>
      <w:pPr>
        <w:tabs>
          <w:tab w:val="num" w:pos="720"/>
        </w:tabs>
        <w:ind w:left="720" w:hanging="720"/>
      </w:pPr>
      <w:rPr>
        <w:rFonts w:hint="default"/>
      </w:rPr>
    </w:lvl>
  </w:abstractNum>
  <w:abstractNum w:abstractNumId="32" w15:restartNumberingAfterBreak="0">
    <w:nsid w:val="625F1300"/>
    <w:multiLevelType w:val="singleLevel"/>
    <w:tmpl w:val="37E6D30E"/>
    <w:lvl w:ilvl="0">
      <w:start w:val="1"/>
      <w:numFmt w:val="upperLetter"/>
      <w:lvlText w:val="%1."/>
      <w:lvlJc w:val="left"/>
      <w:pPr>
        <w:tabs>
          <w:tab w:val="num" w:pos="1440"/>
        </w:tabs>
        <w:ind w:left="1440" w:hanging="1440"/>
      </w:pPr>
      <w:rPr>
        <w:rFonts w:hint="default"/>
        <w:b w:val="0"/>
        <w:i w:val="0"/>
      </w:rPr>
    </w:lvl>
  </w:abstractNum>
  <w:abstractNum w:abstractNumId="33" w15:restartNumberingAfterBreak="0">
    <w:nsid w:val="62E40DB8"/>
    <w:multiLevelType w:val="singleLevel"/>
    <w:tmpl w:val="FC920374"/>
    <w:lvl w:ilvl="0">
      <w:start w:val="17"/>
      <w:numFmt w:val="upperLetter"/>
      <w:lvlText w:val="%1."/>
      <w:lvlJc w:val="left"/>
      <w:pPr>
        <w:tabs>
          <w:tab w:val="num" w:pos="720"/>
        </w:tabs>
        <w:ind w:left="720" w:hanging="720"/>
      </w:pPr>
      <w:rPr>
        <w:rFonts w:hint="default"/>
      </w:rPr>
    </w:lvl>
  </w:abstractNum>
  <w:abstractNum w:abstractNumId="34" w15:restartNumberingAfterBreak="0">
    <w:nsid w:val="65727FE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71B37C0"/>
    <w:multiLevelType w:val="singleLevel"/>
    <w:tmpl w:val="E0B29BAA"/>
    <w:lvl w:ilvl="0">
      <w:start w:val="17"/>
      <w:numFmt w:val="upperLetter"/>
      <w:lvlText w:val="%1."/>
      <w:lvlJc w:val="left"/>
      <w:pPr>
        <w:tabs>
          <w:tab w:val="num" w:pos="720"/>
        </w:tabs>
        <w:ind w:left="720" w:hanging="720"/>
      </w:pPr>
      <w:rPr>
        <w:rFonts w:hint="default"/>
      </w:rPr>
    </w:lvl>
  </w:abstractNum>
  <w:abstractNum w:abstractNumId="36" w15:restartNumberingAfterBreak="0">
    <w:nsid w:val="6FAB4215"/>
    <w:multiLevelType w:val="hybridMultilevel"/>
    <w:tmpl w:val="032AA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342D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0BC226C"/>
    <w:multiLevelType w:val="singleLevel"/>
    <w:tmpl w:val="85A8227E"/>
    <w:lvl w:ilvl="0">
      <w:start w:val="17"/>
      <w:numFmt w:val="upperLetter"/>
      <w:lvlText w:val="%1."/>
      <w:lvlJc w:val="left"/>
      <w:pPr>
        <w:tabs>
          <w:tab w:val="num" w:pos="720"/>
        </w:tabs>
        <w:ind w:left="720" w:hanging="720"/>
      </w:pPr>
      <w:rPr>
        <w:rFonts w:hint="default"/>
      </w:rPr>
    </w:lvl>
  </w:abstractNum>
  <w:abstractNum w:abstractNumId="39" w15:restartNumberingAfterBreak="0">
    <w:nsid w:val="74FD5CE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B4C6C50"/>
    <w:multiLevelType w:val="singleLevel"/>
    <w:tmpl w:val="1310CD64"/>
    <w:lvl w:ilvl="0">
      <w:start w:val="17"/>
      <w:numFmt w:val="upperLetter"/>
      <w:lvlText w:val="%1."/>
      <w:lvlJc w:val="left"/>
      <w:pPr>
        <w:tabs>
          <w:tab w:val="num" w:pos="720"/>
        </w:tabs>
        <w:ind w:left="720" w:hanging="720"/>
      </w:pPr>
      <w:rPr>
        <w:rFonts w:hint="default"/>
      </w:rPr>
    </w:lvl>
  </w:abstractNum>
  <w:abstractNum w:abstractNumId="41" w15:restartNumberingAfterBreak="0">
    <w:nsid w:val="7DCF36E4"/>
    <w:multiLevelType w:val="singleLevel"/>
    <w:tmpl w:val="20F0DCDC"/>
    <w:lvl w:ilvl="0">
      <w:start w:val="17"/>
      <w:numFmt w:val="upperLetter"/>
      <w:lvlText w:val="%1."/>
      <w:lvlJc w:val="left"/>
      <w:pPr>
        <w:tabs>
          <w:tab w:val="num" w:pos="720"/>
        </w:tabs>
        <w:ind w:left="720" w:hanging="720"/>
      </w:pPr>
      <w:rPr>
        <w:rFonts w:hint="default"/>
      </w:rPr>
    </w:lvl>
  </w:abstractNum>
  <w:abstractNum w:abstractNumId="42" w15:restartNumberingAfterBreak="0">
    <w:nsid w:val="7E2F34A0"/>
    <w:multiLevelType w:val="singleLevel"/>
    <w:tmpl w:val="04090015"/>
    <w:lvl w:ilvl="0">
      <w:start w:val="1"/>
      <w:numFmt w:val="upperLetter"/>
      <w:lvlText w:val="%1."/>
      <w:lvlJc w:val="left"/>
      <w:pPr>
        <w:tabs>
          <w:tab w:val="num" w:pos="360"/>
        </w:tabs>
        <w:ind w:left="360" w:hanging="360"/>
      </w:pPr>
      <w:rPr>
        <w:rFonts w:hint="default"/>
      </w:rPr>
    </w:lvl>
  </w:abstractNum>
  <w:abstractNum w:abstractNumId="43" w15:restartNumberingAfterBreak="0">
    <w:nsid w:val="7FB7539A"/>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37"/>
  </w:num>
  <w:num w:numId="2">
    <w:abstractNumId w:val="35"/>
  </w:num>
  <w:num w:numId="3">
    <w:abstractNumId w:val="8"/>
  </w:num>
  <w:num w:numId="4">
    <w:abstractNumId w:val="16"/>
  </w:num>
  <w:num w:numId="5">
    <w:abstractNumId w:val="23"/>
  </w:num>
  <w:num w:numId="6">
    <w:abstractNumId w:val="30"/>
  </w:num>
  <w:num w:numId="7">
    <w:abstractNumId w:val="18"/>
  </w:num>
  <w:num w:numId="8">
    <w:abstractNumId w:val="43"/>
  </w:num>
  <w:num w:numId="9">
    <w:abstractNumId w:val="39"/>
  </w:num>
  <w:num w:numId="10">
    <w:abstractNumId w:val="41"/>
  </w:num>
  <w:num w:numId="11">
    <w:abstractNumId w:val="20"/>
  </w:num>
  <w:num w:numId="12">
    <w:abstractNumId w:val="28"/>
  </w:num>
  <w:num w:numId="13">
    <w:abstractNumId w:val="27"/>
  </w:num>
  <w:num w:numId="14">
    <w:abstractNumId w:val="12"/>
  </w:num>
  <w:num w:numId="15">
    <w:abstractNumId w:val="11"/>
  </w:num>
  <w:num w:numId="16">
    <w:abstractNumId w:val="4"/>
  </w:num>
  <w:num w:numId="17">
    <w:abstractNumId w:val="22"/>
  </w:num>
  <w:num w:numId="18">
    <w:abstractNumId w:val="40"/>
  </w:num>
  <w:num w:numId="19">
    <w:abstractNumId w:val="6"/>
  </w:num>
  <w:num w:numId="20">
    <w:abstractNumId w:val="33"/>
  </w:num>
  <w:num w:numId="21">
    <w:abstractNumId w:val="31"/>
  </w:num>
  <w:num w:numId="22">
    <w:abstractNumId w:val="38"/>
  </w:num>
  <w:num w:numId="23">
    <w:abstractNumId w:val="29"/>
  </w:num>
  <w:num w:numId="24">
    <w:abstractNumId w:val="15"/>
  </w:num>
  <w:num w:numId="25">
    <w:abstractNumId w:val="32"/>
  </w:num>
  <w:num w:numId="26">
    <w:abstractNumId w:val="13"/>
  </w:num>
  <w:num w:numId="27">
    <w:abstractNumId w:val="42"/>
  </w:num>
  <w:num w:numId="28">
    <w:abstractNumId w:val="10"/>
  </w:num>
  <w:num w:numId="29">
    <w:abstractNumId w:val="26"/>
  </w:num>
  <w:num w:numId="30">
    <w:abstractNumId w:val="19"/>
  </w:num>
  <w:num w:numId="31">
    <w:abstractNumId w:val="9"/>
  </w:num>
  <w:num w:numId="32">
    <w:abstractNumId w:val="7"/>
  </w:num>
  <w:num w:numId="33">
    <w:abstractNumId w:val="1"/>
  </w:num>
  <w:num w:numId="34">
    <w:abstractNumId w:val="34"/>
  </w:num>
  <w:num w:numId="35">
    <w:abstractNumId w:val="24"/>
  </w:num>
  <w:num w:numId="36">
    <w:abstractNumId w:val="2"/>
  </w:num>
  <w:num w:numId="37">
    <w:abstractNumId w:val="21"/>
  </w:num>
  <w:num w:numId="38">
    <w:abstractNumId w:val="0"/>
  </w:num>
  <w:num w:numId="39">
    <w:abstractNumId w:val="3"/>
  </w:num>
  <w:num w:numId="40">
    <w:abstractNumId w:val="14"/>
  </w:num>
  <w:num w:numId="41">
    <w:abstractNumId w:val="17"/>
  </w:num>
  <w:num w:numId="42">
    <w:abstractNumId w:val="25"/>
  </w:num>
  <w:num w:numId="43">
    <w:abstractNumId w:val="5"/>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4"/>
  <w:drawingGridVerticalSpacing w:val="144"/>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382"/>
    <w:rsid w:val="00034DC8"/>
    <w:rsid w:val="000A60E3"/>
    <w:rsid w:val="000D12DA"/>
    <w:rsid w:val="000D7D8A"/>
    <w:rsid w:val="000E5717"/>
    <w:rsid w:val="00135B06"/>
    <w:rsid w:val="00137517"/>
    <w:rsid w:val="00145656"/>
    <w:rsid w:val="00175FF9"/>
    <w:rsid w:val="001805A8"/>
    <w:rsid w:val="0018781A"/>
    <w:rsid w:val="001974EE"/>
    <w:rsid w:val="001A1A49"/>
    <w:rsid w:val="001B1014"/>
    <w:rsid w:val="001B6E1F"/>
    <w:rsid w:val="001C44D9"/>
    <w:rsid w:val="001D37E6"/>
    <w:rsid w:val="002054C2"/>
    <w:rsid w:val="00253470"/>
    <w:rsid w:val="002829DB"/>
    <w:rsid w:val="002C23E8"/>
    <w:rsid w:val="002D07E0"/>
    <w:rsid w:val="00305A76"/>
    <w:rsid w:val="0031650B"/>
    <w:rsid w:val="00330B6C"/>
    <w:rsid w:val="0035157A"/>
    <w:rsid w:val="003602BD"/>
    <w:rsid w:val="00371F2B"/>
    <w:rsid w:val="003A4512"/>
    <w:rsid w:val="003C4A59"/>
    <w:rsid w:val="003D31D7"/>
    <w:rsid w:val="003F2330"/>
    <w:rsid w:val="003F50C1"/>
    <w:rsid w:val="0041671A"/>
    <w:rsid w:val="004230D3"/>
    <w:rsid w:val="00426E88"/>
    <w:rsid w:val="004334BE"/>
    <w:rsid w:val="00466891"/>
    <w:rsid w:val="004937BB"/>
    <w:rsid w:val="004A1205"/>
    <w:rsid w:val="004D3420"/>
    <w:rsid w:val="004F6B9C"/>
    <w:rsid w:val="00507FB8"/>
    <w:rsid w:val="00515ADE"/>
    <w:rsid w:val="005615C9"/>
    <w:rsid w:val="00565789"/>
    <w:rsid w:val="00583975"/>
    <w:rsid w:val="00585FD3"/>
    <w:rsid w:val="00596505"/>
    <w:rsid w:val="005B6C89"/>
    <w:rsid w:val="005E4FE2"/>
    <w:rsid w:val="0060693F"/>
    <w:rsid w:val="00650625"/>
    <w:rsid w:val="00661288"/>
    <w:rsid w:val="00663622"/>
    <w:rsid w:val="0066641A"/>
    <w:rsid w:val="006703D6"/>
    <w:rsid w:val="0068512A"/>
    <w:rsid w:val="006C30E8"/>
    <w:rsid w:val="006F7500"/>
    <w:rsid w:val="0070143F"/>
    <w:rsid w:val="0073335A"/>
    <w:rsid w:val="00742C9D"/>
    <w:rsid w:val="0076599F"/>
    <w:rsid w:val="007725BD"/>
    <w:rsid w:val="007C3B48"/>
    <w:rsid w:val="007E06CD"/>
    <w:rsid w:val="007E488B"/>
    <w:rsid w:val="00800A0E"/>
    <w:rsid w:val="00803D62"/>
    <w:rsid w:val="00822DEB"/>
    <w:rsid w:val="008243BB"/>
    <w:rsid w:val="0085723C"/>
    <w:rsid w:val="0087610D"/>
    <w:rsid w:val="00893D9C"/>
    <w:rsid w:val="008B5A32"/>
    <w:rsid w:val="00907041"/>
    <w:rsid w:val="00907CAE"/>
    <w:rsid w:val="00956E41"/>
    <w:rsid w:val="00962266"/>
    <w:rsid w:val="009B6F8B"/>
    <w:rsid w:val="009C4923"/>
    <w:rsid w:val="009E631E"/>
    <w:rsid w:val="00A12A8B"/>
    <w:rsid w:val="00A1502C"/>
    <w:rsid w:val="00A16772"/>
    <w:rsid w:val="00A16979"/>
    <w:rsid w:val="00A41E3B"/>
    <w:rsid w:val="00A46A31"/>
    <w:rsid w:val="00A75EBA"/>
    <w:rsid w:val="00A92A63"/>
    <w:rsid w:val="00AB2A68"/>
    <w:rsid w:val="00AB605F"/>
    <w:rsid w:val="00AE7604"/>
    <w:rsid w:val="00B224CB"/>
    <w:rsid w:val="00B37063"/>
    <w:rsid w:val="00B47CCC"/>
    <w:rsid w:val="00B668E9"/>
    <w:rsid w:val="00B75191"/>
    <w:rsid w:val="00B85C01"/>
    <w:rsid w:val="00BA0382"/>
    <w:rsid w:val="00BE1F31"/>
    <w:rsid w:val="00BE7857"/>
    <w:rsid w:val="00C00607"/>
    <w:rsid w:val="00C244CE"/>
    <w:rsid w:val="00C362D6"/>
    <w:rsid w:val="00C43B53"/>
    <w:rsid w:val="00C61A95"/>
    <w:rsid w:val="00C80051"/>
    <w:rsid w:val="00C91C52"/>
    <w:rsid w:val="00C962CC"/>
    <w:rsid w:val="00CA1EC5"/>
    <w:rsid w:val="00D06A2E"/>
    <w:rsid w:val="00D15A74"/>
    <w:rsid w:val="00D1642B"/>
    <w:rsid w:val="00D2021A"/>
    <w:rsid w:val="00D34153"/>
    <w:rsid w:val="00D34457"/>
    <w:rsid w:val="00D6382F"/>
    <w:rsid w:val="00D85EC0"/>
    <w:rsid w:val="00D976E0"/>
    <w:rsid w:val="00DC7AC8"/>
    <w:rsid w:val="00DF5BAE"/>
    <w:rsid w:val="00E01DA4"/>
    <w:rsid w:val="00E14DD9"/>
    <w:rsid w:val="00E2297F"/>
    <w:rsid w:val="00E52D74"/>
    <w:rsid w:val="00E832C2"/>
    <w:rsid w:val="00E8532B"/>
    <w:rsid w:val="00E94FF6"/>
    <w:rsid w:val="00E96684"/>
    <w:rsid w:val="00EA2B4F"/>
    <w:rsid w:val="00EB162F"/>
    <w:rsid w:val="00EC0DD8"/>
    <w:rsid w:val="00EC631E"/>
    <w:rsid w:val="00EC71CC"/>
    <w:rsid w:val="00ED4E4E"/>
    <w:rsid w:val="00F4085C"/>
    <w:rsid w:val="00F55E3F"/>
    <w:rsid w:val="00F736C7"/>
    <w:rsid w:val="00FD54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51E0BA7"/>
  <w15:docId w15:val="{4F003B36-E20E-41E4-9B74-D54BA9F2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0382"/>
    <w:pPr>
      <w:spacing w:line="264" w:lineRule="auto"/>
    </w:pPr>
    <w:rPr>
      <w:rFonts w:ascii="Arial" w:hAnsi="Arial"/>
      <w:szCs w:val="24"/>
    </w:rPr>
  </w:style>
  <w:style w:type="paragraph" w:styleId="Heading1">
    <w:name w:val="heading 1"/>
    <w:basedOn w:val="Normal"/>
    <w:next w:val="Normal"/>
    <w:autoRedefine/>
    <w:qFormat/>
    <w:rsid w:val="006703D6"/>
    <w:pPr>
      <w:keepNext/>
      <w:outlineLvl w:val="0"/>
    </w:pPr>
    <w:rPr>
      <w:b/>
      <w:sz w:val="24"/>
      <w:szCs w:val="20"/>
    </w:rPr>
  </w:style>
  <w:style w:type="paragraph" w:styleId="Heading2">
    <w:name w:val="heading 2"/>
    <w:basedOn w:val="Normal"/>
    <w:next w:val="Normal"/>
    <w:link w:val="Heading2Char"/>
    <w:autoRedefine/>
    <w:qFormat/>
    <w:rsid w:val="002C23E8"/>
    <w:pPr>
      <w:keepNext/>
      <w:spacing w:before="360" w:after="240"/>
      <w:outlineLvl w:val="1"/>
    </w:pPr>
    <w:rPr>
      <w:b/>
      <w:sz w:val="22"/>
      <w:szCs w:val="20"/>
    </w:rPr>
  </w:style>
  <w:style w:type="paragraph" w:styleId="Heading3">
    <w:name w:val="heading 3"/>
    <w:basedOn w:val="Normal"/>
    <w:next w:val="Normal"/>
    <w:autoRedefine/>
    <w:qFormat/>
    <w:rsid w:val="006703D6"/>
    <w:pPr>
      <w:keepNext/>
      <w:outlineLvl w:val="2"/>
    </w:pPr>
    <w:rPr>
      <w:b/>
      <w:szCs w:val="20"/>
    </w:rPr>
  </w:style>
  <w:style w:type="paragraph" w:styleId="Heading4">
    <w:name w:val="heading 4"/>
    <w:basedOn w:val="Normal"/>
    <w:next w:val="Normal"/>
    <w:autoRedefine/>
    <w:qFormat/>
    <w:rsid w:val="00AE7604"/>
    <w:pPr>
      <w:keepNext/>
      <w:spacing w:line="200" w:lineRule="exact"/>
      <w:jc w:val="right"/>
      <w:outlineLvl w:val="3"/>
    </w:pPr>
    <w:rPr>
      <w:b/>
      <w:bCs/>
    </w:rPr>
  </w:style>
  <w:style w:type="paragraph" w:styleId="Heading5">
    <w:name w:val="heading 5"/>
    <w:aliases w:val="Append Level 1"/>
    <w:basedOn w:val="Normal"/>
    <w:next w:val="Normal"/>
    <w:qFormat/>
    <w:rsid w:val="000A60E3"/>
    <w:pPr>
      <w:keepNext/>
      <w:jc w:val="right"/>
      <w:outlineLvl w:val="4"/>
    </w:pPr>
    <w:rPr>
      <w:rFonts w:cs="Arial"/>
      <w:b/>
      <w:bCs/>
      <w:i/>
      <w:iCs/>
    </w:rPr>
  </w:style>
  <w:style w:type="paragraph" w:styleId="Heading6">
    <w:name w:val="heading 6"/>
    <w:aliases w:val="Append Level 2"/>
    <w:basedOn w:val="Normal"/>
    <w:next w:val="Normal"/>
    <w:link w:val="Heading6Char"/>
    <w:autoRedefine/>
    <w:unhideWhenUsed/>
    <w:qFormat/>
    <w:rsid w:val="00AE7604"/>
    <w:pPr>
      <w:keepNext/>
      <w:keepLines/>
      <w:spacing w:before="20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A60E3"/>
    <w:pPr>
      <w:jc w:val="both"/>
    </w:pPr>
    <w:rPr>
      <w:szCs w:val="20"/>
    </w:rPr>
  </w:style>
  <w:style w:type="paragraph" w:styleId="BodyText2">
    <w:name w:val="Body Text 2"/>
    <w:basedOn w:val="Normal"/>
    <w:semiHidden/>
    <w:rsid w:val="000A60E3"/>
    <w:rPr>
      <w:b/>
      <w:szCs w:val="20"/>
    </w:rPr>
  </w:style>
  <w:style w:type="paragraph" w:styleId="Header">
    <w:name w:val="header"/>
    <w:basedOn w:val="Normal"/>
    <w:semiHidden/>
    <w:rsid w:val="000A60E3"/>
    <w:pPr>
      <w:tabs>
        <w:tab w:val="center" w:pos="4320"/>
        <w:tab w:val="right" w:pos="8640"/>
      </w:tabs>
    </w:pPr>
    <w:rPr>
      <w:szCs w:val="20"/>
    </w:rPr>
  </w:style>
  <w:style w:type="character" w:styleId="Hyperlink">
    <w:name w:val="Hyperlink"/>
    <w:basedOn w:val="DefaultParagraphFont"/>
    <w:semiHidden/>
    <w:rsid w:val="000A60E3"/>
    <w:rPr>
      <w:color w:val="0000FF"/>
      <w:u w:val="single"/>
    </w:rPr>
  </w:style>
  <w:style w:type="paragraph" w:styleId="Footer">
    <w:name w:val="footer"/>
    <w:basedOn w:val="Normal"/>
    <w:semiHidden/>
    <w:rsid w:val="000A60E3"/>
    <w:pPr>
      <w:tabs>
        <w:tab w:val="center" w:pos="4320"/>
        <w:tab w:val="right" w:pos="8640"/>
      </w:tabs>
    </w:pPr>
  </w:style>
  <w:style w:type="paragraph" w:customStyle="1" w:styleId="Bullet-ItalicIndent">
    <w:name w:val="Bullet - Italic Indent"/>
    <w:basedOn w:val="Normal"/>
    <w:autoRedefine/>
    <w:rsid w:val="00AE7604"/>
    <w:pPr>
      <w:numPr>
        <w:numId w:val="38"/>
      </w:numPr>
      <w:tabs>
        <w:tab w:val="left" w:pos="360"/>
        <w:tab w:val="left" w:pos="720"/>
        <w:tab w:val="left" w:pos="1080"/>
        <w:tab w:val="left" w:pos="1440"/>
        <w:tab w:val="left" w:pos="1800"/>
        <w:tab w:val="left" w:pos="2160"/>
        <w:tab w:val="left" w:pos="2520"/>
        <w:tab w:val="left" w:pos="2880"/>
        <w:tab w:val="left" w:pos="3240"/>
        <w:tab w:val="left" w:pos="3600"/>
      </w:tabs>
      <w:spacing w:after="120" w:line="214" w:lineRule="auto"/>
      <w:jc w:val="both"/>
    </w:pPr>
    <w:rPr>
      <w:noProof/>
      <w:sz w:val="22"/>
    </w:rPr>
  </w:style>
  <w:style w:type="paragraph" w:customStyle="1" w:styleId="P4">
    <w:name w:val="P4"/>
    <w:basedOn w:val="Normal"/>
    <w:rsid w:val="000A60E3"/>
    <w:pPr>
      <w:tabs>
        <w:tab w:val="left" w:pos="360"/>
        <w:tab w:val="left" w:pos="720"/>
        <w:tab w:val="left" w:pos="1080"/>
        <w:tab w:val="left" w:pos="1440"/>
        <w:tab w:val="left" w:pos="1800"/>
        <w:tab w:val="left" w:pos="2160"/>
        <w:tab w:val="left" w:pos="2520"/>
        <w:tab w:val="left" w:pos="2880"/>
        <w:tab w:val="left" w:pos="3240"/>
        <w:tab w:val="center" w:pos="3600"/>
      </w:tabs>
      <w:spacing w:after="120"/>
      <w:ind w:left="360"/>
      <w:outlineLvl w:val="1"/>
    </w:pPr>
    <w:rPr>
      <w:noProof/>
      <w:sz w:val="22"/>
    </w:rPr>
  </w:style>
  <w:style w:type="paragraph" w:customStyle="1" w:styleId="ProposalText">
    <w:name w:val="Proposal Text"/>
    <w:basedOn w:val="Normal"/>
    <w:rsid w:val="000A60E3"/>
    <w:pPr>
      <w:tabs>
        <w:tab w:val="left" w:pos="360"/>
        <w:tab w:val="left" w:pos="720"/>
        <w:tab w:val="left" w:pos="1080"/>
        <w:tab w:val="left" w:pos="1440"/>
        <w:tab w:val="left" w:pos="1800"/>
        <w:tab w:val="left" w:pos="2160"/>
        <w:tab w:val="left" w:pos="2520"/>
        <w:tab w:val="left" w:pos="2880"/>
        <w:tab w:val="left" w:pos="3240"/>
        <w:tab w:val="left" w:pos="3600"/>
      </w:tabs>
      <w:spacing w:after="120"/>
      <w:jc w:val="both"/>
    </w:pPr>
    <w:rPr>
      <w:sz w:val="22"/>
    </w:rPr>
  </w:style>
  <w:style w:type="paragraph" w:styleId="BodyTextIndent">
    <w:name w:val="Body Text Indent"/>
    <w:basedOn w:val="Normal"/>
    <w:semiHidden/>
    <w:rsid w:val="000A60E3"/>
    <w:pPr>
      <w:spacing w:after="120"/>
      <w:ind w:left="360"/>
    </w:pPr>
  </w:style>
  <w:style w:type="paragraph" w:styleId="Salutation">
    <w:name w:val="Salutation"/>
    <w:basedOn w:val="Normal"/>
    <w:next w:val="Normal"/>
    <w:semiHidden/>
    <w:rsid w:val="000A60E3"/>
    <w:pPr>
      <w:tabs>
        <w:tab w:val="left" w:pos="360"/>
        <w:tab w:val="left" w:pos="720"/>
        <w:tab w:val="left" w:pos="1080"/>
        <w:tab w:val="left" w:pos="1440"/>
        <w:tab w:val="left" w:pos="1800"/>
        <w:tab w:val="left" w:pos="2160"/>
        <w:tab w:val="left" w:pos="2520"/>
        <w:tab w:val="left" w:pos="2880"/>
        <w:tab w:val="left" w:pos="3240"/>
        <w:tab w:val="left" w:pos="3600"/>
      </w:tabs>
      <w:jc w:val="both"/>
    </w:pPr>
    <w:rPr>
      <w:rFonts w:ascii="Times New Roman" w:hAnsi="Times New Roman"/>
      <w:sz w:val="22"/>
      <w:szCs w:val="20"/>
    </w:rPr>
  </w:style>
  <w:style w:type="paragraph" w:styleId="Closing">
    <w:name w:val="Closing"/>
    <w:basedOn w:val="Normal"/>
    <w:semiHidden/>
    <w:rsid w:val="000A60E3"/>
    <w:pPr>
      <w:tabs>
        <w:tab w:val="left" w:pos="360"/>
        <w:tab w:val="left" w:pos="720"/>
        <w:tab w:val="left" w:pos="1080"/>
        <w:tab w:val="left" w:pos="1440"/>
        <w:tab w:val="left" w:pos="1800"/>
        <w:tab w:val="left" w:pos="2160"/>
        <w:tab w:val="left" w:pos="2520"/>
        <w:tab w:val="left" w:pos="2880"/>
        <w:tab w:val="left" w:pos="3240"/>
        <w:tab w:val="left" w:pos="3600"/>
      </w:tabs>
      <w:ind w:left="4320"/>
      <w:jc w:val="both"/>
    </w:pPr>
    <w:rPr>
      <w:rFonts w:ascii="Times New Roman" w:hAnsi="Times New Roman"/>
      <w:sz w:val="22"/>
      <w:szCs w:val="20"/>
    </w:rPr>
  </w:style>
  <w:style w:type="paragraph" w:customStyle="1" w:styleId="InsideAddress">
    <w:name w:val="Inside Address"/>
    <w:basedOn w:val="Normal"/>
    <w:autoRedefine/>
    <w:rsid w:val="00AE7604"/>
    <w:pPr>
      <w:tabs>
        <w:tab w:val="left" w:pos="360"/>
        <w:tab w:val="left" w:pos="720"/>
        <w:tab w:val="left" w:pos="1080"/>
        <w:tab w:val="left" w:pos="1440"/>
        <w:tab w:val="left" w:pos="1800"/>
        <w:tab w:val="left" w:pos="2160"/>
        <w:tab w:val="left" w:pos="2520"/>
        <w:tab w:val="left" w:pos="2880"/>
        <w:tab w:val="left" w:pos="3240"/>
        <w:tab w:val="left" w:pos="3600"/>
      </w:tabs>
      <w:jc w:val="both"/>
    </w:pPr>
    <w:rPr>
      <w:sz w:val="22"/>
      <w:szCs w:val="20"/>
    </w:rPr>
  </w:style>
  <w:style w:type="paragraph" w:styleId="Signature">
    <w:name w:val="Signature"/>
    <w:basedOn w:val="Normal"/>
    <w:semiHidden/>
    <w:rsid w:val="000A60E3"/>
    <w:pPr>
      <w:tabs>
        <w:tab w:val="left" w:pos="360"/>
        <w:tab w:val="left" w:pos="720"/>
        <w:tab w:val="left" w:pos="1080"/>
        <w:tab w:val="left" w:pos="1440"/>
        <w:tab w:val="left" w:pos="1800"/>
        <w:tab w:val="left" w:pos="2160"/>
        <w:tab w:val="left" w:pos="2520"/>
        <w:tab w:val="left" w:pos="2880"/>
        <w:tab w:val="left" w:pos="3240"/>
        <w:tab w:val="left" w:pos="3600"/>
      </w:tabs>
      <w:ind w:left="4320"/>
      <w:jc w:val="both"/>
    </w:pPr>
    <w:rPr>
      <w:rFonts w:ascii="Times New Roman" w:hAnsi="Times New Roman"/>
      <w:sz w:val="22"/>
      <w:szCs w:val="20"/>
    </w:rPr>
  </w:style>
  <w:style w:type="paragraph" w:customStyle="1" w:styleId="ReferenceLine">
    <w:name w:val="Reference Line"/>
    <w:basedOn w:val="BodyText"/>
    <w:autoRedefine/>
    <w:rsid w:val="00AE7604"/>
    <w:pPr>
      <w:ind w:right="-630"/>
      <w:jc w:val="left"/>
    </w:pPr>
    <w:rPr>
      <w:sz w:val="24"/>
    </w:rPr>
  </w:style>
  <w:style w:type="paragraph" w:customStyle="1" w:styleId="MemoFrame">
    <w:name w:val="Memo Frame"/>
    <w:basedOn w:val="Normal"/>
    <w:link w:val="MemoFrameChar"/>
    <w:autoRedefine/>
    <w:rsid w:val="00AE7604"/>
    <w:rPr>
      <w:b/>
    </w:rPr>
  </w:style>
  <w:style w:type="character" w:customStyle="1" w:styleId="Heading6Char">
    <w:name w:val="Heading 6 Char"/>
    <w:aliases w:val="Append Level 2 Char"/>
    <w:basedOn w:val="DefaultParagraphFont"/>
    <w:link w:val="Heading6"/>
    <w:uiPriority w:val="9"/>
    <w:semiHidden/>
    <w:rsid w:val="00AE7604"/>
    <w:rPr>
      <w:rFonts w:ascii="Arial" w:eastAsiaTheme="majorEastAsia" w:hAnsi="Arial" w:cstheme="majorBidi"/>
      <w:i/>
      <w:iCs/>
      <w:color w:val="243F60" w:themeColor="accent1" w:themeShade="7F"/>
      <w:sz w:val="18"/>
      <w:szCs w:val="24"/>
    </w:rPr>
  </w:style>
  <w:style w:type="paragraph" w:styleId="BalloonText">
    <w:name w:val="Balloon Text"/>
    <w:basedOn w:val="Normal"/>
    <w:link w:val="BalloonTextChar"/>
    <w:uiPriority w:val="99"/>
    <w:semiHidden/>
    <w:unhideWhenUsed/>
    <w:rsid w:val="00AE7604"/>
    <w:pPr>
      <w:spacing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AE7604"/>
    <w:rPr>
      <w:rFonts w:ascii="Lucida Grande" w:hAnsi="Lucida Grande" w:cs="Lucida Grande"/>
      <w:sz w:val="18"/>
      <w:szCs w:val="18"/>
    </w:rPr>
  </w:style>
  <w:style w:type="paragraph" w:customStyle="1" w:styleId="MemorandumHeader">
    <w:name w:val="Memorandum Header"/>
    <w:basedOn w:val="Heading5"/>
    <w:autoRedefine/>
    <w:qFormat/>
    <w:rsid w:val="004334BE"/>
    <w:pPr>
      <w:spacing w:line="200" w:lineRule="exact"/>
      <w:ind w:hanging="270"/>
      <w:jc w:val="left"/>
    </w:pPr>
    <w:rPr>
      <w:i w:val="0"/>
      <w:iCs w:val="0"/>
      <w:color w:val="555759"/>
      <w:sz w:val="22"/>
      <w:szCs w:val="22"/>
    </w:rPr>
  </w:style>
  <w:style w:type="paragraph" w:customStyle="1" w:styleId="FooterAddress">
    <w:name w:val="Footer Address"/>
    <w:basedOn w:val="Normal"/>
    <w:autoRedefine/>
    <w:qFormat/>
    <w:rsid w:val="004334BE"/>
    <w:rPr>
      <w:color w:val="555759"/>
      <w:sz w:val="16"/>
    </w:rPr>
  </w:style>
  <w:style w:type="paragraph" w:customStyle="1" w:styleId="MemoLabel">
    <w:name w:val="Memo Label"/>
    <w:basedOn w:val="MemoFrame"/>
    <w:link w:val="MemoLabelChar"/>
    <w:qFormat/>
    <w:rsid w:val="00A92A63"/>
  </w:style>
  <w:style w:type="paragraph" w:customStyle="1" w:styleId="MemoBody">
    <w:name w:val="Memo Body"/>
    <w:basedOn w:val="MemoLabel"/>
    <w:link w:val="MemoBodyChar"/>
    <w:qFormat/>
    <w:rsid w:val="00A92A63"/>
    <w:rPr>
      <w:b w:val="0"/>
    </w:rPr>
  </w:style>
  <w:style w:type="character" w:customStyle="1" w:styleId="MemoFrameChar">
    <w:name w:val="Memo Frame Char"/>
    <w:basedOn w:val="DefaultParagraphFont"/>
    <w:link w:val="MemoFrame"/>
    <w:rsid w:val="00A92A63"/>
    <w:rPr>
      <w:rFonts w:ascii="Arial" w:hAnsi="Arial"/>
      <w:b/>
      <w:szCs w:val="24"/>
    </w:rPr>
  </w:style>
  <w:style w:type="character" w:customStyle="1" w:styleId="MemoLabelChar">
    <w:name w:val="Memo Label Char"/>
    <w:basedOn w:val="MemoFrameChar"/>
    <w:link w:val="MemoLabel"/>
    <w:rsid w:val="00A92A63"/>
    <w:rPr>
      <w:rFonts w:ascii="Arial" w:hAnsi="Arial"/>
      <w:b/>
      <w:szCs w:val="24"/>
    </w:rPr>
  </w:style>
  <w:style w:type="character" w:customStyle="1" w:styleId="MemoBodyChar">
    <w:name w:val="Memo Body Char"/>
    <w:basedOn w:val="MemoLabelChar"/>
    <w:link w:val="MemoBody"/>
    <w:rsid w:val="00A92A63"/>
    <w:rPr>
      <w:rFonts w:ascii="Arial" w:hAnsi="Arial"/>
      <w:b w:val="0"/>
      <w:szCs w:val="24"/>
    </w:rPr>
  </w:style>
  <w:style w:type="paragraph" w:styleId="FootnoteText">
    <w:name w:val="footnote text"/>
    <w:basedOn w:val="Normal"/>
    <w:link w:val="FootnoteTextChar"/>
    <w:uiPriority w:val="99"/>
    <w:qFormat/>
    <w:rsid w:val="00BA0382"/>
    <w:pPr>
      <w:keepLines/>
      <w:tabs>
        <w:tab w:val="left" w:pos="360"/>
        <w:tab w:val="left" w:pos="720"/>
        <w:tab w:val="left" w:pos="1080"/>
        <w:tab w:val="left" w:pos="1440"/>
        <w:tab w:val="left" w:pos="1800"/>
        <w:tab w:val="left" w:pos="2160"/>
      </w:tabs>
      <w:spacing w:after="40" w:line="240" w:lineRule="exact"/>
    </w:pPr>
    <w:rPr>
      <w:sz w:val="16"/>
      <w:szCs w:val="20"/>
    </w:rPr>
  </w:style>
  <w:style w:type="character" w:customStyle="1" w:styleId="FootnoteTextChar">
    <w:name w:val="Footnote Text Char"/>
    <w:basedOn w:val="DefaultParagraphFont"/>
    <w:link w:val="FootnoteText"/>
    <w:uiPriority w:val="99"/>
    <w:rsid w:val="00BA0382"/>
    <w:rPr>
      <w:rFonts w:ascii="Arial" w:hAnsi="Arial"/>
      <w:sz w:val="16"/>
    </w:rPr>
  </w:style>
  <w:style w:type="character" w:styleId="FootnoteReference">
    <w:name w:val="footnote reference"/>
    <w:uiPriority w:val="99"/>
    <w:rsid w:val="00BA0382"/>
    <w:rPr>
      <w:rFonts w:ascii="Arial" w:hAnsi="Arial"/>
      <w:color w:val="auto"/>
      <w:vertAlign w:val="superscript"/>
    </w:rPr>
  </w:style>
  <w:style w:type="paragraph" w:styleId="Caption">
    <w:name w:val="caption"/>
    <w:aliases w:val="Table Caption,Char,Caption Char1 Char"/>
    <w:basedOn w:val="Normal"/>
    <w:next w:val="Normal"/>
    <w:link w:val="CaptionChar"/>
    <w:qFormat/>
    <w:rsid w:val="00BA0382"/>
    <w:pPr>
      <w:keepNext/>
      <w:spacing w:after="120"/>
      <w:jc w:val="center"/>
    </w:pPr>
    <w:rPr>
      <w:b/>
      <w:bCs/>
      <w:color w:val="3F4042"/>
      <w:szCs w:val="20"/>
    </w:rPr>
  </w:style>
  <w:style w:type="paragraph" w:styleId="ListParagraph">
    <w:name w:val="List Paragraph"/>
    <w:basedOn w:val="Normal"/>
    <w:link w:val="ListParagraphChar"/>
    <w:uiPriority w:val="34"/>
    <w:qFormat/>
    <w:rsid w:val="00BA0382"/>
    <w:pPr>
      <w:spacing w:before="120"/>
      <w:ind w:left="720"/>
    </w:pPr>
  </w:style>
  <w:style w:type="character" w:customStyle="1" w:styleId="Heading2Char">
    <w:name w:val="Heading 2 Char"/>
    <w:link w:val="Heading2"/>
    <w:rsid w:val="002C23E8"/>
    <w:rPr>
      <w:rFonts w:ascii="Arial" w:hAnsi="Arial"/>
      <w:b/>
      <w:sz w:val="22"/>
    </w:rPr>
  </w:style>
  <w:style w:type="character" w:customStyle="1" w:styleId="CaptionChar">
    <w:name w:val="Caption Char"/>
    <w:aliases w:val="Table Caption Char,Char Char,Caption Char1 Char Char"/>
    <w:link w:val="Caption"/>
    <w:rsid w:val="00BA0382"/>
    <w:rPr>
      <w:rFonts w:ascii="Arial" w:hAnsi="Arial"/>
      <w:b/>
      <w:bCs/>
      <w:color w:val="3F4042"/>
    </w:rPr>
  </w:style>
  <w:style w:type="character" w:customStyle="1" w:styleId="ListParagraphChar">
    <w:name w:val="List Paragraph Char"/>
    <w:link w:val="ListParagraph"/>
    <w:uiPriority w:val="34"/>
    <w:locked/>
    <w:rsid w:val="00BA0382"/>
    <w:rPr>
      <w:rFonts w:ascii="Arial" w:hAnsi="Arial"/>
      <w:szCs w:val="24"/>
    </w:rPr>
  </w:style>
  <w:style w:type="character" w:styleId="CommentReference">
    <w:name w:val="annotation reference"/>
    <w:basedOn w:val="DefaultParagraphFont"/>
    <w:uiPriority w:val="99"/>
    <w:semiHidden/>
    <w:unhideWhenUsed/>
    <w:rsid w:val="00893D9C"/>
    <w:rPr>
      <w:sz w:val="16"/>
      <w:szCs w:val="16"/>
    </w:rPr>
  </w:style>
  <w:style w:type="paragraph" w:styleId="CommentText">
    <w:name w:val="annotation text"/>
    <w:basedOn w:val="Normal"/>
    <w:link w:val="CommentTextChar"/>
    <w:uiPriority w:val="99"/>
    <w:semiHidden/>
    <w:unhideWhenUsed/>
    <w:rsid w:val="00893D9C"/>
    <w:pPr>
      <w:spacing w:line="240" w:lineRule="auto"/>
    </w:pPr>
    <w:rPr>
      <w:szCs w:val="20"/>
    </w:rPr>
  </w:style>
  <w:style w:type="character" w:customStyle="1" w:styleId="CommentTextChar">
    <w:name w:val="Comment Text Char"/>
    <w:basedOn w:val="DefaultParagraphFont"/>
    <w:link w:val="CommentText"/>
    <w:uiPriority w:val="99"/>
    <w:semiHidden/>
    <w:rsid w:val="00893D9C"/>
    <w:rPr>
      <w:rFonts w:ascii="Arial" w:hAnsi="Arial"/>
    </w:rPr>
  </w:style>
  <w:style w:type="paragraph" w:styleId="CommentSubject">
    <w:name w:val="annotation subject"/>
    <w:basedOn w:val="CommentText"/>
    <w:next w:val="CommentText"/>
    <w:link w:val="CommentSubjectChar"/>
    <w:uiPriority w:val="99"/>
    <w:semiHidden/>
    <w:unhideWhenUsed/>
    <w:rsid w:val="00893D9C"/>
    <w:rPr>
      <w:b/>
      <w:bCs/>
    </w:rPr>
  </w:style>
  <w:style w:type="character" w:customStyle="1" w:styleId="CommentSubjectChar">
    <w:name w:val="Comment Subject Char"/>
    <w:basedOn w:val="CommentTextChar"/>
    <w:link w:val="CommentSubject"/>
    <w:uiPriority w:val="99"/>
    <w:semiHidden/>
    <w:rsid w:val="00893D9C"/>
    <w:rPr>
      <w:rFonts w:ascii="Arial" w:hAnsi="Arial"/>
      <w:b/>
      <w:bCs/>
    </w:rPr>
  </w:style>
  <w:style w:type="paragraph" w:customStyle="1" w:styleId="ODCBodyText">
    <w:name w:val="ODC Body Text"/>
    <w:link w:val="ODCBodyTextChar"/>
    <w:qFormat/>
    <w:rsid w:val="00145656"/>
    <w:pPr>
      <w:spacing w:before="200" w:after="200"/>
      <w:jc w:val="both"/>
    </w:pPr>
    <w:rPr>
      <w:rFonts w:ascii="Franklin Gothic Book" w:hAnsi="Franklin Gothic Book"/>
      <w:sz w:val="22"/>
      <w:szCs w:val="24"/>
    </w:rPr>
  </w:style>
  <w:style w:type="character" w:customStyle="1" w:styleId="ODCBodyTextChar">
    <w:name w:val="ODC Body Text Char"/>
    <w:basedOn w:val="DefaultParagraphFont"/>
    <w:link w:val="ODCBodyText"/>
    <w:rsid w:val="00145656"/>
    <w:rPr>
      <w:rFonts w:ascii="Franklin Gothic Book" w:hAnsi="Franklin Gothic Book"/>
      <w:sz w:val="22"/>
      <w:szCs w:val="24"/>
    </w:rPr>
  </w:style>
  <w:style w:type="table" w:customStyle="1" w:styleId="EnergyTable1-Toptwo">
    <w:name w:val="Energy Table 1 - Top two"/>
    <w:basedOn w:val="TableNormal"/>
    <w:uiPriority w:val="99"/>
    <w:rsid w:val="00A41E3B"/>
    <w:pPr>
      <w:spacing w:before="40" w:after="40"/>
      <w:jc w:val="center"/>
    </w:pPr>
    <w:rPr>
      <w:rFonts w:ascii="Arial" w:hAnsi="Arial"/>
    </w:rPr>
    <w:tblPr>
      <w:tblStyleRowBandSize w:val="1"/>
      <w:jc w:val="center"/>
      <w:tblBorders>
        <w:bottom w:val="single" w:sz="8" w:space="0" w:color="555759"/>
        <w:insideH w:val="single" w:sz="4" w:space="0" w:color="DCDDDE"/>
      </w:tblBorders>
    </w:tblPr>
    <w:trPr>
      <w:cantSplit/>
      <w:jc w:val="center"/>
    </w:trPr>
    <w:tcPr>
      <w:vAlign w:val="center"/>
    </w:tcPr>
    <w:tblStylePr w:type="firstRow">
      <w:pPr>
        <w:jc w:val="center"/>
      </w:pPr>
      <w:rPr>
        <w:rFonts w:ascii="Arial" w:hAnsi="Arial"/>
        <w:b/>
        <w:color w:val="FFFFFF"/>
        <w:sz w:val="20"/>
      </w:rPr>
      <w:tblPr/>
      <w:tcPr>
        <w:tcBorders>
          <w:top w:val="nil"/>
          <w:left w:val="nil"/>
          <w:bottom w:val="single" w:sz="12" w:space="0" w:color="95D600"/>
          <w:right w:val="nil"/>
          <w:insideH w:val="nil"/>
          <w:insideV w:val="nil"/>
          <w:tl2br w:val="nil"/>
          <w:tr2bl w:val="nil"/>
        </w:tcBorders>
        <w:shd w:val="clear" w:color="auto" w:fill="555759"/>
      </w:tcPr>
    </w:tblStylePr>
    <w:tblStylePr w:type="lastRow">
      <w:pPr>
        <w:jc w:val="center"/>
      </w:pPr>
      <w:rPr>
        <w:rFonts w:ascii="Arial Bold" w:hAnsi="Arial Bold"/>
        <w:b/>
      </w:rPr>
      <w:tblPr/>
      <w:tcPr>
        <w:tcBorders>
          <w:top w:val="double" w:sz="4" w:space="0" w:color="545759"/>
          <w:bottom w:val="single" w:sz="4" w:space="0" w:color="545759"/>
        </w:tcBorders>
      </w:tcPr>
    </w:tblStylePr>
    <w:tblStylePr w:type="firstCol">
      <w:rPr>
        <w:rFonts w:ascii="Palatino Linotype" w:hAnsi="Palatino Linotype"/>
        <w:b w:val="0"/>
        <w:color w:val="auto"/>
      </w:rPr>
    </w:tblStylePr>
    <w:tblStylePr w:type="band1Horz">
      <w:pPr>
        <w:jc w:val="center"/>
      </w:pPr>
      <w:tblPr/>
      <w:tcPr>
        <w:vAlign w:val="center"/>
      </w:tcPr>
    </w:tblStylePr>
    <w:tblStylePr w:type="band2Horz">
      <w:pPr>
        <w:jc w:val="center"/>
      </w:pPr>
      <w:tblPr/>
      <w:tcPr>
        <w:shd w:val="clear" w:color="auto" w:fill="FFFFFF"/>
      </w:tcPr>
    </w:tblStylePr>
  </w:style>
  <w:style w:type="character" w:styleId="PlaceholderText">
    <w:name w:val="Placeholder Text"/>
    <w:basedOn w:val="DefaultParagraphFont"/>
    <w:uiPriority w:val="99"/>
    <w:semiHidden/>
    <w:rsid w:val="003F50C1"/>
    <w:rPr>
      <w:color w:val="808080"/>
    </w:rPr>
  </w:style>
  <w:style w:type="paragraph" w:styleId="Revision">
    <w:name w:val="Revision"/>
    <w:hidden/>
    <w:uiPriority w:val="99"/>
    <w:semiHidden/>
    <w:rsid w:val="003602BD"/>
    <w:rPr>
      <w:rFonts w:ascii="Arial" w:hAnsi="Arial"/>
      <w:szCs w:val="24"/>
    </w:rPr>
  </w:style>
  <w:style w:type="character" w:styleId="UnresolvedMention">
    <w:name w:val="Unresolved Mention"/>
    <w:basedOn w:val="DefaultParagraphFont"/>
    <w:uiPriority w:val="99"/>
    <w:semiHidden/>
    <w:unhideWhenUsed/>
    <w:rsid w:val="00C244CE"/>
    <w:rPr>
      <w:color w:val="808080"/>
      <w:shd w:val="clear" w:color="auto" w:fill="E6E6E6"/>
    </w:rPr>
  </w:style>
  <w:style w:type="character" w:styleId="FollowedHyperlink">
    <w:name w:val="FollowedHyperlink"/>
    <w:basedOn w:val="DefaultParagraphFont"/>
    <w:uiPriority w:val="99"/>
    <w:semiHidden/>
    <w:unhideWhenUsed/>
    <w:rsid w:val="008761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NCI\NCI%20Templates\Nav%20MemoTplat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2FD1D-C875-44D8-8E0E-C09164D689E5}"/>
</file>

<file path=customXml/itemProps2.xml><?xml version="1.0" encoding="utf-8"?>
<ds:datastoreItem xmlns:ds="http://schemas.openxmlformats.org/officeDocument/2006/customXml" ds:itemID="{B6170BD9-B66D-405F-ACF7-9889DC517720}"/>
</file>

<file path=customXml/itemProps3.xml><?xml version="1.0" encoding="utf-8"?>
<ds:datastoreItem xmlns:ds="http://schemas.openxmlformats.org/officeDocument/2006/customXml" ds:itemID="{CF252ABB-FECF-4635-A081-C26B43EE231E}"/>
</file>

<file path=customXml/itemProps4.xml><?xml version="1.0" encoding="utf-8"?>
<ds:datastoreItem xmlns:ds="http://schemas.openxmlformats.org/officeDocument/2006/customXml" ds:itemID="{861AB9C5-ECF1-4743-9032-27D2FDEBF192}"/>
</file>

<file path=docProps/app.xml><?xml version="1.0" encoding="utf-8"?>
<Properties xmlns="http://schemas.openxmlformats.org/officeDocument/2006/extended-properties" xmlns:vt="http://schemas.openxmlformats.org/officeDocument/2006/docPropsVTypes">
  <Template>Nav MemoTplate_2016.dotx</Template>
  <TotalTime>51</TotalTime>
  <Pages>7</Pages>
  <Words>1645</Words>
  <Characters>10177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June 20, 2001</vt:lpstr>
    </vt:vector>
  </TitlesOfParts>
  <Company>VisionTrust</Company>
  <LinksUpToDate>false</LinksUpToDate>
  <CharactersWithSpaces>11799</CharactersWithSpaces>
  <SharedDoc>false</SharedDoc>
  <HLinks>
    <vt:vector size="6" baseType="variant">
      <vt:variant>
        <vt:i4>4522068</vt:i4>
      </vt:variant>
      <vt:variant>
        <vt:i4>-1</vt:i4>
      </vt:variant>
      <vt:variant>
        <vt:i4>2076</vt:i4>
      </vt:variant>
      <vt:variant>
        <vt:i4>1</vt:i4>
      </vt:variant>
      <vt:variant>
        <vt:lpwstr>M_logo_cmyk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 2001</dc:title>
  <dc:subject/>
  <dc:creator>Vergil Weatherford</dc:creator>
  <cp:keywords/>
  <dc:description/>
  <cp:lastModifiedBy>Ryan Powanda</cp:lastModifiedBy>
  <cp:revision>6</cp:revision>
  <cp:lastPrinted>2003-03-31T22:03:00Z</cp:lastPrinted>
  <dcterms:created xsi:type="dcterms:W3CDTF">2018-06-29T00:35:00Z</dcterms:created>
  <dcterms:modified xsi:type="dcterms:W3CDTF">2018-06-29T14:09:00Z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0x010100AD57B319AB822E4A9207DC7F31971FB9</vt:lpwstr>
  </property>
</Properties>
</file>