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3A5" w:rsidRPr="009F7BFB" w:rsidRDefault="001823A5" w:rsidP="009F7BFB">
      <w:pPr>
        <w:pStyle w:val="Heading1"/>
      </w:pPr>
      <w:bookmarkStart w:id="0" w:name="_GoBack"/>
      <w:bookmarkEnd w:id="0"/>
      <w:r w:rsidRPr="009F7BFB">
        <w:t>Illinois Energy Efficiency Stakeholder Advisory Group</w:t>
      </w:r>
    </w:p>
    <w:p w:rsidR="001823A5" w:rsidRPr="009F7BFB" w:rsidRDefault="001823A5" w:rsidP="009F7BFB">
      <w:pPr>
        <w:pStyle w:val="Heading1"/>
      </w:pPr>
      <w:r w:rsidRPr="009F7BFB">
        <w:t>Energy Efficiency Policy Manual</w:t>
      </w:r>
    </w:p>
    <w:p w:rsidR="001823A5" w:rsidRPr="000918C5" w:rsidRDefault="001823A5" w:rsidP="000918C5"/>
    <w:p w:rsidR="009F7BFB" w:rsidRPr="000918C5" w:rsidRDefault="000918C5" w:rsidP="000918C5">
      <w:pPr>
        <w:pStyle w:val="Heading2"/>
      </w:pPr>
      <w:r w:rsidRPr="000918C5">
        <w:t>ISSUE</w:t>
      </w:r>
      <w:r w:rsidR="001823A5" w:rsidRPr="000918C5">
        <w:t xml:space="preserve">: </w:t>
      </w:r>
    </w:p>
    <w:p w:rsidR="001823A5" w:rsidRPr="000918C5" w:rsidRDefault="00E9436B" w:rsidP="000918C5">
      <w:r>
        <w:t>Defining and T</w:t>
      </w:r>
      <w:r w:rsidR="00AF23DD">
        <w:t>r</w:t>
      </w:r>
      <w:r>
        <w:t xml:space="preserve">acking </w:t>
      </w:r>
      <w:r w:rsidR="001823A5" w:rsidRPr="000918C5">
        <w:t>Savings Performance Targets</w:t>
      </w:r>
    </w:p>
    <w:p w:rsidR="009F7BFB" w:rsidRPr="000918C5" w:rsidRDefault="000918C5" w:rsidP="000918C5">
      <w:pPr>
        <w:pStyle w:val="Heading2"/>
      </w:pPr>
      <w:r>
        <w:t>POLICY</w:t>
      </w:r>
      <w:r w:rsidR="001823A5" w:rsidRPr="000918C5">
        <w:t xml:space="preserve">: </w:t>
      </w:r>
    </w:p>
    <w:p w:rsidR="001823A5" w:rsidRDefault="001823A5" w:rsidP="000918C5">
      <w:r>
        <w:t xml:space="preserve">Illinois will define savings goals and performance against those goals using gross savings. </w:t>
      </w:r>
    </w:p>
    <w:p w:rsidR="009F55B4" w:rsidRPr="009F7BFB" w:rsidRDefault="000918C5" w:rsidP="000918C5">
      <w:pPr>
        <w:pStyle w:val="Heading2"/>
      </w:pPr>
      <w:r>
        <w:t>DEFINITIONS</w:t>
      </w:r>
      <w:r w:rsidR="009F7BFB" w:rsidRPr="009F7BFB">
        <w:t>:</w:t>
      </w:r>
    </w:p>
    <w:p w:rsidR="009F55B4" w:rsidRDefault="00C83AA8" w:rsidP="000918C5">
      <w:r>
        <w:t xml:space="preserve">(From SEE Action, </w:t>
      </w:r>
      <w:r w:rsidR="009F55B4" w:rsidRPr="009F55B4">
        <w:t xml:space="preserve">Energy Efficiency Program </w:t>
      </w:r>
      <w:r w:rsidRPr="009F55B4">
        <w:t xml:space="preserve">Impact Evaluation </w:t>
      </w:r>
      <w:r w:rsidR="009F55B4" w:rsidRPr="009F55B4">
        <w:t>Guide</w:t>
      </w:r>
      <w:r w:rsidR="009F55B4">
        <w:t xml:space="preserve">, </w:t>
      </w:r>
      <w:proofErr w:type="gramStart"/>
      <w:r w:rsidR="009F55B4">
        <w:t>December</w:t>
      </w:r>
      <w:proofErr w:type="gramEnd"/>
      <w:r w:rsidR="009F55B4">
        <w:t xml:space="preserve"> 2012)</w:t>
      </w:r>
    </w:p>
    <w:p w:rsidR="00C83AA8" w:rsidRPr="009F55B4" w:rsidRDefault="00C83AA8" w:rsidP="009667B4">
      <w:pPr>
        <w:pStyle w:val="ListParagraph"/>
      </w:pPr>
      <w:r w:rsidRPr="009F7BFB">
        <w:rPr>
          <w:b/>
        </w:rPr>
        <w:t xml:space="preserve">Gross Savings: </w:t>
      </w:r>
      <w:r w:rsidRPr="009F55B4">
        <w:t>The change in energy consumption and/or demand that results directly from program-related actions taken by participants in an energy efficiency program, regardless of why they participated.</w:t>
      </w:r>
    </w:p>
    <w:p w:rsidR="009F55B4" w:rsidRPr="009F55B4" w:rsidRDefault="009F55B4" w:rsidP="009667B4">
      <w:pPr>
        <w:pStyle w:val="ListParagraph"/>
      </w:pPr>
      <w:r w:rsidRPr="009667B4">
        <w:rPr>
          <w:b/>
        </w:rPr>
        <w:t xml:space="preserve">Net Savings: </w:t>
      </w:r>
      <w:r w:rsidRPr="009F55B4">
        <w:t xml:space="preserve">The change in energy consumption and/or demand that is attributable to a particular energy efficiency program. This change in energy use and/or demand may include, implicitly or explicitly, consideration of factors such as free ridership, participant and non-participant spillover, and induced market effects. These factors may be considered in how a baseline is defined (e.g., common practice) and/or in adjustments to gross savings values. </w:t>
      </w:r>
    </w:p>
    <w:p w:rsidR="009F55B4" w:rsidRPr="009F55B4" w:rsidRDefault="009F55B4" w:rsidP="009667B4">
      <w:pPr>
        <w:pStyle w:val="ListParagraph"/>
      </w:pPr>
      <w:r w:rsidRPr="009667B4">
        <w:rPr>
          <w:b/>
        </w:rPr>
        <w:t xml:space="preserve">Net-to-Gross (NTG) Ratio: </w:t>
      </w:r>
      <w:r w:rsidRPr="009F55B4">
        <w:t>A factor representing net program savings divided by gross program savings that is applied to gross program impacts to convert them into net program load impacts. The factor itself may be made up of a variety of factors that create differences between gross and net savings, commonly including free riders and spillover. Can be applied separately to either energy or demand savings.</w:t>
      </w:r>
    </w:p>
    <w:p w:rsidR="009F55B4" w:rsidRPr="009F55B4" w:rsidRDefault="00C83AA8" w:rsidP="009667B4">
      <w:pPr>
        <w:pStyle w:val="ListParagraph"/>
      </w:pPr>
      <w:r w:rsidRPr="009667B4">
        <w:rPr>
          <w:b/>
        </w:rPr>
        <w:t xml:space="preserve">Free Rider: </w:t>
      </w:r>
      <w:r w:rsidRPr="009F55B4">
        <w:t>A program participant who would have implemented the program’s measure(s) or practice(s) in the absence of the program. Free riders can be (1) total, in which the participant’s activity would have completely replicated the program measure; (2) partial, in</w:t>
      </w:r>
      <w:r w:rsidR="009F55B4" w:rsidRPr="009F55B4">
        <w:t xml:space="preserve"> which the participant’s activity would have partially replicated the program measure; or (3) deferred, in which the participant’s activity would have partially or completely replicated the program measure, but at a future time beyond the program’s time frame.</w:t>
      </w:r>
    </w:p>
    <w:p w:rsidR="009F55B4" w:rsidRPr="009F55B4" w:rsidRDefault="009F55B4" w:rsidP="009667B4">
      <w:pPr>
        <w:pStyle w:val="ListParagraph"/>
      </w:pPr>
      <w:r w:rsidRPr="009667B4">
        <w:rPr>
          <w:b/>
        </w:rPr>
        <w:t xml:space="preserve">Spillover (Participant and Non-Participant): </w:t>
      </w:r>
      <w:r w:rsidRPr="009F55B4">
        <w:t xml:space="preserve">Reductions in energy consumption and/or demand caused by the presence of an energy efficiency program, beyond the program-related gross savings of the participants and without direct financial or technical assistance from the program. There can be participant and/or non-participant spillover. </w:t>
      </w:r>
      <w:r w:rsidRPr="009667B4">
        <w:rPr>
          <w:i/>
          <w:iCs/>
        </w:rPr>
        <w:t xml:space="preserve">Participant spillover </w:t>
      </w:r>
      <w:r w:rsidRPr="009F55B4">
        <w:t xml:space="preserve">is the additional energy savings that occur as a result of the program’s influence when a program participant independently installs incremental energy efficiency measures or applies energy-saving practices after having participated in the energy efficiency program. </w:t>
      </w:r>
      <w:r w:rsidRPr="009667B4">
        <w:rPr>
          <w:i/>
          <w:iCs/>
        </w:rPr>
        <w:t xml:space="preserve">Non-participant spillover </w:t>
      </w:r>
      <w:r w:rsidRPr="009F55B4">
        <w:t>refers to energy savings that occur when a program non-participant installs energy efficiency measures or applies energy savings practices as a result of a program’s influence.</w:t>
      </w:r>
    </w:p>
    <w:p w:rsidR="009F55B4" w:rsidRPr="009F55B4" w:rsidRDefault="009F55B4" w:rsidP="009667B4">
      <w:pPr>
        <w:pStyle w:val="ListParagraph"/>
      </w:pPr>
      <w:r w:rsidRPr="009667B4">
        <w:rPr>
          <w:b/>
        </w:rPr>
        <w:t xml:space="preserve">Market Effect: </w:t>
      </w:r>
      <w:r w:rsidRPr="009F55B4">
        <w:t xml:space="preserve">A change in the structure of a market or the behavior of participants in a market that is reflective of an increase (or decrease) in the adoption of energy efficient products, services, or practices and is causally related to market interventions (e.g., programs). Examples of market effects include increased levels of awareness of energy efficient technologies among customers and suppliers, increased availability of energy efficient technologies through retail channels, reduced </w:t>
      </w:r>
      <w:r w:rsidRPr="009F55B4">
        <w:lastRenderedPageBreak/>
        <w:t>prices for energy efficient models, build out of energy efficient model lines, and—the end goal— increased market share for energy efficient goods, services, and design practices.</w:t>
      </w:r>
    </w:p>
    <w:p w:rsidR="00D85AA5" w:rsidRDefault="009667B4" w:rsidP="000918C5">
      <w:pPr>
        <w:pStyle w:val="Heading2"/>
      </w:pPr>
      <w:r>
        <w:t>POLICY RATIONALE:</w:t>
      </w:r>
    </w:p>
    <w:p w:rsidR="001823A5" w:rsidRPr="00D85AA5" w:rsidRDefault="001823A5" w:rsidP="000918C5">
      <w:pPr>
        <w:pStyle w:val="Heading3"/>
      </w:pPr>
      <w:r w:rsidRPr="00D85AA5">
        <w:t xml:space="preserve">Illinois law does not require </w:t>
      </w:r>
      <w:r w:rsidR="009667B4">
        <w:t xml:space="preserve">performance </w:t>
      </w:r>
      <w:r w:rsidR="00FF0428">
        <w:t xml:space="preserve">goals </w:t>
      </w:r>
      <w:r w:rsidRPr="00D85AA5">
        <w:t xml:space="preserve">to be measured </w:t>
      </w:r>
      <w:r w:rsidR="009667B4">
        <w:t>with ne</w:t>
      </w:r>
      <w:r w:rsidR="00FF0428">
        <w:t xml:space="preserve">t savings </w:t>
      </w:r>
    </w:p>
    <w:p w:rsidR="00D85AA5" w:rsidRDefault="001823A5" w:rsidP="000918C5">
      <w:r>
        <w:t xml:space="preserve">The Public Utilities Act does not explicitly define whether utility savings goals are to be measured </w:t>
      </w:r>
      <w:r w:rsidR="004A2DB0">
        <w:t xml:space="preserve">as </w:t>
      </w:r>
      <w:r>
        <w:t xml:space="preserve">net or gross </w:t>
      </w:r>
      <w:r w:rsidR="004A2DB0">
        <w:t>savings. T</w:t>
      </w:r>
      <w:r>
        <w:t>he Act does mention net savings in defining the rol</w:t>
      </w:r>
      <w:r w:rsidR="004A2DB0">
        <w:t xml:space="preserve">e of the independent </w:t>
      </w:r>
      <w:proofErr w:type="gramStart"/>
      <w:r w:rsidR="004A2DB0">
        <w:t>evaluator,</w:t>
      </w:r>
      <w:proofErr w:type="gramEnd"/>
      <w:r w:rsidR="004A2DB0">
        <w:t xml:space="preserve"> however Illinois could limit the application of net savings evaluations to the purposes of refining program design and calculating cost-effectiveness, while tracking program savings goals using gross savings metrics. </w:t>
      </w:r>
    </w:p>
    <w:p w:rsidR="001823A5" w:rsidRDefault="001823A5" w:rsidP="000918C5">
      <w:r>
        <w:t xml:space="preserve">In addition, in the latest round of Illinois Energy Efficiency Plan (EEP) proceedings, the Illinois Commerce Commission approved modified savings goals for all six of the Illinois electric and natural gas utilities, as well as for the Department of Commerce and Economic Opportunity (DCEO). The Act’s modified savings goal provisions allow the Commission latitude </w:t>
      </w:r>
      <w:r w:rsidR="00E9436B">
        <w:t xml:space="preserve">for </w:t>
      </w:r>
      <w:r>
        <w:t>setting goals that differ from those defined in Sections 8-103(b) and 8-104(c)</w:t>
      </w:r>
      <w:r w:rsidR="007F6F7A">
        <w:t>. T</w:t>
      </w:r>
      <w:r>
        <w:t xml:space="preserve">he Commission could set goals defined </w:t>
      </w:r>
      <w:r w:rsidR="00FF0428">
        <w:t>with either gross savings or net savings metrics</w:t>
      </w:r>
      <w:r w:rsidR="00E7367D">
        <w:t xml:space="preserve">. Further, the Commission could set goals using additional metrics </w:t>
      </w:r>
      <w:r>
        <w:t xml:space="preserve">consistent with the Act’s goal of using </w:t>
      </w:r>
      <w:r w:rsidR="00E7367D">
        <w:t>“</w:t>
      </w:r>
      <w:r>
        <w:t xml:space="preserve">cost-effective energy efficiency to reduce direct </w:t>
      </w:r>
      <w:r w:rsidR="00E7367D">
        <w:t>and indirect costs to consumers.” For example, the Commission could set goals based on lifecycle savings instead of annual savings.</w:t>
      </w:r>
    </w:p>
    <w:p w:rsidR="001823A5" w:rsidRDefault="001823A5" w:rsidP="000918C5">
      <w:pPr>
        <w:pStyle w:val="Heading3"/>
      </w:pPr>
      <w:r w:rsidRPr="00927124">
        <w:t xml:space="preserve">Other states </w:t>
      </w:r>
      <w:r>
        <w:t xml:space="preserve">deliver </w:t>
      </w:r>
      <w:r w:rsidRPr="00927124">
        <w:t xml:space="preserve">effective energy efficiency portfolios </w:t>
      </w:r>
      <w:r w:rsidR="009667B4">
        <w:t xml:space="preserve">with </w:t>
      </w:r>
      <w:r w:rsidRPr="00927124">
        <w:t>gross savings goals</w:t>
      </w:r>
    </w:p>
    <w:p w:rsidR="007F6F7A" w:rsidRDefault="001823A5" w:rsidP="000918C5">
      <w:r>
        <w:t xml:space="preserve">A number of other states </w:t>
      </w:r>
      <w:r w:rsidR="004A2DB0">
        <w:t xml:space="preserve">rely on </w:t>
      </w:r>
      <w:r>
        <w:t xml:space="preserve">gross savings metrics to define energy efficiency performance goals, and program administrators in these states </w:t>
      </w:r>
      <w:r w:rsidR="00D22652">
        <w:t>continue to offer</w:t>
      </w:r>
      <w:r>
        <w:t xml:space="preserve"> well run, cost eff</w:t>
      </w:r>
      <w:r w:rsidR="00D22652">
        <w:t>ective programs</w:t>
      </w:r>
      <w:r>
        <w:t xml:space="preserve">. </w:t>
      </w:r>
    </w:p>
    <w:p w:rsidR="00D85AA5" w:rsidRPr="00D85AA5" w:rsidRDefault="001823A5" w:rsidP="000918C5">
      <w:pPr>
        <w:pStyle w:val="ListParagraph"/>
      </w:pPr>
      <w:r w:rsidRPr="00D85AA5">
        <w:t xml:space="preserve">In its 2012 report </w:t>
      </w:r>
      <w:r w:rsidRPr="004A2DB0">
        <w:rPr>
          <w:i/>
        </w:rPr>
        <w:t>National Survey of State Policies and Practices for the Evaluation of Ratepayer-Funded Energy Efficiency Programs</w:t>
      </w:r>
      <w:r w:rsidRPr="00D85AA5">
        <w:t>, the American Council for an Energy Efficient Economy (ACEEE) surveyed 4</w:t>
      </w:r>
      <w:r w:rsidR="007F6F7A" w:rsidRPr="00D85AA5">
        <w:t>2</w:t>
      </w:r>
      <w:r w:rsidRPr="00D85AA5">
        <w:t xml:space="preserve"> states with formally approved ratepayer-funded portfolios, and, of these, 12 states rely on gross performance goals and 9 use gross savings for some reporting purposes. </w:t>
      </w:r>
    </w:p>
    <w:p w:rsidR="00D85AA5" w:rsidRPr="00D85AA5" w:rsidRDefault="001823A5" w:rsidP="000918C5">
      <w:pPr>
        <w:pStyle w:val="ListParagraph"/>
      </w:pPr>
      <w:r w:rsidRPr="00D85AA5">
        <w:t xml:space="preserve">The Midwest Energy Efficiency </w:t>
      </w:r>
      <w:proofErr w:type="gramStart"/>
      <w:r w:rsidRPr="00D85AA5">
        <w:t>Alliance,</w:t>
      </w:r>
      <w:proofErr w:type="gramEnd"/>
      <w:r w:rsidRPr="00D85AA5">
        <w:t xml:space="preserve"> </w:t>
      </w:r>
      <w:r w:rsidR="004A2DB0">
        <w:t xml:space="preserve">relied on the same </w:t>
      </w:r>
      <w:r w:rsidRPr="00D85AA5">
        <w:t xml:space="preserve">ACEEE report to </w:t>
      </w:r>
      <w:r w:rsidR="004A2DB0">
        <w:t>determine</w:t>
      </w:r>
      <w:r w:rsidR="007F6F7A" w:rsidRPr="00D85AA5">
        <w:t xml:space="preserve"> that </w:t>
      </w:r>
      <w:r w:rsidRPr="00D85AA5">
        <w:t xml:space="preserve">4 of its 11 member states </w:t>
      </w:r>
      <w:r w:rsidR="00D22652" w:rsidRPr="00D85AA5">
        <w:t xml:space="preserve">rely on </w:t>
      </w:r>
      <w:r w:rsidRPr="00D85AA5">
        <w:t>gross performanc</w:t>
      </w:r>
      <w:r w:rsidR="007F6F7A" w:rsidRPr="00D85AA5">
        <w:t xml:space="preserve">e goals and another </w:t>
      </w:r>
      <w:r w:rsidR="00284B09">
        <w:t xml:space="preserve">4 </w:t>
      </w:r>
      <w:r w:rsidR="007F6F7A" w:rsidRPr="00D85AA5">
        <w:t>states use</w:t>
      </w:r>
      <w:r w:rsidRPr="00D85AA5">
        <w:t xml:space="preserve"> gross savings for some reporting purposes.</w:t>
      </w:r>
      <w:r w:rsidR="007F6F7A" w:rsidRPr="00D85AA5">
        <w:t xml:space="preserve"> </w:t>
      </w:r>
    </w:p>
    <w:p w:rsidR="001823A5" w:rsidRPr="00D85AA5" w:rsidRDefault="007F6F7A" w:rsidP="000918C5">
      <w:pPr>
        <w:pStyle w:val="ListParagraph"/>
      </w:pPr>
      <w:r w:rsidRPr="00D85AA5">
        <w:t xml:space="preserve">A </w:t>
      </w:r>
      <w:r w:rsidR="001823A5" w:rsidRPr="00D85AA5">
        <w:t>number of states</w:t>
      </w:r>
      <w:r w:rsidR="00E05BF8" w:rsidRPr="00D85AA5">
        <w:t xml:space="preserve"> </w:t>
      </w:r>
      <w:r w:rsidR="004A2DB0">
        <w:t xml:space="preserve">also </w:t>
      </w:r>
      <w:r w:rsidR="001823A5" w:rsidRPr="00D85AA5">
        <w:t xml:space="preserve">employ </w:t>
      </w:r>
      <w:r w:rsidRPr="00D85AA5">
        <w:t>some form of “</w:t>
      </w:r>
      <w:r w:rsidR="001823A5" w:rsidRPr="00D85AA5">
        <w:t>adjusta</w:t>
      </w:r>
      <w:r w:rsidRPr="00D85AA5">
        <w:t xml:space="preserve">ble savings goals” </w:t>
      </w:r>
      <w:r w:rsidR="004A2DB0">
        <w:t xml:space="preserve">to </w:t>
      </w:r>
      <w:r w:rsidRPr="00D85AA5">
        <w:t>adjust savings performance for differences between measured evaluation results and original planning assumptions</w:t>
      </w:r>
      <w:r w:rsidR="00D22652" w:rsidRPr="00D85AA5">
        <w:t xml:space="preserve">. </w:t>
      </w:r>
      <w:r w:rsidR="004A2DB0">
        <w:t xml:space="preserve">(In Illinois, the Commission has approved this approach for Ameren Illinois Utilities.) </w:t>
      </w:r>
      <w:r w:rsidR="00D22652" w:rsidRPr="00D85AA5">
        <w:t xml:space="preserve">This approach </w:t>
      </w:r>
      <w:r w:rsidR="00E05BF8" w:rsidRPr="00D85AA5">
        <w:t xml:space="preserve">functionally reaches a </w:t>
      </w:r>
      <w:r w:rsidR="00D22652" w:rsidRPr="00D85AA5">
        <w:t xml:space="preserve">similar </w:t>
      </w:r>
      <w:r w:rsidR="00E05BF8" w:rsidRPr="00D85AA5">
        <w:t xml:space="preserve">outcome </w:t>
      </w:r>
      <w:r w:rsidR="00D22652" w:rsidRPr="00D85AA5">
        <w:t xml:space="preserve">to that provided by </w:t>
      </w:r>
      <w:r w:rsidRPr="00D85AA5">
        <w:t xml:space="preserve">gross savings </w:t>
      </w:r>
      <w:r w:rsidR="00D22652" w:rsidRPr="00D85AA5">
        <w:t>policies</w:t>
      </w:r>
      <w:r w:rsidRPr="00D85AA5">
        <w:t>.</w:t>
      </w:r>
    </w:p>
    <w:p w:rsidR="00E35C6E" w:rsidRPr="00D85AA5" w:rsidRDefault="007F6F7A" w:rsidP="00F54110">
      <w:r>
        <w:t xml:space="preserve">The states relying on gross savings goals (or </w:t>
      </w:r>
      <w:r w:rsidR="004A2DB0">
        <w:t xml:space="preserve">similar </w:t>
      </w:r>
      <w:r>
        <w:t xml:space="preserve">adjustable savings goals) continue to offer successful, cost effective energy efficiency programs, as evidenced by </w:t>
      </w:r>
      <w:r w:rsidR="0041643E">
        <w:t xml:space="preserve">a number of awards bestowed by </w:t>
      </w:r>
      <w:r>
        <w:t>industry groups</w:t>
      </w:r>
      <w:r w:rsidR="0041643E">
        <w:t xml:space="preserve"> on portfolios operating in these states</w:t>
      </w:r>
      <w:r w:rsidR="00F54110">
        <w:t xml:space="preserve">. For </w:t>
      </w:r>
      <w:r w:rsidR="00DA5DC7">
        <w:t xml:space="preserve">example, </w:t>
      </w:r>
      <w:r w:rsidR="00F54110">
        <w:t>these states represent f</w:t>
      </w:r>
      <w:r w:rsidRPr="00D85AA5">
        <w:t xml:space="preserve">ive </w:t>
      </w:r>
      <w:r w:rsidR="00F54110">
        <w:t xml:space="preserve">of the </w:t>
      </w:r>
      <w:r w:rsidR="001823A5" w:rsidRPr="00D85AA5">
        <w:t xml:space="preserve">ten </w:t>
      </w:r>
      <w:r w:rsidR="00F54110">
        <w:t xml:space="preserve">states ranked highest for “Utility and Public Benefits Programs and Policies” in </w:t>
      </w:r>
      <w:r w:rsidR="001823A5" w:rsidRPr="00D85AA5">
        <w:t xml:space="preserve">the ACEEE </w:t>
      </w:r>
      <w:r w:rsidR="00F54110" w:rsidRPr="00F54110">
        <w:rPr>
          <w:i/>
        </w:rPr>
        <w:t xml:space="preserve">2013 </w:t>
      </w:r>
      <w:r w:rsidR="001823A5" w:rsidRPr="00F54110">
        <w:rPr>
          <w:i/>
        </w:rPr>
        <w:t>State Energy Efficiency Scorecard</w:t>
      </w:r>
      <w:r w:rsidR="00F54110">
        <w:t xml:space="preserve">. In addition, these states are home to 14 of the 23 program administrators designated by ENERGY STAR as </w:t>
      </w:r>
      <w:r w:rsidR="00F54110" w:rsidRPr="00F54110">
        <w:rPr>
          <w:i/>
        </w:rPr>
        <w:t>Partners of the Year</w:t>
      </w:r>
      <w:r w:rsidR="00F54110">
        <w:t xml:space="preserve"> in 2014.</w:t>
      </w:r>
    </w:p>
    <w:p w:rsidR="00D85AA5" w:rsidRDefault="001823A5" w:rsidP="009667B4">
      <w:pPr>
        <w:pStyle w:val="Heading3"/>
        <w:keepNext/>
      </w:pPr>
      <w:r w:rsidRPr="00927124">
        <w:t xml:space="preserve">Net savings </w:t>
      </w:r>
      <w:r w:rsidR="00794A08">
        <w:t xml:space="preserve">policies </w:t>
      </w:r>
      <w:r>
        <w:t>create</w:t>
      </w:r>
      <w:r w:rsidRPr="00927124">
        <w:t xml:space="preserve"> </w:t>
      </w:r>
      <w:r w:rsidR="009B04E5">
        <w:t>large</w:t>
      </w:r>
      <w:r w:rsidR="00D85AA5">
        <w:t xml:space="preserve"> and unreasonable </w:t>
      </w:r>
      <w:r w:rsidRPr="00927124">
        <w:t xml:space="preserve">risks </w:t>
      </w:r>
      <w:r w:rsidR="004B122A">
        <w:t>for program administrators</w:t>
      </w:r>
    </w:p>
    <w:p w:rsidR="00D85AA5" w:rsidRDefault="001823A5" w:rsidP="009667B4">
      <w:pPr>
        <w:keepNext/>
      </w:pPr>
      <w:r>
        <w:t xml:space="preserve">Illinois program administrators </w:t>
      </w:r>
      <w:r w:rsidR="00794A08">
        <w:t xml:space="preserve">currently </w:t>
      </w:r>
      <w:r>
        <w:t xml:space="preserve">face substantial downside risks </w:t>
      </w:r>
      <w:r w:rsidR="005168C5">
        <w:t xml:space="preserve">when </w:t>
      </w:r>
      <w:r>
        <w:t xml:space="preserve">NTG evaluation results differ from the planning assumptions used in setting goals These risks </w:t>
      </w:r>
      <w:r w:rsidR="0090172B">
        <w:t xml:space="preserve">continue even with the </w:t>
      </w:r>
      <w:r>
        <w:t xml:space="preserve">prospective </w:t>
      </w:r>
      <w:r w:rsidR="004B122A">
        <w:t xml:space="preserve">NTG </w:t>
      </w:r>
      <w:r>
        <w:t xml:space="preserve">policies adopted by the </w:t>
      </w:r>
      <w:r w:rsidR="005168C5">
        <w:t xml:space="preserve">Commission </w:t>
      </w:r>
      <w:r>
        <w:t xml:space="preserve">in the </w:t>
      </w:r>
      <w:r w:rsidR="009667B4">
        <w:t xml:space="preserve">recent </w:t>
      </w:r>
      <w:r>
        <w:t xml:space="preserve">EEP </w:t>
      </w:r>
      <w:r w:rsidR="009667B4">
        <w:t>proceedings</w:t>
      </w:r>
      <w:r w:rsidR="0090172B">
        <w:t xml:space="preserve">, because the </w:t>
      </w:r>
      <w:r w:rsidR="00D85AA5">
        <w:lastRenderedPageBreak/>
        <w:t xml:space="preserve">current </w:t>
      </w:r>
      <w:r w:rsidR="0090172B">
        <w:t xml:space="preserve">NTG </w:t>
      </w:r>
      <w:r w:rsidR="004B122A">
        <w:t xml:space="preserve">framework </w:t>
      </w:r>
      <w:r w:rsidR="00C15C31">
        <w:t xml:space="preserve">maintains </w:t>
      </w:r>
      <w:r w:rsidR="00F426E7">
        <w:t xml:space="preserve">risk </w:t>
      </w:r>
      <w:r w:rsidR="0090172B">
        <w:t xml:space="preserve">from NTG </w:t>
      </w:r>
      <w:r w:rsidR="00F426E7">
        <w:t xml:space="preserve">changes </w:t>
      </w:r>
      <w:r w:rsidR="00EA53BD">
        <w:t xml:space="preserve">that occur </w:t>
      </w:r>
      <w:r w:rsidR="00C15C31">
        <w:t xml:space="preserve">within the </w:t>
      </w:r>
      <w:r w:rsidR="004B122A">
        <w:t>three</w:t>
      </w:r>
      <w:r w:rsidR="009667B4">
        <w:t>-</w:t>
      </w:r>
      <w:r w:rsidR="004B122A">
        <w:t>year planning horizon</w:t>
      </w:r>
      <w:r w:rsidR="0090172B">
        <w:t>.</w:t>
      </w:r>
    </w:p>
    <w:p w:rsidR="00CC66D8" w:rsidRPr="00EA53BD" w:rsidRDefault="0090172B" w:rsidP="000918C5">
      <w:r>
        <w:t xml:space="preserve">These risks can be substantial. For example, in GPY1, the </w:t>
      </w:r>
      <w:proofErr w:type="spellStart"/>
      <w:r w:rsidR="00EA53BD">
        <w:t>Nicor</w:t>
      </w:r>
      <w:proofErr w:type="spellEnd"/>
      <w:r w:rsidR="00EA53BD">
        <w:t xml:space="preserve"> Gas </w:t>
      </w:r>
      <w:r>
        <w:t xml:space="preserve">independent </w:t>
      </w:r>
      <w:r w:rsidR="00CC66D8">
        <w:t xml:space="preserve">evaluation lowered savings for the largest program in the </w:t>
      </w:r>
      <w:proofErr w:type="spellStart"/>
      <w:r w:rsidR="00CC66D8">
        <w:t>Nicor</w:t>
      </w:r>
      <w:proofErr w:type="spellEnd"/>
      <w:r w:rsidR="00CC66D8">
        <w:t xml:space="preserve"> Gas portfolio by more than one third. Similarly, </w:t>
      </w:r>
      <w:r w:rsidR="00EA53BD">
        <w:t xml:space="preserve">across the first five program years, </w:t>
      </w:r>
      <w:r w:rsidR="004A2DB0">
        <w:t xml:space="preserve">the </w:t>
      </w:r>
      <w:r w:rsidR="00EA53BD">
        <w:t>ComEd</w:t>
      </w:r>
      <w:r w:rsidR="004A2DB0">
        <w:t xml:space="preserve"> </w:t>
      </w:r>
      <w:r w:rsidR="00EA53BD">
        <w:t>independent evaluation of its second largest program estimated values that varied by almost one quarter</w:t>
      </w:r>
      <w:r w:rsidR="00CC66D8" w:rsidRPr="00D85AA5">
        <w:rPr>
          <w:i/>
        </w:rPr>
        <w:t>.</w:t>
      </w:r>
      <w:r w:rsidR="00EA53BD">
        <w:t xml:space="preserve"> Since these programs represented the most economical energy efficiency resources in each portfolio, overcoming these downward evaluation </w:t>
      </w:r>
      <w:r w:rsidR="004A2DB0">
        <w:t>risks</w:t>
      </w:r>
      <w:r w:rsidR="00284B09">
        <w:t>,</w:t>
      </w:r>
      <w:r w:rsidR="004A2DB0">
        <w:t xml:space="preserve"> </w:t>
      </w:r>
      <w:r w:rsidR="00EA53BD">
        <w:t xml:space="preserve">while maintaining the fixed overall budgets </w:t>
      </w:r>
      <w:r w:rsidR="00284B09">
        <w:t xml:space="preserve">required </w:t>
      </w:r>
      <w:r w:rsidR="00EA53BD">
        <w:t>by the Public Utilities Act</w:t>
      </w:r>
      <w:r w:rsidR="00284B09">
        <w:t>,</w:t>
      </w:r>
      <w:r w:rsidR="00EA53BD">
        <w:t xml:space="preserve"> created </w:t>
      </w:r>
      <w:r w:rsidR="00284B09">
        <w:t>considerable</w:t>
      </w:r>
      <w:r w:rsidR="00EA53BD">
        <w:t xml:space="preserve"> management challenges.</w:t>
      </w:r>
    </w:p>
    <w:p w:rsidR="00D85AA5" w:rsidRDefault="00EA53BD" w:rsidP="000918C5">
      <w:pPr>
        <w:rPr>
          <w:rStyle w:val="ListParagraphChar"/>
        </w:rPr>
      </w:pPr>
      <w:r>
        <w:rPr>
          <w:rStyle w:val="ListParagraphChar"/>
        </w:rPr>
        <w:t xml:space="preserve">When </w:t>
      </w:r>
      <w:r w:rsidR="00284B09">
        <w:rPr>
          <w:rStyle w:val="ListParagraphChar"/>
        </w:rPr>
        <w:t xml:space="preserve">NTG reductions are caused </w:t>
      </w:r>
      <w:r w:rsidR="00CC66D8" w:rsidRPr="00CC66D8">
        <w:rPr>
          <w:rStyle w:val="ListParagraphChar"/>
        </w:rPr>
        <w:t>by simple random statistical variation</w:t>
      </w:r>
      <w:r w:rsidR="00CC66D8">
        <w:rPr>
          <w:rStyle w:val="ListParagraphChar"/>
        </w:rPr>
        <w:t xml:space="preserve"> rather than </w:t>
      </w:r>
      <w:r w:rsidR="00E7367D">
        <w:rPr>
          <w:rStyle w:val="ListParagraphChar"/>
        </w:rPr>
        <w:t>utility management decisions</w:t>
      </w:r>
      <w:r w:rsidR="00284B09">
        <w:rPr>
          <w:rStyle w:val="ListParagraphChar"/>
        </w:rPr>
        <w:t>,</w:t>
      </w:r>
      <w:r>
        <w:rPr>
          <w:rStyle w:val="ListParagraphChar"/>
        </w:rPr>
        <w:t xml:space="preserve"> </w:t>
      </w:r>
      <w:r w:rsidR="00284B09">
        <w:rPr>
          <w:rStyle w:val="ListParagraphChar"/>
        </w:rPr>
        <w:t xml:space="preserve">they create </w:t>
      </w:r>
      <w:r>
        <w:rPr>
          <w:rStyle w:val="ListParagraphChar"/>
        </w:rPr>
        <w:t>risk</w:t>
      </w:r>
      <w:r w:rsidR="00284B09">
        <w:rPr>
          <w:rStyle w:val="ListParagraphChar"/>
        </w:rPr>
        <w:t xml:space="preserve">s that are unreasonable to expect </w:t>
      </w:r>
      <w:r>
        <w:rPr>
          <w:rStyle w:val="ListParagraphChar"/>
        </w:rPr>
        <w:t xml:space="preserve">utilities to </w:t>
      </w:r>
      <w:r w:rsidR="00284B09">
        <w:rPr>
          <w:rStyle w:val="ListParagraphChar"/>
        </w:rPr>
        <w:t xml:space="preserve">effectively </w:t>
      </w:r>
      <w:r>
        <w:rPr>
          <w:rStyle w:val="ListParagraphChar"/>
        </w:rPr>
        <w:t>manage</w:t>
      </w:r>
      <w:r w:rsidR="00CC66D8" w:rsidRPr="00CC66D8">
        <w:rPr>
          <w:rStyle w:val="ListParagraphChar"/>
        </w:rPr>
        <w:t>. For example</w:t>
      </w:r>
      <w:r w:rsidR="00CC66D8">
        <w:rPr>
          <w:rStyle w:val="ListParagraphChar"/>
        </w:rPr>
        <w:t xml:space="preserve">, in GPY1/EPY4, </w:t>
      </w:r>
      <w:r w:rsidR="00E7367D">
        <w:rPr>
          <w:rStyle w:val="ListParagraphChar"/>
        </w:rPr>
        <w:t xml:space="preserve">the five custom business programs offered in Illinois </w:t>
      </w:r>
      <w:r w:rsidR="006A7E86">
        <w:rPr>
          <w:rStyle w:val="ListParagraphChar"/>
        </w:rPr>
        <w:t xml:space="preserve">used substantially identical delivery approaches, and yet received NTG evaluations that </w:t>
      </w:r>
      <w:r w:rsidR="00E7367D">
        <w:rPr>
          <w:rStyle w:val="ListParagraphChar"/>
        </w:rPr>
        <w:t>varied by more than 40%</w:t>
      </w:r>
      <w:r w:rsidR="00CC66D8" w:rsidRPr="00CC66D8">
        <w:rPr>
          <w:rStyle w:val="ListParagraphChar"/>
        </w:rPr>
        <w:t>.</w:t>
      </w:r>
    </w:p>
    <w:p w:rsidR="00794A08" w:rsidRDefault="004F15E1" w:rsidP="000918C5">
      <w:pPr>
        <w:pStyle w:val="Heading3"/>
      </w:pPr>
      <w:r>
        <w:t xml:space="preserve">Net savings </w:t>
      </w:r>
      <w:r w:rsidR="00794A08">
        <w:t xml:space="preserve">policies </w:t>
      </w:r>
      <w:r>
        <w:t xml:space="preserve">discourage </w:t>
      </w:r>
      <w:r w:rsidR="00794A08">
        <w:t>innovation and collaboration</w:t>
      </w:r>
    </w:p>
    <w:p w:rsidR="004F15E1" w:rsidRDefault="004F15E1" w:rsidP="000918C5">
      <w:r>
        <w:t xml:space="preserve">Net savings policies </w:t>
      </w:r>
      <w:r w:rsidR="00CB0E3F">
        <w:t xml:space="preserve">can </w:t>
      </w:r>
      <w:r>
        <w:t>discourage program administrators from developing innovative new program offerings</w:t>
      </w:r>
      <w:r w:rsidR="00CB0E3F">
        <w:t>,</w:t>
      </w:r>
      <w:r>
        <w:t xml:space="preserve"> since new programs create new NTG risks that could limit portfolio performance and trigger performance penalties. Net savings policies </w:t>
      </w:r>
      <w:r w:rsidR="00CB0E3F">
        <w:t xml:space="preserve">can </w:t>
      </w:r>
      <w:r>
        <w:t xml:space="preserve">encourage program administrators to limit new offerings </w:t>
      </w:r>
      <w:r w:rsidR="00EE4A59">
        <w:t xml:space="preserve">and </w:t>
      </w:r>
      <w:r>
        <w:t xml:space="preserve">changes to existing offerings </w:t>
      </w:r>
      <w:r w:rsidR="000232EB">
        <w:t xml:space="preserve">in order to </w:t>
      </w:r>
      <w:r w:rsidR="00EE4A59">
        <w:t>maintain stable NTG results</w:t>
      </w:r>
      <w:r>
        <w:t xml:space="preserve">. </w:t>
      </w:r>
    </w:p>
    <w:p w:rsidR="00794A08" w:rsidRDefault="000232EB" w:rsidP="000918C5">
      <w:r>
        <w:t xml:space="preserve">To the extent that net savings policies penalize program administrators for market effects supported by collaborative programs operated by local cities or the federal government, </w:t>
      </w:r>
      <w:r w:rsidR="00CB0E3F">
        <w:t xml:space="preserve">these policies can </w:t>
      </w:r>
      <w:r>
        <w:t>also discourage program administrators from fully leveraging these collaboration opportunities.</w:t>
      </w:r>
    </w:p>
    <w:p w:rsidR="00D85AA5" w:rsidRPr="00927124" w:rsidRDefault="00D85AA5" w:rsidP="000918C5">
      <w:pPr>
        <w:pStyle w:val="Heading3"/>
      </w:pPr>
      <w:r>
        <w:t xml:space="preserve">Gross evaluation policies </w:t>
      </w:r>
      <w:r w:rsidR="006A7E86">
        <w:t xml:space="preserve">will </w:t>
      </w:r>
      <w:r w:rsidR="00FF0428">
        <w:t xml:space="preserve">leverage </w:t>
      </w:r>
      <w:r w:rsidR="006A7E86">
        <w:t xml:space="preserve">limited evaluation resources </w:t>
      </w:r>
    </w:p>
    <w:p w:rsidR="00D85AA5" w:rsidRDefault="00D85AA5" w:rsidP="000918C5">
      <w:r>
        <w:t>Because the Public Utilities Act limits evaluation budgets to 3% of total portfolio costs, Illinois independent evaluators must prioritize evaluation efforts</w:t>
      </w:r>
      <w:r w:rsidR="006A7E86">
        <w:t xml:space="preserve">. Current NTG policies </w:t>
      </w:r>
      <w:r w:rsidR="00CB0E3F">
        <w:t xml:space="preserve">have led to </w:t>
      </w:r>
      <w:r w:rsidR="006A7E86">
        <w:t xml:space="preserve">substantial disagreement among Illinois program administrators and stakeholders, and therefore require evaluators to expend additional resources to develop and defend NTG results. A </w:t>
      </w:r>
      <w:r>
        <w:t xml:space="preserve">gross savings policy </w:t>
      </w:r>
      <w:r w:rsidR="006A7E86">
        <w:t xml:space="preserve">will </w:t>
      </w:r>
      <w:r>
        <w:t xml:space="preserve">allow </w:t>
      </w:r>
      <w:r w:rsidR="006A7E86">
        <w:t xml:space="preserve">limited evaluation resources to </w:t>
      </w:r>
      <w:r>
        <w:t xml:space="preserve">be deployed </w:t>
      </w:r>
      <w:r w:rsidR="006A7E86">
        <w:t xml:space="preserve">on </w:t>
      </w:r>
      <w:r>
        <w:t xml:space="preserve">more valuable activities such as impact evaluations </w:t>
      </w:r>
      <w:r w:rsidR="006A7E86">
        <w:t xml:space="preserve">to </w:t>
      </w:r>
      <w:r>
        <w:t xml:space="preserve">improve TRM algorithms </w:t>
      </w:r>
      <w:r w:rsidR="006A7E86">
        <w:t xml:space="preserve">and </w:t>
      </w:r>
      <w:r>
        <w:t xml:space="preserve">process evaluations </w:t>
      </w:r>
      <w:r w:rsidR="006A7E86">
        <w:t xml:space="preserve">to improve program effectiveness. </w:t>
      </w:r>
    </w:p>
    <w:p w:rsidR="00D85AA5" w:rsidRDefault="00D85AA5" w:rsidP="000918C5">
      <w:r>
        <w:t xml:space="preserve">In addition to direct expenditures by the independent evaluators, the gross savings policy in Illinois </w:t>
      </w:r>
      <w:r w:rsidR="006A7E86">
        <w:t>will free</w:t>
      </w:r>
      <w:r>
        <w:t xml:space="preserve"> up limited resources available from program administrator</w:t>
      </w:r>
      <w:r w:rsidR="006A7E86">
        <w:t>s</w:t>
      </w:r>
      <w:r>
        <w:t xml:space="preserve"> </w:t>
      </w:r>
      <w:r w:rsidR="006A7E86">
        <w:t xml:space="preserve">and </w:t>
      </w:r>
      <w:r>
        <w:t xml:space="preserve">SAG </w:t>
      </w:r>
      <w:r w:rsidR="006A7E86">
        <w:t xml:space="preserve">that are currently dedicated to </w:t>
      </w:r>
      <w:r>
        <w:t xml:space="preserve">NTG </w:t>
      </w:r>
      <w:r w:rsidR="006A7E86">
        <w:t>issues</w:t>
      </w:r>
      <w:r>
        <w:t xml:space="preserve">. SAG has spent </w:t>
      </w:r>
      <w:r w:rsidR="00CB0E3F">
        <w:t xml:space="preserve">substantial </w:t>
      </w:r>
      <w:r>
        <w:t xml:space="preserve">resources defining, implementing, and debating NTG policies over the first six years of its existence. For example, SAG devoted the majority of its efforts from March through </w:t>
      </w:r>
      <w:r w:rsidR="006A7E86">
        <w:t>November</w:t>
      </w:r>
      <w:r>
        <w:t xml:space="preserve"> of 2013 on various NTG topics.</w:t>
      </w:r>
    </w:p>
    <w:sectPr w:rsidR="00D85AA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E8C" w:rsidRDefault="00626E8C" w:rsidP="00E9436B">
      <w:pPr>
        <w:spacing w:after="0" w:line="240" w:lineRule="auto"/>
      </w:pPr>
      <w:r>
        <w:separator/>
      </w:r>
    </w:p>
  </w:endnote>
  <w:endnote w:type="continuationSeparator" w:id="0">
    <w:p w:rsidR="00626E8C" w:rsidRDefault="00626E8C" w:rsidP="00E94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36B" w:rsidRDefault="00E9436B">
    <w:pPr>
      <w:pStyle w:val="Footer"/>
    </w:pPr>
    <w:r>
      <w:t>Illinois Gross Savings Policy (Draft) 8/5/2014</w:t>
    </w:r>
    <w:r>
      <w:tab/>
    </w:r>
    <w:r>
      <w:ptab w:relativeTo="margin" w:alignment="right" w:leader="none"/>
    </w:r>
    <w:r>
      <w:t xml:space="preserve">Page </w:t>
    </w:r>
    <w:r>
      <w:fldChar w:fldCharType="begin"/>
    </w:r>
    <w:r>
      <w:instrText xml:space="preserve"> PAGE   \* MERGEFORMAT </w:instrText>
    </w:r>
    <w:r>
      <w:fldChar w:fldCharType="separate"/>
    </w:r>
    <w:r w:rsidR="00FF6532">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E8C" w:rsidRDefault="00626E8C" w:rsidP="00E9436B">
      <w:pPr>
        <w:spacing w:after="0" w:line="240" w:lineRule="auto"/>
      </w:pPr>
      <w:r>
        <w:separator/>
      </w:r>
    </w:p>
  </w:footnote>
  <w:footnote w:type="continuationSeparator" w:id="0">
    <w:p w:rsidR="00626E8C" w:rsidRDefault="00626E8C" w:rsidP="00E943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37A74"/>
    <w:multiLevelType w:val="hybridMultilevel"/>
    <w:tmpl w:val="CAF6F796"/>
    <w:lvl w:ilvl="0" w:tplc="CC9E6750">
      <w:start w:val="1"/>
      <w:numFmt w:val="decimal"/>
      <w:lvlText w:val="%1."/>
      <w:lvlJc w:val="left"/>
      <w:pPr>
        <w:ind w:left="360" w:hanging="360"/>
      </w:pPr>
      <w:rPr>
        <w:rFonts w:asciiTheme="minorHAnsi" w:eastAsiaTheme="minorHAnsi" w:hAnsiTheme="minorHAnsi" w:cstheme="minorBidi"/>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340175C"/>
    <w:multiLevelType w:val="hybridMultilevel"/>
    <w:tmpl w:val="CB504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8B7589"/>
    <w:multiLevelType w:val="hybridMultilevel"/>
    <w:tmpl w:val="7C50A926"/>
    <w:lvl w:ilvl="0" w:tplc="ADF288E6">
      <w:start w:val="1"/>
      <w:numFmt w:val="decimal"/>
      <w:pStyle w:val="Heading2"/>
      <w:lvlText w:val="%1."/>
      <w:lvlJc w:val="left"/>
      <w:pPr>
        <w:ind w:left="720" w:hanging="360"/>
      </w:pPr>
      <w:rPr>
        <w:rFonts w:hint="default"/>
        <w:b/>
        <w:i/>
      </w:rPr>
    </w:lvl>
    <w:lvl w:ilvl="1" w:tplc="466C1966">
      <w:start w:val="1"/>
      <w:numFmt w:val="lowerLetter"/>
      <w:pStyle w:val="Heading3"/>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9A2859"/>
    <w:multiLevelType w:val="hybridMultilevel"/>
    <w:tmpl w:val="4C7A3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005BE1"/>
    <w:multiLevelType w:val="hybridMultilevel"/>
    <w:tmpl w:val="1FC88E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969139F"/>
    <w:multiLevelType w:val="hybridMultilevel"/>
    <w:tmpl w:val="6E1A67B8"/>
    <w:lvl w:ilvl="0" w:tplc="67A215BC">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3A5"/>
    <w:rsid w:val="00001CBA"/>
    <w:rsid w:val="00002A97"/>
    <w:rsid w:val="000069C8"/>
    <w:rsid w:val="000075FB"/>
    <w:rsid w:val="00010491"/>
    <w:rsid w:val="00010FAF"/>
    <w:rsid w:val="00012864"/>
    <w:rsid w:val="000129BA"/>
    <w:rsid w:val="00013A0F"/>
    <w:rsid w:val="00015AB1"/>
    <w:rsid w:val="00015F42"/>
    <w:rsid w:val="00020CE1"/>
    <w:rsid w:val="000232EB"/>
    <w:rsid w:val="000242FF"/>
    <w:rsid w:val="00024953"/>
    <w:rsid w:val="00025134"/>
    <w:rsid w:val="00026538"/>
    <w:rsid w:val="00026EC1"/>
    <w:rsid w:val="000278ED"/>
    <w:rsid w:val="000315DB"/>
    <w:rsid w:val="00031C6A"/>
    <w:rsid w:val="00033BEB"/>
    <w:rsid w:val="00033CD9"/>
    <w:rsid w:val="0003676C"/>
    <w:rsid w:val="00040C18"/>
    <w:rsid w:val="00041C82"/>
    <w:rsid w:val="00043009"/>
    <w:rsid w:val="0004436A"/>
    <w:rsid w:val="00046725"/>
    <w:rsid w:val="000471AB"/>
    <w:rsid w:val="00050C47"/>
    <w:rsid w:val="00055084"/>
    <w:rsid w:val="00056304"/>
    <w:rsid w:val="00057897"/>
    <w:rsid w:val="00057D78"/>
    <w:rsid w:val="00061435"/>
    <w:rsid w:val="00063FCB"/>
    <w:rsid w:val="000645AC"/>
    <w:rsid w:val="00064EAC"/>
    <w:rsid w:val="00066571"/>
    <w:rsid w:val="00067B38"/>
    <w:rsid w:val="00067C66"/>
    <w:rsid w:val="0007141E"/>
    <w:rsid w:val="00071612"/>
    <w:rsid w:val="000804BD"/>
    <w:rsid w:val="00081189"/>
    <w:rsid w:val="00083263"/>
    <w:rsid w:val="00084AD0"/>
    <w:rsid w:val="0008755C"/>
    <w:rsid w:val="0008796D"/>
    <w:rsid w:val="0009135C"/>
    <w:rsid w:val="000918C5"/>
    <w:rsid w:val="00093F10"/>
    <w:rsid w:val="00095BB3"/>
    <w:rsid w:val="00096992"/>
    <w:rsid w:val="0009726F"/>
    <w:rsid w:val="000A124B"/>
    <w:rsid w:val="000A3D69"/>
    <w:rsid w:val="000A4B08"/>
    <w:rsid w:val="000B35B6"/>
    <w:rsid w:val="000B4930"/>
    <w:rsid w:val="000B5767"/>
    <w:rsid w:val="000B765A"/>
    <w:rsid w:val="000C0397"/>
    <w:rsid w:val="000C0831"/>
    <w:rsid w:val="000C08DD"/>
    <w:rsid w:val="000C2C69"/>
    <w:rsid w:val="000C36D6"/>
    <w:rsid w:val="000C4E0F"/>
    <w:rsid w:val="000D062E"/>
    <w:rsid w:val="000D693E"/>
    <w:rsid w:val="000D6D18"/>
    <w:rsid w:val="000E1CFA"/>
    <w:rsid w:val="000E339E"/>
    <w:rsid w:val="000E3CAF"/>
    <w:rsid w:val="000E5EC9"/>
    <w:rsid w:val="000E6A82"/>
    <w:rsid w:val="000F2257"/>
    <w:rsid w:val="000F3026"/>
    <w:rsid w:val="000F318C"/>
    <w:rsid w:val="000F6467"/>
    <w:rsid w:val="000F64D9"/>
    <w:rsid w:val="000F6985"/>
    <w:rsid w:val="000F72A6"/>
    <w:rsid w:val="00100B7F"/>
    <w:rsid w:val="00103476"/>
    <w:rsid w:val="0010627B"/>
    <w:rsid w:val="0010707B"/>
    <w:rsid w:val="00110077"/>
    <w:rsid w:val="001102DA"/>
    <w:rsid w:val="0011233E"/>
    <w:rsid w:val="00113AB5"/>
    <w:rsid w:val="00116DBB"/>
    <w:rsid w:val="001175AB"/>
    <w:rsid w:val="00121EEA"/>
    <w:rsid w:val="00122B41"/>
    <w:rsid w:val="00122DAD"/>
    <w:rsid w:val="00123B94"/>
    <w:rsid w:val="0012793E"/>
    <w:rsid w:val="001311E4"/>
    <w:rsid w:val="00131B63"/>
    <w:rsid w:val="00131D7D"/>
    <w:rsid w:val="00134D25"/>
    <w:rsid w:val="0013580A"/>
    <w:rsid w:val="00136A12"/>
    <w:rsid w:val="001376AF"/>
    <w:rsid w:val="00137D3F"/>
    <w:rsid w:val="00141B6D"/>
    <w:rsid w:val="0014230A"/>
    <w:rsid w:val="001423AC"/>
    <w:rsid w:val="001429E8"/>
    <w:rsid w:val="0014368C"/>
    <w:rsid w:val="00144FB3"/>
    <w:rsid w:val="001470A3"/>
    <w:rsid w:val="00150B9F"/>
    <w:rsid w:val="00151157"/>
    <w:rsid w:val="00155C7E"/>
    <w:rsid w:val="00156B92"/>
    <w:rsid w:val="00156CB4"/>
    <w:rsid w:val="00156E42"/>
    <w:rsid w:val="00157E03"/>
    <w:rsid w:val="001623CE"/>
    <w:rsid w:val="00163C83"/>
    <w:rsid w:val="0016485C"/>
    <w:rsid w:val="00164EC9"/>
    <w:rsid w:val="0016609D"/>
    <w:rsid w:val="001720C9"/>
    <w:rsid w:val="0017470E"/>
    <w:rsid w:val="001752CE"/>
    <w:rsid w:val="001756BD"/>
    <w:rsid w:val="00175A01"/>
    <w:rsid w:val="00175EC2"/>
    <w:rsid w:val="001823A5"/>
    <w:rsid w:val="00182432"/>
    <w:rsid w:val="00184B4B"/>
    <w:rsid w:val="00186D83"/>
    <w:rsid w:val="0018729F"/>
    <w:rsid w:val="001875F1"/>
    <w:rsid w:val="00190A44"/>
    <w:rsid w:val="0019212E"/>
    <w:rsid w:val="00194739"/>
    <w:rsid w:val="00195D6B"/>
    <w:rsid w:val="00195E79"/>
    <w:rsid w:val="00195F3B"/>
    <w:rsid w:val="001961CF"/>
    <w:rsid w:val="001A01C4"/>
    <w:rsid w:val="001A0D5A"/>
    <w:rsid w:val="001A32F7"/>
    <w:rsid w:val="001A6629"/>
    <w:rsid w:val="001B1D27"/>
    <w:rsid w:val="001B51D8"/>
    <w:rsid w:val="001B7BE7"/>
    <w:rsid w:val="001C0BA5"/>
    <w:rsid w:val="001C40DC"/>
    <w:rsid w:val="001C437D"/>
    <w:rsid w:val="001D0495"/>
    <w:rsid w:val="001D05F6"/>
    <w:rsid w:val="001D0812"/>
    <w:rsid w:val="001D40BD"/>
    <w:rsid w:val="001D447D"/>
    <w:rsid w:val="001D54DD"/>
    <w:rsid w:val="001D57E9"/>
    <w:rsid w:val="001D6109"/>
    <w:rsid w:val="001D73A5"/>
    <w:rsid w:val="001E2288"/>
    <w:rsid w:val="001E5755"/>
    <w:rsid w:val="001F273D"/>
    <w:rsid w:val="001F2DDD"/>
    <w:rsid w:val="001F5C49"/>
    <w:rsid w:val="001F6D66"/>
    <w:rsid w:val="00201559"/>
    <w:rsid w:val="0020289A"/>
    <w:rsid w:val="00205FE9"/>
    <w:rsid w:val="00206C72"/>
    <w:rsid w:val="00206F4C"/>
    <w:rsid w:val="00207452"/>
    <w:rsid w:val="0021019C"/>
    <w:rsid w:val="002145D7"/>
    <w:rsid w:val="00214617"/>
    <w:rsid w:val="00217651"/>
    <w:rsid w:val="002209F8"/>
    <w:rsid w:val="002213A3"/>
    <w:rsid w:val="0022333F"/>
    <w:rsid w:val="00225B4A"/>
    <w:rsid w:val="00226EDA"/>
    <w:rsid w:val="00227726"/>
    <w:rsid w:val="002310CB"/>
    <w:rsid w:val="00232388"/>
    <w:rsid w:val="0023354D"/>
    <w:rsid w:val="002341F1"/>
    <w:rsid w:val="00235FB0"/>
    <w:rsid w:val="002367A9"/>
    <w:rsid w:val="00241529"/>
    <w:rsid w:val="00242BA5"/>
    <w:rsid w:val="00245FA9"/>
    <w:rsid w:val="002506F4"/>
    <w:rsid w:val="002509ED"/>
    <w:rsid w:val="00254057"/>
    <w:rsid w:val="00255097"/>
    <w:rsid w:val="002563CD"/>
    <w:rsid w:val="00256D9F"/>
    <w:rsid w:val="00256FD3"/>
    <w:rsid w:val="00257ADF"/>
    <w:rsid w:val="0026028F"/>
    <w:rsid w:val="0026094D"/>
    <w:rsid w:val="0026137B"/>
    <w:rsid w:val="00261585"/>
    <w:rsid w:val="00262E85"/>
    <w:rsid w:val="00271857"/>
    <w:rsid w:val="0027415B"/>
    <w:rsid w:val="00274D60"/>
    <w:rsid w:val="002823D3"/>
    <w:rsid w:val="002826F7"/>
    <w:rsid w:val="00283303"/>
    <w:rsid w:val="00284ADF"/>
    <w:rsid w:val="00284B09"/>
    <w:rsid w:val="00284B65"/>
    <w:rsid w:val="00284ED9"/>
    <w:rsid w:val="00287832"/>
    <w:rsid w:val="00287D3B"/>
    <w:rsid w:val="00290BFB"/>
    <w:rsid w:val="00292304"/>
    <w:rsid w:val="00292FEC"/>
    <w:rsid w:val="00293504"/>
    <w:rsid w:val="0029396B"/>
    <w:rsid w:val="00294E40"/>
    <w:rsid w:val="00296731"/>
    <w:rsid w:val="0029796E"/>
    <w:rsid w:val="002A0548"/>
    <w:rsid w:val="002A0B2F"/>
    <w:rsid w:val="002A1CC3"/>
    <w:rsid w:val="002A4B72"/>
    <w:rsid w:val="002A4C12"/>
    <w:rsid w:val="002B28D5"/>
    <w:rsid w:val="002B43EB"/>
    <w:rsid w:val="002B7F32"/>
    <w:rsid w:val="002C2969"/>
    <w:rsid w:val="002C4172"/>
    <w:rsid w:val="002C45A2"/>
    <w:rsid w:val="002D0CD9"/>
    <w:rsid w:val="002D0FAB"/>
    <w:rsid w:val="002D1F18"/>
    <w:rsid w:val="002D2735"/>
    <w:rsid w:val="002D4BA2"/>
    <w:rsid w:val="002D6769"/>
    <w:rsid w:val="002E104E"/>
    <w:rsid w:val="002E2E81"/>
    <w:rsid w:val="002E4834"/>
    <w:rsid w:val="002E67F4"/>
    <w:rsid w:val="002E7A80"/>
    <w:rsid w:val="002F0923"/>
    <w:rsid w:val="002F172D"/>
    <w:rsid w:val="002F1BE7"/>
    <w:rsid w:val="002F32E1"/>
    <w:rsid w:val="002F349F"/>
    <w:rsid w:val="002F3AEA"/>
    <w:rsid w:val="002F4218"/>
    <w:rsid w:val="002F5C11"/>
    <w:rsid w:val="002F73A8"/>
    <w:rsid w:val="002F79D2"/>
    <w:rsid w:val="00300193"/>
    <w:rsid w:val="00302DF9"/>
    <w:rsid w:val="00305439"/>
    <w:rsid w:val="00305B88"/>
    <w:rsid w:val="00306FB2"/>
    <w:rsid w:val="003074C9"/>
    <w:rsid w:val="00307518"/>
    <w:rsid w:val="00310731"/>
    <w:rsid w:val="00310F94"/>
    <w:rsid w:val="00317A6D"/>
    <w:rsid w:val="00320785"/>
    <w:rsid w:val="00320ACC"/>
    <w:rsid w:val="00321038"/>
    <w:rsid w:val="00322451"/>
    <w:rsid w:val="003231FB"/>
    <w:rsid w:val="00324703"/>
    <w:rsid w:val="00325DE1"/>
    <w:rsid w:val="00331A0F"/>
    <w:rsid w:val="00334C5A"/>
    <w:rsid w:val="00335345"/>
    <w:rsid w:val="00335A26"/>
    <w:rsid w:val="00336040"/>
    <w:rsid w:val="00336DE1"/>
    <w:rsid w:val="0034268B"/>
    <w:rsid w:val="00342EE4"/>
    <w:rsid w:val="00343747"/>
    <w:rsid w:val="00345E78"/>
    <w:rsid w:val="00347E63"/>
    <w:rsid w:val="0035234B"/>
    <w:rsid w:val="003562AC"/>
    <w:rsid w:val="00360597"/>
    <w:rsid w:val="00360741"/>
    <w:rsid w:val="003622BA"/>
    <w:rsid w:val="0036610A"/>
    <w:rsid w:val="003662A2"/>
    <w:rsid w:val="00371881"/>
    <w:rsid w:val="0037241A"/>
    <w:rsid w:val="00372ADE"/>
    <w:rsid w:val="00374341"/>
    <w:rsid w:val="00377204"/>
    <w:rsid w:val="00377849"/>
    <w:rsid w:val="00377F77"/>
    <w:rsid w:val="00380E22"/>
    <w:rsid w:val="00380E31"/>
    <w:rsid w:val="00381AD1"/>
    <w:rsid w:val="003821A3"/>
    <w:rsid w:val="00382C2B"/>
    <w:rsid w:val="00385749"/>
    <w:rsid w:val="003863BD"/>
    <w:rsid w:val="003870A3"/>
    <w:rsid w:val="003910B8"/>
    <w:rsid w:val="003929EC"/>
    <w:rsid w:val="00393F07"/>
    <w:rsid w:val="003944A3"/>
    <w:rsid w:val="00395C7D"/>
    <w:rsid w:val="00397AE1"/>
    <w:rsid w:val="003A202B"/>
    <w:rsid w:val="003A3A19"/>
    <w:rsid w:val="003A69FB"/>
    <w:rsid w:val="003A72DE"/>
    <w:rsid w:val="003B1353"/>
    <w:rsid w:val="003B136F"/>
    <w:rsid w:val="003B1688"/>
    <w:rsid w:val="003B16AA"/>
    <w:rsid w:val="003B2030"/>
    <w:rsid w:val="003B209B"/>
    <w:rsid w:val="003B3391"/>
    <w:rsid w:val="003B4FCD"/>
    <w:rsid w:val="003B4FD0"/>
    <w:rsid w:val="003B717D"/>
    <w:rsid w:val="003B78DA"/>
    <w:rsid w:val="003C099F"/>
    <w:rsid w:val="003C1065"/>
    <w:rsid w:val="003C2933"/>
    <w:rsid w:val="003C6094"/>
    <w:rsid w:val="003C62E4"/>
    <w:rsid w:val="003D0A3A"/>
    <w:rsid w:val="003D0E9A"/>
    <w:rsid w:val="003D2BD9"/>
    <w:rsid w:val="003D2D95"/>
    <w:rsid w:val="003D3474"/>
    <w:rsid w:val="003D34DC"/>
    <w:rsid w:val="003D3D9E"/>
    <w:rsid w:val="003E0AF2"/>
    <w:rsid w:val="003E17EA"/>
    <w:rsid w:val="003E2167"/>
    <w:rsid w:val="003E2630"/>
    <w:rsid w:val="003E2AA6"/>
    <w:rsid w:val="003E41A1"/>
    <w:rsid w:val="003E5075"/>
    <w:rsid w:val="003E7273"/>
    <w:rsid w:val="003F0D56"/>
    <w:rsid w:val="003F0F6E"/>
    <w:rsid w:val="003F2885"/>
    <w:rsid w:val="003F2FA3"/>
    <w:rsid w:val="003F35BB"/>
    <w:rsid w:val="003F482F"/>
    <w:rsid w:val="003F5B7E"/>
    <w:rsid w:val="003F6669"/>
    <w:rsid w:val="003F70BA"/>
    <w:rsid w:val="00400928"/>
    <w:rsid w:val="004019F4"/>
    <w:rsid w:val="00404372"/>
    <w:rsid w:val="00404938"/>
    <w:rsid w:val="00404AFA"/>
    <w:rsid w:val="00405F1F"/>
    <w:rsid w:val="00411251"/>
    <w:rsid w:val="00412466"/>
    <w:rsid w:val="00415B44"/>
    <w:rsid w:val="0041643E"/>
    <w:rsid w:val="00420688"/>
    <w:rsid w:val="00421F28"/>
    <w:rsid w:val="0042213A"/>
    <w:rsid w:val="00422D26"/>
    <w:rsid w:val="00423CCD"/>
    <w:rsid w:val="00423D46"/>
    <w:rsid w:val="00423FAD"/>
    <w:rsid w:val="0042434A"/>
    <w:rsid w:val="004250A0"/>
    <w:rsid w:val="00432602"/>
    <w:rsid w:val="00432E1F"/>
    <w:rsid w:val="00434461"/>
    <w:rsid w:val="004356EB"/>
    <w:rsid w:val="00435D15"/>
    <w:rsid w:val="004363EB"/>
    <w:rsid w:val="00442E51"/>
    <w:rsid w:val="004456FE"/>
    <w:rsid w:val="00445E15"/>
    <w:rsid w:val="00450203"/>
    <w:rsid w:val="00452767"/>
    <w:rsid w:val="004543D7"/>
    <w:rsid w:val="0045451A"/>
    <w:rsid w:val="00455C0E"/>
    <w:rsid w:val="00456BD9"/>
    <w:rsid w:val="00456D92"/>
    <w:rsid w:val="00460AAA"/>
    <w:rsid w:val="00461038"/>
    <w:rsid w:val="0046195E"/>
    <w:rsid w:val="0046241D"/>
    <w:rsid w:val="00463FEC"/>
    <w:rsid w:val="004652AA"/>
    <w:rsid w:val="00466843"/>
    <w:rsid w:val="00467341"/>
    <w:rsid w:val="00472DD2"/>
    <w:rsid w:val="00474257"/>
    <w:rsid w:val="00474AC0"/>
    <w:rsid w:val="00475634"/>
    <w:rsid w:val="00476F52"/>
    <w:rsid w:val="00477372"/>
    <w:rsid w:val="00477D10"/>
    <w:rsid w:val="004809F0"/>
    <w:rsid w:val="004826A3"/>
    <w:rsid w:val="00483791"/>
    <w:rsid w:val="00484204"/>
    <w:rsid w:val="004846C3"/>
    <w:rsid w:val="00485ACF"/>
    <w:rsid w:val="004861B1"/>
    <w:rsid w:val="00490FB2"/>
    <w:rsid w:val="00491122"/>
    <w:rsid w:val="0049275B"/>
    <w:rsid w:val="00493905"/>
    <w:rsid w:val="00493C84"/>
    <w:rsid w:val="004941E6"/>
    <w:rsid w:val="004943BD"/>
    <w:rsid w:val="004A0BBA"/>
    <w:rsid w:val="004A2DB0"/>
    <w:rsid w:val="004A5923"/>
    <w:rsid w:val="004A76E3"/>
    <w:rsid w:val="004B0C16"/>
    <w:rsid w:val="004B122A"/>
    <w:rsid w:val="004B142A"/>
    <w:rsid w:val="004B354F"/>
    <w:rsid w:val="004C1787"/>
    <w:rsid w:val="004C269F"/>
    <w:rsid w:val="004C327A"/>
    <w:rsid w:val="004C4BE0"/>
    <w:rsid w:val="004C5E0B"/>
    <w:rsid w:val="004D0EF9"/>
    <w:rsid w:val="004D2EB5"/>
    <w:rsid w:val="004D3BD9"/>
    <w:rsid w:val="004D474C"/>
    <w:rsid w:val="004D53C8"/>
    <w:rsid w:val="004D71C0"/>
    <w:rsid w:val="004D755E"/>
    <w:rsid w:val="004E1641"/>
    <w:rsid w:val="004E4188"/>
    <w:rsid w:val="004E4C1E"/>
    <w:rsid w:val="004E610B"/>
    <w:rsid w:val="004E6387"/>
    <w:rsid w:val="004F15E1"/>
    <w:rsid w:val="004F1991"/>
    <w:rsid w:val="004F1C63"/>
    <w:rsid w:val="004F3F1C"/>
    <w:rsid w:val="004F68B4"/>
    <w:rsid w:val="0050305A"/>
    <w:rsid w:val="00503D8E"/>
    <w:rsid w:val="0051005B"/>
    <w:rsid w:val="005109B8"/>
    <w:rsid w:val="0051449E"/>
    <w:rsid w:val="005146D2"/>
    <w:rsid w:val="005168C5"/>
    <w:rsid w:val="00516901"/>
    <w:rsid w:val="00516AFD"/>
    <w:rsid w:val="0051774C"/>
    <w:rsid w:val="005202EF"/>
    <w:rsid w:val="005206BF"/>
    <w:rsid w:val="00520FB4"/>
    <w:rsid w:val="00521939"/>
    <w:rsid w:val="005222C3"/>
    <w:rsid w:val="0052298D"/>
    <w:rsid w:val="00526153"/>
    <w:rsid w:val="00526C5D"/>
    <w:rsid w:val="00527361"/>
    <w:rsid w:val="00530C05"/>
    <w:rsid w:val="00532A07"/>
    <w:rsid w:val="005330B4"/>
    <w:rsid w:val="00533764"/>
    <w:rsid w:val="00533ECE"/>
    <w:rsid w:val="0053666C"/>
    <w:rsid w:val="0053751A"/>
    <w:rsid w:val="00540167"/>
    <w:rsid w:val="005409D8"/>
    <w:rsid w:val="00541BF8"/>
    <w:rsid w:val="00545589"/>
    <w:rsid w:val="00550BFC"/>
    <w:rsid w:val="00553D33"/>
    <w:rsid w:val="00554499"/>
    <w:rsid w:val="005569EB"/>
    <w:rsid w:val="00556C75"/>
    <w:rsid w:val="005579A9"/>
    <w:rsid w:val="00561B4F"/>
    <w:rsid w:val="00561EF9"/>
    <w:rsid w:val="00562342"/>
    <w:rsid w:val="005624CD"/>
    <w:rsid w:val="00564899"/>
    <w:rsid w:val="00565CB7"/>
    <w:rsid w:val="00566EA5"/>
    <w:rsid w:val="00567CF7"/>
    <w:rsid w:val="005711E0"/>
    <w:rsid w:val="005723B2"/>
    <w:rsid w:val="00572401"/>
    <w:rsid w:val="00573E74"/>
    <w:rsid w:val="0057664D"/>
    <w:rsid w:val="0057669D"/>
    <w:rsid w:val="005800FF"/>
    <w:rsid w:val="00581226"/>
    <w:rsid w:val="005815BC"/>
    <w:rsid w:val="00581C7B"/>
    <w:rsid w:val="00581FA2"/>
    <w:rsid w:val="00583A27"/>
    <w:rsid w:val="005843BB"/>
    <w:rsid w:val="00584E8F"/>
    <w:rsid w:val="0058579D"/>
    <w:rsid w:val="0059272A"/>
    <w:rsid w:val="00592D90"/>
    <w:rsid w:val="00592E17"/>
    <w:rsid w:val="00594B21"/>
    <w:rsid w:val="0059675E"/>
    <w:rsid w:val="005A0E1B"/>
    <w:rsid w:val="005A1ACF"/>
    <w:rsid w:val="005A1E9B"/>
    <w:rsid w:val="005A23C9"/>
    <w:rsid w:val="005A46A5"/>
    <w:rsid w:val="005A69A5"/>
    <w:rsid w:val="005A6F37"/>
    <w:rsid w:val="005B0923"/>
    <w:rsid w:val="005B0FA1"/>
    <w:rsid w:val="005B1D5E"/>
    <w:rsid w:val="005B51ED"/>
    <w:rsid w:val="005C0B32"/>
    <w:rsid w:val="005C2791"/>
    <w:rsid w:val="005C28DB"/>
    <w:rsid w:val="005D0B10"/>
    <w:rsid w:val="005D28FD"/>
    <w:rsid w:val="005D2936"/>
    <w:rsid w:val="005D31CF"/>
    <w:rsid w:val="005D39FF"/>
    <w:rsid w:val="005D528A"/>
    <w:rsid w:val="005D6B69"/>
    <w:rsid w:val="005D789A"/>
    <w:rsid w:val="005E02B3"/>
    <w:rsid w:val="005E28A6"/>
    <w:rsid w:val="005E3A75"/>
    <w:rsid w:val="005E43C2"/>
    <w:rsid w:val="005F3AD6"/>
    <w:rsid w:val="005F4AE5"/>
    <w:rsid w:val="005F7165"/>
    <w:rsid w:val="00602CD9"/>
    <w:rsid w:val="00604E5F"/>
    <w:rsid w:val="00605149"/>
    <w:rsid w:val="00607914"/>
    <w:rsid w:val="00611A1B"/>
    <w:rsid w:val="00612B7D"/>
    <w:rsid w:val="00612BE4"/>
    <w:rsid w:val="00612CA7"/>
    <w:rsid w:val="006157F9"/>
    <w:rsid w:val="00616795"/>
    <w:rsid w:val="0061754E"/>
    <w:rsid w:val="006179D1"/>
    <w:rsid w:val="00626E8C"/>
    <w:rsid w:val="00630A11"/>
    <w:rsid w:val="0063187E"/>
    <w:rsid w:val="00631BC0"/>
    <w:rsid w:val="0063703C"/>
    <w:rsid w:val="0064135A"/>
    <w:rsid w:val="006420E1"/>
    <w:rsid w:val="006431FC"/>
    <w:rsid w:val="00643F3F"/>
    <w:rsid w:val="00646F94"/>
    <w:rsid w:val="0065034C"/>
    <w:rsid w:val="00650A4F"/>
    <w:rsid w:val="00651BB9"/>
    <w:rsid w:val="00653ED6"/>
    <w:rsid w:val="00654072"/>
    <w:rsid w:val="00656D7D"/>
    <w:rsid w:val="006620C3"/>
    <w:rsid w:val="00663362"/>
    <w:rsid w:val="00663B20"/>
    <w:rsid w:val="0066730A"/>
    <w:rsid w:val="006704FE"/>
    <w:rsid w:val="00670601"/>
    <w:rsid w:val="00671001"/>
    <w:rsid w:val="0067398A"/>
    <w:rsid w:val="0067403C"/>
    <w:rsid w:val="00675230"/>
    <w:rsid w:val="00675A89"/>
    <w:rsid w:val="00676A8B"/>
    <w:rsid w:val="0068123E"/>
    <w:rsid w:val="00686585"/>
    <w:rsid w:val="00686BE2"/>
    <w:rsid w:val="00687140"/>
    <w:rsid w:val="00687BEE"/>
    <w:rsid w:val="006912B4"/>
    <w:rsid w:val="00693FA0"/>
    <w:rsid w:val="00694E09"/>
    <w:rsid w:val="0069600F"/>
    <w:rsid w:val="00696FAC"/>
    <w:rsid w:val="00697DF7"/>
    <w:rsid w:val="006A0D20"/>
    <w:rsid w:val="006A1002"/>
    <w:rsid w:val="006A1F97"/>
    <w:rsid w:val="006A35B5"/>
    <w:rsid w:val="006A4789"/>
    <w:rsid w:val="006A5B29"/>
    <w:rsid w:val="006A5D1C"/>
    <w:rsid w:val="006A67E5"/>
    <w:rsid w:val="006A7C71"/>
    <w:rsid w:val="006A7E86"/>
    <w:rsid w:val="006B37BA"/>
    <w:rsid w:val="006B4122"/>
    <w:rsid w:val="006B4321"/>
    <w:rsid w:val="006B5A44"/>
    <w:rsid w:val="006B5DE0"/>
    <w:rsid w:val="006B66B3"/>
    <w:rsid w:val="006B709A"/>
    <w:rsid w:val="006B7707"/>
    <w:rsid w:val="006C0992"/>
    <w:rsid w:val="006C1337"/>
    <w:rsid w:val="006C19B9"/>
    <w:rsid w:val="006C21A6"/>
    <w:rsid w:val="006C29AB"/>
    <w:rsid w:val="006C29EF"/>
    <w:rsid w:val="006C2D41"/>
    <w:rsid w:val="006C316E"/>
    <w:rsid w:val="006C39B4"/>
    <w:rsid w:val="006C3ECF"/>
    <w:rsid w:val="006C56E2"/>
    <w:rsid w:val="006C6C17"/>
    <w:rsid w:val="006D235B"/>
    <w:rsid w:val="006E0949"/>
    <w:rsid w:val="006E1A5A"/>
    <w:rsid w:val="006E3692"/>
    <w:rsid w:val="006E4F00"/>
    <w:rsid w:val="006E5994"/>
    <w:rsid w:val="006E5D48"/>
    <w:rsid w:val="006E7050"/>
    <w:rsid w:val="006F0481"/>
    <w:rsid w:val="006F061A"/>
    <w:rsid w:val="006F0B3F"/>
    <w:rsid w:val="006F32F3"/>
    <w:rsid w:val="006F4DC5"/>
    <w:rsid w:val="006F72E6"/>
    <w:rsid w:val="00700024"/>
    <w:rsid w:val="0070198F"/>
    <w:rsid w:val="007040CF"/>
    <w:rsid w:val="007055EF"/>
    <w:rsid w:val="00707987"/>
    <w:rsid w:val="00712DA6"/>
    <w:rsid w:val="007166B1"/>
    <w:rsid w:val="007169CE"/>
    <w:rsid w:val="0072040F"/>
    <w:rsid w:val="00720574"/>
    <w:rsid w:val="00720C1E"/>
    <w:rsid w:val="0072276A"/>
    <w:rsid w:val="00722F3E"/>
    <w:rsid w:val="00724695"/>
    <w:rsid w:val="00724E02"/>
    <w:rsid w:val="007251E6"/>
    <w:rsid w:val="00726816"/>
    <w:rsid w:val="00726874"/>
    <w:rsid w:val="00726E3F"/>
    <w:rsid w:val="00726ED6"/>
    <w:rsid w:val="00735E49"/>
    <w:rsid w:val="00736621"/>
    <w:rsid w:val="00736B26"/>
    <w:rsid w:val="0074003D"/>
    <w:rsid w:val="00740CD1"/>
    <w:rsid w:val="00741A70"/>
    <w:rsid w:val="00741AF3"/>
    <w:rsid w:val="007421BC"/>
    <w:rsid w:val="00744E42"/>
    <w:rsid w:val="00746700"/>
    <w:rsid w:val="00750F9F"/>
    <w:rsid w:val="00752A08"/>
    <w:rsid w:val="00752C09"/>
    <w:rsid w:val="00754F4C"/>
    <w:rsid w:val="00757075"/>
    <w:rsid w:val="00757326"/>
    <w:rsid w:val="00757E43"/>
    <w:rsid w:val="0076012C"/>
    <w:rsid w:val="00760884"/>
    <w:rsid w:val="00760C0C"/>
    <w:rsid w:val="00765843"/>
    <w:rsid w:val="00773A10"/>
    <w:rsid w:val="00774486"/>
    <w:rsid w:val="00774C10"/>
    <w:rsid w:val="00775817"/>
    <w:rsid w:val="0077648D"/>
    <w:rsid w:val="00780495"/>
    <w:rsid w:val="0078165F"/>
    <w:rsid w:val="00782F9E"/>
    <w:rsid w:val="0078587A"/>
    <w:rsid w:val="00785EC6"/>
    <w:rsid w:val="007922A2"/>
    <w:rsid w:val="00794A08"/>
    <w:rsid w:val="007971BF"/>
    <w:rsid w:val="007A02D7"/>
    <w:rsid w:val="007A0360"/>
    <w:rsid w:val="007A1504"/>
    <w:rsid w:val="007A3FF6"/>
    <w:rsid w:val="007A458D"/>
    <w:rsid w:val="007B0378"/>
    <w:rsid w:val="007B0AD4"/>
    <w:rsid w:val="007B4FE2"/>
    <w:rsid w:val="007B69D5"/>
    <w:rsid w:val="007B6B2F"/>
    <w:rsid w:val="007B6BC3"/>
    <w:rsid w:val="007B771E"/>
    <w:rsid w:val="007B79E1"/>
    <w:rsid w:val="007C02C5"/>
    <w:rsid w:val="007C036D"/>
    <w:rsid w:val="007C1A77"/>
    <w:rsid w:val="007C28A8"/>
    <w:rsid w:val="007C3CA2"/>
    <w:rsid w:val="007C4DC0"/>
    <w:rsid w:val="007C5650"/>
    <w:rsid w:val="007C5B4A"/>
    <w:rsid w:val="007C5B53"/>
    <w:rsid w:val="007C6BDE"/>
    <w:rsid w:val="007D0587"/>
    <w:rsid w:val="007D244A"/>
    <w:rsid w:val="007D7DF4"/>
    <w:rsid w:val="007E0AB5"/>
    <w:rsid w:val="007E4713"/>
    <w:rsid w:val="007E589A"/>
    <w:rsid w:val="007E5A48"/>
    <w:rsid w:val="007E6890"/>
    <w:rsid w:val="007E790B"/>
    <w:rsid w:val="007F1642"/>
    <w:rsid w:val="007F222E"/>
    <w:rsid w:val="007F4833"/>
    <w:rsid w:val="007F4FB2"/>
    <w:rsid w:val="007F6F7A"/>
    <w:rsid w:val="007F72E2"/>
    <w:rsid w:val="00801D6D"/>
    <w:rsid w:val="00803C2E"/>
    <w:rsid w:val="00803E50"/>
    <w:rsid w:val="00807462"/>
    <w:rsid w:val="00810460"/>
    <w:rsid w:val="00811014"/>
    <w:rsid w:val="00811330"/>
    <w:rsid w:val="00812419"/>
    <w:rsid w:val="00814678"/>
    <w:rsid w:val="0081486E"/>
    <w:rsid w:val="00814C59"/>
    <w:rsid w:val="00817A5C"/>
    <w:rsid w:val="0082501E"/>
    <w:rsid w:val="0082504A"/>
    <w:rsid w:val="00825D38"/>
    <w:rsid w:val="00826065"/>
    <w:rsid w:val="00826437"/>
    <w:rsid w:val="0082758F"/>
    <w:rsid w:val="00830009"/>
    <w:rsid w:val="00831A83"/>
    <w:rsid w:val="00832293"/>
    <w:rsid w:val="00835699"/>
    <w:rsid w:val="00836BEA"/>
    <w:rsid w:val="008377CC"/>
    <w:rsid w:val="0084098B"/>
    <w:rsid w:val="0084135C"/>
    <w:rsid w:val="00841B37"/>
    <w:rsid w:val="008430FD"/>
    <w:rsid w:val="00844630"/>
    <w:rsid w:val="0085126A"/>
    <w:rsid w:val="008544DE"/>
    <w:rsid w:val="008550CE"/>
    <w:rsid w:val="00856789"/>
    <w:rsid w:val="00856FF4"/>
    <w:rsid w:val="00857880"/>
    <w:rsid w:val="008623C6"/>
    <w:rsid w:val="00863D4F"/>
    <w:rsid w:val="00863E1C"/>
    <w:rsid w:val="00866067"/>
    <w:rsid w:val="00875EC6"/>
    <w:rsid w:val="00876035"/>
    <w:rsid w:val="008760A2"/>
    <w:rsid w:val="00877D99"/>
    <w:rsid w:val="00883734"/>
    <w:rsid w:val="00883FAB"/>
    <w:rsid w:val="00884BA4"/>
    <w:rsid w:val="008867F7"/>
    <w:rsid w:val="00887601"/>
    <w:rsid w:val="008879DB"/>
    <w:rsid w:val="00891A08"/>
    <w:rsid w:val="008966A9"/>
    <w:rsid w:val="00897858"/>
    <w:rsid w:val="008A12BF"/>
    <w:rsid w:val="008A3947"/>
    <w:rsid w:val="008A40D6"/>
    <w:rsid w:val="008A4657"/>
    <w:rsid w:val="008A6943"/>
    <w:rsid w:val="008B13D8"/>
    <w:rsid w:val="008B31DC"/>
    <w:rsid w:val="008B42F2"/>
    <w:rsid w:val="008B481B"/>
    <w:rsid w:val="008B4B01"/>
    <w:rsid w:val="008B52BE"/>
    <w:rsid w:val="008B536C"/>
    <w:rsid w:val="008B7859"/>
    <w:rsid w:val="008C09B0"/>
    <w:rsid w:val="008C1CBA"/>
    <w:rsid w:val="008C1FB7"/>
    <w:rsid w:val="008C3D81"/>
    <w:rsid w:val="008C532C"/>
    <w:rsid w:val="008C5C8A"/>
    <w:rsid w:val="008C77B6"/>
    <w:rsid w:val="008C7C62"/>
    <w:rsid w:val="008C7FD8"/>
    <w:rsid w:val="008D13C3"/>
    <w:rsid w:val="008D5D39"/>
    <w:rsid w:val="008E1090"/>
    <w:rsid w:val="008E1179"/>
    <w:rsid w:val="008E154E"/>
    <w:rsid w:val="008E5062"/>
    <w:rsid w:val="008E63E8"/>
    <w:rsid w:val="008E7E59"/>
    <w:rsid w:val="008F001C"/>
    <w:rsid w:val="008F3660"/>
    <w:rsid w:val="008F4896"/>
    <w:rsid w:val="008F580D"/>
    <w:rsid w:val="008F6441"/>
    <w:rsid w:val="008F6AB0"/>
    <w:rsid w:val="008F7C46"/>
    <w:rsid w:val="0090059F"/>
    <w:rsid w:val="0090172B"/>
    <w:rsid w:val="009052B1"/>
    <w:rsid w:val="0090568C"/>
    <w:rsid w:val="00905A63"/>
    <w:rsid w:val="00916A63"/>
    <w:rsid w:val="00920456"/>
    <w:rsid w:val="00921FB0"/>
    <w:rsid w:val="0092359F"/>
    <w:rsid w:val="00923666"/>
    <w:rsid w:val="00926B41"/>
    <w:rsid w:val="00932F88"/>
    <w:rsid w:val="00933A6A"/>
    <w:rsid w:val="00935843"/>
    <w:rsid w:val="00936CDB"/>
    <w:rsid w:val="0094129D"/>
    <w:rsid w:val="0094150D"/>
    <w:rsid w:val="009417EA"/>
    <w:rsid w:val="00941F42"/>
    <w:rsid w:val="009420EF"/>
    <w:rsid w:val="009439A2"/>
    <w:rsid w:val="009468FE"/>
    <w:rsid w:val="009528E6"/>
    <w:rsid w:val="00952927"/>
    <w:rsid w:val="00954210"/>
    <w:rsid w:val="009549D8"/>
    <w:rsid w:val="009565FA"/>
    <w:rsid w:val="00957A09"/>
    <w:rsid w:val="00963C8B"/>
    <w:rsid w:val="00964543"/>
    <w:rsid w:val="00965A25"/>
    <w:rsid w:val="009667B4"/>
    <w:rsid w:val="00971D1A"/>
    <w:rsid w:val="00976401"/>
    <w:rsid w:val="00976F32"/>
    <w:rsid w:val="00981BA0"/>
    <w:rsid w:val="0098370E"/>
    <w:rsid w:val="0098470F"/>
    <w:rsid w:val="00987E70"/>
    <w:rsid w:val="009906B9"/>
    <w:rsid w:val="00993832"/>
    <w:rsid w:val="00994331"/>
    <w:rsid w:val="009952A2"/>
    <w:rsid w:val="00995515"/>
    <w:rsid w:val="00996F6E"/>
    <w:rsid w:val="00997AD8"/>
    <w:rsid w:val="009A115C"/>
    <w:rsid w:val="009A35AE"/>
    <w:rsid w:val="009A3DFB"/>
    <w:rsid w:val="009A5A4A"/>
    <w:rsid w:val="009A610B"/>
    <w:rsid w:val="009A6F88"/>
    <w:rsid w:val="009B033E"/>
    <w:rsid w:val="009B04E5"/>
    <w:rsid w:val="009B0724"/>
    <w:rsid w:val="009B0CA4"/>
    <w:rsid w:val="009B27B8"/>
    <w:rsid w:val="009B35D4"/>
    <w:rsid w:val="009B3F30"/>
    <w:rsid w:val="009B5ACE"/>
    <w:rsid w:val="009B6878"/>
    <w:rsid w:val="009B6B46"/>
    <w:rsid w:val="009C0CE5"/>
    <w:rsid w:val="009C284D"/>
    <w:rsid w:val="009D1F24"/>
    <w:rsid w:val="009D4349"/>
    <w:rsid w:val="009D506A"/>
    <w:rsid w:val="009E020E"/>
    <w:rsid w:val="009E0F0A"/>
    <w:rsid w:val="009F046C"/>
    <w:rsid w:val="009F20F0"/>
    <w:rsid w:val="009F3363"/>
    <w:rsid w:val="009F5277"/>
    <w:rsid w:val="009F55B4"/>
    <w:rsid w:val="009F55F8"/>
    <w:rsid w:val="009F7649"/>
    <w:rsid w:val="009F7BFB"/>
    <w:rsid w:val="00A0331D"/>
    <w:rsid w:val="00A0648A"/>
    <w:rsid w:val="00A06C24"/>
    <w:rsid w:val="00A111B9"/>
    <w:rsid w:val="00A120FD"/>
    <w:rsid w:val="00A139EE"/>
    <w:rsid w:val="00A14310"/>
    <w:rsid w:val="00A1588B"/>
    <w:rsid w:val="00A1679E"/>
    <w:rsid w:val="00A169E0"/>
    <w:rsid w:val="00A16DA1"/>
    <w:rsid w:val="00A231F8"/>
    <w:rsid w:val="00A25B14"/>
    <w:rsid w:val="00A25C16"/>
    <w:rsid w:val="00A26571"/>
    <w:rsid w:val="00A32649"/>
    <w:rsid w:val="00A33FC9"/>
    <w:rsid w:val="00A35448"/>
    <w:rsid w:val="00A35586"/>
    <w:rsid w:val="00A37087"/>
    <w:rsid w:val="00A37110"/>
    <w:rsid w:val="00A4303D"/>
    <w:rsid w:val="00A46522"/>
    <w:rsid w:val="00A47608"/>
    <w:rsid w:val="00A505F6"/>
    <w:rsid w:val="00A51845"/>
    <w:rsid w:val="00A51BE6"/>
    <w:rsid w:val="00A52097"/>
    <w:rsid w:val="00A52C14"/>
    <w:rsid w:val="00A55F08"/>
    <w:rsid w:val="00A56E0D"/>
    <w:rsid w:val="00A66D8B"/>
    <w:rsid w:val="00A678EE"/>
    <w:rsid w:val="00A7277E"/>
    <w:rsid w:val="00A73024"/>
    <w:rsid w:val="00A73814"/>
    <w:rsid w:val="00A7572F"/>
    <w:rsid w:val="00A76417"/>
    <w:rsid w:val="00A76424"/>
    <w:rsid w:val="00A807A0"/>
    <w:rsid w:val="00A81706"/>
    <w:rsid w:val="00A826A3"/>
    <w:rsid w:val="00A82E55"/>
    <w:rsid w:val="00A916DA"/>
    <w:rsid w:val="00A956EE"/>
    <w:rsid w:val="00AA2792"/>
    <w:rsid w:val="00AA4678"/>
    <w:rsid w:val="00AA4F4A"/>
    <w:rsid w:val="00AA596B"/>
    <w:rsid w:val="00AA6424"/>
    <w:rsid w:val="00AB30D3"/>
    <w:rsid w:val="00AB4EC3"/>
    <w:rsid w:val="00AC0CBD"/>
    <w:rsid w:val="00AC280E"/>
    <w:rsid w:val="00AC2812"/>
    <w:rsid w:val="00AC353D"/>
    <w:rsid w:val="00AC6700"/>
    <w:rsid w:val="00AD1174"/>
    <w:rsid w:val="00AD1DBB"/>
    <w:rsid w:val="00AD40F3"/>
    <w:rsid w:val="00AD73CF"/>
    <w:rsid w:val="00AE11DC"/>
    <w:rsid w:val="00AE492A"/>
    <w:rsid w:val="00AF23DD"/>
    <w:rsid w:val="00AF2C52"/>
    <w:rsid w:val="00AF441A"/>
    <w:rsid w:val="00AF7390"/>
    <w:rsid w:val="00AF73F3"/>
    <w:rsid w:val="00AF7517"/>
    <w:rsid w:val="00B01AD9"/>
    <w:rsid w:val="00B03DE1"/>
    <w:rsid w:val="00B05266"/>
    <w:rsid w:val="00B05AA3"/>
    <w:rsid w:val="00B06674"/>
    <w:rsid w:val="00B06E6E"/>
    <w:rsid w:val="00B10C71"/>
    <w:rsid w:val="00B12359"/>
    <w:rsid w:val="00B13651"/>
    <w:rsid w:val="00B17385"/>
    <w:rsid w:val="00B17806"/>
    <w:rsid w:val="00B17A97"/>
    <w:rsid w:val="00B17D81"/>
    <w:rsid w:val="00B21319"/>
    <w:rsid w:val="00B24CC3"/>
    <w:rsid w:val="00B25530"/>
    <w:rsid w:val="00B3005E"/>
    <w:rsid w:val="00B317E1"/>
    <w:rsid w:val="00B32707"/>
    <w:rsid w:val="00B36A20"/>
    <w:rsid w:val="00B37533"/>
    <w:rsid w:val="00B37E8C"/>
    <w:rsid w:val="00B40C7E"/>
    <w:rsid w:val="00B43FB2"/>
    <w:rsid w:val="00B46DB4"/>
    <w:rsid w:val="00B52141"/>
    <w:rsid w:val="00B531CE"/>
    <w:rsid w:val="00B561A7"/>
    <w:rsid w:val="00B6025D"/>
    <w:rsid w:val="00B60432"/>
    <w:rsid w:val="00B612A3"/>
    <w:rsid w:val="00B62AD8"/>
    <w:rsid w:val="00B62DD5"/>
    <w:rsid w:val="00B64F59"/>
    <w:rsid w:val="00B66ED3"/>
    <w:rsid w:val="00B67819"/>
    <w:rsid w:val="00B71EA2"/>
    <w:rsid w:val="00B71FB3"/>
    <w:rsid w:val="00B75A1C"/>
    <w:rsid w:val="00B77D21"/>
    <w:rsid w:val="00B815CA"/>
    <w:rsid w:val="00B818AF"/>
    <w:rsid w:val="00B83318"/>
    <w:rsid w:val="00B83DDC"/>
    <w:rsid w:val="00B86D7E"/>
    <w:rsid w:val="00B917FB"/>
    <w:rsid w:val="00B944BB"/>
    <w:rsid w:val="00B97DC8"/>
    <w:rsid w:val="00BA37E6"/>
    <w:rsid w:val="00BA5F56"/>
    <w:rsid w:val="00BA60EE"/>
    <w:rsid w:val="00BB0489"/>
    <w:rsid w:val="00BB21E3"/>
    <w:rsid w:val="00BB32F9"/>
    <w:rsid w:val="00BB41F4"/>
    <w:rsid w:val="00BB5016"/>
    <w:rsid w:val="00BB5583"/>
    <w:rsid w:val="00BB63D4"/>
    <w:rsid w:val="00BB676E"/>
    <w:rsid w:val="00BB7251"/>
    <w:rsid w:val="00BB7DF3"/>
    <w:rsid w:val="00BC1D03"/>
    <w:rsid w:val="00BC2B8B"/>
    <w:rsid w:val="00BD34B0"/>
    <w:rsid w:val="00BD34EE"/>
    <w:rsid w:val="00BD35DB"/>
    <w:rsid w:val="00BD4089"/>
    <w:rsid w:val="00BD4A51"/>
    <w:rsid w:val="00BE08F5"/>
    <w:rsid w:val="00BE0E27"/>
    <w:rsid w:val="00BE31B8"/>
    <w:rsid w:val="00BE4153"/>
    <w:rsid w:val="00BE4245"/>
    <w:rsid w:val="00BE5458"/>
    <w:rsid w:val="00BE68C4"/>
    <w:rsid w:val="00BE7BA5"/>
    <w:rsid w:val="00BF0793"/>
    <w:rsid w:val="00BF0F6A"/>
    <w:rsid w:val="00BF277D"/>
    <w:rsid w:val="00BF33EC"/>
    <w:rsid w:val="00BF4763"/>
    <w:rsid w:val="00BF53B6"/>
    <w:rsid w:val="00BF689A"/>
    <w:rsid w:val="00BF78DD"/>
    <w:rsid w:val="00C0174D"/>
    <w:rsid w:val="00C04357"/>
    <w:rsid w:val="00C0448A"/>
    <w:rsid w:val="00C05142"/>
    <w:rsid w:val="00C05EBE"/>
    <w:rsid w:val="00C101CA"/>
    <w:rsid w:val="00C10F7C"/>
    <w:rsid w:val="00C119A4"/>
    <w:rsid w:val="00C119EF"/>
    <w:rsid w:val="00C11B12"/>
    <w:rsid w:val="00C12FB3"/>
    <w:rsid w:val="00C1493E"/>
    <w:rsid w:val="00C14CFF"/>
    <w:rsid w:val="00C14DA6"/>
    <w:rsid w:val="00C1533C"/>
    <w:rsid w:val="00C15C31"/>
    <w:rsid w:val="00C163E4"/>
    <w:rsid w:val="00C2161E"/>
    <w:rsid w:val="00C21990"/>
    <w:rsid w:val="00C21C11"/>
    <w:rsid w:val="00C227FC"/>
    <w:rsid w:val="00C23E20"/>
    <w:rsid w:val="00C24E7B"/>
    <w:rsid w:val="00C25B68"/>
    <w:rsid w:val="00C30C43"/>
    <w:rsid w:val="00C3469D"/>
    <w:rsid w:val="00C361AE"/>
    <w:rsid w:val="00C3786E"/>
    <w:rsid w:val="00C40F08"/>
    <w:rsid w:val="00C44711"/>
    <w:rsid w:val="00C44E49"/>
    <w:rsid w:val="00C457A9"/>
    <w:rsid w:val="00C46978"/>
    <w:rsid w:val="00C5214F"/>
    <w:rsid w:val="00C53047"/>
    <w:rsid w:val="00C5504D"/>
    <w:rsid w:val="00C572A3"/>
    <w:rsid w:val="00C57824"/>
    <w:rsid w:val="00C57D8D"/>
    <w:rsid w:val="00C603F3"/>
    <w:rsid w:val="00C60FBD"/>
    <w:rsid w:val="00C612A4"/>
    <w:rsid w:val="00C6248D"/>
    <w:rsid w:val="00C638FC"/>
    <w:rsid w:val="00C650F5"/>
    <w:rsid w:val="00C66473"/>
    <w:rsid w:val="00C66DB9"/>
    <w:rsid w:val="00C67355"/>
    <w:rsid w:val="00C675B3"/>
    <w:rsid w:val="00C71DC8"/>
    <w:rsid w:val="00C7232A"/>
    <w:rsid w:val="00C72547"/>
    <w:rsid w:val="00C72C7C"/>
    <w:rsid w:val="00C7305F"/>
    <w:rsid w:val="00C82884"/>
    <w:rsid w:val="00C82D01"/>
    <w:rsid w:val="00C83AA8"/>
    <w:rsid w:val="00C851A3"/>
    <w:rsid w:val="00C90D87"/>
    <w:rsid w:val="00C91857"/>
    <w:rsid w:val="00C91F43"/>
    <w:rsid w:val="00C95E00"/>
    <w:rsid w:val="00C9665B"/>
    <w:rsid w:val="00CA48E4"/>
    <w:rsid w:val="00CA66B4"/>
    <w:rsid w:val="00CA6EA9"/>
    <w:rsid w:val="00CB0CDF"/>
    <w:rsid w:val="00CB0E3F"/>
    <w:rsid w:val="00CB6672"/>
    <w:rsid w:val="00CB6BA2"/>
    <w:rsid w:val="00CB791B"/>
    <w:rsid w:val="00CB7A77"/>
    <w:rsid w:val="00CC45FE"/>
    <w:rsid w:val="00CC4F42"/>
    <w:rsid w:val="00CC523E"/>
    <w:rsid w:val="00CC66D8"/>
    <w:rsid w:val="00CC743F"/>
    <w:rsid w:val="00CC7AA7"/>
    <w:rsid w:val="00CD3077"/>
    <w:rsid w:val="00CD3BBD"/>
    <w:rsid w:val="00CE6660"/>
    <w:rsid w:val="00CF2327"/>
    <w:rsid w:val="00CF2CF0"/>
    <w:rsid w:val="00CF3A04"/>
    <w:rsid w:val="00CF4B2D"/>
    <w:rsid w:val="00CF5934"/>
    <w:rsid w:val="00CF5CAA"/>
    <w:rsid w:val="00D01812"/>
    <w:rsid w:val="00D1205A"/>
    <w:rsid w:val="00D130C1"/>
    <w:rsid w:val="00D1344A"/>
    <w:rsid w:val="00D13CAA"/>
    <w:rsid w:val="00D14029"/>
    <w:rsid w:val="00D159B9"/>
    <w:rsid w:val="00D15A59"/>
    <w:rsid w:val="00D16C6C"/>
    <w:rsid w:val="00D16C8E"/>
    <w:rsid w:val="00D2015F"/>
    <w:rsid w:val="00D22336"/>
    <w:rsid w:val="00D223FF"/>
    <w:rsid w:val="00D22652"/>
    <w:rsid w:val="00D23023"/>
    <w:rsid w:val="00D230C1"/>
    <w:rsid w:val="00D308A7"/>
    <w:rsid w:val="00D31B87"/>
    <w:rsid w:val="00D367F8"/>
    <w:rsid w:val="00D36D8E"/>
    <w:rsid w:val="00D400BD"/>
    <w:rsid w:val="00D40D25"/>
    <w:rsid w:val="00D43EE6"/>
    <w:rsid w:val="00D43F12"/>
    <w:rsid w:val="00D442C8"/>
    <w:rsid w:val="00D46B31"/>
    <w:rsid w:val="00D520C4"/>
    <w:rsid w:val="00D55B72"/>
    <w:rsid w:val="00D56C82"/>
    <w:rsid w:val="00D62F90"/>
    <w:rsid w:val="00D6719A"/>
    <w:rsid w:val="00D715C6"/>
    <w:rsid w:val="00D80BCF"/>
    <w:rsid w:val="00D82FB5"/>
    <w:rsid w:val="00D85AA5"/>
    <w:rsid w:val="00D85BE3"/>
    <w:rsid w:val="00D85E74"/>
    <w:rsid w:val="00D8602D"/>
    <w:rsid w:val="00D90E8F"/>
    <w:rsid w:val="00D9322B"/>
    <w:rsid w:val="00D93AFD"/>
    <w:rsid w:val="00D93BD8"/>
    <w:rsid w:val="00D94151"/>
    <w:rsid w:val="00D97C7D"/>
    <w:rsid w:val="00D97D5D"/>
    <w:rsid w:val="00D97F35"/>
    <w:rsid w:val="00DA2AEF"/>
    <w:rsid w:val="00DA2C75"/>
    <w:rsid w:val="00DA5DC7"/>
    <w:rsid w:val="00DA62B8"/>
    <w:rsid w:val="00DB33EF"/>
    <w:rsid w:val="00DB3D4A"/>
    <w:rsid w:val="00DB4033"/>
    <w:rsid w:val="00DB5B0E"/>
    <w:rsid w:val="00DB6651"/>
    <w:rsid w:val="00DB6EE0"/>
    <w:rsid w:val="00DC0583"/>
    <w:rsid w:val="00DC294F"/>
    <w:rsid w:val="00DC4E5A"/>
    <w:rsid w:val="00DC523A"/>
    <w:rsid w:val="00DC5C86"/>
    <w:rsid w:val="00DC75DD"/>
    <w:rsid w:val="00DD3057"/>
    <w:rsid w:val="00DD32A6"/>
    <w:rsid w:val="00DD44C4"/>
    <w:rsid w:val="00DD75C2"/>
    <w:rsid w:val="00DE1010"/>
    <w:rsid w:val="00DE3FFD"/>
    <w:rsid w:val="00DE5DFA"/>
    <w:rsid w:val="00DF0240"/>
    <w:rsid w:val="00DF2AC8"/>
    <w:rsid w:val="00DF3A75"/>
    <w:rsid w:val="00DF4A8B"/>
    <w:rsid w:val="00DF719F"/>
    <w:rsid w:val="00E016B8"/>
    <w:rsid w:val="00E02D8F"/>
    <w:rsid w:val="00E05BF8"/>
    <w:rsid w:val="00E06301"/>
    <w:rsid w:val="00E07FB2"/>
    <w:rsid w:val="00E103C2"/>
    <w:rsid w:val="00E13366"/>
    <w:rsid w:val="00E169D2"/>
    <w:rsid w:val="00E21899"/>
    <w:rsid w:val="00E226D8"/>
    <w:rsid w:val="00E2401B"/>
    <w:rsid w:val="00E2546B"/>
    <w:rsid w:val="00E260D5"/>
    <w:rsid w:val="00E2647D"/>
    <w:rsid w:val="00E26595"/>
    <w:rsid w:val="00E26634"/>
    <w:rsid w:val="00E27B09"/>
    <w:rsid w:val="00E35A17"/>
    <w:rsid w:val="00E35C6E"/>
    <w:rsid w:val="00E37769"/>
    <w:rsid w:val="00E42139"/>
    <w:rsid w:val="00E43400"/>
    <w:rsid w:val="00E434BB"/>
    <w:rsid w:val="00E44BC9"/>
    <w:rsid w:val="00E44FB1"/>
    <w:rsid w:val="00E50D24"/>
    <w:rsid w:val="00E52C39"/>
    <w:rsid w:val="00E54024"/>
    <w:rsid w:val="00E54BB5"/>
    <w:rsid w:val="00E54BF0"/>
    <w:rsid w:val="00E569DF"/>
    <w:rsid w:val="00E570FC"/>
    <w:rsid w:val="00E57D1A"/>
    <w:rsid w:val="00E6004C"/>
    <w:rsid w:val="00E60CD3"/>
    <w:rsid w:val="00E646B8"/>
    <w:rsid w:val="00E67C01"/>
    <w:rsid w:val="00E73609"/>
    <w:rsid w:val="00E7367D"/>
    <w:rsid w:val="00E8029C"/>
    <w:rsid w:val="00E80B2F"/>
    <w:rsid w:val="00E80C7C"/>
    <w:rsid w:val="00E81397"/>
    <w:rsid w:val="00E81C7A"/>
    <w:rsid w:val="00E81F3C"/>
    <w:rsid w:val="00E82476"/>
    <w:rsid w:val="00E82904"/>
    <w:rsid w:val="00E82C73"/>
    <w:rsid w:val="00E833ED"/>
    <w:rsid w:val="00E840A0"/>
    <w:rsid w:val="00E87934"/>
    <w:rsid w:val="00E90B26"/>
    <w:rsid w:val="00E9358A"/>
    <w:rsid w:val="00E93FB9"/>
    <w:rsid w:val="00E9436B"/>
    <w:rsid w:val="00E94CEA"/>
    <w:rsid w:val="00E94ECB"/>
    <w:rsid w:val="00E978E8"/>
    <w:rsid w:val="00E97A70"/>
    <w:rsid w:val="00E97F7E"/>
    <w:rsid w:val="00EA005E"/>
    <w:rsid w:val="00EA2DA7"/>
    <w:rsid w:val="00EA4CB6"/>
    <w:rsid w:val="00EA53BD"/>
    <w:rsid w:val="00EA5EE1"/>
    <w:rsid w:val="00EA7A24"/>
    <w:rsid w:val="00EA7DFE"/>
    <w:rsid w:val="00EB1E87"/>
    <w:rsid w:val="00EB3708"/>
    <w:rsid w:val="00EB4252"/>
    <w:rsid w:val="00EB582C"/>
    <w:rsid w:val="00EB6229"/>
    <w:rsid w:val="00EB62AD"/>
    <w:rsid w:val="00EC434E"/>
    <w:rsid w:val="00EC454E"/>
    <w:rsid w:val="00EC5423"/>
    <w:rsid w:val="00ED066D"/>
    <w:rsid w:val="00ED0D71"/>
    <w:rsid w:val="00ED2351"/>
    <w:rsid w:val="00ED2ADE"/>
    <w:rsid w:val="00ED6D68"/>
    <w:rsid w:val="00ED6EEC"/>
    <w:rsid w:val="00EE4A59"/>
    <w:rsid w:val="00EE65B8"/>
    <w:rsid w:val="00EE7D08"/>
    <w:rsid w:val="00EE7E0D"/>
    <w:rsid w:val="00EF1698"/>
    <w:rsid w:val="00EF5A5C"/>
    <w:rsid w:val="00EF69D8"/>
    <w:rsid w:val="00EF69EA"/>
    <w:rsid w:val="00EF729A"/>
    <w:rsid w:val="00EF7AD8"/>
    <w:rsid w:val="00F00455"/>
    <w:rsid w:val="00F00AD7"/>
    <w:rsid w:val="00F03915"/>
    <w:rsid w:val="00F039A0"/>
    <w:rsid w:val="00F0580C"/>
    <w:rsid w:val="00F05A6F"/>
    <w:rsid w:val="00F075C6"/>
    <w:rsid w:val="00F101F8"/>
    <w:rsid w:val="00F10665"/>
    <w:rsid w:val="00F1455F"/>
    <w:rsid w:val="00F14883"/>
    <w:rsid w:val="00F15B44"/>
    <w:rsid w:val="00F168CD"/>
    <w:rsid w:val="00F22CE3"/>
    <w:rsid w:val="00F2398D"/>
    <w:rsid w:val="00F27C10"/>
    <w:rsid w:val="00F30490"/>
    <w:rsid w:val="00F30AFF"/>
    <w:rsid w:val="00F311FD"/>
    <w:rsid w:val="00F32373"/>
    <w:rsid w:val="00F32F63"/>
    <w:rsid w:val="00F34F1B"/>
    <w:rsid w:val="00F40D37"/>
    <w:rsid w:val="00F42524"/>
    <w:rsid w:val="00F426E7"/>
    <w:rsid w:val="00F428C6"/>
    <w:rsid w:val="00F466FD"/>
    <w:rsid w:val="00F46FFF"/>
    <w:rsid w:val="00F470C7"/>
    <w:rsid w:val="00F473F4"/>
    <w:rsid w:val="00F500CC"/>
    <w:rsid w:val="00F50BFF"/>
    <w:rsid w:val="00F54110"/>
    <w:rsid w:val="00F546FF"/>
    <w:rsid w:val="00F5485F"/>
    <w:rsid w:val="00F54A4A"/>
    <w:rsid w:val="00F55B27"/>
    <w:rsid w:val="00F567DC"/>
    <w:rsid w:val="00F56BF2"/>
    <w:rsid w:val="00F57AAB"/>
    <w:rsid w:val="00F60342"/>
    <w:rsid w:val="00F61921"/>
    <w:rsid w:val="00F62C7B"/>
    <w:rsid w:val="00F64105"/>
    <w:rsid w:val="00F709B7"/>
    <w:rsid w:val="00F70D54"/>
    <w:rsid w:val="00F71636"/>
    <w:rsid w:val="00F72677"/>
    <w:rsid w:val="00F7289E"/>
    <w:rsid w:val="00F74FE9"/>
    <w:rsid w:val="00F81A63"/>
    <w:rsid w:val="00F83DFC"/>
    <w:rsid w:val="00F842E3"/>
    <w:rsid w:val="00F930C1"/>
    <w:rsid w:val="00F937CA"/>
    <w:rsid w:val="00F96EBA"/>
    <w:rsid w:val="00FA0BE0"/>
    <w:rsid w:val="00FA2E27"/>
    <w:rsid w:val="00FA3997"/>
    <w:rsid w:val="00FA52D6"/>
    <w:rsid w:val="00FA6909"/>
    <w:rsid w:val="00FA78B9"/>
    <w:rsid w:val="00FB3F8E"/>
    <w:rsid w:val="00FB5E68"/>
    <w:rsid w:val="00FC0042"/>
    <w:rsid w:val="00FC0856"/>
    <w:rsid w:val="00FC110D"/>
    <w:rsid w:val="00FC17DB"/>
    <w:rsid w:val="00FC2249"/>
    <w:rsid w:val="00FC4449"/>
    <w:rsid w:val="00FC44CB"/>
    <w:rsid w:val="00FC5767"/>
    <w:rsid w:val="00FC67B2"/>
    <w:rsid w:val="00FC7E79"/>
    <w:rsid w:val="00FD19BA"/>
    <w:rsid w:val="00FD1B91"/>
    <w:rsid w:val="00FD1FE0"/>
    <w:rsid w:val="00FD2552"/>
    <w:rsid w:val="00FD340E"/>
    <w:rsid w:val="00FD5136"/>
    <w:rsid w:val="00FE3C51"/>
    <w:rsid w:val="00FE4104"/>
    <w:rsid w:val="00FE50C4"/>
    <w:rsid w:val="00FE60CD"/>
    <w:rsid w:val="00FF0428"/>
    <w:rsid w:val="00FF1800"/>
    <w:rsid w:val="00FF54CC"/>
    <w:rsid w:val="00FF63E8"/>
    <w:rsid w:val="00FF6532"/>
    <w:rsid w:val="00FF7CD0"/>
    <w:rsid w:val="00FF7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8C5"/>
    <w:pPr>
      <w:spacing w:after="120"/>
    </w:pPr>
  </w:style>
  <w:style w:type="paragraph" w:styleId="Heading1">
    <w:name w:val="heading 1"/>
    <w:basedOn w:val="NoSpacing"/>
    <w:next w:val="Normal"/>
    <w:link w:val="Heading1Char"/>
    <w:uiPriority w:val="9"/>
    <w:qFormat/>
    <w:rsid w:val="009F7BFB"/>
    <w:pPr>
      <w:jc w:val="center"/>
      <w:outlineLvl w:val="0"/>
    </w:pPr>
    <w:rPr>
      <w:b/>
      <w:color w:val="2F5496" w:themeColor="accent5" w:themeShade="BF"/>
      <w:sz w:val="28"/>
    </w:rPr>
  </w:style>
  <w:style w:type="paragraph" w:styleId="Heading2">
    <w:name w:val="heading 2"/>
    <w:basedOn w:val="ListParagraph"/>
    <w:next w:val="Normal"/>
    <w:link w:val="Heading2Char"/>
    <w:uiPriority w:val="9"/>
    <w:unhideWhenUsed/>
    <w:qFormat/>
    <w:rsid w:val="000918C5"/>
    <w:pPr>
      <w:numPr>
        <w:numId w:val="6"/>
      </w:numPr>
      <w:spacing w:after="0"/>
      <w:ind w:left="360"/>
      <w:outlineLvl w:val="1"/>
    </w:pPr>
    <w:rPr>
      <w:b/>
      <w:i/>
      <w:color w:val="2F5496" w:themeColor="accent5" w:themeShade="BF"/>
      <w:sz w:val="24"/>
      <w:u w:val="single"/>
    </w:rPr>
  </w:style>
  <w:style w:type="paragraph" w:styleId="Heading3">
    <w:name w:val="heading 3"/>
    <w:basedOn w:val="Heading2"/>
    <w:next w:val="Normal"/>
    <w:link w:val="Heading3Char"/>
    <w:uiPriority w:val="9"/>
    <w:unhideWhenUsed/>
    <w:qFormat/>
    <w:rsid w:val="00D85AA5"/>
    <w:pPr>
      <w:numPr>
        <w:ilvl w:val="1"/>
      </w:numPr>
      <w:ind w:left="360"/>
      <w:outlineLvl w:val="2"/>
    </w:pPr>
    <w:rPr>
      <w:i w:val="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23A5"/>
    <w:pPr>
      <w:spacing w:after="0" w:line="240" w:lineRule="auto"/>
    </w:pPr>
  </w:style>
  <w:style w:type="paragraph" w:styleId="ListParagraph">
    <w:name w:val="List Paragraph"/>
    <w:basedOn w:val="Normal"/>
    <w:link w:val="ListParagraphChar"/>
    <w:uiPriority w:val="34"/>
    <w:qFormat/>
    <w:rsid w:val="00D85AA5"/>
    <w:pPr>
      <w:numPr>
        <w:numId w:val="4"/>
      </w:numPr>
      <w:ind w:left="360"/>
      <w:contextualSpacing/>
    </w:pPr>
  </w:style>
  <w:style w:type="character" w:customStyle="1" w:styleId="ListParagraphChar">
    <w:name w:val="List Paragraph Char"/>
    <w:basedOn w:val="DefaultParagraphFont"/>
    <w:link w:val="ListParagraph"/>
    <w:uiPriority w:val="34"/>
    <w:rsid w:val="00D85AA5"/>
  </w:style>
  <w:style w:type="paragraph" w:styleId="BalloonText">
    <w:name w:val="Balloon Text"/>
    <w:basedOn w:val="Normal"/>
    <w:link w:val="BalloonTextChar"/>
    <w:uiPriority w:val="99"/>
    <w:semiHidden/>
    <w:unhideWhenUsed/>
    <w:rsid w:val="00A35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5586"/>
    <w:rPr>
      <w:rFonts w:ascii="Segoe UI" w:hAnsi="Segoe UI" w:cs="Segoe UI"/>
      <w:sz w:val="18"/>
      <w:szCs w:val="18"/>
    </w:rPr>
  </w:style>
  <w:style w:type="paragraph" w:customStyle="1" w:styleId="Pa6">
    <w:name w:val="Pa6"/>
    <w:basedOn w:val="Normal"/>
    <w:next w:val="Normal"/>
    <w:uiPriority w:val="99"/>
    <w:rsid w:val="009F55B4"/>
    <w:pPr>
      <w:autoSpaceDE w:val="0"/>
      <w:autoSpaceDN w:val="0"/>
      <w:adjustRightInd w:val="0"/>
      <w:spacing w:after="0" w:line="191" w:lineRule="atLeast"/>
    </w:pPr>
    <w:rPr>
      <w:rFonts w:ascii="Calibri" w:hAnsi="Calibri"/>
      <w:sz w:val="24"/>
      <w:szCs w:val="24"/>
    </w:rPr>
  </w:style>
  <w:style w:type="character" w:customStyle="1" w:styleId="Heading2Char">
    <w:name w:val="Heading 2 Char"/>
    <w:basedOn w:val="DefaultParagraphFont"/>
    <w:link w:val="Heading2"/>
    <w:uiPriority w:val="9"/>
    <w:rsid w:val="000918C5"/>
    <w:rPr>
      <w:b/>
      <w:i/>
      <w:color w:val="2F5496" w:themeColor="accent5" w:themeShade="BF"/>
      <w:sz w:val="24"/>
      <w:u w:val="single"/>
    </w:rPr>
  </w:style>
  <w:style w:type="character" w:customStyle="1" w:styleId="Heading1Char">
    <w:name w:val="Heading 1 Char"/>
    <w:basedOn w:val="DefaultParagraphFont"/>
    <w:link w:val="Heading1"/>
    <w:uiPriority w:val="9"/>
    <w:rsid w:val="009F7BFB"/>
    <w:rPr>
      <w:b/>
      <w:color w:val="2F5496" w:themeColor="accent5" w:themeShade="BF"/>
      <w:sz w:val="28"/>
    </w:rPr>
  </w:style>
  <w:style w:type="character" w:customStyle="1" w:styleId="Heading3Char">
    <w:name w:val="Heading 3 Char"/>
    <w:basedOn w:val="DefaultParagraphFont"/>
    <w:link w:val="Heading3"/>
    <w:uiPriority w:val="9"/>
    <w:rsid w:val="00D85AA5"/>
    <w:rPr>
      <w:b/>
      <w:i/>
      <w:color w:val="2F5496" w:themeColor="accent5" w:themeShade="BF"/>
    </w:rPr>
  </w:style>
  <w:style w:type="paragraph" w:styleId="Header">
    <w:name w:val="header"/>
    <w:basedOn w:val="Normal"/>
    <w:link w:val="HeaderChar"/>
    <w:uiPriority w:val="99"/>
    <w:unhideWhenUsed/>
    <w:rsid w:val="00E943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436B"/>
  </w:style>
  <w:style w:type="paragraph" w:styleId="Footer">
    <w:name w:val="footer"/>
    <w:basedOn w:val="Normal"/>
    <w:link w:val="FooterChar"/>
    <w:uiPriority w:val="99"/>
    <w:unhideWhenUsed/>
    <w:rsid w:val="00E943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43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8C5"/>
    <w:pPr>
      <w:spacing w:after="120"/>
    </w:pPr>
  </w:style>
  <w:style w:type="paragraph" w:styleId="Heading1">
    <w:name w:val="heading 1"/>
    <w:basedOn w:val="NoSpacing"/>
    <w:next w:val="Normal"/>
    <w:link w:val="Heading1Char"/>
    <w:uiPriority w:val="9"/>
    <w:qFormat/>
    <w:rsid w:val="009F7BFB"/>
    <w:pPr>
      <w:jc w:val="center"/>
      <w:outlineLvl w:val="0"/>
    </w:pPr>
    <w:rPr>
      <w:b/>
      <w:color w:val="2F5496" w:themeColor="accent5" w:themeShade="BF"/>
      <w:sz w:val="28"/>
    </w:rPr>
  </w:style>
  <w:style w:type="paragraph" w:styleId="Heading2">
    <w:name w:val="heading 2"/>
    <w:basedOn w:val="ListParagraph"/>
    <w:next w:val="Normal"/>
    <w:link w:val="Heading2Char"/>
    <w:uiPriority w:val="9"/>
    <w:unhideWhenUsed/>
    <w:qFormat/>
    <w:rsid w:val="000918C5"/>
    <w:pPr>
      <w:numPr>
        <w:numId w:val="6"/>
      </w:numPr>
      <w:spacing w:after="0"/>
      <w:ind w:left="360"/>
      <w:outlineLvl w:val="1"/>
    </w:pPr>
    <w:rPr>
      <w:b/>
      <w:i/>
      <w:color w:val="2F5496" w:themeColor="accent5" w:themeShade="BF"/>
      <w:sz w:val="24"/>
      <w:u w:val="single"/>
    </w:rPr>
  </w:style>
  <w:style w:type="paragraph" w:styleId="Heading3">
    <w:name w:val="heading 3"/>
    <w:basedOn w:val="Heading2"/>
    <w:next w:val="Normal"/>
    <w:link w:val="Heading3Char"/>
    <w:uiPriority w:val="9"/>
    <w:unhideWhenUsed/>
    <w:qFormat/>
    <w:rsid w:val="00D85AA5"/>
    <w:pPr>
      <w:numPr>
        <w:ilvl w:val="1"/>
      </w:numPr>
      <w:ind w:left="360"/>
      <w:outlineLvl w:val="2"/>
    </w:pPr>
    <w:rPr>
      <w:i w:val="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23A5"/>
    <w:pPr>
      <w:spacing w:after="0" w:line="240" w:lineRule="auto"/>
    </w:pPr>
  </w:style>
  <w:style w:type="paragraph" w:styleId="ListParagraph">
    <w:name w:val="List Paragraph"/>
    <w:basedOn w:val="Normal"/>
    <w:link w:val="ListParagraphChar"/>
    <w:uiPriority w:val="34"/>
    <w:qFormat/>
    <w:rsid w:val="00D85AA5"/>
    <w:pPr>
      <w:numPr>
        <w:numId w:val="4"/>
      </w:numPr>
      <w:ind w:left="360"/>
      <w:contextualSpacing/>
    </w:pPr>
  </w:style>
  <w:style w:type="character" w:customStyle="1" w:styleId="ListParagraphChar">
    <w:name w:val="List Paragraph Char"/>
    <w:basedOn w:val="DefaultParagraphFont"/>
    <w:link w:val="ListParagraph"/>
    <w:uiPriority w:val="34"/>
    <w:rsid w:val="00D85AA5"/>
  </w:style>
  <w:style w:type="paragraph" w:styleId="BalloonText">
    <w:name w:val="Balloon Text"/>
    <w:basedOn w:val="Normal"/>
    <w:link w:val="BalloonTextChar"/>
    <w:uiPriority w:val="99"/>
    <w:semiHidden/>
    <w:unhideWhenUsed/>
    <w:rsid w:val="00A35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5586"/>
    <w:rPr>
      <w:rFonts w:ascii="Segoe UI" w:hAnsi="Segoe UI" w:cs="Segoe UI"/>
      <w:sz w:val="18"/>
      <w:szCs w:val="18"/>
    </w:rPr>
  </w:style>
  <w:style w:type="paragraph" w:customStyle="1" w:styleId="Pa6">
    <w:name w:val="Pa6"/>
    <w:basedOn w:val="Normal"/>
    <w:next w:val="Normal"/>
    <w:uiPriority w:val="99"/>
    <w:rsid w:val="009F55B4"/>
    <w:pPr>
      <w:autoSpaceDE w:val="0"/>
      <w:autoSpaceDN w:val="0"/>
      <w:adjustRightInd w:val="0"/>
      <w:spacing w:after="0" w:line="191" w:lineRule="atLeast"/>
    </w:pPr>
    <w:rPr>
      <w:rFonts w:ascii="Calibri" w:hAnsi="Calibri"/>
      <w:sz w:val="24"/>
      <w:szCs w:val="24"/>
    </w:rPr>
  </w:style>
  <w:style w:type="character" w:customStyle="1" w:styleId="Heading2Char">
    <w:name w:val="Heading 2 Char"/>
    <w:basedOn w:val="DefaultParagraphFont"/>
    <w:link w:val="Heading2"/>
    <w:uiPriority w:val="9"/>
    <w:rsid w:val="000918C5"/>
    <w:rPr>
      <w:b/>
      <w:i/>
      <w:color w:val="2F5496" w:themeColor="accent5" w:themeShade="BF"/>
      <w:sz w:val="24"/>
      <w:u w:val="single"/>
    </w:rPr>
  </w:style>
  <w:style w:type="character" w:customStyle="1" w:styleId="Heading1Char">
    <w:name w:val="Heading 1 Char"/>
    <w:basedOn w:val="DefaultParagraphFont"/>
    <w:link w:val="Heading1"/>
    <w:uiPriority w:val="9"/>
    <w:rsid w:val="009F7BFB"/>
    <w:rPr>
      <w:b/>
      <w:color w:val="2F5496" w:themeColor="accent5" w:themeShade="BF"/>
      <w:sz w:val="28"/>
    </w:rPr>
  </w:style>
  <w:style w:type="character" w:customStyle="1" w:styleId="Heading3Char">
    <w:name w:val="Heading 3 Char"/>
    <w:basedOn w:val="DefaultParagraphFont"/>
    <w:link w:val="Heading3"/>
    <w:uiPriority w:val="9"/>
    <w:rsid w:val="00D85AA5"/>
    <w:rPr>
      <w:b/>
      <w:i/>
      <w:color w:val="2F5496" w:themeColor="accent5" w:themeShade="BF"/>
    </w:rPr>
  </w:style>
  <w:style w:type="paragraph" w:styleId="Header">
    <w:name w:val="header"/>
    <w:basedOn w:val="Normal"/>
    <w:link w:val="HeaderChar"/>
    <w:uiPriority w:val="99"/>
    <w:unhideWhenUsed/>
    <w:rsid w:val="00E943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436B"/>
  </w:style>
  <w:style w:type="paragraph" w:styleId="Footer">
    <w:name w:val="footer"/>
    <w:basedOn w:val="Normal"/>
    <w:link w:val="FooterChar"/>
    <w:uiPriority w:val="99"/>
    <w:unhideWhenUsed/>
    <w:rsid w:val="00E943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43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1488</Words>
  <Characters>8482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AGL Resources, Inc.</Company>
  <LinksUpToDate>false</LinksUpToDate>
  <CharactersWithSpaces>9951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 Weaver</dc:creator>
  <cp:lastModifiedBy>Celia Christensen</cp:lastModifiedBy>
  <cp:revision>2</cp:revision>
  <cp:lastPrinted>2014-08-06T01:50:00Z</cp:lastPrinted>
  <dcterms:created xsi:type="dcterms:W3CDTF">2015-12-07T15:43:00Z</dcterms:created>
  <dcterms:modified xsi:type="dcterms:W3CDTF">2015-12-07T15:43:00Z</dcterms:modified>
</cp:coreProperties>
</file>