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A9" w:rsidRPr="00055CB1" w:rsidRDefault="005B323F" w:rsidP="005A049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Illinois </w:t>
      </w:r>
      <w:r w:rsidR="005A0499" w:rsidRPr="00055CB1">
        <w:rPr>
          <w:b/>
          <w:sz w:val="28"/>
          <w:szCs w:val="28"/>
        </w:rPr>
        <w:t>EE Stakeholder Advisory Group (SAG)</w:t>
      </w:r>
    </w:p>
    <w:p w:rsidR="00E53487" w:rsidRPr="00055CB1" w:rsidRDefault="005A0499" w:rsidP="001956B8">
      <w:pPr>
        <w:spacing w:after="0" w:line="240" w:lineRule="auto"/>
        <w:jc w:val="center"/>
        <w:rPr>
          <w:b/>
          <w:sz w:val="28"/>
          <w:szCs w:val="28"/>
        </w:rPr>
      </w:pPr>
      <w:r w:rsidRPr="00055CB1">
        <w:rPr>
          <w:b/>
          <w:sz w:val="28"/>
          <w:szCs w:val="28"/>
        </w:rPr>
        <w:t>Tracking Open Issues</w:t>
      </w:r>
    </w:p>
    <w:p w:rsidR="001956B8" w:rsidRDefault="001956B8" w:rsidP="001956B8">
      <w:pPr>
        <w:spacing w:after="0" w:line="240" w:lineRule="auto"/>
        <w:jc w:val="center"/>
        <w:rPr>
          <w:b/>
        </w:rPr>
      </w:pPr>
    </w:p>
    <w:p w:rsidR="00EB4D01" w:rsidRDefault="001956B8" w:rsidP="001956B8">
      <w:pPr>
        <w:spacing w:after="0" w:line="240" w:lineRule="auto"/>
        <w:rPr>
          <w:sz w:val="20"/>
          <w:szCs w:val="20"/>
        </w:rPr>
      </w:pPr>
      <w:r w:rsidRPr="00FD549A">
        <w:rPr>
          <w:sz w:val="20"/>
          <w:szCs w:val="20"/>
        </w:rPr>
        <w:t>This tracking document is intended to include open issues and action items that result from monthly EE SAG meetings</w:t>
      </w:r>
      <w:r w:rsidR="000019DF" w:rsidRPr="00FD549A">
        <w:rPr>
          <w:sz w:val="20"/>
          <w:szCs w:val="20"/>
        </w:rPr>
        <w:t>, beginning in March 2014</w:t>
      </w:r>
      <w:r w:rsidRPr="00FD549A">
        <w:rPr>
          <w:sz w:val="20"/>
          <w:szCs w:val="20"/>
        </w:rPr>
        <w:t>. The document will be updated within one (1) week following</w:t>
      </w:r>
      <w:r w:rsidR="00E82FD5" w:rsidRPr="00FD549A">
        <w:rPr>
          <w:sz w:val="20"/>
          <w:szCs w:val="20"/>
        </w:rPr>
        <w:t xml:space="preserve"> each monthly SAG meeting</w:t>
      </w:r>
      <w:r w:rsidRPr="00FD549A">
        <w:rPr>
          <w:sz w:val="20"/>
          <w:szCs w:val="20"/>
        </w:rPr>
        <w:t xml:space="preserve">, and will be kept up to date on the “Meeting Materials” page on the SAG website, at </w:t>
      </w:r>
      <w:hyperlink r:id="rId8" w:history="1">
        <w:r w:rsidRPr="00FD549A">
          <w:rPr>
            <w:rStyle w:val="Hyperlink"/>
            <w:sz w:val="20"/>
            <w:szCs w:val="20"/>
          </w:rPr>
          <w:t>http://www.ilsag.info/meeting-materials.html</w:t>
        </w:r>
      </w:hyperlink>
      <w:r w:rsidRPr="00FD549A">
        <w:rPr>
          <w:sz w:val="20"/>
          <w:szCs w:val="20"/>
        </w:rPr>
        <w:t>.</w:t>
      </w:r>
      <w:r w:rsidR="00587032" w:rsidRPr="00FD549A">
        <w:rPr>
          <w:sz w:val="20"/>
          <w:szCs w:val="20"/>
        </w:rPr>
        <w:t xml:space="preserve"> </w:t>
      </w:r>
      <w:r w:rsidR="00EB4D01">
        <w:rPr>
          <w:sz w:val="20"/>
          <w:szCs w:val="20"/>
        </w:rPr>
        <w:t>In addition:</w:t>
      </w:r>
    </w:p>
    <w:p w:rsidR="007C06D4" w:rsidRDefault="00587032" w:rsidP="00EB4D0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B4D01">
        <w:rPr>
          <w:sz w:val="20"/>
          <w:szCs w:val="20"/>
        </w:rPr>
        <w:t xml:space="preserve">The status of action items will be updated </w:t>
      </w:r>
      <w:r w:rsidR="006325EB" w:rsidRPr="00EB4D01">
        <w:rPr>
          <w:sz w:val="20"/>
          <w:szCs w:val="20"/>
        </w:rPr>
        <w:t xml:space="preserve">when </w:t>
      </w:r>
      <w:r w:rsidR="00E06989" w:rsidRPr="00EB4D01">
        <w:rPr>
          <w:sz w:val="20"/>
          <w:szCs w:val="20"/>
        </w:rPr>
        <w:t>completed</w:t>
      </w:r>
      <w:r w:rsidR="006325EB" w:rsidRPr="00EB4D01">
        <w:rPr>
          <w:sz w:val="20"/>
          <w:szCs w:val="20"/>
        </w:rPr>
        <w:t>.</w:t>
      </w:r>
      <w:r w:rsidR="00E63635" w:rsidRPr="00EB4D01">
        <w:rPr>
          <w:sz w:val="20"/>
          <w:szCs w:val="20"/>
        </w:rPr>
        <w:t xml:space="preserve"> </w:t>
      </w:r>
    </w:p>
    <w:p w:rsidR="00127F9C" w:rsidRPr="00EB4D01" w:rsidRDefault="00127F9C" w:rsidP="00EB4D0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Hyperlinks to follow-up information will be included when applicable.</w:t>
      </w:r>
    </w:p>
    <w:p w:rsidR="007C06D4" w:rsidRDefault="00E63635" w:rsidP="007C06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C06D4">
        <w:rPr>
          <w:sz w:val="20"/>
          <w:szCs w:val="20"/>
        </w:rPr>
        <w:t>“SAG F” indicates the SAG Facilitator.</w:t>
      </w:r>
      <w:r w:rsidR="00B22303" w:rsidRPr="007C06D4">
        <w:rPr>
          <w:sz w:val="20"/>
          <w:szCs w:val="20"/>
        </w:rPr>
        <w:t xml:space="preserve"> </w:t>
      </w:r>
    </w:p>
    <w:p w:rsidR="001956B8" w:rsidRPr="007C06D4" w:rsidRDefault="00B22303" w:rsidP="007C06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C06D4">
        <w:rPr>
          <w:sz w:val="20"/>
          <w:szCs w:val="20"/>
        </w:rPr>
        <w:t>“N/A” indicates that no specific follow-up item was identified at the meeting.</w:t>
      </w:r>
    </w:p>
    <w:p w:rsidR="001956B8" w:rsidRPr="00FD549A" w:rsidRDefault="001956B8" w:rsidP="001956B8">
      <w:pPr>
        <w:spacing w:after="0" w:line="240" w:lineRule="auto"/>
        <w:rPr>
          <w:sz w:val="20"/>
          <w:szCs w:val="20"/>
        </w:rPr>
      </w:pPr>
    </w:p>
    <w:p w:rsidR="005E7093" w:rsidRPr="00FD549A" w:rsidRDefault="008A4EB9" w:rsidP="005E7093">
      <w:pPr>
        <w:spacing w:after="0" w:line="240" w:lineRule="auto"/>
        <w:jc w:val="center"/>
        <w:rPr>
          <w:b/>
          <w:sz w:val="20"/>
          <w:szCs w:val="20"/>
        </w:rPr>
      </w:pPr>
      <w:r w:rsidRPr="00FD549A">
        <w:rPr>
          <w:b/>
          <w:sz w:val="20"/>
          <w:szCs w:val="20"/>
        </w:rPr>
        <w:t>EE SAG Meeting: Tuesday, March 18</w:t>
      </w:r>
      <w:r w:rsidRPr="00FD549A">
        <w:rPr>
          <w:b/>
          <w:sz w:val="20"/>
          <w:szCs w:val="20"/>
          <w:vertAlign w:val="superscript"/>
        </w:rPr>
        <w:t>th</w:t>
      </w:r>
      <w:r w:rsidRPr="00FD549A">
        <w:rPr>
          <w:b/>
          <w:sz w:val="20"/>
          <w:szCs w:val="20"/>
        </w:rPr>
        <w:t>, 2014</w:t>
      </w:r>
    </w:p>
    <w:tbl>
      <w:tblPr>
        <w:tblStyle w:val="TableGrid"/>
        <w:tblW w:w="0" w:type="auto"/>
        <w:jc w:val="center"/>
        <w:tblInd w:w="-1951" w:type="dxa"/>
        <w:tblLook w:val="04A0" w:firstRow="1" w:lastRow="0" w:firstColumn="1" w:lastColumn="0" w:noHBand="0" w:noVBand="1"/>
      </w:tblPr>
      <w:tblGrid>
        <w:gridCol w:w="1264"/>
        <w:gridCol w:w="4590"/>
        <w:gridCol w:w="1981"/>
        <w:gridCol w:w="3519"/>
        <w:gridCol w:w="1929"/>
        <w:gridCol w:w="1844"/>
      </w:tblGrid>
      <w:tr w:rsidR="006C44F6" w:rsidTr="006C44F6">
        <w:trPr>
          <w:jc w:val="center"/>
        </w:trPr>
        <w:tc>
          <w:tcPr>
            <w:tcW w:w="126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Closed</w:t>
            </w:r>
          </w:p>
        </w:tc>
        <w:tc>
          <w:tcPr>
            <w:tcW w:w="4590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  <w:u w:val="single"/>
              </w:rPr>
            </w:pPr>
            <w:r w:rsidRPr="00E75A90">
              <w:rPr>
                <w:sz w:val="20"/>
                <w:szCs w:val="20"/>
                <w:u w:val="single"/>
              </w:rPr>
              <w:t>Agenda Topic / Presenter(s)</w:t>
            </w:r>
          </w:p>
        </w:tc>
        <w:tc>
          <w:tcPr>
            <w:tcW w:w="1981" w:type="dxa"/>
          </w:tcPr>
          <w:p w:rsidR="006C44F6" w:rsidRPr="00E75A90" w:rsidRDefault="00C64831" w:rsidP="005A049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Question</w:t>
            </w:r>
          </w:p>
        </w:tc>
        <w:tc>
          <w:tcPr>
            <w:tcW w:w="3519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  <w:u w:val="single"/>
              </w:rPr>
            </w:pPr>
            <w:r w:rsidRPr="00E75A90">
              <w:rPr>
                <w:sz w:val="20"/>
                <w:szCs w:val="20"/>
                <w:u w:val="single"/>
              </w:rPr>
              <w:t>Action Item</w:t>
            </w:r>
            <w:r w:rsidR="005264A8">
              <w:rPr>
                <w:sz w:val="20"/>
                <w:szCs w:val="20"/>
                <w:u w:val="single"/>
              </w:rPr>
              <w:t xml:space="preserve"> / Follow-Up</w:t>
            </w:r>
          </w:p>
        </w:tc>
        <w:tc>
          <w:tcPr>
            <w:tcW w:w="1929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  <w:u w:val="single"/>
              </w:rPr>
            </w:pPr>
            <w:r w:rsidRPr="00E75A90">
              <w:rPr>
                <w:sz w:val="20"/>
                <w:szCs w:val="20"/>
                <w:u w:val="single"/>
              </w:rPr>
              <w:t>Status</w:t>
            </w:r>
          </w:p>
        </w:tc>
        <w:tc>
          <w:tcPr>
            <w:tcW w:w="184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Due Date (if applicable)</w:t>
            </w:r>
          </w:p>
        </w:tc>
      </w:tr>
      <w:tr w:rsidR="006C44F6" w:rsidTr="006C44F6">
        <w:trPr>
          <w:jc w:val="center"/>
        </w:trPr>
        <w:tc>
          <w:tcPr>
            <w:tcW w:w="1264" w:type="dxa"/>
          </w:tcPr>
          <w:p w:rsidR="00E5761F" w:rsidRDefault="00E5761F" w:rsidP="005A0499">
            <w:pPr>
              <w:jc w:val="center"/>
              <w:rPr>
                <w:sz w:val="20"/>
                <w:szCs w:val="20"/>
              </w:rPr>
            </w:pPr>
          </w:p>
          <w:p w:rsidR="006C44F6" w:rsidRPr="00E75A90" w:rsidRDefault="00E5761F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90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ComEd Large C&amp;I Program – Draft Program Template (Mike Brandt, Roger Baker; ComEd)</w:t>
            </w:r>
          </w:p>
        </w:tc>
        <w:tc>
          <w:tcPr>
            <w:tcW w:w="1981" w:type="dxa"/>
          </w:tcPr>
          <w:p w:rsidR="006C44F6" w:rsidRPr="00E75A90" w:rsidRDefault="009C6C91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Annette Beitel, SAG F</w:t>
            </w:r>
          </w:p>
        </w:tc>
        <w:tc>
          <w:tcPr>
            <w:tcW w:w="3519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Membership and questions/issues for Large C&amp;I Subcommittee due 3/24/14</w:t>
            </w:r>
            <w:r w:rsidR="00C83C4D">
              <w:rPr>
                <w:sz w:val="20"/>
                <w:szCs w:val="20"/>
              </w:rPr>
              <w:t xml:space="preserve"> (</w:t>
            </w:r>
            <w:r w:rsidR="005264A8" w:rsidRPr="009D6781">
              <w:rPr>
                <w:i/>
                <w:sz w:val="20"/>
                <w:szCs w:val="20"/>
              </w:rPr>
              <w:t xml:space="preserve">Follow-up: </w:t>
            </w:r>
            <w:r w:rsidR="00C83C4D" w:rsidRPr="009D6781">
              <w:rPr>
                <w:i/>
                <w:sz w:val="20"/>
                <w:szCs w:val="20"/>
              </w:rPr>
              <w:t>SAG members</w:t>
            </w:r>
            <w:r w:rsidR="00C83C4D">
              <w:rPr>
                <w:sz w:val="20"/>
                <w:szCs w:val="20"/>
              </w:rPr>
              <w:t>)</w:t>
            </w:r>
            <w:r w:rsidRPr="00E75A90">
              <w:rPr>
                <w:sz w:val="20"/>
                <w:szCs w:val="20"/>
              </w:rPr>
              <w:t>.</w:t>
            </w:r>
          </w:p>
        </w:tc>
        <w:tc>
          <w:tcPr>
            <w:tcW w:w="1929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 xml:space="preserve">Large C&amp;I Subcommittee </w:t>
            </w:r>
            <w:hyperlink r:id="rId9" w:history="1">
              <w:r w:rsidRPr="00127F9C">
                <w:rPr>
                  <w:rStyle w:val="Hyperlink"/>
                  <w:sz w:val="20"/>
                  <w:szCs w:val="20"/>
                </w:rPr>
                <w:t>process completed</w:t>
              </w:r>
            </w:hyperlink>
            <w:r w:rsidRPr="00E75A90">
              <w:rPr>
                <w:sz w:val="20"/>
                <w:szCs w:val="20"/>
              </w:rPr>
              <w:t xml:space="preserve"> 4/22/14.</w:t>
            </w:r>
          </w:p>
        </w:tc>
        <w:tc>
          <w:tcPr>
            <w:tcW w:w="184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3/24/14</w:t>
            </w:r>
          </w:p>
        </w:tc>
      </w:tr>
      <w:tr w:rsidR="006C44F6" w:rsidTr="00734BA0">
        <w:trPr>
          <w:trHeight w:val="800"/>
          <w:jc w:val="center"/>
        </w:trPr>
        <w:tc>
          <w:tcPr>
            <w:tcW w:w="126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Draft SAG Subcommittee Process Flowchart (Annette Beitel, Facilitator)</w:t>
            </w:r>
          </w:p>
        </w:tc>
        <w:tc>
          <w:tcPr>
            <w:tcW w:w="1981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N/A</w:t>
            </w:r>
          </w:p>
        </w:tc>
        <w:tc>
          <w:tcPr>
            <w:tcW w:w="3519" w:type="dxa"/>
          </w:tcPr>
          <w:p w:rsidR="006C44F6" w:rsidRPr="00E75A90" w:rsidRDefault="009B27EE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flowchart will be </w:t>
            </w:r>
            <w:r w:rsidR="00826B99">
              <w:rPr>
                <w:sz w:val="20"/>
                <w:szCs w:val="20"/>
              </w:rPr>
              <w:t xml:space="preserve">reviewed again and may be </w:t>
            </w:r>
            <w:r>
              <w:rPr>
                <w:sz w:val="20"/>
                <w:szCs w:val="20"/>
              </w:rPr>
              <w:t>updated</w:t>
            </w:r>
            <w:r w:rsidR="00826B99">
              <w:rPr>
                <w:sz w:val="20"/>
                <w:szCs w:val="20"/>
              </w:rPr>
              <w:t xml:space="preserve"> afte</w:t>
            </w:r>
            <w:r w:rsidR="005A08DD">
              <w:rPr>
                <w:sz w:val="20"/>
                <w:szCs w:val="20"/>
              </w:rPr>
              <w:t>r the gas EE Plan dockets close (</w:t>
            </w:r>
            <w:r w:rsidR="005A08DD" w:rsidRPr="005A08DD">
              <w:rPr>
                <w:i/>
                <w:sz w:val="20"/>
                <w:szCs w:val="20"/>
              </w:rPr>
              <w:t>Follow-up: SAG F</w:t>
            </w:r>
            <w:r w:rsidR="005A08DD">
              <w:rPr>
                <w:sz w:val="20"/>
                <w:szCs w:val="20"/>
              </w:rPr>
              <w:t>).</w:t>
            </w:r>
          </w:p>
        </w:tc>
        <w:tc>
          <w:tcPr>
            <w:tcW w:w="1929" w:type="dxa"/>
          </w:tcPr>
          <w:p w:rsidR="00410604" w:rsidRDefault="00410604" w:rsidP="005A0499">
            <w:pPr>
              <w:jc w:val="center"/>
              <w:rPr>
                <w:sz w:val="20"/>
                <w:szCs w:val="20"/>
              </w:rPr>
            </w:pPr>
          </w:p>
          <w:p w:rsidR="006C44F6" w:rsidRPr="00410604" w:rsidRDefault="00410604" w:rsidP="0041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 EE Plan dockets </w:t>
            </w:r>
            <w:proofErr w:type="gramStart"/>
            <w:r>
              <w:rPr>
                <w:sz w:val="20"/>
                <w:szCs w:val="20"/>
              </w:rPr>
              <w:t>remain</w:t>
            </w:r>
            <w:proofErr w:type="gramEnd"/>
            <w:r>
              <w:rPr>
                <w:sz w:val="20"/>
                <w:szCs w:val="20"/>
              </w:rPr>
              <w:t xml:space="preserve"> open.</w:t>
            </w:r>
          </w:p>
        </w:tc>
        <w:tc>
          <w:tcPr>
            <w:tcW w:w="184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</w:p>
        </w:tc>
      </w:tr>
      <w:tr w:rsidR="006C44F6" w:rsidTr="006C44F6">
        <w:trPr>
          <w:jc w:val="center"/>
        </w:trPr>
        <w:tc>
          <w:tcPr>
            <w:tcW w:w="1264" w:type="dxa"/>
          </w:tcPr>
          <w:p w:rsidR="006C44F6" w:rsidRPr="00E75A90" w:rsidRDefault="004D0E76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590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Ameren IL Smart Devices (Keith Goerss, Ameren IL)</w:t>
            </w:r>
          </w:p>
        </w:tc>
        <w:tc>
          <w:tcPr>
            <w:tcW w:w="1981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N/A</w:t>
            </w:r>
          </w:p>
        </w:tc>
        <w:tc>
          <w:tcPr>
            <w:tcW w:w="3519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N/A</w:t>
            </w:r>
          </w:p>
        </w:tc>
        <w:tc>
          <w:tcPr>
            <w:tcW w:w="1929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N/A</w:t>
            </w:r>
          </w:p>
        </w:tc>
        <w:tc>
          <w:tcPr>
            <w:tcW w:w="184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6C44F6" w:rsidTr="006C44F6">
        <w:trPr>
          <w:jc w:val="center"/>
        </w:trPr>
        <w:tc>
          <w:tcPr>
            <w:tcW w:w="126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 xml:space="preserve">Smart Devices / AMI Home Area Network Update (Jim </w:t>
            </w:r>
            <w:proofErr w:type="spellStart"/>
            <w:r w:rsidRPr="00E75A90">
              <w:rPr>
                <w:sz w:val="20"/>
                <w:szCs w:val="20"/>
              </w:rPr>
              <w:t>Eber</w:t>
            </w:r>
            <w:proofErr w:type="spellEnd"/>
            <w:r w:rsidRPr="00E75A90">
              <w:rPr>
                <w:sz w:val="20"/>
                <w:szCs w:val="20"/>
              </w:rPr>
              <w:t>, ComEd)</w:t>
            </w:r>
          </w:p>
        </w:tc>
        <w:tc>
          <w:tcPr>
            <w:tcW w:w="1981" w:type="dxa"/>
          </w:tcPr>
          <w:p w:rsidR="006C44F6" w:rsidRPr="00E75A90" w:rsidRDefault="006C44F6" w:rsidP="00AD4ECE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1) Tom Kennedy, ICC Staff</w:t>
            </w:r>
            <w:r>
              <w:rPr>
                <w:sz w:val="20"/>
                <w:szCs w:val="20"/>
              </w:rPr>
              <w:t>;</w:t>
            </w:r>
            <w:r w:rsidR="009C6C91">
              <w:rPr>
                <w:sz w:val="20"/>
                <w:szCs w:val="20"/>
              </w:rPr>
              <w:t xml:space="preserve"> 2) Annette Beitel, SAG F</w:t>
            </w:r>
          </w:p>
        </w:tc>
        <w:tc>
          <w:tcPr>
            <w:tcW w:w="3519" w:type="dxa"/>
          </w:tcPr>
          <w:p w:rsidR="006C44F6" w:rsidRPr="009D6781" w:rsidRDefault="006C44F6" w:rsidP="005A0499">
            <w:pPr>
              <w:jc w:val="center"/>
              <w:rPr>
                <w:i/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1) List/short description of 75 ideas for ComEd Smart Devices, and 20 selected ideas</w:t>
            </w:r>
            <w:r w:rsidR="009D6781">
              <w:rPr>
                <w:sz w:val="20"/>
                <w:szCs w:val="20"/>
              </w:rPr>
              <w:t xml:space="preserve"> (</w:t>
            </w:r>
            <w:r w:rsidR="009D6781" w:rsidRPr="009D6781">
              <w:rPr>
                <w:i/>
                <w:sz w:val="20"/>
                <w:szCs w:val="20"/>
              </w:rPr>
              <w:t xml:space="preserve">Follow-Up: Jim </w:t>
            </w:r>
            <w:proofErr w:type="spellStart"/>
            <w:r w:rsidR="009D6781" w:rsidRPr="009D6781">
              <w:rPr>
                <w:i/>
                <w:sz w:val="20"/>
                <w:szCs w:val="20"/>
              </w:rPr>
              <w:t>Eber</w:t>
            </w:r>
            <w:proofErr w:type="spellEnd"/>
            <w:r w:rsidR="009D6781">
              <w:rPr>
                <w:sz w:val="20"/>
                <w:szCs w:val="20"/>
              </w:rPr>
              <w:t>)</w:t>
            </w:r>
            <w:r w:rsidRPr="00E75A90">
              <w:rPr>
                <w:sz w:val="20"/>
                <w:szCs w:val="20"/>
              </w:rPr>
              <w:t>; 2) Follow-up on Smart Grid Advisory Council (SGAC) – who is on the Council, what are they doing?</w:t>
            </w:r>
            <w:r w:rsidR="009D6781">
              <w:rPr>
                <w:sz w:val="20"/>
                <w:szCs w:val="20"/>
              </w:rPr>
              <w:t xml:space="preserve"> </w:t>
            </w:r>
            <w:r w:rsidR="009D6781" w:rsidRPr="009D6781">
              <w:rPr>
                <w:i/>
                <w:sz w:val="20"/>
                <w:szCs w:val="20"/>
              </w:rPr>
              <w:t>(</w:t>
            </w:r>
            <w:r w:rsidR="009D6781">
              <w:rPr>
                <w:i/>
                <w:sz w:val="20"/>
                <w:szCs w:val="20"/>
              </w:rPr>
              <w:t>Follow-up: SAG F)</w:t>
            </w:r>
          </w:p>
        </w:tc>
        <w:tc>
          <w:tcPr>
            <w:tcW w:w="1929" w:type="dxa"/>
          </w:tcPr>
          <w:p w:rsidR="006C44F6" w:rsidRPr="00E75A90" w:rsidRDefault="00290059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SAG F to</w:t>
            </w:r>
            <w:r w:rsidR="006C44F6" w:rsidRPr="00E75A90">
              <w:rPr>
                <w:sz w:val="20"/>
                <w:szCs w:val="20"/>
              </w:rPr>
              <w:t xml:space="preserve"> follow-up with J</w:t>
            </w:r>
            <w:r w:rsidR="002B744D">
              <w:rPr>
                <w:sz w:val="20"/>
                <w:szCs w:val="20"/>
              </w:rPr>
              <w:t xml:space="preserve">im </w:t>
            </w:r>
            <w:proofErr w:type="spellStart"/>
            <w:r w:rsidR="002B744D">
              <w:rPr>
                <w:sz w:val="20"/>
                <w:szCs w:val="20"/>
              </w:rPr>
              <w:t>Eber</w:t>
            </w:r>
            <w:proofErr w:type="spellEnd"/>
            <w:r w:rsidR="002B744D">
              <w:rPr>
                <w:sz w:val="20"/>
                <w:szCs w:val="20"/>
              </w:rPr>
              <w:t xml:space="preserve">; 2) Link to </w:t>
            </w:r>
            <w:hyperlink r:id="rId10" w:history="1">
              <w:r w:rsidR="002B744D" w:rsidRPr="002B744D">
                <w:rPr>
                  <w:rStyle w:val="Hyperlink"/>
                  <w:sz w:val="20"/>
                  <w:szCs w:val="20"/>
                </w:rPr>
                <w:t>SGAC details</w:t>
              </w:r>
            </w:hyperlink>
            <w:r w:rsidR="006C44F6" w:rsidRPr="00E75A90">
              <w:rPr>
                <w:sz w:val="20"/>
                <w:szCs w:val="20"/>
              </w:rPr>
              <w:t xml:space="preserve"> circulated to SAG on 3/24/14. </w:t>
            </w:r>
          </w:p>
        </w:tc>
        <w:tc>
          <w:tcPr>
            <w:tcW w:w="184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</w:p>
        </w:tc>
      </w:tr>
      <w:tr w:rsidR="006C44F6" w:rsidTr="006C44F6">
        <w:trPr>
          <w:jc w:val="center"/>
        </w:trPr>
        <w:tc>
          <w:tcPr>
            <w:tcW w:w="1264" w:type="dxa"/>
          </w:tcPr>
          <w:p w:rsidR="006C44F6" w:rsidRPr="00E75A90" w:rsidRDefault="00C64831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90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Proposed SAG Guidelines and Draft SAG Sched</w:t>
            </w:r>
            <w:r w:rsidR="009B27EE">
              <w:rPr>
                <w:sz w:val="20"/>
                <w:szCs w:val="20"/>
              </w:rPr>
              <w:t>ule (Annette Beitel, SAG F</w:t>
            </w:r>
            <w:r w:rsidRPr="00E75A90">
              <w:rPr>
                <w:sz w:val="20"/>
                <w:szCs w:val="20"/>
              </w:rPr>
              <w:t>)</w:t>
            </w:r>
          </w:p>
        </w:tc>
        <w:tc>
          <w:tcPr>
            <w:tcW w:w="1981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N/A</w:t>
            </w:r>
          </w:p>
        </w:tc>
        <w:tc>
          <w:tcPr>
            <w:tcW w:w="3519" w:type="dxa"/>
          </w:tcPr>
          <w:p w:rsidR="006C44F6" w:rsidRPr="00E75A90" w:rsidRDefault="00126CC3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EE SAG 2014 Process and Plans document and draft SAG schedule for 2014 and 2015 to be updated (</w:t>
            </w:r>
            <w:r w:rsidRPr="00126CC3">
              <w:rPr>
                <w:i/>
                <w:sz w:val="20"/>
                <w:szCs w:val="20"/>
              </w:rPr>
              <w:t>Follow-up: SAG F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929" w:type="dxa"/>
          </w:tcPr>
          <w:p w:rsidR="006C44F6" w:rsidRPr="00E75A90" w:rsidRDefault="00126CC3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Completed. Updated documents </w:t>
            </w:r>
            <w:hyperlink r:id="rId11" w:history="1">
              <w:r w:rsidRPr="00BD3DCB">
                <w:rPr>
                  <w:rStyle w:val="Hyperlink"/>
                  <w:sz w:val="20"/>
                  <w:szCs w:val="20"/>
                </w:rPr>
                <w:t>available here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6C44F6" w:rsidRPr="00E75A90" w:rsidRDefault="006C44F6" w:rsidP="005A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E53487" w:rsidRDefault="00E53487" w:rsidP="005A0499">
      <w:pPr>
        <w:spacing w:after="0" w:line="240" w:lineRule="auto"/>
        <w:jc w:val="center"/>
        <w:rPr>
          <w:sz w:val="20"/>
          <w:szCs w:val="20"/>
        </w:rPr>
      </w:pPr>
    </w:p>
    <w:p w:rsidR="006F3E71" w:rsidRDefault="006F3E71" w:rsidP="005A0499">
      <w:pPr>
        <w:spacing w:after="0" w:line="240" w:lineRule="auto"/>
        <w:jc w:val="center"/>
        <w:rPr>
          <w:sz w:val="20"/>
          <w:szCs w:val="20"/>
        </w:rPr>
      </w:pPr>
    </w:p>
    <w:p w:rsidR="006F3E71" w:rsidRDefault="006F3E71" w:rsidP="005A0499">
      <w:pPr>
        <w:spacing w:after="0" w:line="240" w:lineRule="auto"/>
        <w:jc w:val="center"/>
        <w:rPr>
          <w:sz w:val="20"/>
          <w:szCs w:val="20"/>
        </w:rPr>
      </w:pPr>
    </w:p>
    <w:p w:rsidR="006F3E71" w:rsidRPr="000D64E6" w:rsidRDefault="006F3E71" w:rsidP="005A0499">
      <w:pPr>
        <w:spacing w:after="0" w:line="240" w:lineRule="auto"/>
        <w:jc w:val="center"/>
        <w:rPr>
          <w:sz w:val="20"/>
          <w:szCs w:val="20"/>
        </w:rPr>
      </w:pPr>
    </w:p>
    <w:p w:rsidR="005E7093" w:rsidRPr="000D64E6" w:rsidRDefault="008A4EB9" w:rsidP="005E7093">
      <w:pPr>
        <w:spacing w:after="0" w:line="240" w:lineRule="auto"/>
        <w:jc w:val="center"/>
        <w:rPr>
          <w:b/>
          <w:sz w:val="20"/>
          <w:szCs w:val="20"/>
        </w:rPr>
      </w:pPr>
      <w:r w:rsidRPr="000D64E6">
        <w:rPr>
          <w:b/>
          <w:sz w:val="20"/>
          <w:szCs w:val="20"/>
        </w:rPr>
        <w:lastRenderedPageBreak/>
        <w:t>EE SAG Meeting: Tuesday, April 27</w:t>
      </w:r>
      <w:r w:rsidRPr="000D64E6">
        <w:rPr>
          <w:b/>
          <w:sz w:val="20"/>
          <w:szCs w:val="20"/>
          <w:vertAlign w:val="superscript"/>
        </w:rPr>
        <w:t>th</w:t>
      </w:r>
      <w:r w:rsidRPr="000D64E6">
        <w:rPr>
          <w:b/>
          <w:sz w:val="20"/>
          <w:szCs w:val="20"/>
        </w:rPr>
        <w:t>, 2014</w:t>
      </w:r>
    </w:p>
    <w:tbl>
      <w:tblPr>
        <w:tblStyle w:val="TableGrid"/>
        <w:tblW w:w="0" w:type="auto"/>
        <w:jc w:val="center"/>
        <w:tblInd w:w="-1951" w:type="dxa"/>
        <w:tblLook w:val="04A0" w:firstRow="1" w:lastRow="0" w:firstColumn="1" w:lastColumn="0" w:noHBand="0" w:noVBand="1"/>
      </w:tblPr>
      <w:tblGrid>
        <w:gridCol w:w="1264"/>
        <w:gridCol w:w="3240"/>
        <w:gridCol w:w="2070"/>
        <w:gridCol w:w="4230"/>
        <w:gridCol w:w="2469"/>
        <w:gridCol w:w="1854"/>
      </w:tblGrid>
      <w:tr w:rsidR="006C44F6" w:rsidRPr="000D64E6" w:rsidTr="004B3686">
        <w:trPr>
          <w:jc w:val="center"/>
        </w:trPr>
        <w:tc>
          <w:tcPr>
            <w:tcW w:w="1264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Closed</w:t>
            </w:r>
          </w:p>
        </w:tc>
        <w:tc>
          <w:tcPr>
            <w:tcW w:w="3240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  <w:u w:val="single"/>
              </w:rPr>
            </w:pPr>
            <w:r w:rsidRPr="000D64E6">
              <w:rPr>
                <w:sz w:val="20"/>
                <w:szCs w:val="20"/>
                <w:u w:val="single"/>
              </w:rPr>
              <w:t>Agenda Topic / Presenter(s)</w:t>
            </w:r>
          </w:p>
        </w:tc>
        <w:tc>
          <w:tcPr>
            <w:tcW w:w="2070" w:type="dxa"/>
          </w:tcPr>
          <w:p w:rsidR="006C44F6" w:rsidRPr="000D64E6" w:rsidRDefault="00756005" w:rsidP="004D205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Question</w:t>
            </w:r>
          </w:p>
        </w:tc>
        <w:tc>
          <w:tcPr>
            <w:tcW w:w="4230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  <w:u w:val="single"/>
              </w:rPr>
            </w:pPr>
            <w:r w:rsidRPr="000D64E6">
              <w:rPr>
                <w:sz w:val="20"/>
                <w:szCs w:val="20"/>
                <w:u w:val="single"/>
              </w:rPr>
              <w:t>Action Item</w:t>
            </w:r>
            <w:r w:rsidR="00756005">
              <w:rPr>
                <w:sz w:val="20"/>
                <w:szCs w:val="20"/>
                <w:u w:val="single"/>
              </w:rPr>
              <w:t xml:space="preserve"> / Follow-Up</w:t>
            </w:r>
          </w:p>
        </w:tc>
        <w:tc>
          <w:tcPr>
            <w:tcW w:w="2469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  <w:u w:val="single"/>
              </w:rPr>
            </w:pPr>
            <w:r w:rsidRPr="000D64E6">
              <w:rPr>
                <w:sz w:val="20"/>
                <w:szCs w:val="20"/>
                <w:u w:val="single"/>
              </w:rPr>
              <w:t>Status</w:t>
            </w:r>
          </w:p>
        </w:tc>
        <w:tc>
          <w:tcPr>
            <w:tcW w:w="1854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Due Date (if applicable)</w:t>
            </w:r>
          </w:p>
        </w:tc>
      </w:tr>
      <w:tr w:rsidR="006C44F6" w:rsidRPr="000D64E6" w:rsidTr="004B3686">
        <w:trPr>
          <w:jc w:val="center"/>
        </w:trPr>
        <w:tc>
          <w:tcPr>
            <w:tcW w:w="1264" w:type="dxa"/>
          </w:tcPr>
          <w:p w:rsidR="006C44F6" w:rsidRPr="000D64E6" w:rsidRDefault="004D0E76" w:rsidP="004D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240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</w:rPr>
            </w:pPr>
            <w:r w:rsidRPr="000D64E6">
              <w:rPr>
                <w:sz w:val="20"/>
                <w:szCs w:val="20"/>
              </w:rPr>
              <w:t>EE SAG Subcommittee Report-Out: ComEd Large C&amp;I Program Pilot (Steve Baab, ComEd)</w:t>
            </w:r>
          </w:p>
        </w:tc>
        <w:tc>
          <w:tcPr>
            <w:tcW w:w="2070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</w:rPr>
            </w:pPr>
            <w:r w:rsidRPr="000D64E6">
              <w:rPr>
                <w:sz w:val="20"/>
                <w:szCs w:val="20"/>
              </w:rPr>
              <w:t>N/A</w:t>
            </w:r>
          </w:p>
        </w:tc>
        <w:tc>
          <w:tcPr>
            <w:tcW w:w="4230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</w:rPr>
            </w:pPr>
            <w:r w:rsidRPr="000D64E6">
              <w:rPr>
                <w:sz w:val="20"/>
                <w:szCs w:val="20"/>
              </w:rPr>
              <w:t>N/A</w:t>
            </w:r>
          </w:p>
        </w:tc>
        <w:tc>
          <w:tcPr>
            <w:tcW w:w="2469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</w:rPr>
            </w:pPr>
            <w:r w:rsidRPr="000D64E6">
              <w:rPr>
                <w:sz w:val="20"/>
                <w:szCs w:val="20"/>
              </w:rPr>
              <w:t>N/A</w:t>
            </w:r>
          </w:p>
        </w:tc>
        <w:tc>
          <w:tcPr>
            <w:tcW w:w="1854" w:type="dxa"/>
          </w:tcPr>
          <w:p w:rsidR="006C44F6" w:rsidRPr="000D64E6" w:rsidRDefault="006C44F6" w:rsidP="004D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6C44F6" w:rsidTr="004B3686">
        <w:trPr>
          <w:jc w:val="center"/>
        </w:trPr>
        <w:tc>
          <w:tcPr>
            <w:tcW w:w="1264" w:type="dxa"/>
          </w:tcPr>
          <w:p w:rsidR="006C44F6" w:rsidRPr="00E75A90" w:rsidRDefault="006C44F6" w:rsidP="004D2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44F6" w:rsidRPr="00E75A90" w:rsidRDefault="006C44F6" w:rsidP="004D2050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Ameren IL On-Bill Financing Success (Keith Goerss, Ameren IL)</w:t>
            </w:r>
          </w:p>
        </w:tc>
        <w:tc>
          <w:tcPr>
            <w:tcW w:w="2070" w:type="dxa"/>
          </w:tcPr>
          <w:p w:rsidR="006C44F6" w:rsidRPr="00E75A90" w:rsidRDefault="006C44F6" w:rsidP="004D2050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1) Chris N</w:t>
            </w:r>
            <w:r>
              <w:rPr>
                <w:sz w:val="20"/>
                <w:szCs w:val="20"/>
              </w:rPr>
              <w:t xml:space="preserve">eme, Energy Futures Group/NRDC; </w:t>
            </w:r>
          </w:p>
          <w:p w:rsidR="006C44F6" w:rsidRPr="00E75A90" w:rsidRDefault="006C44F6" w:rsidP="004D2050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2) Chris Neme, Energy Futures Group/NRDC</w:t>
            </w:r>
          </w:p>
        </w:tc>
        <w:tc>
          <w:tcPr>
            <w:tcW w:w="4230" w:type="dxa"/>
          </w:tcPr>
          <w:p w:rsidR="006C44F6" w:rsidRPr="00E75A90" w:rsidRDefault="006C44F6" w:rsidP="004D2050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1) Why is home retrofit program smaller (fewer loans) than HVAC program?</w:t>
            </w:r>
            <w:r>
              <w:rPr>
                <w:sz w:val="20"/>
                <w:szCs w:val="20"/>
              </w:rPr>
              <w:t xml:space="preserve"> </w:t>
            </w:r>
            <w:r w:rsidRPr="00E75A90">
              <w:rPr>
                <w:sz w:val="20"/>
                <w:szCs w:val="20"/>
              </w:rPr>
              <w:t>Keith Goerss, Ameren IL: This is something Ameren needs to look at</w:t>
            </w:r>
            <w:r w:rsidR="004B3686">
              <w:rPr>
                <w:sz w:val="20"/>
                <w:szCs w:val="20"/>
              </w:rPr>
              <w:t xml:space="preserve"> (</w:t>
            </w:r>
            <w:r w:rsidR="004B3686" w:rsidRPr="004B3686">
              <w:rPr>
                <w:i/>
                <w:sz w:val="20"/>
                <w:szCs w:val="20"/>
              </w:rPr>
              <w:t>Follow-up: SAG F</w:t>
            </w:r>
            <w:r w:rsidR="004B3686">
              <w:rPr>
                <w:sz w:val="20"/>
                <w:szCs w:val="20"/>
              </w:rPr>
              <w:t>)</w:t>
            </w:r>
            <w:r w:rsidRPr="00E75A90">
              <w:rPr>
                <w:sz w:val="20"/>
                <w:szCs w:val="20"/>
              </w:rPr>
              <w:t>.</w:t>
            </w:r>
          </w:p>
          <w:p w:rsidR="006C44F6" w:rsidRPr="00E75A90" w:rsidRDefault="006C44F6" w:rsidP="00256CEF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Has Ameren IL looked into the 640 credit score cutoff? Default rate is low, but close to half of applications turned down for program. Keith Goerss, Ameren IL: This is a good question to get input on</w:t>
            </w:r>
            <w:r w:rsidR="004B3686">
              <w:rPr>
                <w:sz w:val="20"/>
                <w:szCs w:val="20"/>
              </w:rPr>
              <w:t xml:space="preserve"> (</w:t>
            </w:r>
            <w:r w:rsidR="004B3686" w:rsidRPr="004B3686">
              <w:rPr>
                <w:i/>
                <w:sz w:val="20"/>
                <w:szCs w:val="20"/>
              </w:rPr>
              <w:t>Follow-up: SAG F</w:t>
            </w:r>
            <w:r w:rsidR="004B36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:rsidR="006C44F6" w:rsidRPr="00E75A90" w:rsidRDefault="006C44F6" w:rsidP="004D2050">
            <w:pPr>
              <w:jc w:val="center"/>
              <w:rPr>
                <w:sz w:val="20"/>
                <w:szCs w:val="20"/>
              </w:rPr>
            </w:pPr>
            <w:r w:rsidRPr="00E75A90">
              <w:rPr>
                <w:sz w:val="20"/>
                <w:szCs w:val="20"/>
              </w:rPr>
              <w:t xml:space="preserve">Ameren IL </w:t>
            </w:r>
            <w:r>
              <w:rPr>
                <w:sz w:val="20"/>
                <w:szCs w:val="20"/>
              </w:rPr>
              <w:t>plans to petition ICC to expa</w:t>
            </w:r>
            <w:r w:rsidR="005A03C8">
              <w:rPr>
                <w:sz w:val="20"/>
                <w:szCs w:val="20"/>
              </w:rPr>
              <w:t>nd OBF and</w:t>
            </w:r>
            <w:r w:rsidRPr="00E75A90">
              <w:rPr>
                <w:sz w:val="20"/>
                <w:szCs w:val="20"/>
              </w:rPr>
              <w:t xml:space="preserve"> will work with</w:t>
            </w:r>
            <w:r>
              <w:rPr>
                <w:sz w:val="20"/>
                <w:szCs w:val="20"/>
              </w:rPr>
              <w:t xml:space="preserve"> its</w:t>
            </w:r>
            <w:r w:rsidRPr="00E75A90">
              <w:rPr>
                <w:sz w:val="20"/>
                <w:szCs w:val="20"/>
              </w:rPr>
              <w:t xml:space="preserve"> staff</w:t>
            </w:r>
            <w:r w:rsidR="004B3686">
              <w:rPr>
                <w:sz w:val="20"/>
                <w:szCs w:val="20"/>
              </w:rPr>
              <w:t xml:space="preserve"> attorneys and SAG on this. SAG F to follow up-</w:t>
            </w:r>
            <w:r>
              <w:rPr>
                <w:sz w:val="20"/>
                <w:szCs w:val="20"/>
              </w:rPr>
              <w:t xml:space="preserve">with Keith Goerss / Ken Woolcutt </w:t>
            </w:r>
            <w:r w:rsidR="00CA1FD6">
              <w:rPr>
                <w:sz w:val="20"/>
                <w:szCs w:val="20"/>
              </w:rPr>
              <w:t>on next steps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</w:tcPr>
          <w:p w:rsidR="006C44F6" w:rsidRPr="00E75A90" w:rsidRDefault="004B3686" w:rsidP="004D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due date identified</w:t>
            </w:r>
            <w:r w:rsidR="00254E8F">
              <w:rPr>
                <w:sz w:val="20"/>
                <w:szCs w:val="20"/>
              </w:rPr>
              <w:t xml:space="preserve"> at this time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41FC0" w:rsidRPr="00B41FC0" w:rsidRDefault="00B41FC0" w:rsidP="005A0499">
      <w:pPr>
        <w:spacing w:after="0" w:line="240" w:lineRule="auto"/>
        <w:jc w:val="center"/>
        <w:rPr>
          <w:b/>
        </w:rPr>
      </w:pPr>
    </w:p>
    <w:sectPr w:rsidR="00B41FC0" w:rsidRPr="00B41FC0" w:rsidSect="005E7093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A8" w:rsidRDefault="001117A8" w:rsidP="00AD355D">
      <w:pPr>
        <w:spacing w:after="0" w:line="240" w:lineRule="auto"/>
      </w:pPr>
      <w:r>
        <w:separator/>
      </w:r>
    </w:p>
  </w:endnote>
  <w:endnote w:type="continuationSeparator" w:id="0">
    <w:p w:rsidR="001117A8" w:rsidRDefault="001117A8" w:rsidP="00AD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435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55D" w:rsidRDefault="00AD3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55D" w:rsidRDefault="00AD3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A8" w:rsidRDefault="001117A8" w:rsidP="00AD355D">
      <w:pPr>
        <w:spacing w:after="0" w:line="240" w:lineRule="auto"/>
      </w:pPr>
      <w:r>
        <w:separator/>
      </w:r>
    </w:p>
  </w:footnote>
  <w:footnote w:type="continuationSeparator" w:id="0">
    <w:p w:rsidR="001117A8" w:rsidRDefault="001117A8" w:rsidP="00AD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648"/>
    <w:multiLevelType w:val="hybridMultilevel"/>
    <w:tmpl w:val="DFA4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99"/>
    <w:rsid w:val="000019DF"/>
    <w:rsid w:val="000245D4"/>
    <w:rsid w:val="000341E1"/>
    <w:rsid w:val="00055CB1"/>
    <w:rsid w:val="000D64E6"/>
    <w:rsid w:val="001117A8"/>
    <w:rsid w:val="00126CC3"/>
    <w:rsid w:val="00127F9C"/>
    <w:rsid w:val="001956B8"/>
    <w:rsid w:val="001A089E"/>
    <w:rsid w:val="001B6CDD"/>
    <w:rsid w:val="00227985"/>
    <w:rsid w:val="00254E8F"/>
    <w:rsid w:val="00255361"/>
    <w:rsid w:val="00256CEF"/>
    <w:rsid w:val="002610A7"/>
    <w:rsid w:val="00290059"/>
    <w:rsid w:val="002B744D"/>
    <w:rsid w:val="00306152"/>
    <w:rsid w:val="00306EA7"/>
    <w:rsid w:val="00410604"/>
    <w:rsid w:val="004A7CEB"/>
    <w:rsid w:val="004B3686"/>
    <w:rsid w:val="004C6136"/>
    <w:rsid w:val="004D0E76"/>
    <w:rsid w:val="005264A8"/>
    <w:rsid w:val="00571ABA"/>
    <w:rsid w:val="00587032"/>
    <w:rsid w:val="005961A3"/>
    <w:rsid w:val="005A03C8"/>
    <w:rsid w:val="005A0499"/>
    <w:rsid w:val="005A08DD"/>
    <w:rsid w:val="005A7FBA"/>
    <w:rsid w:val="005B323F"/>
    <w:rsid w:val="005C03A9"/>
    <w:rsid w:val="005D1F8A"/>
    <w:rsid w:val="005E0580"/>
    <w:rsid w:val="005E5899"/>
    <w:rsid w:val="005E7093"/>
    <w:rsid w:val="006325EB"/>
    <w:rsid w:val="00671EE7"/>
    <w:rsid w:val="006C44F6"/>
    <w:rsid w:val="006F3E71"/>
    <w:rsid w:val="00734BA0"/>
    <w:rsid w:val="00756005"/>
    <w:rsid w:val="007A1659"/>
    <w:rsid w:val="007B1C97"/>
    <w:rsid w:val="007C06D4"/>
    <w:rsid w:val="00826B99"/>
    <w:rsid w:val="00841E7C"/>
    <w:rsid w:val="00863CB6"/>
    <w:rsid w:val="008A4EB9"/>
    <w:rsid w:val="009B27EE"/>
    <w:rsid w:val="009C6C91"/>
    <w:rsid w:val="009D6781"/>
    <w:rsid w:val="00A22013"/>
    <w:rsid w:val="00AD355D"/>
    <w:rsid w:val="00AD4ECE"/>
    <w:rsid w:val="00AE1D1C"/>
    <w:rsid w:val="00B22303"/>
    <w:rsid w:val="00B320D7"/>
    <w:rsid w:val="00B41FC0"/>
    <w:rsid w:val="00B93F8B"/>
    <w:rsid w:val="00BD3DCB"/>
    <w:rsid w:val="00BE0B01"/>
    <w:rsid w:val="00BF19A7"/>
    <w:rsid w:val="00BF540F"/>
    <w:rsid w:val="00BF7CA7"/>
    <w:rsid w:val="00C64831"/>
    <w:rsid w:val="00C83C4D"/>
    <w:rsid w:val="00CA1FD6"/>
    <w:rsid w:val="00CA3812"/>
    <w:rsid w:val="00CE5AC0"/>
    <w:rsid w:val="00D035B1"/>
    <w:rsid w:val="00DA57E3"/>
    <w:rsid w:val="00DF61D9"/>
    <w:rsid w:val="00E06989"/>
    <w:rsid w:val="00E15CDE"/>
    <w:rsid w:val="00E53487"/>
    <w:rsid w:val="00E5761F"/>
    <w:rsid w:val="00E63635"/>
    <w:rsid w:val="00E75A90"/>
    <w:rsid w:val="00E82FD5"/>
    <w:rsid w:val="00E93C2F"/>
    <w:rsid w:val="00EA52A6"/>
    <w:rsid w:val="00EB4D01"/>
    <w:rsid w:val="00ED099C"/>
    <w:rsid w:val="00EF6A94"/>
    <w:rsid w:val="00F50BB2"/>
    <w:rsid w:val="00F979F1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5D"/>
  </w:style>
  <w:style w:type="paragraph" w:styleId="Footer">
    <w:name w:val="footer"/>
    <w:basedOn w:val="Normal"/>
    <w:link w:val="FooterChar"/>
    <w:uiPriority w:val="99"/>
    <w:unhideWhenUsed/>
    <w:rsid w:val="00AD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5D"/>
  </w:style>
  <w:style w:type="character" w:styleId="Hyperlink">
    <w:name w:val="Hyperlink"/>
    <w:basedOn w:val="DefaultParagraphFont"/>
    <w:uiPriority w:val="99"/>
    <w:unhideWhenUsed/>
    <w:rsid w:val="001956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5D"/>
  </w:style>
  <w:style w:type="paragraph" w:styleId="Footer">
    <w:name w:val="footer"/>
    <w:basedOn w:val="Normal"/>
    <w:link w:val="FooterChar"/>
    <w:uiPriority w:val="99"/>
    <w:unhideWhenUsed/>
    <w:rsid w:val="00AD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5D"/>
  </w:style>
  <w:style w:type="character" w:styleId="Hyperlink">
    <w:name w:val="Hyperlink"/>
    <w:basedOn w:val="DefaultParagraphFont"/>
    <w:uiPriority w:val="99"/>
    <w:unhideWhenUsed/>
    <w:rsid w:val="001956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sag.info/meeting-material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lsag.info/meeting-schedule---calenda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pointments.illinois.gov/appointmentsDetail.cfm?id=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sag.info/subcommitte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Christensen</dc:creator>
  <cp:lastModifiedBy>Celia Christensen</cp:lastModifiedBy>
  <cp:revision>2</cp:revision>
  <dcterms:created xsi:type="dcterms:W3CDTF">2014-05-16T16:42:00Z</dcterms:created>
  <dcterms:modified xsi:type="dcterms:W3CDTF">2014-05-16T16:42:00Z</dcterms:modified>
</cp:coreProperties>
</file>