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3C" w:rsidRPr="005737DC" w:rsidRDefault="00ED323C">
      <w:bookmarkStart w:id="0" w:name="_GoBack"/>
      <w:bookmarkEnd w:id="0"/>
    </w:p>
    <w:p w:rsidR="005737DC" w:rsidRPr="005737DC" w:rsidRDefault="00124549" w:rsidP="005737DC">
      <w:pPr>
        <w:jc w:val="right"/>
      </w:pPr>
      <w:r>
        <w:t>DRAFT 6-19</w:t>
      </w:r>
      <w:r w:rsidR="005737DC" w:rsidRPr="005737DC">
        <w:t>-14</w:t>
      </w:r>
    </w:p>
    <w:p w:rsidR="005737DC" w:rsidRPr="005737DC" w:rsidRDefault="005737DC"/>
    <w:p w:rsidR="005737DC" w:rsidRPr="0066620A" w:rsidRDefault="005737DC" w:rsidP="005737DC">
      <w:pPr>
        <w:jc w:val="center"/>
        <w:rPr>
          <w:b/>
        </w:rPr>
      </w:pPr>
      <w:r w:rsidRPr="0066620A">
        <w:rPr>
          <w:b/>
        </w:rPr>
        <w:t>ILLINOIS ENERGY EFFICIENCY STAKEHOLDER ADVISORY GROUP</w:t>
      </w:r>
    </w:p>
    <w:p w:rsidR="005737DC" w:rsidRPr="0066620A" w:rsidRDefault="005737DC" w:rsidP="005737DC">
      <w:pPr>
        <w:jc w:val="center"/>
        <w:rPr>
          <w:b/>
        </w:rPr>
      </w:pPr>
    </w:p>
    <w:p w:rsidR="005737DC" w:rsidRPr="0066620A" w:rsidRDefault="005737DC" w:rsidP="005737DC">
      <w:pPr>
        <w:jc w:val="center"/>
        <w:rPr>
          <w:b/>
        </w:rPr>
      </w:pPr>
      <w:r w:rsidRPr="0066620A">
        <w:rPr>
          <w:b/>
        </w:rPr>
        <w:t>CHP SUBCOMMITTEE</w:t>
      </w:r>
    </w:p>
    <w:p w:rsidR="005737DC" w:rsidRPr="0066620A" w:rsidRDefault="005737DC" w:rsidP="005737DC">
      <w:pPr>
        <w:jc w:val="center"/>
        <w:rPr>
          <w:b/>
        </w:rPr>
      </w:pPr>
    </w:p>
    <w:p w:rsidR="005737DC" w:rsidRPr="0066620A" w:rsidRDefault="005737DC" w:rsidP="005737DC">
      <w:pPr>
        <w:jc w:val="center"/>
        <w:rPr>
          <w:b/>
        </w:rPr>
      </w:pPr>
      <w:r w:rsidRPr="0066620A">
        <w:rPr>
          <w:b/>
        </w:rPr>
        <w:t>OPEN ISSUES LIST</w:t>
      </w:r>
    </w:p>
    <w:p w:rsidR="005737DC" w:rsidRPr="005737DC" w:rsidRDefault="005737DC"/>
    <w:p w:rsidR="005737DC" w:rsidRPr="00BE04DF" w:rsidRDefault="00BE04DF">
      <w:pPr>
        <w:rPr>
          <w:b/>
        </w:rPr>
      </w:pPr>
      <w:r w:rsidRPr="00BE04DF">
        <w:rPr>
          <w:b/>
        </w:rPr>
        <w:t>Procedural Issues</w:t>
      </w:r>
    </w:p>
    <w:p w:rsidR="00BE04DF" w:rsidRDefault="00BE04DF"/>
    <w:p w:rsidR="00EC77D8" w:rsidRDefault="00BE04DF">
      <w:r>
        <w:t>1.</w:t>
      </w:r>
      <w:r>
        <w:tab/>
        <w:t>Timing of this Subcommittee’s work.</w:t>
      </w:r>
    </w:p>
    <w:p w:rsidR="00EC77D8" w:rsidRDefault="00EC77D8"/>
    <w:p w:rsidR="00EC77D8" w:rsidRDefault="00EC77D8">
      <w:r>
        <w:tab/>
        <w:t xml:space="preserve">a. </w:t>
      </w:r>
      <w:r>
        <w:tab/>
        <w:t>Subcommittee should report back to the SAG in December. (ComEd)</w:t>
      </w:r>
      <w:r w:rsidR="00BE04DF">
        <w:t xml:space="preserve"> </w:t>
      </w:r>
    </w:p>
    <w:p w:rsidR="00EC77D8" w:rsidRDefault="00EC77D8"/>
    <w:p w:rsidR="00BE04DF" w:rsidRDefault="00EC77D8" w:rsidP="00EC77D8">
      <w:pPr>
        <w:ind w:firstLine="720"/>
      </w:pPr>
      <w:r>
        <w:t>b.</w:t>
      </w:r>
      <w:r>
        <w:tab/>
        <w:t xml:space="preserve">The target date for the CHP Subcommittee reporting back to the SAG should be the September SAG meeting. </w:t>
      </w:r>
      <w:r w:rsidR="00BE04DF">
        <w:t xml:space="preserve">The formation and work of the CHP Subcommittee should be expedited in the same fashion as was the work of the ComEd Large C &amp; I Subcommittee. Subcommittee meetings for that program were held every Tuesday and the program was approved by the SAG within 2 months. </w:t>
      </w:r>
      <w:r w:rsidR="0053192C">
        <w:t xml:space="preserve"> (</w:t>
      </w:r>
      <w:r w:rsidR="00BE04DF">
        <w:t>This is particularly important for meeting the mandate of the ICC in Docket 13-0495 to move “as quickly as possible” which was based on the Commission’s interest in  seeing CHP projects and programs established and achieving energy savings and incentives within the timeframe of the current 3-Year Plan. This is also particularly important since ComEd has said it feels it cannot approve CHP in custom programs (including the Large C &amp; I program) until certain issues are addressed within the CHP Subcommit</w:t>
      </w:r>
      <w:r w:rsidR="0053192C">
        <w:t>t</w:t>
      </w:r>
      <w:r w:rsidR="00BE04DF">
        <w:t xml:space="preserve">ee. </w:t>
      </w:r>
      <w:r w:rsidR="0053192C">
        <w:t>)</w:t>
      </w:r>
      <w:r w:rsidR="00BE04DF">
        <w:t xml:space="preserve"> </w:t>
      </w:r>
      <w:r w:rsidR="0062571B">
        <w:t>(MCA</w:t>
      </w:r>
      <w:r>
        <w:t>)</w:t>
      </w:r>
      <w:r w:rsidR="00124549">
        <w:t xml:space="preserve"> (NICOR)</w:t>
      </w:r>
    </w:p>
    <w:p w:rsidR="0053192C" w:rsidRDefault="0053192C"/>
    <w:p w:rsidR="00EC77D8" w:rsidRDefault="0053192C">
      <w:r>
        <w:t>2.</w:t>
      </w:r>
      <w:r>
        <w:tab/>
        <w:t xml:space="preserve">Proposal to combine consideration of CHP and Ground Source Heat Pumps in this Subcommittee. </w:t>
      </w:r>
    </w:p>
    <w:p w:rsidR="00EC77D8" w:rsidRDefault="00EC77D8"/>
    <w:p w:rsidR="00BE04DF" w:rsidRDefault="00EC77D8" w:rsidP="00EC77D8">
      <w:pPr>
        <w:ind w:firstLine="720"/>
      </w:pPr>
      <w:r>
        <w:t>a.</w:t>
      </w:r>
      <w:r>
        <w:tab/>
      </w:r>
      <w:r w:rsidR="0053192C">
        <w:t>Related to the concern in #1 above, this</w:t>
      </w:r>
      <w:r>
        <w:t xml:space="preserve"> joint consideration</w:t>
      </w:r>
      <w:r w:rsidR="0053192C">
        <w:t xml:space="preserve"> should not be allowed to delay review and approval of CHP program parameters as ordered by the ICC. While consideration of these two technologies together may be appropriate for some issues and parameters, it may not be for others. </w:t>
      </w:r>
      <w:r>
        <w:t xml:space="preserve"> CHP issues and parameters, including issues these technologies have in common, </w:t>
      </w:r>
      <w:r w:rsidR="0053192C">
        <w:t xml:space="preserve">should be identified and addressed at the </w:t>
      </w:r>
      <w:proofErr w:type="gramStart"/>
      <w:r w:rsidR="0053192C">
        <w:t>outset</w:t>
      </w:r>
      <w:r>
        <w:t xml:space="preserve"> ,</w:t>
      </w:r>
      <w:proofErr w:type="gramEnd"/>
      <w:r>
        <w:t xml:space="preserve"> with other issues related to Ground Source Heat Pumps being taken up separately.</w:t>
      </w:r>
      <w:r w:rsidR="0062571B">
        <w:t xml:space="preserve"> (MCA</w:t>
      </w:r>
      <w:r>
        <w:t>)</w:t>
      </w:r>
    </w:p>
    <w:p w:rsidR="00EC77D8" w:rsidRDefault="00EC77D8" w:rsidP="00EC77D8">
      <w:pPr>
        <w:ind w:firstLine="720"/>
      </w:pPr>
    </w:p>
    <w:p w:rsidR="00EC77D8" w:rsidRDefault="00EC77D8" w:rsidP="00EC77D8">
      <w:pPr>
        <w:ind w:firstLine="720"/>
      </w:pPr>
      <w:r>
        <w:t>b.</w:t>
      </w:r>
      <w:r>
        <w:tab/>
        <w:t>Substantive issues stated below</w:t>
      </w:r>
      <w:r w:rsidRPr="005737DC">
        <w:t xml:space="preserve"> are more broadly issues for any fuel switching measures not just CHP</w:t>
      </w:r>
      <w:r>
        <w:t>. S</w:t>
      </w:r>
      <w:r w:rsidRPr="005737DC">
        <w:t>uggest we might want to broaden the subcommittee to be a “fuel switchi</w:t>
      </w:r>
      <w:r>
        <w:t>ng subcommittee.”  N</w:t>
      </w:r>
      <w:r w:rsidRPr="005737DC">
        <w:t xml:space="preserve">eed to develop policies for all fuel switching and this might be one of the first items for documentation </w:t>
      </w:r>
      <w:r w:rsidR="0062571B">
        <w:t>in the future policy manual. (AG</w:t>
      </w:r>
      <w:r w:rsidRPr="005737DC">
        <w:t>)</w:t>
      </w:r>
    </w:p>
    <w:p w:rsidR="00BE04DF" w:rsidRDefault="00BE04DF"/>
    <w:p w:rsidR="00BE04DF" w:rsidRPr="00BE04DF" w:rsidRDefault="00BE04DF">
      <w:pPr>
        <w:rPr>
          <w:b/>
        </w:rPr>
      </w:pPr>
      <w:r w:rsidRPr="00BE04DF">
        <w:rPr>
          <w:b/>
        </w:rPr>
        <w:t>Substantive Issues</w:t>
      </w:r>
    </w:p>
    <w:p w:rsidR="00BE04DF" w:rsidRPr="005737DC" w:rsidRDefault="00BE04DF"/>
    <w:p w:rsidR="005737DC" w:rsidRDefault="005737DC" w:rsidP="00124549">
      <w:pPr>
        <w:ind w:left="720" w:hanging="720"/>
      </w:pPr>
      <w:r w:rsidRPr="005737DC">
        <w:t>1.</w:t>
      </w:r>
      <w:r w:rsidRPr="005737DC">
        <w:tab/>
        <w:t>How to estimate/calculate</w:t>
      </w:r>
      <w:r w:rsidR="0053192C">
        <w:t>/track electric and gas savings</w:t>
      </w:r>
      <w:r w:rsidRPr="005737DC">
        <w:t xml:space="preserve"> of CHP for the purp</w:t>
      </w:r>
      <w:r w:rsidR="0062571B">
        <w:t>oses of reporting “savings.” (NRDC</w:t>
      </w:r>
      <w:r w:rsidRPr="005737DC">
        <w:t>)</w:t>
      </w:r>
      <w:r w:rsidR="0062571B">
        <w:t xml:space="preserve"> (AG</w:t>
      </w:r>
      <w:r w:rsidR="00EC77D8">
        <w:t>)</w:t>
      </w:r>
      <w:r w:rsidR="00124549">
        <w:t xml:space="preserve"> (NICOR) (MCA)</w:t>
      </w:r>
    </w:p>
    <w:p w:rsidR="00124549" w:rsidRDefault="00124549" w:rsidP="00124549">
      <w:pPr>
        <w:ind w:left="720" w:hanging="720"/>
      </w:pPr>
    </w:p>
    <w:p w:rsidR="00124549" w:rsidRDefault="00124549" w:rsidP="00124549">
      <w:pPr>
        <w:ind w:left="720" w:hanging="720"/>
      </w:pPr>
      <w:r>
        <w:tab/>
        <w:t>a.</w:t>
      </w:r>
      <w:r>
        <w:tab/>
        <w:t>This issue should be taken up first. (DCEO)</w:t>
      </w:r>
    </w:p>
    <w:p w:rsidR="00E201CD" w:rsidRDefault="00E201CD" w:rsidP="00E201CD">
      <w:pPr>
        <w:ind w:left="1440" w:hanging="720"/>
      </w:pPr>
      <w:r>
        <w:t xml:space="preserve">b. </w:t>
      </w:r>
      <w:r>
        <w:tab/>
        <w:t>Three Steps in Calculating Savings that Need SAG Discussion (DCEO)</w:t>
      </w:r>
    </w:p>
    <w:p w:rsidR="00E201CD" w:rsidRDefault="00E201CD" w:rsidP="00E201CD">
      <w:pPr>
        <w:ind w:left="1440" w:hanging="720"/>
      </w:pPr>
      <w:r>
        <w:lastRenderedPageBreak/>
        <w:tab/>
        <w:t>1. Should efficiency be calculated back to grid or just at s</w:t>
      </w:r>
      <w:r w:rsidR="00EE47F8">
        <w:t>ite</w:t>
      </w:r>
      <w:r>
        <w:t>?</w:t>
      </w:r>
    </w:p>
    <w:p w:rsidR="00E201CD" w:rsidRDefault="00E201CD" w:rsidP="00E201CD">
      <w:pPr>
        <w:ind w:left="1440"/>
      </w:pPr>
      <w:r>
        <w:tab/>
        <w:t>Position 1: Savings should be calculated back to grid.</w:t>
      </w:r>
    </w:p>
    <w:p w:rsidR="00E201CD" w:rsidRDefault="00E201CD" w:rsidP="00E201CD">
      <w:pPr>
        <w:ind w:left="1440"/>
      </w:pPr>
      <w:r>
        <w:tab/>
        <w:t>Position 2: Savings should only be calculated at source.</w:t>
      </w:r>
    </w:p>
    <w:p w:rsidR="00E201CD" w:rsidRDefault="00E201CD" w:rsidP="00E201CD">
      <w:pPr>
        <w:ind w:left="1440" w:hanging="720"/>
      </w:pPr>
      <w:r>
        <w:tab/>
        <w:t xml:space="preserve">2. How many </w:t>
      </w:r>
      <w:proofErr w:type="spellStart"/>
      <w:r>
        <w:t>BtUs</w:t>
      </w:r>
      <w:proofErr w:type="spellEnd"/>
      <w:r>
        <w:t xml:space="preserve"> savings should be allocated to electric vs. gas?</w:t>
      </w:r>
    </w:p>
    <w:p w:rsidR="00E201CD" w:rsidRDefault="00E201CD" w:rsidP="00E201CD">
      <w:pPr>
        <w:ind w:left="1440" w:hanging="720"/>
      </w:pPr>
      <w:r>
        <w:tab/>
      </w:r>
      <w:r>
        <w:tab/>
        <w:t>Position 1: 25% of savings allocated to gas; 75% to electricity</w:t>
      </w:r>
    </w:p>
    <w:p w:rsidR="00E201CD" w:rsidRDefault="00E201CD" w:rsidP="00E201CD">
      <w:pPr>
        <w:ind w:left="1440" w:hanging="720"/>
      </w:pPr>
      <w:r>
        <w:tab/>
      </w:r>
      <w:r>
        <w:tab/>
        <w:t>Position 2: All savings should be allocated to electricity.</w:t>
      </w:r>
    </w:p>
    <w:p w:rsidR="00E201CD" w:rsidRDefault="00E201CD" w:rsidP="00E201CD">
      <w:pPr>
        <w:ind w:left="2160" w:hanging="720"/>
      </w:pPr>
      <w:r>
        <w:t xml:space="preserve">3. Approach to converting </w:t>
      </w:r>
      <w:proofErr w:type="spellStart"/>
      <w:r>
        <w:t>BtUs</w:t>
      </w:r>
      <w:proofErr w:type="spellEnd"/>
      <w:r>
        <w:t xml:space="preserve"> back to kWh (possibly issue) and </w:t>
      </w:r>
      <w:proofErr w:type="spellStart"/>
      <w:r>
        <w:t>therm</w:t>
      </w:r>
      <w:proofErr w:type="spellEnd"/>
      <w:r>
        <w:t xml:space="preserve"> savings (not at issue)</w:t>
      </w:r>
    </w:p>
    <w:p w:rsidR="00E201CD" w:rsidRDefault="00E201CD" w:rsidP="00E201CD">
      <w:pPr>
        <w:ind w:left="2160" w:hanging="720"/>
      </w:pPr>
      <w:r>
        <w:tab/>
        <w:t>Conversion to gas savings not controversial</w:t>
      </w:r>
    </w:p>
    <w:p w:rsidR="00124549" w:rsidRPr="005737DC" w:rsidRDefault="00E201CD" w:rsidP="00E201CD">
      <w:pPr>
        <w:ind w:left="2160" w:hanging="720"/>
      </w:pPr>
      <w:r>
        <w:tab/>
      </w:r>
      <w:proofErr w:type="gramStart"/>
      <w:r>
        <w:t xml:space="preserve">Any areas of disagreement on how </w:t>
      </w:r>
      <w:proofErr w:type="spellStart"/>
      <w:r>
        <w:t>BtUs</w:t>
      </w:r>
      <w:proofErr w:type="spellEnd"/>
      <w:r>
        <w:t xml:space="preserve"> should be converted to kWh savings?</w:t>
      </w:r>
      <w:proofErr w:type="gramEnd"/>
    </w:p>
    <w:p w:rsidR="005737DC" w:rsidRPr="005737DC" w:rsidRDefault="005737DC" w:rsidP="005737DC"/>
    <w:p w:rsidR="005737DC" w:rsidRDefault="00EC77D8" w:rsidP="005737DC">
      <w:r>
        <w:t>2.</w:t>
      </w:r>
      <w:r>
        <w:tab/>
        <w:t>H</w:t>
      </w:r>
      <w:r w:rsidR="005737DC" w:rsidRPr="005737DC">
        <w:t>ow to screen CHP for TRC cost-effectiveness</w:t>
      </w:r>
      <w:r>
        <w:t xml:space="preserve">. </w:t>
      </w:r>
      <w:r w:rsidR="005737DC" w:rsidRPr="005737DC">
        <w:t xml:space="preserve"> </w:t>
      </w:r>
      <w:r w:rsidR="0062571B">
        <w:t>(NRDC)</w:t>
      </w:r>
      <w:r w:rsidR="00124549">
        <w:t>(NICOR)(MCA)</w:t>
      </w:r>
    </w:p>
    <w:p w:rsidR="00EC77D8" w:rsidRPr="005737DC" w:rsidRDefault="00EC77D8" w:rsidP="005737DC"/>
    <w:p w:rsidR="005737DC" w:rsidRPr="005737DC" w:rsidRDefault="00EC77D8" w:rsidP="005737DC">
      <w:r>
        <w:t>3</w:t>
      </w:r>
      <w:r w:rsidR="005737DC" w:rsidRPr="005737DC">
        <w:t>.</w:t>
      </w:r>
      <w:r w:rsidR="005737DC" w:rsidRPr="005737DC">
        <w:tab/>
        <w:t xml:space="preserve">Roles and </w:t>
      </w:r>
      <w:r>
        <w:t xml:space="preserve">allocation of responsibilities </w:t>
      </w:r>
      <w:r w:rsidR="005737DC" w:rsidRPr="005737DC">
        <w:t xml:space="preserve">of the gas and electric utilities. </w:t>
      </w:r>
      <w:r w:rsidR="0062571B">
        <w:t>(AG</w:t>
      </w:r>
      <w:r w:rsidR="005737DC" w:rsidRPr="005737DC">
        <w:t>)</w:t>
      </w:r>
      <w:r w:rsidR="00124549">
        <w:t>(NICOR)(MCA)</w:t>
      </w:r>
    </w:p>
    <w:p w:rsidR="005737DC" w:rsidRPr="005737DC" w:rsidRDefault="005737DC" w:rsidP="005737DC"/>
    <w:p w:rsidR="00EC77D8" w:rsidRDefault="00EC77D8" w:rsidP="005737DC">
      <w:r>
        <w:t>4</w:t>
      </w:r>
      <w:r w:rsidR="005737DC" w:rsidRPr="005737DC">
        <w:t>.</w:t>
      </w:r>
      <w:r w:rsidR="005737DC" w:rsidRPr="005737DC">
        <w:tab/>
      </w:r>
      <w:r w:rsidR="003A797E">
        <w:t>P</w:t>
      </w:r>
      <w:r w:rsidR="005737DC" w:rsidRPr="005737DC">
        <w:t>rogram design issues</w:t>
      </w:r>
      <w:r w:rsidR="003A797E">
        <w:t xml:space="preserve">. </w:t>
      </w:r>
    </w:p>
    <w:p w:rsidR="00EC77D8" w:rsidRDefault="00EC77D8" w:rsidP="005737DC"/>
    <w:p w:rsidR="005737DC" w:rsidRPr="005737DC" w:rsidRDefault="00EC77D8" w:rsidP="00124549">
      <w:pPr>
        <w:ind w:left="720" w:firstLine="45"/>
      </w:pPr>
      <w:r>
        <w:t>a.</w:t>
      </w:r>
      <w:r>
        <w:tab/>
        <w:t xml:space="preserve"> T</w:t>
      </w:r>
      <w:r w:rsidR="005737DC" w:rsidRPr="005737DC">
        <w:t>hese could include whether we are comfortable with the minimum efficiency requirements, incentive levels, want to</w:t>
      </w:r>
      <w:r w:rsidR="0062571B">
        <w:t xml:space="preserve"> impose incentive caps, etc. (AG</w:t>
      </w:r>
      <w:proofErr w:type="gramStart"/>
      <w:r w:rsidR="005737DC" w:rsidRPr="005737DC">
        <w:t>)</w:t>
      </w:r>
      <w:r w:rsidR="00124549">
        <w:t>(</w:t>
      </w:r>
      <w:proofErr w:type="gramEnd"/>
      <w:r w:rsidR="00124549">
        <w:t>NICOR)</w:t>
      </w:r>
    </w:p>
    <w:p w:rsidR="005737DC" w:rsidRPr="005737DC" w:rsidRDefault="005737DC" w:rsidP="005737DC"/>
    <w:p w:rsidR="005737DC" w:rsidRDefault="00EC77D8" w:rsidP="00124549">
      <w:pPr>
        <w:ind w:left="720"/>
        <w:rPr>
          <w:color w:val="993366"/>
        </w:rPr>
      </w:pPr>
      <w:r>
        <w:t>b.</w:t>
      </w:r>
      <w:r>
        <w:tab/>
        <w:t xml:space="preserve">CHP programs should be designed to encourage CHP projects and should not be subject to requirements and limitations that are not required for other EE measures, e.g.  </w:t>
      </w:r>
      <w:proofErr w:type="gramStart"/>
      <w:r>
        <w:t>requirement</w:t>
      </w:r>
      <w:proofErr w:type="gramEnd"/>
      <w:r>
        <w:t xml:space="preserve"> that </w:t>
      </w:r>
      <w:r w:rsidR="0062571B">
        <w:t>some qualifying CHP projects receive a lower incentive rate than others; requirement that every other EE measure be considered before a CHP project can be incentivized</w:t>
      </w:r>
      <w:r>
        <w:t xml:space="preserve">. </w:t>
      </w:r>
      <w:r w:rsidR="0062571B">
        <w:t xml:space="preserve"> (MCA)</w:t>
      </w:r>
      <w:r w:rsidR="00124549">
        <w:t>(NICOR)</w:t>
      </w:r>
    </w:p>
    <w:p w:rsidR="005737DC" w:rsidRPr="005737DC" w:rsidRDefault="005737DC" w:rsidP="005737DC">
      <w:pPr>
        <w:rPr>
          <w:color w:val="993366"/>
        </w:rPr>
      </w:pPr>
    </w:p>
    <w:p w:rsidR="005737DC" w:rsidRDefault="005737DC"/>
    <w:sectPr w:rsidR="0057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1F2"/>
    <w:multiLevelType w:val="hybridMultilevel"/>
    <w:tmpl w:val="B950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C"/>
    <w:rsid w:val="00124549"/>
    <w:rsid w:val="003A797E"/>
    <w:rsid w:val="003E5BBC"/>
    <w:rsid w:val="0053192C"/>
    <w:rsid w:val="00532536"/>
    <w:rsid w:val="005737DC"/>
    <w:rsid w:val="005C6908"/>
    <w:rsid w:val="0062571B"/>
    <w:rsid w:val="0066620A"/>
    <w:rsid w:val="00BE04DF"/>
    <w:rsid w:val="00E201CD"/>
    <w:rsid w:val="00EC77D8"/>
    <w:rsid w:val="00ED323C"/>
    <w:rsid w:val="00EE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DC"/>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DC"/>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349">
      <w:bodyDiv w:val="1"/>
      <w:marLeft w:val="0"/>
      <w:marRight w:val="0"/>
      <w:marTop w:val="0"/>
      <w:marBottom w:val="0"/>
      <w:divBdr>
        <w:top w:val="none" w:sz="0" w:space="0" w:color="auto"/>
        <w:left w:val="none" w:sz="0" w:space="0" w:color="auto"/>
        <w:bottom w:val="none" w:sz="0" w:space="0" w:color="auto"/>
        <w:right w:val="none" w:sz="0" w:space="0" w:color="auto"/>
      </w:divBdr>
    </w:div>
    <w:div w:id="603533330">
      <w:bodyDiv w:val="1"/>
      <w:marLeft w:val="0"/>
      <w:marRight w:val="0"/>
      <w:marTop w:val="0"/>
      <w:marBottom w:val="0"/>
      <w:divBdr>
        <w:top w:val="none" w:sz="0" w:space="0" w:color="auto"/>
        <w:left w:val="none" w:sz="0" w:space="0" w:color="auto"/>
        <w:bottom w:val="none" w:sz="0" w:space="0" w:color="auto"/>
        <w:right w:val="none" w:sz="0" w:space="0" w:color="auto"/>
      </w:divBdr>
    </w:div>
    <w:div w:id="21082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F113-3221-4039-BDC6-4D182D0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Celia Christensen</cp:lastModifiedBy>
  <cp:revision>2</cp:revision>
  <dcterms:created xsi:type="dcterms:W3CDTF">2014-06-19T20:03:00Z</dcterms:created>
  <dcterms:modified xsi:type="dcterms:W3CDTF">2014-06-19T20:03:00Z</dcterms:modified>
</cp:coreProperties>
</file>