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DFF9" w14:textId="62FA2D76" w:rsidR="00E009C0" w:rsidRPr="00B35245" w:rsidRDefault="00E009C0" w:rsidP="00E009C0">
      <w:pPr>
        <w:jc w:val="center"/>
        <w:rPr>
          <w:b/>
          <w:bCs/>
          <w:sz w:val="26"/>
          <w:szCs w:val="26"/>
        </w:rPr>
      </w:pPr>
      <w:r w:rsidRPr="00B35245">
        <w:rPr>
          <w:b/>
          <w:bCs/>
          <w:sz w:val="26"/>
          <w:szCs w:val="26"/>
        </w:rPr>
        <w:t>SAG Reporting Working Group</w:t>
      </w:r>
    </w:p>
    <w:p w14:paraId="17C9D1B5" w14:textId="382B15FE" w:rsidR="00E009C0" w:rsidRPr="00B35245" w:rsidRDefault="00BC3ACE" w:rsidP="00E009C0">
      <w:pPr>
        <w:jc w:val="center"/>
        <w:rPr>
          <w:b/>
          <w:bCs/>
          <w:sz w:val="26"/>
          <w:szCs w:val="26"/>
        </w:rPr>
      </w:pPr>
      <w:r w:rsidRPr="00B35245">
        <w:rPr>
          <w:b/>
          <w:bCs/>
          <w:sz w:val="26"/>
          <w:szCs w:val="26"/>
        </w:rPr>
        <w:t>Open Items for Final Meeting on January 23, 2024</w:t>
      </w:r>
    </w:p>
    <w:p w14:paraId="3200BDEE" w14:textId="77777777" w:rsidR="00E009C0" w:rsidRDefault="00E009C0" w:rsidP="00E009C0">
      <w:pPr>
        <w:rPr>
          <w:b/>
          <w:bCs/>
          <w:u w:val="single"/>
        </w:rPr>
      </w:pPr>
    </w:p>
    <w:p w14:paraId="69860D28" w14:textId="77777777" w:rsidR="00DA5E5B" w:rsidRPr="00B35245" w:rsidRDefault="00DA5E5B" w:rsidP="00E009C0">
      <w:pPr>
        <w:rPr>
          <w:b/>
          <w:bCs/>
          <w:sz w:val="24"/>
          <w:szCs w:val="24"/>
          <w:u w:val="single"/>
        </w:rPr>
      </w:pPr>
      <w:r w:rsidRPr="00B35245">
        <w:rPr>
          <w:b/>
          <w:bCs/>
          <w:sz w:val="24"/>
          <w:szCs w:val="24"/>
          <w:u w:val="single"/>
        </w:rPr>
        <w:t>IQ Health and Safety Reporting Metrics</w:t>
      </w:r>
    </w:p>
    <w:p w14:paraId="4796B93A" w14:textId="449047FE" w:rsidR="00DA5E5B" w:rsidRDefault="00AF3E25" w:rsidP="003C5981">
      <w:r w:rsidRPr="00CE6F1B">
        <w:t>See:</w:t>
      </w:r>
      <w:r w:rsidRPr="00AF3E25">
        <w:rPr>
          <w:b/>
          <w:bCs/>
        </w:rPr>
        <w:t xml:space="preserve"> </w:t>
      </w:r>
      <w:hyperlink r:id="rId8" w:history="1">
        <w:r>
          <w:rPr>
            <w:rStyle w:val="Hyperlink"/>
          </w:rPr>
          <w:t>IQ Health and Safety Metrics - Final Draft Clean Version</w:t>
        </w:r>
      </w:hyperlink>
    </w:p>
    <w:p w14:paraId="1E933A8F" w14:textId="77777777" w:rsidR="00AF3E25" w:rsidRDefault="00AF3E25" w:rsidP="003C5981">
      <w:pPr>
        <w:rPr>
          <w:b/>
          <w:bCs/>
          <w:u w:val="single"/>
        </w:rPr>
      </w:pPr>
    </w:p>
    <w:p w14:paraId="50A3921C" w14:textId="04FBEDE4" w:rsidR="005D56CF" w:rsidRPr="005D56CF" w:rsidRDefault="005D56CF" w:rsidP="003C5981">
      <w:pPr>
        <w:rPr>
          <w:b/>
          <w:bCs/>
        </w:rPr>
      </w:pPr>
      <w:r w:rsidRPr="005D56CF">
        <w:rPr>
          <w:b/>
          <w:bCs/>
          <w:highlight w:val="cyan"/>
        </w:rPr>
        <w:t xml:space="preserve">Open Items </w:t>
      </w:r>
      <w:r w:rsidR="00854A0D">
        <w:rPr>
          <w:b/>
          <w:bCs/>
          <w:highlight w:val="cyan"/>
        </w:rPr>
        <w:t xml:space="preserve">Currently </w:t>
      </w:r>
      <w:r w:rsidRPr="005D56CF">
        <w:rPr>
          <w:b/>
          <w:bCs/>
          <w:highlight w:val="cyan"/>
        </w:rPr>
        <w:t>Not in Agreement:</w:t>
      </w:r>
    </w:p>
    <w:p w14:paraId="73A1CAF3" w14:textId="77777777" w:rsidR="005D56CF" w:rsidRPr="005D56CF" w:rsidRDefault="005D56CF" w:rsidP="005D56CF">
      <w:pPr>
        <w:pStyle w:val="ListParagraph"/>
        <w:numPr>
          <w:ilvl w:val="0"/>
          <w:numId w:val="17"/>
        </w:numPr>
      </w:pPr>
      <w:commentRangeStart w:id="0"/>
      <w:r>
        <w:t>Metric #9</w:t>
      </w:r>
      <w:commentRangeEnd w:id="0"/>
      <w:r w:rsidR="000A3085">
        <w:rPr>
          <w:rStyle w:val="CommentReference"/>
          <w:rFonts w:ascii="Calibri" w:hAnsi="Calibri" w:cs="Calibri"/>
        </w:rPr>
        <w:commentReference w:id="0"/>
      </w:r>
      <w:r>
        <w:t xml:space="preserve">: </w:t>
      </w:r>
      <w:r w:rsidRPr="005D56CF">
        <w:rPr>
          <w:i/>
          <w:iCs/>
        </w:rPr>
        <w:t>Report IQ health and safety spending by program channel, as a percentage (%) of total program spending</w:t>
      </w:r>
    </w:p>
    <w:p w14:paraId="276A556F" w14:textId="3D9F98F3" w:rsidR="005D56CF" w:rsidRPr="005D56CF" w:rsidRDefault="005D56CF" w:rsidP="00F62588">
      <w:pPr>
        <w:pStyle w:val="ListParagraph"/>
        <w:numPr>
          <w:ilvl w:val="0"/>
          <w:numId w:val="17"/>
        </w:numPr>
      </w:pPr>
      <w:r>
        <w:t xml:space="preserve">Metric #10: </w:t>
      </w:r>
      <w:r w:rsidRPr="005D56CF">
        <w:rPr>
          <w:i/>
          <w:iCs/>
        </w:rPr>
        <w:t>Report IQ health and safety spending in a geographic map, using the same mapping mechanism that will be developed for other reporting.</w:t>
      </w:r>
      <w:r w:rsidRPr="00CD545B">
        <w:t xml:space="preserve"> </w:t>
      </w:r>
    </w:p>
    <w:p w14:paraId="7CB0BB0E" w14:textId="77777777" w:rsidR="005D56CF" w:rsidRDefault="005D56CF" w:rsidP="003C5981">
      <w:pPr>
        <w:rPr>
          <w:b/>
          <w:bCs/>
          <w:u w:val="single"/>
        </w:rPr>
      </w:pPr>
    </w:p>
    <w:p w14:paraId="6F1E7D5E" w14:textId="2397F624" w:rsidR="001B54B8" w:rsidRDefault="001B54B8" w:rsidP="003C5981">
      <w:pPr>
        <w:rPr>
          <w:b/>
          <w:bCs/>
        </w:rPr>
      </w:pPr>
      <w:r w:rsidRPr="006A2D9B">
        <w:rPr>
          <w:b/>
          <w:bCs/>
          <w:highlight w:val="yellow"/>
        </w:rPr>
        <w:t>Stakeholder follow-up items:</w:t>
      </w:r>
    </w:p>
    <w:p w14:paraId="5425748A" w14:textId="3BF0F874" w:rsidR="003C5981" w:rsidRDefault="00F66C03" w:rsidP="00CE6835">
      <w:pPr>
        <w:pStyle w:val="ListParagraph"/>
        <w:numPr>
          <w:ilvl w:val="0"/>
          <w:numId w:val="12"/>
        </w:numPr>
      </w:pPr>
      <w:r>
        <w:t xml:space="preserve">Metric #9 is currently non-consensus. </w:t>
      </w:r>
      <w:r w:rsidR="003C5981" w:rsidRPr="00CE6835">
        <w:t>Stakeholders will consider utility feedback on metric #9 and follow-up in 1/23 meeting.</w:t>
      </w:r>
    </w:p>
    <w:p w14:paraId="02F71576" w14:textId="467F8C13" w:rsidR="003C5981" w:rsidRDefault="00F66C03" w:rsidP="00CE6835">
      <w:pPr>
        <w:pStyle w:val="ListParagraph"/>
        <w:numPr>
          <w:ilvl w:val="0"/>
          <w:numId w:val="12"/>
        </w:numPr>
      </w:pPr>
      <w:r>
        <w:t xml:space="preserve">Metric #10 is currently non-consensus. </w:t>
      </w:r>
      <w:r w:rsidR="003C5981" w:rsidRPr="00CE6835">
        <w:t>Stakeholders will consider utility feedback on metric #10 and follow-up in 1/23 meeting.</w:t>
      </w:r>
    </w:p>
    <w:p w14:paraId="4DDF6F7F" w14:textId="77777777" w:rsidR="001B54B8" w:rsidRPr="001B54B8" w:rsidRDefault="001B54B8" w:rsidP="003C5981">
      <w:pPr>
        <w:rPr>
          <w:b/>
          <w:bCs/>
        </w:rPr>
      </w:pPr>
    </w:p>
    <w:p w14:paraId="1EAD488B" w14:textId="407F89A7" w:rsidR="001B54B8" w:rsidRDefault="001B54B8" w:rsidP="003C5981">
      <w:pPr>
        <w:rPr>
          <w:b/>
          <w:bCs/>
        </w:rPr>
      </w:pPr>
      <w:r w:rsidRPr="006A2D9B">
        <w:rPr>
          <w:b/>
          <w:bCs/>
          <w:highlight w:val="green"/>
        </w:rPr>
        <w:t>Utility follow-up items:</w:t>
      </w:r>
    </w:p>
    <w:p w14:paraId="64D7F28A" w14:textId="03809E89" w:rsidR="002028AA" w:rsidRDefault="002028AA" w:rsidP="003C5981">
      <w:pPr>
        <w:pStyle w:val="ListParagraph"/>
        <w:numPr>
          <w:ilvl w:val="0"/>
          <w:numId w:val="9"/>
        </w:numPr>
      </w:pPr>
      <w:r w:rsidRPr="002028AA">
        <w:t>Confirm utilities will present a health &amp; safety update to SAG at Feb. meetings.</w:t>
      </w:r>
    </w:p>
    <w:p w14:paraId="207DD89B" w14:textId="42C444AA" w:rsidR="002028AA" w:rsidRPr="002028AA" w:rsidRDefault="002028AA" w:rsidP="003C5981">
      <w:pPr>
        <w:pStyle w:val="ListParagraph"/>
        <w:numPr>
          <w:ilvl w:val="0"/>
          <w:numId w:val="9"/>
        </w:numPr>
      </w:pPr>
      <w:r w:rsidRPr="00A16095">
        <w:rPr>
          <w:rFonts w:cstheme="minorHAnsi"/>
        </w:rPr>
        <w:t xml:space="preserve">Stakeholders </w:t>
      </w:r>
      <w:r>
        <w:rPr>
          <w:rFonts w:cstheme="minorHAnsi"/>
        </w:rPr>
        <w:t xml:space="preserve">accept </w:t>
      </w:r>
      <w:r w:rsidRPr="00A16095">
        <w:rPr>
          <w:rFonts w:cstheme="minorHAnsi"/>
        </w:rPr>
        <w:t xml:space="preserve">PG/NSG not reporting on “why” a building could not be remediated, if already included in </w:t>
      </w:r>
      <w:proofErr w:type="spellStart"/>
      <w:r w:rsidRPr="00A16095">
        <w:rPr>
          <w:rFonts w:cstheme="minorHAnsi"/>
        </w:rPr>
        <w:t>ComEd’s</w:t>
      </w:r>
      <w:proofErr w:type="spellEnd"/>
      <w:r w:rsidRPr="00A16095">
        <w:rPr>
          <w:rFonts w:cstheme="minorHAnsi"/>
        </w:rPr>
        <w:t xml:space="preserve"> reporting for joint IQ programs.</w:t>
      </w:r>
      <w:r w:rsidR="00C80794">
        <w:rPr>
          <w:rFonts w:cstheme="minorHAnsi"/>
        </w:rPr>
        <w:t xml:space="preserve"> PG/NSG to confirm.</w:t>
      </w:r>
    </w:p>
    <w:p w14:paraId="3CC79DC4" w14:textId="6CA0A667" w:rsidR="002028AA" w:rsidRPr="00E14904" w:rsidRDefault="00E14904" w:rsidP="003C5981">
      <w:pPr>
        <w:pStyle w:val="CommentText"/>
        <w:numPr>
          <w:ilvl w:val="0"/>
          <w:numId w:val="9"/>
        </w:numPr>
        <w:spacing w:after="0"/>
        <w:rPr>
          <w:rFonts w:cstheme="minorHAnsi"/>
          <w:sz w:val="22"/>
          <w:szCs w:val="22"/>
        </w:rPr>
      </w:pPr>
      <w:r w:rsidRPr="005D05AC">
        <w:rPr>
          <w:rFonts w:cstheme="minorHAnsi"/>
          <w:color w:val="000000"/>
          <w:sz w:val="22"/>
          <w:szCs w:val="22"/>
        </w:rPr>
        <w:t xml:space="preserve">For categorization of health &amp; safety issues, stakeholders are </w:t>
      </w:r>
      <w:r w:rsidRPr="009F5256">
        <w:rPr>
          <w:rFonts w:cstheme="minorHAnsi"/>
          <w:color w:val="000000"/>
          <w:sz w:val="22"/>
          <w:szCs w:val="22"/>
        </w:rPr>
        <w:t>comfortable with the categories that Ameren provides in Q4 reports and would like other utilities to use the same categories, if possible. Ameren IL to share categories with other utilities for review.</w:t>
      </w:r>
    </w:p>
    <w:p w14:paraId="7A1B97B8" w14:textId="77777777" w:rsidR="001B54B8" w:rsidRDefault="001B54B8" w:rsidP="00E009C0">
      <w:pPr>
        <w:rPr>
          <w:b/>
          <w:bCs/>
          <w:u w:val="single"/>
        </w:rPr>
      </w:pPr>
    </w:p>
    <w:p w14:paraId="604C4748" w14:textId="77777777" w:rsidR="0077723F" w:rsidRPr="00B35245" w:rsidRDefault="0077723F" w:rsidP="0077723F">
      <w:pPr>
        <w:rPr>
          <w:b/>
          <w:bCs/>
          <w:sz w:val="24"/>
          <w:szCs w:val="24"/>
          <w:u w:val="single"/>
        </w:rPr>
      </w:pPr>
      <w:r w:rsidRPr="00B35245">
        <w:rPr>
          <w:b/>
          <w:bCs/>
          <w:sz w:val="24"/>
          <w:szCs w:val="24"/>
          <w:u w:val="single"/>
        </w:rPr>
        <w:t>Equity and Affordability Reporting Metrics</w:t>
      </w:r>
    </w:p>
    <w:p w14:paraId="695781A6" w14:textId="4FD66922" w:rsidR="0077723F" w:rsidRDefault="00CE6F1B" w:rsidP="0077723F">
      <w:r>
        <w:t xml:space="preserve">See: </w:t>
      </w:r>
      <w:hyperlink r:id="rId13" w:history="1">
        <w:r>
          <w:rPr>
            <w:rStyle w:val="Hyperlink"/>
          </w:rPr>
          <w:t>Equity and Affordability Metrics - Final Draft Clean Version</w:t>
        </w:r>
      </w:hyperlink>
    </w:p>
    <w:p w14:paraId="42B92A80" w14:textId="77777777" w:rsidR="00CE6F1B" w:rsidRDefault="00CE6F1B" w:rsidP="0077723F"/>
    <w:p w14:paraId="191F5D3D" w14:textId="77777777" w:rsidR="00EF66A9" w:rsidRPr="00EF66A9" w:rsidRDefault="00EF66A9" w:rsidP="00EF66A9">
      <w:pPr>
        <w:rPr>
          <w:b/>
          <w:bCs/>
        </w:rPr>
      </w:pPr>
      <w:r w:rsidRPr="00EF66A9">
        <w:rPr>
          <w:b/>
          <w:bCs/>
          <w:highlight w:val="cyan"/>
        </w:rPr>
        <w:t>Open Items Currently Not in Agreement:</w:t>
      </w:r>
    </w:p>
    <w:p w14:paraId="262AF4DE" w14:textId="5278FBC8" w:rsidR="0077723F" w:rsidRDefault="0077723F" w:rsidP="0077723F">
      <w:pPr>
        <w:pStyle w:val="ListParagraph"/>
        <w:numPr>
          <w:ilvl w:val="0"/>
          <w:numId w:val="21"/>
        </w:numPr>
      </w:pPr>
      <w:r w:rsidRPr="003322F6">
        <w:t>For Metrics #1-</w:t>
      </w:r>
      <w:r w:rsidR="003B7EBD">
        <w:t>2</w:t>
      </w:r>
      <w:r w:rsidRPr="003322F6">
        <w:t xml:space="preserve">, </w:t>
      </w:r>
      <w:r>
        <w:t xml:space="preserve">confirm agreement on annual (vs. quarterly) </w:t>
      </w:r>
      <w:commentRangeStart w:id="1"/>
      <w:r>
        <w:t>reporting</w:t>
      </w:r>
      <w:commentRangeEnd w:id="1"/>
      <w:r w:rsidR="00DD3822">
        <w:rPr>
          <w:rStyle w:val="CommentReference"/>
          <w:rFonts w:ascii="Calibri" w:hAnsi="Calibri" w:cs="Calibri"/>
        </w:rPr>
        <w:commentReference w:id="1"/>
      </w:r>
      <w:r>
        <w:t>.</w:t>
      </w:r>
    </w:p>
    <w:p w14:paraId="10D4AB1F" w14:textId="77777777" w:rsidR="00F464E4" w:rsidRDefault="00F464E4" w:rsidP="00F464E4">
      <w:pPr>
        <w:pStyle w:val="ListParagraph"/>
        <w:numPr>
          <w:ilvl w:val="0"/>
          <w:numId w:val="21"/>
        </w:numPr>
      </w:pPr>
      <w:r>
        <w:t xml:space="preserve">Geographic </w:t>
      </w:r>
      <w:commentRangeStart w:id="2"/>
      <w:r>
        <w:t>Reporting</w:t>
      </w:r>
      <w:commentRangeEnd w:id="2"/>
      <w:r w:rsidR="00E166E1">
        <w:rPr>
          <w:rStyle w:val="CommentReference"/>
          <w:rFonts w:ascii="Calibri" w:hAnsi="Calibri" w:cs="Calibri"/>
        </w:rPr>
        <w:commentReference w:id="2"/>
      </w:r>
      <w:r>
        <w:t>:</w:t>
      </w:r>
    </w:p>
    <w:p w14:paraId="49B58FCA" w14:textId="77777777" w:rsidR="00F464E4" w:rsidRDefault="00F464E4" w:rsidP="00F464E4">
      <w:pPr>
        <w:pStyle w:val="ListParagraph"/>
        <w:numPr>
          <w:ilvl w:val="1"/>
          <w:numId w:val="21"/>
        </w:numPr>
      </w:pPr>
      <w:r>
        <w:t>Confirm agreement on geographic reporting metric language.</w:t>
      </w:r>
    </w:p>
    <w:p w14:paraId="555A15D1" w14:textId="77777777" w:rsidR="00F464E4" w:rsidRDefault="00F464E4" w:rsidP="00F464E4">
      <w:pPr>
        <w:pStyle w:val="ListParagraph"/>
        <w:numPr>
          <w:ilvl w:val="1"/>
          <w:numId w:val="21"/>
        </w:numPr>
        <w:rPr>
          <w:rFonts w:cstheme="minorHAnsi"/>
        </w:rPr>
      </w:pPr>
      <w:r>
        <w:rPr>
          <w:rFonts w:cstheme="minorHAnsi"/>
        </w:rPr>
        <w:t>Confirm agreement on annual (vs. quarterly) geographic reporting.</w:t>
      </w:r>
    </w:p>
    <w:p w14:paraId="3CBF455C" w14:textId="2DA092DF" w:rsidR="00F464E4" w:rsidRPr="00F464E4" w:rsidRDefault="00F464E4" w:rsidP="00F464E4">
      <w:pPr>
        <w:pStyle w:val="ListParagraph"/>
        <w:numPr>
          <w:ilvl w:val="1"/>
          <w:numId w:val="21"/>
        </w:numPr>
        <w:rPr>
          <w:rFonts w:cstheme="minorHAnsi"/>
        </w:rPr>
      </w:pPr>
      <w:r>
        <w:rPr>
          <w:rFonts w:cstheme="minorHAnsi"/>
        </w:rPr>
        <w:t xml:space="preserve">Confirm utilities able to report quarterly on </w:t>
      </w:r>
      <w:r w:rsidR="007B0ED2">
        <w:rPr>
          <w:rFonts w:cstheme="minorHAnsi"/>
        </w:rPr>
        <w:t xml:space="preserve">IQ SF </w:t>
      </w:r>
      <w:r>
        <w:rPr>
          <w:rFonts w:cstheme="minorHAnsi"/>
        </w:rPr>
        <w:t>participants by zip code or census tract, starting April 1, 2024.</w:t>
      </w:r>
    </w:p>
    <w:p w14:paraId="5900A111" w14:textId="77777777" w:rsidR="0077723F" w:rsidRDefault="0077723F" w:rsidP="0077723F">
      <w:pPr>
        <w:pStyle w:val="ListParagraph"/>
        <w:numPr>
          <w:ilvl w:val="0"/>
          <w:numId w:val="21"/>
        </w:numPr>
      </w:pPr>
      <w:r>
        <w:t xml:space="preserve">One-Time Study </w:t>
      </w:r>
      <w:commentRangeStart w:id="3"/>
      <w:r>
        <w:t>Report</w:t>
      </w:r>
      <w:commentRangeEnd w:id="3"/>
      <w:r w:rsidR="0009608D">
        <w:rPr>
          <w:rStyle w:val="CommentReference"/>
          <w:rFonts w:ascii="Calibri" w:hAnsi="Calibri" w:cs="Calibri"/>
        </w:rPr>
        <w:commentReference w:id="3"/>
      </w:r>
      <w:r>
        <w:t>:</w:t>
      </w:r>
    </w:p>
    <w:p w14:paraId="083000C4" w14:textId="77777777" w:rsidR="0077723F" w:rsidRDefault="0077723F" w:rsidP="0077723F">
      <w:pPr>
        <w:pStyle w:val="ListParagraph"/>
        <w:numPr>
          <w:ilvl w:val="1"/>
          <w:numId w:val="21"/>
        </w:numPr>
        <w:rPr>
          <w:i/>
          <w:iCs/>
        </w:rPr>
      </w:pPr>
      <w:r w:rsidRPr="00492C6D">
        <w:rPr>
          <w:i/>
          <w:iCs/>
        </w:rPr>
        <w:t>Utilities will complete a one-time study no later than the end of 2026 (utilities are encouraged to collaborate on a single study that quantifies results by utility). This study will assess the level and consistency of cross referrals made by credit and collections departments to IQ EE programs, and what portion of customers receiving referrals subsequently participate in an IQ whole building program.</w:t>
      </w:r>
    </w:p>
    <w:p w14:paraId="349A0EC9" w14:textId="0F9608B9" w:rsidR="0077723F" w:rsidRPr="002B53C8" w:rsidRDefault="0077723F" w:rsidP="0077723F">
      <w:pPr>
        <w:pStyle w:val="ListParagraph"/>
        <w:numPr>
          <w:ilvl w:val="0"/>
          <w:numId w:val="21"/>
        </w:numPr>
      </w:pPr>
      <w:r w:rsidRPr="002B53C8">
        <w:t>Annual Reporting Metric</w:t>
      </w:r>
      <w:r w:rsidR="004031C9">
        <w:t xml:space="preserve"> (we did not have time to </w:t>
      </w:r>
      <w:commentRangeStart w:id="4"/>
      <w:r w:rsidR="004031C9">
        <w:t>discuss</w:t>
      </w:r>
      <w:commentRangeEnd w:id="4"/>
      <w:r w:rsidR="00AA1C43">
        <w:rPr>
          <w:rStyle w:val="CommentReference"/>
          <w:rFonts w:ascii="Calibri" w:hAnsi="Calibri" w:cs="Calibri"/>
        </w:rPr>
        <w:commentReference w:id="4"/>
      </w:r>
      <w:r w:rsidR="004031C9">
        <w:t xml:space="preserve"> in 1/16 meeting):</w:t>
      </w:r>
    </w:p>
    <w:p w14:paraId="1535F59C" w14:textId="77777777" w:rsidR="0077723F" w:rsidRPr="00492C6D" w:rsidRDefault="0077723F" w:rsidP="0077723F">
      <w:pPr>
        <w:pStyle w:val="ListParagraph"/>
        <w:numPr>
          <w:ilvl w:val="1"/>
          <w:numId w:val="21"/>
        </w:numPr>
        <w:rPr>
          <w:i/>
          <w:iCs/>
        </w:rPr>
      </w:pPr>
      <w:r w:rsidRPr="002B53C8">
        <w:rPr>
          <w:i/>
          <w:iCs/>
        </w:rPr>
        <w:t>Percentage of participants in the IQ single family whole building programs that that were in arrears at some point during the year, or that were participating in payment assistance at some point during the year.</w:t>
      </w:r>
    </w:p>
    <w:p w14:paraId="521C2B2D" w14:textId="77777777" w:rsidR="0077723F" w:rsidRDefault="0077723F" w:rsidP="0077723F"/>
    <w:p w14:paraId="1DB13E75" w14:textId="77777777" w:rsidR="0077723F" w:rsidRPr="001B54B8" w:rsidRDefault="0077723F" w:rsidP="0077723F">
      <w:pPr>
        <w:rPr>
          <w:b/>
          <w:bCs/>
        </w:rPr>
      </w:pPr>
      <w:r w:rsidRPr="001A7C66">
        <w:rPr>
          <w:b/>
          <w:bCs/>
          <w:highlight w:val="yellow"/>
        </w:rPr>
        <w:lastRenderedPageBreak/>
        <w:t>Stakeholder follow-up items:</w:t>
      </w:r>
    </w:p>
    <w:p w14:paraId="33B5D191" w14:textId="29924E08" w:rsidR="0077723F" w:rsidRDefault="0077723F" w:rsidP="0077723F">
      <w:pPr>
        <w:pStyle w:val="ListParagraph"/>
        <w:numPr>
          <w:ilvl w:val="0"/>
          <w:numId w:val="22"/>
        </w:numPr>
      </w:pPr>
      <w:r w:rsidRPr="003322F6">
        <w:t>For Metrics #1-</w:t>
      </w:r>
      <w:r w:rsidR="003B7EBD">
        <w:t>2,</w:t>
      </w:r>
      <w:r w:rsidRPr="003322F6">
        <w:t xml:space="preserve"> stakeholders to confirm annual reporting is acceptable.</w:t>
      </w:r>
    </w:p>
    <w:p w14:paraId="235C44CA" w14:textId="77777777" w:rsidR="001C3B94" w:rsidRDefault="001C3B94" w:rsidP="001C3B94">
      <w:pPr>
        <w:pStyle w:val="CommentText"/>
        <w:numPr>
          <w:ilvl w:val="0"/>
          <w:numId w:val="22"/>
        </w:numPr>
        <w:spacing w:after="0"/>
        <w:rPr>
          <w:sz w:val="22"/>
          <w:szCs w:val="22"/>
        </w:rPr>
      </w:pPr>
      <w:r>
        <w:rPr>
          <w:sz w:val="22"/>
          <w:szCs w:val="22"/>
        </w:rPr>
        <w:t>Geographic Reporting:</w:t>
      </w:r>
    </w:p>
    <w:p w14:paraId="25C7B58D" w14:textId="77777777" w:rsidR="001C3B94" w:rsidRDefault="001C3B94" w:rsidP="001C3B94">
      <w:pPr>
        <w:pStyle w:val="CommentText"/>
        <w:numPr>
          <w:ilvl w:val="1"/>
          <w:numId w:val="22"/>
        </w:numPr>
        <w:spacing w:after="0"/>
        <w:rPr>
          <w:sz w:val="22"/>
          <w:szCs w:val="22"/>
        </w:rPr>
      </w:pPr>
      <w:r>
        <w:rPr>
          <w:sz w:val="22"/>
          <w:szCs w:val="22"/>
        </w:rPr>
        <w:t>Confirm metric language is acceptable.</w:t>
      </w:r>
    </w:p>
    <w:p w14:paraId="798CB697" w14:textId="77777777" w:rsidR="001C3B94" w:rsidRPr="003D286C" w:rsidRDefault="001C3B94" w:rsidP="001C3B94">
      <w:pPr>
        <w:pStyle w:val="CommentText"/>
        <w:numPr>
          <w:ilvl w:val="1"/>
          <w:numId w:val="22"/>
        </w:numPr>
        <w:spacing w:after="0"/>
        <w:rPr>
          <w:sz w:val="22"/>
          <w:szCs w:val="22"/>
        </w:rPr>
      </w:pPr>
      <w:r>
        <w:rPr>
          <w:sz w:val="22"/>
          <w:szCs w:val="22"/>
        </w:rPr>
        <w:t>Confirm annual (vs. quarterly) reporting is acceptable.</w:t>
      </w:r>
    </w:p>
    <w:p w14:paraId="3DD99385" w14:textId="77777777" w:rsidR="00E628EC" w:rsidRPr="001B54B8" w:rsidRDefault="00E628EC" w:rsidP="0077723F">
      <w:pPr>
        <w:rPr>
          <w:b/>
          <w:bCs/>
        </w:rPr>
      </w:pPr>
    </w:p>
    <w:p w14:paraId="5A3B3334" w14:textId="77777777" w:rsidR="0077723F" w:rsidRPr="001B54B8" w:rsidRDefault="0077723F" w:rsidP="0077723F">
      <w:pPr>
        <w:rPr>
          <w:b/>
          <w:bCs/>
        </w:rPr>
      </w:pPr>
      <w:r w:rsidRPr="001A7C66">
        <w:rPr>
          <w:b/>
          <w:bCs/>
          <w:highlight w:val="green"/>
        </w:rPr>
        <w:t>Utility follow-up items:</w:t>
      </w:r>
    </w:p>
    <w:p w14:paraId="2C2847AE" w14:textId="77777777" w:rsidR="0077723F" w:rsidRDefault="0077723F" w:rsidP="0077723F">
      <w:pPr>
        <w:pStyle w:val="ListParagraph"/>
        <w:numPr>
          <w:ilvl w:val="0"/>
          <w:numId w:val="23"/>
        </w:numPr>
      </w:pPr>
      <w:r w:rsidRPr="003322F6">
        <w:t>Stakeholders could accept the utilities agreeing to a one-time study, the specifics of which can be worked out outside of the Reporting Working Group. The utilities will consider this and follow-up.</w:t>
      </w:r>
    </w:p>
    <w:p w14:paraId="669D86F6" w14:textId="023E638E" w:rsidR="00761235" w:rsidRDefault="00761235" w:rsidP="00761235">
      <w:pPr>
        <w:pStyle w:val="ListParagraph"/>
        <w:numPr>
          <w:ilvl w:val="0"/>
          <w:numId w:val="23"/>
        </w:numPr>
      </w:pPr>
      <w:r>
        <w:t>Geographic Reporting:</w:t>
      </w:r>
    </w:p>
    <w:p w14:paraId="444F7D68" w14:textId="77777777" w:rsidR="00761235" w:rsidRDefault="00761235" w:rsidP="00761235">
      <w:pPr>
        <w:pStyle w:val="CommentText"/>
        <w:numPr>
          <w:ilvl w:val="1"/>
          <w:numId w:val="23"/>
        </w:numPr>
        <w:spacing w:after="0"/>
        <w:rPr>
          <w:sz w:val="22"/>
          <w:szCs w:val="22"/>
        </w:rPr>
      </w:pPr>
      <w:r>
        <w:rPr>
          <w:sz w:val="22"/>
          <w:szCs w:val="22"/>
        </w:rPr>
        <w:t>Confirm metric language is acceptable.</w:t>
      </w:r>
    </w:p>
    <w:p w14:paraId="388AEA27" w14:textId="77777777" w:rsidR="00761235" w:rsidRDefault="00761235" w:rsidP="00761235">
      <w:pPr>
        <w:pStyle w:val="ListParagraph"/>
        <w:numPr>
          <w:ilvl w:val="1"/>
          <w:numId w:val="23"/>
        </w:numPr>
      </w:pPr>
      <w:r>
        <w:t>Whether ComEd, Nicor Gas, and PG/ NSG can report 2(b) in a similar matter to Ameren:</w:t>
      </w:r>
    </w:p>
    <w:p w14:paraId="4445BF2C" w14:textId="77777777" w:rsidR="00761235" w:rsidRDefault="00761235" w:rsidP="00761235">
      <w:pPr>
        <w:pStyle w:val="ListParagraph"/>
        <w:numPr>
          <w:ilvl w:val="2"/>
          <w:numId w:val="23"/>
        </w:numPr>
        <w:rPr>
          <w:i/>
          <w:iCs/>
        </w:rPr>
      </w:pPr>
      <w:r w:rsidRPr="00B435A9">
        <w:rPr>
          <w:i/>
          <w:iCs/>
        </w:rPr>
        <w:t>Stakeholders are interested in, at a minimum, receiving the list of building participants by zip code or census tract, starting April 1, 2024 (which is the reporting policy effective date). Stakeholders are interested in receiving this information quarterly.</w:t>
      </w:r>
    </w:p>
    <w:p w14:paraId="2ADCB445" w14:textId="259B5D02" w:rsidR="00E2757C" w:rsidRPr="00E2757C" w:rsidRDefault="00E2757C" w:rsidP="00E2757C">
      <w:pPr>
        <w:pStyle w:val="ListParagraph"/>
        <w:numPr>
          <w:ilvl w:val="0"/>
          <w:numId w:val="23"/>
        </w:numPr>
      </w:pPr>
      <w:r w:rsidRPr="00CC0FC3">
        <w:t>Utilities to share the Annual Evaluation Report metrics request with evaluation teams.</w:t>
      </w:r>
    </w:p>
    <w:p w14:paraId="07263858" w14:textId="77777777" w:rsidR="0077723F" w:rsidRDefault="0077723F" w:rsidP="00F3347B"/>
    <w:p w14:paraId="623994C1" w14:textId="77777777" w:rsidR="001C1664" w:rsidRPr="00B35245" w:rsidRDefault="001C1664" w:rsidP="001C1664">
      <w:pPr>
        <w:rPr>
          <w:b/>
          <w:bCs/>
          <w:sz w:val="24"/>
          <w:szCs w:val="24"/>
          <w:u w:val="single"/>
        </w:rPr>
      </w:pPr>
      <w:r w:rsidRPr="00B35245">
        <w:rPr>
          <w:b/>
          <w:bCs/>
          <w:sz w:val="24"/>
          <w:szCs w:val="24"/>
          <w:u w:val="single"/>
        </w:rPr>
        <w:t>Diverse Contracting Reporting Metrics</w:t>
      </w:r>
    </w:p>
    <w:p w14:paraId="560CA753" w14:textId="6E9079EA" w:rsidR="001C1664" w:rsidRPr="006C2DF9" w:rsidRDefault="006C2DF9" w:rsidP="001C1664">
      <w:r w:rsidRPr="006C2DF9">
        <w:t xml:space="preserve">See: </w:t>
      </w:r>
      <w:hyperlink r:id="rId14" w:history="1">
        <w:r>
          <w:rPr>
            <w:rStyle w:val="Hyperlink"/>
          </w:rPr>
          <w:t>Diverse Contracting Metrics - Final Draft Clean Version</w:t>
        </w:r>
      </w:hyperlink>
    </w:p>
    <w:p w14:paraId="085C42B2" w14:textId="77777777" w:rsidR="006C2DF9" w:rsidRDefault="006C2DF9" w:rsidP="001C1664">
      <w:pPr>
        <w:rPr>
          <w:b/>
          <w:bCs/>
          <w:u w:val="single"/>
        </w:rPr>
      </w:pPr>
    </w:p>
    <w:p w14:paraId="3E7BF49E" w14:textId="77777777" w:rsidR="001C1664" w:rsidRPr="00EF66A9" w:rsidRDefault="001C1664" w:rsidP="001C1664">
      <w:pPr>
        <w:rPr>
          <w:b/>
          <w:bCs/>
        </w:rPr>
      </w:pPr>
      <w:r w:rsidRPr="00EF66A9">
        <w:rPr>
          <w:b/>
          <w:bCs/>
          <w:highlight w:val="cyan"/>
        </w:rPr>
        <w:t>Open Items Currently Not in Agreement:</w:t>
      </w:r>
    </w:p>
    <w:p w14:paraId="34642698" w14:textId="77777777" w:rsidR="001C1664" w:rsidRDefault="001C1664" w:rsidP="001C1664">
      <w:pPr>
        <w:pStyle w:val="ListParagraph"/>
        <w:numPr>
          <w:ilvl w:val="0"/>
          <w:numId w:val="18"/>
        </w:numPr>
      </w:pPr>
      <w:r>
        <w:t>Confirm with utilities that bi-annual reporting is acceptable.</w:t>
      </w:r>
    </w:p>
    <w:p w14:paraId="01295CDB" w14:textId="77777777" w:rsidR="001C1664" w:rsidRDefault="001C1664" w:rsidP="001C1664">
      <w:pPr>
        <w:pStyle w:val="ListParagraph"/>
        <w:numPr>
          <w:ilvl w:val="0"/>
          <w:numId w:val="18"/>
        </w:numPr>
      </w:pPr>
      <w:r>
        <w:t>Confirm the stakeholder request for utilities to summarize diverse contracting in 2023.</w:t>
      </w:r>
    </w:p>
    <w:p w14:paraId="2ADBE38D" w14:textId="77777777" w:rsidR="001C1664" w:rsidRDefault="001C1664" w:rsidP="001C1664">
      <w:pPr>
        <w:pStyle w:val="ListParagraph"/>
        <w:numPr>
          <w:ilvl w:val="0"/>
          <w:numId w:val="18"/>
        </w:numPr>
      </w:pPr>
      <w:r>
        <w:t>This sentence in</w:t>
      </w:r>
      <w:r w:rsidRPr="00583618">
        <w:t xml:space="preserve"> Metric #1: </w:t>
      </w:r>
      <w:r w:rsidRPr="00F82BC9">
        <w:rPr>
          <w:i/>
          <w:iCs/>
        </w:rPr>
        <w:t xml:space="preserve">For each category of </w:t>
      </w:r>
      <w:commentRangeStart w:id="5"/>
      <w:r w:rsidRPr="00F82BC9">
        <w:rPr>
          <w:i/>
          <w:iCs/>
        </w:rPr>
        <w:t>diverse</w:t>
      </w:r>
      <w:commentRangeEnd w:id="5"/>
      <w:r w:rsidR="009B6283">
        <w:rPr>
          <w:rStyle w:val="CommentReference"/>
          <w:rFonts w:ascii="Calibri" w:hAnsi="Calibri" w:cs="Calibri"/>
        </w:rPr>
        <w:commentReference w:id="5"/>
      </w:r>
      <w:r w:rsidRPr="00F82BC9">
        <w:rPr>
          <w:i/>
          <w:iCs/>
        </w:rPr>
        <w:t xml:space="preserve"> business (woman-owned, minority-owned, veteran-owned, etc.) report how many are headquartered in Illinois.</w:t>
      </w:r>
    </w:p>
    <w:p w14:paraId="50B54F38" w14:textId="77777777" w:rsidR="001C1664" w:rsidRDefault="001C1664" w:rsidP="001C1664">
      <w:pPr>
        <w:pStyle w:val="ListParagraph"/>
        <w:numPr>
          <w:ilvl w:val="0"/>
          <w:numId w:val="18"/>
        </w:numPr>
      </w:pPr>
      <w:r>
        <w:t xml:space="preserve">Reporting on Community-Based </w:t>
      </w:r>
      <w:commentRangeStart w:id="6"/>
      <w:r>
        <w:t>Organizations</w:t>
      </w:r>
      <w:commentRangeEnd w:id="6"/>
      <w:r w:rsidR="009B4F47">
        <w:rPr>
          <w:rStyle w:val="CommentReference"/>
          <w:rFonts w:ascii="Calibri" w:hAnsi="Calibri" w:cs="Calibri"/>
        </w:rPr>
        <w:commentReference w:id="6"/>
      </w:r>
      <w:r>
        <w:t>, Community Action Agencies, and non-profits</w:t>
      </w:r>
    </w:p>
    <w:p w14:paraId="56AD091F" w14:textId="77777777" w:rsidR="001C1664" w:rsidRPr="00583618" w:rsidRDefault="001C1664" w:rsidP="001C1664">
      <w:pPr>
        <w:pStyle w:val="ListParagraph"/>
        <w:numPr>
          <w:ilvl w:val="0"/>
          <w:numId w:val="18"/>
        </w:numPr>
      </w:pPr>
      <w:r>
        <w:t xml:space="preserve">Once per portfolio cycle </w:t>
      </w:r>
      <w:commentRangeStart w:id="7"/>
      <w:r>
        <w:t>reporting</w:t>
      </w:r>
      <w:commentRangeEnd w:id="7"/>
      <w:r w:rsidR="00BD02A4">
        <w:rPr>
          <w:rStyle w:val="CommentReference"/>
          <w:rFonts w:ascii="Calibri" w:hAnsi="Calibri" w:cs="Calibri"/>
        </w:rPr>
        <w:commentReference w:id="7"/>
      </w:r>
    </w:p>
    <w:p w14:paraId="4743D077" w14:textId="77777777" w:rsidR="001C1664" w:rsidRDefault="001C1664" w:rsidP="001C1664">
      <w:pPr>
        <w:rPr>
          <w:b/>
          <w:bCs/>
          <w:u w:val="single"/>
        </w:rPr>
      </w:pPr>
    </w:p>
    <w:p w14:paraId="0FA135C8" w14:textId="77777777" w:rsidR="001C1664" w:rsidRPr="001B54B8" w:rsidRDefault="001C1664" w:rsidP="001C1664">
      <w:pPr>
        <w:rPr>
          <w:b/>
          <w:bCs/>
        </w:rPr>
      </w:pPr>
      <w:r w:rsidRPr="00D95D91">
        <w:rPr>
          <w:b/>
          <w:bCs/>
          <w:highlight w:val="yellow"/>
        </w:rPr>
        <w:t>Stakeholder follow-up items:</w:t>
      </w:r>
    </w:p>
    <w:p w14:paraId="3698F740" w14:textId="77777777" w:rsidR="001C1664" w:rsidRPr="00DB62B9" w:rsidRDefault="001C1664" w:rsidP="001C1664">
      <w:pPr>
        <w:pStyle w:val="ListParagraph"/>
        <w:numPr>
          <w:ilvl w:val="0"/>
          <w:numId w:val="20"/>
        </w:numPr>
      </w:pPr>
      <w:r w:rsidRPr="00DB62B9">
        <w:t>Consider the 1/16 discussion regarding “once per portfolio cycle reporting.”</w:t>
      </w:r>
    </w:p>
    <w:p w14:paraId="25521191" w14:textId="77777777" w:rsidR="001C1664" w:rsidRPr="001B54B8" w:rsidRDefault="001C1664" w:rsidP="001C1664">
      <w:pPr>
        <w:rPr>
          <w:b/>
          <w:bCs/>
        </w:rPr>
      </w:pPr>
    </w:p>
    <w:p w14:paraId="5878ADCF" w14:textId="77777777" w:rsidR="001C1664" w:rsidRPr="001B54B8" w:rsidRDefault="001C1664" w:rsidP="001C1664">
      <w:pPr>
        <w:rPr>
          <w:b/>
          <w:bCs/>
        </w:rPr>
      </w:pPr>
      <w:r w:rsidRPr="00D95D91">
        <w:rPr>
          <w:b/>
          <w:bCs/>
          <w:highlight w:val="green"/>
        </w:rPr>
        <w:t>Utility follow-up items:</w:t>
      </w:r>
    </w:p>
    <w:p w14:paraId="28B0B8A4" w14:textId="77777777" w:rsidR="001C1664" w:rsidRPr="003126E4" w:rsidRDefault="001C1664" w:rsidP="001C1664">
      <w:pPr>
        <w:pStyle w:val="ListParagraph"/>
        <w:numPr>
          <w:ilvl w:val="0"/>
          <w:numId w:val="19"/>
        </w:numPr>
      </w:pPr>
      <w:r w:rsidRPr="003126E4">
        <w:t>Confirm bi-annual reporting is acceptable.</w:t>
      </w:r>
    </w:p>
    <w:p w14:paraId="1EA82846" w14:textId="77777777" w:rsidR="001C1664" w:rsidRDefault="001C1664" w:rsidP="001C1664">
      <w:pPr>
        <w:pStyle w:val="ListParagraph"/>
        <w:numPr>
          <w:ilvl w:val="0"/>
          <w:numId w:val="19"/>
        </w:numPr>
      </w:pPr>
      <w:r w:rsidRPr="003126E4">
        <w:t>Consider the stakeholder request to summarize diverse contracting in 2023.</w:t>
      </w:r>
    </w:p>
    <w:p w14:paraId="341DBDDA" w14:textId="77777777" w:rsidR="001C1664" w:rsidRDefault="001C1664" w:rsidP="001C1664">
      <w:pPr>
        <w:pStyle w:val="ListParagraph"/>
        <w:numPr>
          <w:ilvl w:val="0"/>
          <w:numId w:val="19"/>
        </w:numPr>
      </w:pPr>
      <w:r>
        <w:t>Ameren Illinois, ComEd, and Nicor Gas to check whether referencing “primary” Trade Ally specialties is acceptable.</w:t>
      </w:r>
    </w:p>
    <w:p w14:paraId="31E967A3" w14:textId="77777777" w:rsidR="001C1664" w:rsidRPr="00F3347B" w:rsidRDefault="001C1664" w:rsidP="00F3347B"/>
    <w:p w14:paraId="4DD66938" w14:textId="56B3B795" w:rsidR="00E009C0" w:rsidRPr="00B35245" w:rsidRDefault="00E009C0" w:rsidP="00E009C0">
      <w:pPr>
        <w:rPr>
          <w:b/>
          <w:bCs/>
          <w:sz w:val="24"/>
          <w:szCs w:val="24"/>
          <w:u w:val="single"/>
        </w:rPr>
      </w:pPr>
      <w:r w:rsidRPr="00B35245">
        <w:rPr>
          <w:b/>
          <w:bCs/>
          <w:sz w:val="24"/>
          <w:szCs w:val="24"/>
          <w:u w:val="single"/>
        </w:rPr>
        <w:t>IQ Multi-Family Reporting Metrics</w:t>
      </w:r>
    </w:p>
    <w:p w14:paraId="320CD363" w14:textId="4AF66967" w:rsidR="00945119" w:rsidRDefault="006C2DF9" w:rsidP="00E009C0">
      <w:r>
        <w:t xml:space="preserve">See: </w:t>
      </w:r>
      <w:hyperlink r:id="rId15" w:history="1">
        <w:r w:rsidR="00DF0BAF">
          <w:rPr>
            <w:rStyle w:val="Hyperlink"/>
          </w:rPr>
          <w:t>IQ Multi-Family Metrics - Final Draft Clean Version</w:t>
        </w:r>
      </w:hyperlink>
    </w:p>
    <w:p w14:paraId="189EBB3F" w14:textId="77777777" w:rsidR="007213A0" w:rsidRDefault="007213A0" w:rsidP="00E009C0"/>
    <w:p w14:paraId="1EBBC9E5" w14:textId="77777777" w:rsidR="00EF66A9" w:rsidRPr="00EF66A9" w:rsidRDefault="00EF66A9" w:rsidP="00EF66A9">
      <w:pPr>
        <w:rPr>
          <w:b/>
          <w:bCs/>
        </w:rPr>
      </w:pPr>
      <w:r w:rsidRPr="00EF66A9">
        <w:rPr>
          <w:b/>
          <w:bCs/>
          <w:highlight w:val="cyan"/>
        </w:rPr>
        <w:t>Open Items Currently Not in Agreement:</w:t>
      </w:r>
    </w:p>
    <w:p w14:paraId="25D9B907" w14:textId="75CE62D8" w:rsidR="008C5E86" w:rsidRDefault="008C5E86" w:rsidP="008C5E86">
      <w:pPr>
        <w:pStyle w:val="ListParagraph"/>
        <w:numPr>
          <w:ilvl w:val="0"/>
          <w:numId w:val="24"/>
        </w:numPr>
      </w:pPr>
      <w:r w:rsidRPr="003322F6">
        <w:t xml:space="preserve">For Metrics </w:t>
      </w:r>
      <w:r>
        <w:t>(</w:t>
      </w:r>
      <w:proofErr w:type="spellStart"/>
      <w:r>
        <w:t>i</w:t>
      </w:r>
      <w:proofErr w:type="spellEnd"/>
      <w:r>
        <w:t>)</w:t>
      </w:r>
      <w:r w:rsidR="000C677D">
        <w:t xml:space="preserve">, </w:t>
      </w:r>
      <w:r w:rsidR="006A25AD">
        <w:t>the mix of buildings being treated</w:t>
      </w:r>
      <w:r w:rsidR="000C677D">
        <w:t>,</w:t>
      </w:r>
      <w:r w:rsidRPr="003322F6">
        <w:t xml:space="preserve"> </w:t>
      </w:r>
      <w:r>
        <w:t xml:space="preserve">confirm agreement on annual (vs. quarterly) </w:t>
      </w:r>
      <w:commentRangeStart w:id="8"/>
      <w:r>
        <w:t>reporting</w:t>
      </w:r>
      <w:commentRangeEnd w:id="8"/>
      <w:r w:rsidR="00335227">
        <w:rPr>
          <w:rStyle w:val="CommentReference"/>
          <w:rFonts w:ascii="Calibri" w:hAnsi="Calibri" w:cs="Calibri"/>
        </w:rPr>
        <w:commentReference w:id="8"/>
      </w:r>
      <w:r>
        <w:t>.</w:t>
      </w:r>
    </w:p>
    <w:p w14:paraId="27B5CD6D" w14:textId="475CCACB" w:rsidR="00E735A1" w:rsidRPr="006E7F99" w:rsidRDefault="00E735A1" w:rsidP="008C5E86">
      <w:pPr>
        <w:pStyle w:val="ListParagraph"/>
        <w:numPr>
          <w:ilvl w:val="0"/>
          <w:numId w:val="24"/>
        </w:numPr>
        <w:rPr>
          <w:rFonts w:cstheme="minorHAnsi"/>
        </w:rPr>
      </w:pPr>
      <w:r>
        <w:t xml:space="preserve">The </w:t>
      </w:r>
      <w:r w:rsidRPr="006E7F99">
        <w:rPr>
          <w:rFonts w:cstheme="minorHAnsi"/>
        </w:rPr>
        <w:t xml:space="preserve">IQ MF </w:t>
      </w:r>
      <w:commentRangeStart w:id="9"/>
      <w:r w:rsidRPr="006E7F99">
        <w:rPr>
          <w:rFonts w:cstheme="minorHAnsi"/>
        </w:rPr>
        <w:t>Spreadsheet</w:t>
      </w:r>
      <w:commentRangeEnd w:id="9"/>
      <w:r w:rsidR="009E08C2">
        <w:rPr>
          <w:rStyle w:val="CommentReference"/>
          <w:rFonts w:ascii="Calibri" w:hAnsi="Calibri" w:cs="Calibri"/>
        </w:rPr>
        <w:commentReference w:id="9"/>
      </w:r>
      <w:r w:rsidRPr="006E7F99">
        <w:rPr>
          <w:rFonts w:cstheme="minorHAnsi"/>
        </w:rPr>
        <w:t xml:space="preserve"> Tables are not yet in agreement, and require additional review</w:t>
      </w:r>
      <w:r w:rsidR="006E7F99" w:rsidRPr="006E7F99">
        <w:rPr>
          <w:rFonts w:cstheme="minorHAnsi"/>
        </w:rPr>
        <w:t xml:space="preserve"> by utilities and evaluators: </w:t>
      </w:r>
      <w:hyperlink r:id="rId16" w:history="1">
        <w:r w:rsidR="006E7F99" w:rsidRPr="006E7F99">
          <w:rPr>
            <w:rStyle w:val="Hyperlink"/>
            <w:rFonts w:cstheme="minorHAnsi"/>
            <w:color w:val="2D62AA"/>
          </w:rPr>
          <w:t>Income Qualified Multi-Family Reporting Tables (Excel)</w:t>
        </w:r>
      </w:hyperlink>
    </w:p>
    <w:p w14:paraId="213E8A53" w14:textId="11A72D50" w:rsidR="000C677D" w:rsidRPr="006E7F99" w:rsidRDefault="000C677D" w:rsidP="008C5E86">
      <w:pPr>
        <w:pStyle w:val="ListParagraph"/>
        <w:numPr>
          <w:ilvl w:val="0"/>
          <w:numId w:val="24"/>
        </w:numPr>
        <w:rPr>
          <w:rFonts w:cstheme="minorHAnsi"/>
        </w:rPr>
      </w:pPr>
      <w:r w:rsidRPr="006E7F99">
        <w:rPr>
          <w:rFonts w:cstheme="minorHAnsi"/>
        </w:rPr>
        <w:lastRenderedPageBreak/>
        <w:t>For Metric (</w:t>
      </w:r>
      <w:proofErr w:type="spellStart"/>
      <w:r w:rsidRPr="006E7F99">
        <w:rPr>
          <w:rFonts w:cstheme="minorHAnsi"/>
        </w:rPr>
        <w:t>i</w:t>
      </w:r>
      <w:proofErr w:type="spellEnd"/>
      <w:r w:rsidRPr="006E7F99">
        <w:rPr>
          <w:rFonts w:cstheme="minorHAnsi"/>
        </w:rPr>
        <w:t>), the mix of buildings being treated, confirm agreement on project breakdown by size.</w:t>
      </w:r>
    </w:p>
    <w:p w14:paraId="6C57B6C1" w14:textId="247D18E5" w:rsidR="00B169FF" w:rsidRPr="006E7F99" w:rsidRDefault="00B169FF" w:rsidP="008C5E86">
      <w:pPr>
        <w:pStyle w:val="ListParagraph"/>
        <w:numPr>
          <w:ilvl w:val="0"/>
          <w:numId w:val="24"/>
        </w:numPr>
        <w:rPr>
          <w:rFonts w:cstheme="minorHAnsi"/>
        </w:rPr>
      </w:pPr>
      <w:r w:rsidRPr="006E7F99">
        <w:rPr>
          <w:rFonts w:cstheme="minorHAnsi"/>
        </w:rPr>
        <w:t xml:space="preserve">For Metric (v), </w:t>
      </w:r>
      <w:r w:rsidR="006841DA" w:rsidRPr="006E7F99">
        <w:rPr>
          <w:rFonts w:cstheme="minorHAnsi"/>
        </w:rPr>
        <w:t>reporting on leveraging</w:t>
      </w:r>
      <w:r w:rsidR="00574D73" w:rsidRPr="006E7F99">
        <w:rPr>
          <w:rFonts w:cstheme="minorHAnsi"/>
        </w:rPr>
        <w:t xml:space="preserve"> funding </w:t>
      </w:r>
      <w:commentRangeStart w:id="10"/>
      <w:r w:rsidR="00574D73" w:rsidRPr="006E7F99">
        <w:rPr>
          <w:rFonts w:cstheme="minorHAnsi"/>
        </w:rPr>
        <w:t>sources</w:t>
      </w:r>
      <w:commentRangeEnd w:id="10"/>
      <w:r w:rsidR="003E27A4">
        <w:rPr>
          <w:rStyle w:val="CommentReference"/>
          <w:rFonts w:ascii="Calibri" w:hAnsi="Calibri" w:cs="Calibri"/>
        </w:rPr>
        <w:commentReference w:id="10"/>
      </w:r>
      <w:r w:rsidR="00574D73" w:rsidRPr="006E7F99">
        <w:rPr>
          <w:rFonts w:cstheme="minorHAnsi"/>
        </w:rPr>
        <w:t>.</w:t>
      </w:r>
    </w:p>
    <w:p w14:paraId="5545DF6A" w14:textId="5DD71195" w:rsidR="00386637" w:rsidRDefault="00F46932" w:rsidP="008C5E86">
      <w:pPr>
        <w:pStyle w:val="ListParagraph"/>
        <w:numPr>
          <w:ilvl w:val="0"/>
          <w:numId w:val="24"/>
        </w:numPr>
        <w:rPr>
          <w:rFonts w:cstheme="minorHAnsi"/>
        </w:rPr>
      </w:pPr>
      <w:r w:rsidRPr="006E7F99">
        <w:rPr>
          <w:rFonts w:cstheme="minorHAnsi"/>
        </w:rPr>
        <w:t>Whether it’s possible from a database perspective for utilities to report</w:t>
      </w:r>
      <w:r w:rsidR="00386637" w:rsidRPr="006E7F99">
        <w:rPr>
          <w:rFonts w:cstheme="minorHAnsi"/>
        </w:rPr>
        <w:t xml:space="preserve"> the reasons why a project </w:t>
      </w:r>
      <w:r w:rsidR="006E7F99" w:rsidRPr="006E7F99">
        <w:rPr>
          <w:rFonts w:cstheme="minorHAnsi"/>
        </w:rPr>
        <w:t xml:space="preserve">was </w:t>
      </w:r>
      <w:r w:rsidR="00386637" w:rsidRPr="006E7F99">
        <w:rPr>
          <w:rFonts w:cstheme="minorHAnsi"/>
        </w:rPr>
        <w:t>qualified, but the measures were not installed.</w:t>
      </w:r>
    </w:p>
    <w:p w14:paraId="3E3C0834" w14:textId="77777777" w:rsidR="00304E24" w:rsidRDefault="00304E24" w:rsidP="00F3091D">
      <w:pPr>
        <w:pStyle w:val="ListParagraph"/>
        <w:numPr>
          <w:ilvl w:val="0"/>
          <w:numId w:val="24"/>
        </w:numPr>
      </w:pPr>
      <w:r>
        <w:t xml:space="preserve">Geographic </w:t>
      </w:r>
      <w:commentRangeStart w:id="11"/>
      <w:r>
        <w:t>Reporting</w:t>
      </w:r>
      <w:commentRangeEnd w:id="11"/>
      <w:r w:rsidR="0072358D">
        <w:rPr>
          <w:rStyle w:val="CommentReference"/>
          <w:rFonts w:ascii="Calibri" w:hAnsi="Calibri" w:cs="Calibri"/>
        </w:rPr>
        <w:commentReference w:id="11"/>
      </w:r>
      <w:r>
        <w:t>:</w:t>
      </w:r>
    </w:p>
    <w:p w14:paraId="569FF93E" w14:textId="649B8B4D" w:rsidR="00F3091D" w:rsidRDefault="00F3091D" w:rsidP="00304E24">
      <w:pPr>
        <w:pStyle w:val="ListParagraph"/>
        <w:numPr>
          <w:ilvl w:val="1"/>
          <w:numId w:val="24"/>
        </w:numPr>
      </w:pPr>
      <w:r>
        <w:t>Confirm agreement on geographic reporting metric language.</w:t>
      </w:r>
    </w:p>
    <w:p w14:paraId="19687011" w14:textId="6D21F299" w:rsidR="00F3091D" w:rsidRDefault="000E344E" w:rsidP="00304E24">
      <w:pPr>
        <w:pStyle w:val="ListParagraph"/>
        <w:numPr>
          <w:ilvl w:val="1"/>
          <w:numId w:val="24"/>
        </w:numPr>
        <w:rPr>
          <w:rFonts w:cstheme="minorHAnsi"/>
        </w:rPr>
      </w:pPr>
      <w:r>
        <w:rPr>
          <w:rFonts w:cstheme="minorHAnsi"/>
        </w:rPr>
        <w:t>Confirm agreement on annual (vs. quarterly) geographic reporting.</w:t>
      </w:r>
    </w:p>
    <w:p w14:paraId="25BD99A1" w14:textId="5344584A" w:rsidR="00304E24" w:rsidRPr="006E7F99" w:rsidRDefault="00304E24" w:rsidP="00304E24">
      <w:pPr>
        <w:pStyle w:val="ListParagraph"/>
        <w:numPr>
          <w:ilvl w:val="1"/>
          <w:numId w:val="24"/>
        </w:numPr>
        <w:rPr>
          <w:rFonts w:cstheme="minorHAnsi"/>
        </w:rPr>
      </w:pPr>
      <w:r>
        <w:rPr>
          <w:rFonts w:cstheme="minorHAnsi"/>
        </w:rPr>
        <w:t xml:space="preserve">Confirm utilities able to report </w:t>
      </w:r>
      <w:r w:rsidR="00643360">
        <w:rPr>
          <w:rFonts w:cstheme="minorHAnsi"/>
        </w:rPr>
        <w:t xml:space="preserve">quarterly </w:t>
      </w:r>
      <w:r>
        <w:rPr>
          <w:rFonts w:cstheme="minorHAnsi"/>
        </w:rPr>
        <w:t>on</w:t>
      </w:r>
      <w:r w:rsidR="00643360">
        <w:rPr>
          <w:rFonts w:cstheme="minorHAnsi"/>
        </w:rPr>
        <w:t xml:space="preserve"> building participants by zip code or census tract, starting April 1, 2024.</w:t>
      </w:r>
    </w:p>
    <w:p w14:paraId="5ADF9A49" w14:textId="77777777" w:rsidR="00583618" w:rsidRDefault="00583618" w:rsidP="00E009C0"/>
    <w:p w14:paraId="3BE288BD" w14:textId="77777777" w:rsidR="002028AA" w:rsidRPr="001B54B8" w:rsidRDefault="002028AA" w:rsidP="002028AA">
      <w:pPr>
        <w:rPr>
          <w:b/>
          <w:bCs/>
        </w:rPr>
      </w:pPr>
      <w:r w:rsidRPr="00C2093E">
        <w:rPr>
          <w:b/>
          <w:bCs/>
          <w:highlight w:val="yellow"/>
        </w:rPr>
        <w:t>Stakeholder follow-up items:</w:t>
      </w:r>
    </w:p>
    <w:p w14:paraId="6FDB8A02" w14:textId="77777777" w:rsidR="003D286C" w:rsidRDefault="00C2093E" w:rsidP="003D286C">
      <w:pPr>
        <w:pStyle w:val="CommentText"/>
        <w:numPr>
          <w:ilvl w:val="0"/>
          <w:numId w:val="16"/>
        </w:numPr>
        <w:spacing w:after="0"/>
        <w:rPr>
          <w:sz w:val="22"/>
          <w:szCs w:val="22"/>
        </w:rPr>
      </w:pPr>
      <w:r w:rsidRPr="00C2093E">
        <w:rPr>
          <w:sz w:val="22"/>
          <w:szCs w:val="22"/>
        </w:rPr>
        <w:t>Gathering data on subsidized vs. unsubsidized properties:</w:t>
      </w:r>
    </w:p>
    <w:p w14:paraId="184AA1DD" w14:textId="77777777" w:rsidR="003D286C" w:rsidRDefault="00C2093E" w:rsidP="003D286C">
      <w:pPr>
        <w:pStyle w:val="CommentText"/>
        <w:numPr>
          <w:ilvl w:val="1"/>
          <w:numId w:val="16"/>
        </w:numPr>
        <w:spacing w:after="0"/>
        <w:rPr>
          <w:sz w:val="22"/>
          <w:szCs w:val="22"/>
        </w:rPr>
      </w:pPr>
      <w:r w:rsidRPr="003D286C">
        <w:rPr>
          <w:sz w:val="22"/>
          <w:szCs w:val="22"/>
        </w:rPr>
        <w:t xml:space="preserve">Is there another way this data could be gathered? Stakeholders want to see how this is changing or not, over time. </w:t>
      </w:r>
    </w:p>
    <w:p w14:paraId="7CA4849C" w14:textId="036D6F11" w:rsidR="002028AA" w:rsidRDefault="00C2093E" w:rsidP="003D286C">
      <w:pPr>
        <w:pStyle w:val="CommentText"/>
        <w:numPr>
          <w:ilvl w:val="1"/>
          <w:numId w:val="16"/>
        </w:numPr>
        <w:spacing w:after="0"/>
        <w:rPr>
          <w:sz w:val="22"/>
          <w:szCs w:val="22"/>
        </w:rPr>
      </w:pPr>
      <w:r w:rsidRPr="003D286C">
        <w:rPr>
          <w:sz w:val="22"/>
          <w:szCs w:val="22"/>
        </w:rPr>
        <w:t>Stakeholders will consider whether they would be comfortable with an annual metric, instead of quarterly.</w:t>
      </w:r>
    </w:p>
    <w:p w14:paraId="1615F4CD" w14:textId="12D4898D" w:rsidR="003D286C" w:rsidRDefault="003D286C" w:rsidP="003D286C">
      <w:pPr>
        <w:pStyle w:val="CommentText"/>
        <w:numPr>
          <w:ilvl w:val="0"/>
          <w:numId w:val="16"/>
        </w:numPr>
        <w:spacing w:after="0"/>
        <w:rPr>
          <w:sz w:val="22"/>
          <w:szCs w:val="22"/>
        </w:rPr>
      </w:pPr>
      <w:r>
        <w:rPr>
          <w:sz w:val="22"/>
          <w:szCs w:val="22"/>
        </w:rPr>
        <w:t>Geographic Reporting:</w:t>
      </w:r>
    </w:p>
    <w:p w14:paraId="667DC7B9" w14:textId="0CDD7DE8" w:rsidR="003D286C" w:rsidRDefault="00623C45" w:rsidP="003D286C">
      <w:pPr>
        <w:pStyle w:val="CommentText"/>
        <w:numPr>
          <w:ilvl w:val="1"/>
          <w:numId w:val="16"/>
        </w:numPr>
        <w:spacing w:after="0"/>
        <w:rPr>
          <w:sz w:val="22"/>
          <w:szCs w:val="22"/>
        </w:rPr>
      </w:pPr>
      <w:r>
        <w:rPr>
          <w:sz w:val="22"/>
          <w:szCs w:val="22"/>
        </w:rPr>
        <w:t>Confirm metric language is acceptable.</w:t>
      </w:r>
    </w:p>
    <w:p w14:paraId="6B560C39" w14:textId="029069E3" w:rsidR="00623C45" w:rsidRPr="003D286C" w:rsidRDefault="00BF0D74" w:rsidP="003D286C">
      <w:pPr>
        <w:pStyle w:val="CommentText"/>
        <w:numPr>
          <w:ilvl w:val="1"/>
          <w:numId w:val="16"/>
        </w:numPr>
        <w:spacing w:after="0"/>
        <w:rPr>
          <w:sz w:val="22"/>
          <w:szCs w:val="22"/>
        </w:rPr>
      </w:pPr>
      <w:r>
        <w:rPr>
          <w:sz w:val="22"/>
          <w:szCs w:val="22"/>
        </w:rPr>
        <w:t>Confirm annual (vs. quarterly) reporting is acceptable.</w:t>
      </w:r>
    </w:p>
    <w:p w14:paraId="5D588C37" w14:textId="77777777" w:rsidR="00C2093E" w:rsidRPr="001B54B8" w:rsidRDefault="00C2093E" w:rsidP="002028AA">
      <w:pPr>
        <w:rPr>
          <w:b/>
          <w:bCs/>
        </w:rPr>
      </w:pPr>
    </w:p>
    <w:p w14:paraId="4E805F97" w14:textId="77777777" w:rsidR="002028AA" w:rsidRPr="001B54B8" w:rsidRDefault="002028AA" w:rsidP="002028AA">
      <w:pPr>
        <w:rPr>
          <w:b/>
          <w:bCs/>
        </w:rPr>
      </w:pPr>
      <w:r w:rsidRPr="00B7216F">
        <w:rPr>
          <w:b/>
          <w:bCs/>
          <w:highlight w:val="green"/>
        </w:rPr>
        <w:t>Utility follow-up items:</w:t>
      </w:r>
    </w:p>
    <w:p w14:paraId="1CCD7BCE" w14:textId="6D7F9274" w:rsidR="002028AA" w:rsidRDefault="00E9137D" w:rsidP="00E9137D">
      <w:pPr>
        <w:pStyle w:val="ListParagraph"/>
        <w:numPr>
          <w:ilvl w:val="0"/>
          <w:numId w:val="14"/>
        </w:numPr>
      </w:pPr>
      <w:r w:rsidRPr="00E9137D">
        <w:t>Utilities will review the project breakdown edited during 12/19 meeting and share feedback</w:t>
      </w:r>
      <w:r>
        <w:t>.</w:t>
      </w:r>
    </w:p>
    <w:p w14:paraId="08A41758" w14:textId="4B4D8F22" w:rsidR="00E9137D" w:rsidRDefault="00E9137D" w:rsidP="00E9137D">
      <w:pPr>
        <w:pStyle w:val="ListParagraph"/>
        <w:numPr>
          <w:ilvl w:val="0"/>
          <w:numId w:val="14"/>
        </w:numPr>
      </w:pPr>
      <w:r>
        <w:t>Utilities will consider a compromise proposal for leveraging reporting.</w:t>
      </w:r>
    </w:p>
    <w:p w14:paraId="4A86A5DE" w14:textId="527D5B9B" w:rsidR="009F5256" w:rsidRDefault="009F5256" w:rsidP="009F5256">
      <w:pPr>
        <w:pStyle w:val="ListParagraph"/>
        <w:numPr>
          <w:ilvl w:val="0"/>
          <w:numId w:val="14"/>
        </w:numPr>
      </w:pPr>
      <w:r>
        <w:t>Stakeholders are interested in the reasons why participating buildings are not receiving comprehensive upgrades / how often. Utilities to check on what modifications do the database would be needed to gather this information, and the timing for those modifications</w:t>
      </w:r>
      <w:r w:rsidR="00CD3869">
        <w:t>.</w:t>
      </w:r>
    </w:p>
    <w:p w14:paraId="26F7C12B" w14:textId="77777777" w:rsidR="000E60C8" w:rsidRDefault="000E60C8" w:rsidP="000E60C8">
      <w:pPr>
        <w:pStyle w:val="ListParagraph"/>
        <w:numPr>
          <w:ilvl w:val="0"/>
          <w:numId w:val="14"/>
        </w:numPr>
      </w:pPr>
      <w:r>
        <w:t>Each of the utilities to check with evaluation teams on using the Excel tables proposed by stakeholders in annual evaluation reports</w:t>
      </w:r>
    </w:p>
    <w:p w14:paraId="09BA5668" w14:textId="77777777" w:rsidR="000E60C8" w:rsidRDefault="000E60C8" w:rsidP="000E60C8">
      <w:pPr>
        <w:pStyle w:val="ListParagraph"/>
        <w:numPr>
          <w:ilvl w:val="1"/>
          <w:numId w:val="14"/>
        </w:numPr>
      </w:pPr>
      <w:r>
        <w:t>Does the Excel table need to be edited to reflect buildings and units?</w:t>
      </w:r>
    </w:p>
    <w:p w14:paraId="4C9187B5" w14:textId="77777777" w:rsidR="000E60C8" w:rsidRDefault="000E60C8" w:rsidP="000E60C8">
      <w:pPr>
        <w:pStyle w:val="ListParagraph"/>
        <w:numPr>
          <w:ilvl w:val="1"/>
          <w:numId w:val="14"/>
        </w:numPr>
      </w:pPr>
      <w:r>
        <w:t>Do the evaluators think any other edits are needed to Excel tables?</w:t>
      </w:r>
    </w:p>
    <w:p w14:paraId="4A485877" w14:textId="060FFFE0" w:rsidR="000E60C8" w:rsidRDefault="000E60C8" w:rsidP="000E60C8">
      <w:pPr>
        <w:pStyle w:val="ListParagraph"/>
        <w:numPr>
          <w:ilvl w:val="1"/>
          <w:numId w:val="14"/>
        </w:numPr>
      </w:pPr>
      <w:r>
        <w:t>Discuss the possibility of evaluation research on buildings not getting treated by IQ MF programs</w:t>
      </w:r>
    </w:p>
    <w:p w14:paraId="35429799" w14:textId="6D05BB4A" w:rsidR="0062742A" w:rsidRDefault="0062742A" w:rsidP="0062742A">
      <w:pPr>
        <w:pStyle w:val="ListParagraph"/>
        <w:numPr>
          <w:ilvl w:val="0"/>
          <w:numId w:val="14"/>
        </w:numPr>
      </w:pPr>
      <w:r>
        <w:t>Geographic Reporting:</w:t>
      </w:r>
    </w:p>
    <w:p w14:paraId="7DD128F0" w14:textId="77777777" w:rsidR="00B86575" w:rsidRDefault="00B86575" w:rsidP="00B86575">
      <w:pPr>
        <w:pStyle w:val="CommentText"/>
        <w:numPr>
          <w:ilvl w:val="1"/>
          <w:numId w:val="14"/>
        </w:numPr>
        <w:spacing w:after="0"/>
        <w:rPr>
          <w:sz w:val="22"/>
          <w:szCs w:val="22"/>
        </w:rPr>
      </w:pPr>
      <w:r>
        <w:rPr>
          <w:sz w:val="22"/>
          <w:szCs w:val="22"/>
        </w:rPr>
        <w:t>Confirm metric language is acceptable.</w:t>
      </w:r>
    </w:p>
    <w:p w14:paraId="5DB86389" w14:textId="1E24D2D5" w:rsidR="0062742A" w:rsidRDefault="00B435A9" w:rsidP="0062742A">
      <w:pPr>
        <w:pStyle w:val="ListParagraph"/>
        <w:numPr>
          <w:ilvl w:val="1"/>
          <w:numId w:val="14"/>
        </w:numPr>
      </w:pPr>
      <w:r>
        <w:t>Whether ComEd, Nicor Gas, and PG/ NSG can report 2(b) in a similar matter to Ameren:</w:t>
      </w:r>
    </w:p>
    <w:p w14:paraId="215130AA" w14:textId="13FAE88A" w:rsidR="00B435A9" w:rsidRPr="00B435A9" w:rsidRDefault="00B435A9" w:rsidP="00B435A9">
      <w:pPr>
        <w:pStyle w:val="ListParagraph"/>
        <w:numPr>
          <w:ilvl w:val="2"/>
          <w:numId w:val="14"/>
        </w:numPr>
        <w:rPr>
          <w:i/>
          <w:iCs/>
        </w:rPr>
      </w:pPr>
      <w:r w:rsidRPr="00B435A9">
        <w:rPr>
          <w:i/>
          <w:iCs/>
        </w:rPr>
        <w:t>Stakeholders are interested in, at a minimum, receiving the list of building participants by zip code or census tract, starting April 1, 2024 (which is the reporting policy effective date). Stakeholders are interested in receiving this information quarterly.</w:t>
      </w:r>
    </w:p>
    <w:p w14:paraId="7F525B6E" w14:textId="77777777" w:rsidR="00945119" w:rsidRDefault="00945119" w:rsidP="00E009C0"/>
    <w:p w14:paraId="4548BC42" w14:textId="672F15F6" w:rsidR="002A0FFC" w:rsidRDefault="002A0FFC" w:rsidP="00B35CC6"/>
    <w:sectPr w:rsidR="002A0FFC">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4-01-22T17:00:00Z" w:initials="CJ">
    <w:p w14:paraId="2CD0A9D4" w14:textId="77777777" w:rsidR="000A3085" w:rsidRPr="000A3085" w:rsidRDefault="000A3085" w:rsidP="000A3085">
      <w:pPr>
        <w:pStyle w:val="CommentText"/>
        <w:rPr>
          <w:rFonts w:asciiTheme="minorHAnsi" w:hAnsiTheme="minorHAnsi" w:cstheme="minorBidi"/>
        </w:rPr>
      </w:pPr>
      <w:r>
        <w:rPr>
          <w:rStyle w:val="CommentReference"/>
        </w:rPr>
        <w:annotationRef/>
      </w:r>
      <w:r w:rsidRPr="000A3085">
        <w:rPr>
          <w:b/>
          <w:bCs/>
          <w:u w:val="single"/>
        </w:rPr>
        <w:t>Stakeholder Proposed Compromise for 1/24</w:t>
      </w:r>
    </w:p>
    <w:p w14:paraId="20F9F07B" w14:textId="5C0FF53E" w:rsidR="000A3085" w:rsidRDefault="000A3085" w:rsidP="000A3085">
      <w:pPr>
        <w:pStyle w:val="CommentText"/>
      </w:pPr>
      <w:r w:rsidRPr="000A3085">
        <w:t>Stakeholders will drop #9 % by program channel metric, as long as the utilities report annually on health and safety spending by program channel – see redline edit in #7</w:t>
      </w:r>
    </w:p>
  </w:comment>
  <w:comment w:id="1" w:author="Celia Johnson" w:date="2024-01-22T15:27:00Z" w:initials="CJ">
    <w:p w14:paraId="798A00CB" w14:textId="67ACF43B" w:rsidR="00A82B1B" w:rsidRDefault="00DD3822" w:rsidP="00A82B1B">
      <w:pPr>
        <w:pStyle w:val="CommentText"/>
        <w:rPr>
          <w:b/>
          <w:bCs/>
          <w:u w:val="single"/>
        </w:rPr>
      </w:pPr>
      <w:r>
        <w:rPr>
          <w:rStyle w:val="CommentReference"/>
        </w:rPr>
        <w:annotationRef/>
      </w:r>
      <w:r w:rsidR="00A82B1B" w:rsidRPr="00A71727">
        <w:rPr>
          <w:b/>
          <w:bCs/>
          <w:u w:val="single"/>
        </w:rPr>
        <w:t>Stakeholder Proposed Compromise</w:t>
      </w:r>
      <w:r w:rsidR="0009608D">
        <w:rPr>
          <w:b/>
          <w:bCs/>
          <w:u w:val="single"/>
        </w:rPr>
        <w:t xml:space="preserve"> for 1/23</w:t>
      </w:r>
    </w:p>
    <w:p w14:paraId="4ACD9EEA" w14:textId="09EF7583" w:rsidR="00DD3822" w:rsidRDefault="0001634E" w:rsidP="00A82B1B">
      <w:pPr>
        <w:pStyle w:val="CommentText"/>
      </w:pPr>
      <w:r>
        <w:t>Stakeholders accept annual reporting on metrics 1 and 2. However, stakeholders want the information requested in 2(b) for the 2023 program year – see redline edits. Stakeholders also edited 2(a) to add “no later than end of Q2.”</w:t>
      </w:r>
    </w:p>
  </w:comment>
  <w:comment w:id="2" w:author="Celia Johnson" w:date="2024-01-23T06:04:00Z" w:initials="CJ">
    <w:p w14:paraId="6685CA85" w14:textId="77777777" w:rsidR="00E166E1" w:rsidRDefault="00E166E1">
      <w:pPr>
        <w:pStyle w:val="CommentText"/>
        <w:rPr>
          <w:b/>
          <w:bCs/>
          <w:u w:val="single"/>
        </w:rPr>
      </w:pPr>
      <w:r>
        <w:rPr>
          <w:rStyle w:val="CommentReference"/>
        </w:rPr>
        <w:annotationRef/>
      </w:r>
      <w:r w:rsidRPr="0009608D">
        <w:rPr>
          <w:b/>
          <w:bCs/>
          <w:u w:val="single"/>
        </w:rPr>
        <w:t xml:space="preserve">Stakeholders </w:t>
      </w:r>
      <w:r>
        <w:rPr>
          <w:b/>
          <w:bCs/>
          <w:u w:val="single"/>
        </w:rPr>
        <w:t>Comments</w:t>
      </w:r>
      <w:r w:rsidRPr="0009608D">
        <w:rPr>
          <w:b/>
          <w:bCs/>
          <w:u w:val="single"/>
        </w:rPr>
        <w:t xml:space="preserve"> for 1/23</w:t>
      </w:r>
    </w:p>
    <w:p w14:paraId="25F89943" w14:textId="6A1913B8" w:rsidR="00E166E1" w:rsidRPr="005133D6" w:rsidRDefault="00E166E1">
      <w:pPr>
        <w:pStyle w:val="CommentText"/>
      </w:pPr>
      <w:r w:rsidRPr="005133D6">
        <w:t xml:space="preserve">See redline edits </w:t>
      </w:r>
      <w:r w:rsidR="005133D6" w:rsidRPr="005133D6">
        <w:t>in metrics document</w:t>
      </w:r>
    </w:p>
  </w:comment>
  <w:comment w:id="3" w:author="Celia Johnson" w:date="2024-01-22T16:01:00Z" w:initials="CJ">
    <w:p w14:paraId="2E4D2E60" w14:textId="765A8DEA" w:rsidR="0009608D" w:rsidRPr="0009608D" w:rsidRDefault="0009608D" w:rsidP="0009608D">
      <w:pPr>
        <w:pStyle w:val="CommentText"/>
        <w:rPr>
          <w:b/>
          <w:bCs/>
          <w:u w:val="single"/>
        </w:rPr>
      </w:pPr>
      <w:r>
        <w:rPr>
          <w:rStyle w:val="CommentReference"/>
        </w:rPr>
        <w:annotationRef/>
      </w:r>
      <w:r w:rsidRPr="0009608D">
        <w:rPr>
          <w:b/>
          <w:bCs/>
          <w:u w:val="single"/>
        </w:rPr>
        <w:t xml:space="preserve">Stakeholders </w:t>
      </w:r>
      <w:r w:rsidR="00F0564A">
        <w:rPr>
          <w:b/>
          <w:bCs/>
          <w:u w:val="single"/>
        </w:rPr>
        <w:t>Comments</w:t>
      </w:r>
      <w:r w:rsidRPr="0009608D">
        <w:rPr>
          <w:b/>
          <w:bCs/>
          <w:u w:val="single"/>
        </w:rPr>
        <w:t xml:space="preserve"> for 1/23</w:t>
      </w:r>
    </w:p>
    <w:p w14:paraId="04E5E9E1" w14:textId="61F8D424" w:rsidR="0009608D" w:rsidRDefault="0009608D" w:rsidP="0009608D">
      <w:pPr>
        <w:pStyle w:val="CommentText"/>
      </w:pPr>
      <w:r w:rsidRPr="0009608D">
        <w:t>It’s important to stakeholders to capture an agreement to perform a one-time study. The reporting metrics documents will be posted on the SAG website for reference, summarizing the agreement reached.</w:t>
      </w:r>
    </w:p>
  </w:comment>
  <w:comment w:id="4" w:author="Celia Johnson" w:date="2024-01-22T15:58:00Z" w:initials="CJ">
    <w:p w14:paraId="3E866CD2" w14:textId="77777777" w:rsidR="00AA1C43" w:rsidRPr="00811F80" w:rsidRDefault="00AA1C43" w:rsidP="00AA1C43">
      <w:pPr>
        <w:pStyle w:val="CommentText"/>
        <w:rPr>
          <w:b/>
          <w:bCs/>
          <w:u w:val="single"/>
        </w:rPr>
      </w:pPr>
      <w:r>
        <w:rPr>
          <w:rStyle w:val="CommentReference"/>
        </w:rPr>
        <w:annotationRef/>
      </w:r>
      <w:r w:rsidRPr="00811F80">
        <w:rPr>
          <w:b/>
          <w:bCs/>
          <w:u w:val="single"/>
        </w:rPr>
        <w:t>Stakeholders Proposed Compromise for 1/23</w:t>
      </w:r>
    </w:p>
    <w:p w14:paraId="0F16DEF1" w14:textId="5A82DCEB" w:rsidR="00AA1C43" w:rsidRDefault="00AA1C43" w:rsidP="00AA1C43">
      <w:pPr>
        <w:pStyle w:val="CommentText"/>
      </w:pPr>
      <w:r>
        <w:t xml:space="preserve">See clarifying </w:t>
      </w:r>
      <w:r w:rsidR="005133D6">
        <w:t xml:space="preserve">redline </w:t>
      </w:r>
      <w:r>
        <w:t xml:space="preserve">edits in </w:t>
      </w:r>
      <w:r w:rsidR="005133D6">
        <w:t xml:space="preserve">metrics document, in </w:t>
      </w:r>
      <w:r>
        <w:t>response to utility feedback</w:t>
      </w:r>
    </w:p>
  </w:comment>
  <w:comment w:id="5" w:author="Celia Johnson" w:date="2024-01-22T16:19:00Z" w:initials="CJ">
    <w:p w14:paraId="065D48F5" w14:textId="3656EE91" w:rsidR="003C385F" w:rsidRPr="00532E29" w:rsidRDefault="009B6283">
      <w:pPr>
        <w:pStyle w:val="CommentText"/>
        <w:rPr>
          <w:b/>
          <w:bCs/>
          <w:u w:val="single"/>
        </w:rPr>
      </w:pPr>
      <w:r>
        <w:rPr>
          <w:rStyle w:val="CommentReference"/>
        </w:rPr>
        <w:annotationRef/>
      </w:r>
      <w:r w:rsidR="003C385F" w:rsidRPr="00532E29">
        <w:rPr>
          <w:b/>
          <w:bCs/>
          <w:u w:val="single"/>
        </w:rPr>
        <w:t>Stakeholder Comment for 1/23 Meeting</w:t>
      </w:r>
    </w:p>
    <w:p w14:paraId="5FCA40AF" w14:textId="191BF434" w:rsidR="009B6283" w:rsidRDefault="009B6283">
      <w:pPr>
        <w:pStyle w:val="CommentText"/>
      </w:pPr>
      <w:r w:rsidRPr="00532E29">
        <w:t xml:space="preserve">Stakeholders feel strongly about </w:t>
      </w:r>
      <w:r w:rsidR="009B4F47" w:rsidRPr="00532E29">
        <w:t xml:space="preserve">keeping </w:t>
      </w:r>
      <w:r w:rsidR="003B5E9E" w:rsidRPr="00532E29">
        <w:t>this metric language.</w:t>
      </w:r>
    </w:p>
  </w:comment>
  <w:comment w:id="6" w:author="Celia Johnson" w:date="2024-01-22T16:22:00Z" w:initials="CJ">
    <w:p w14:paraId="3FB7E7B2" w14:textId="77777777" w:rsidR="009B4F47" w:rsidRPr="00532E29" w:rsidRDefault="009B4F47" w:rsidP="009B4F47">
      <w:pPr>
        <w:pStyle w:val="CommentText"/>
        <w:rPr>
          <w:b/>
          <w:bCs/>
          <w:u w:val="single"/>
        </w:rPr>
      </w:pPr>
      <w:r>
        <w:rPr>
          <w:rStyle w:val="CommentReference"/>
        </w:rPr>
        <w:annotationRef/>
      </w:r>
      <w:r w:rsidRPr="00532E29">
        <w:rPr>
          <w:b/>
          <w:bCs/>
          <w:u w:val="single"/>
        </w:rPr>
        <w:t>Stakeholder Comment for 1/23 Meeting</w:t>
      </w:r>
    </w:p>
    <w:p w14:paraId="16DCCE91" w14:textId="0D406944" w:rsidR="009B4F47" w:rsidRDefault="009B4F47" w:rsidP="009B4F47">
      <w:pPr>
        <w:pStyle w:val="CommentText"/>
      </w:pPr>
      <w:r w:rsidRPr="00532E29">
        <w:t>Stakeholders feel strongly about keeping this metric language.</w:t>
      </w:r>
    </w:p>
  </w:comment>
  <w:comment w:id="7" w:author="Celia Johnson" w:date="2024-01-22T16:22:00Z" w:initials="CJ">
    <w:p w14:paraId="5731937E" w14:textId="77777777" w:rsidR="00BD02A4" w:rsidRPr="00532E29" w:rsidRDefault="00BD02A4" w:rsidP="00BD02A4">
      <w:pPr>
        <w:pStyle w:val="CommentText"/>
        <w:rPr>
          <w:b/>
          <w:bCs/>
          <w:u w:val="single"/>
        </w:rPr>
      </w:pPr>
      <w:r w:rsidRPr="00532E29">
        <w:rPr>
          <w:rStyle w:val="CommentReference"/>
        </w:rPr>
        <w:annotationRef/>
      </w:r>
      <w:r w:rsidRPr="00532E29">
        <w:rPr>
          <w:b/>
          <w:bCs/>
          <w:u w:val="single"/>
        </w:rPr>
        <w:t>Stakeholders Comments for 1/23</w:t>
      </w:r>
    </w:p>
    <w:p w14:paraId="23F43C2A" w14:textId="77777777" w:rsidR="00BD02A4" w:rsidRPr="00532E29" w:rsidRDefault="00BD02A4" w:rsidP="00BD02A4">
      <w:pPr>
        <w:pStyle w:val="CommentText"/>
      </w:pPr>
      <w:r w:rsidRPr="00532E29">
        <w:t>Stakeholders believe the utilities have the data to report this information. We believe it’s valuable data, even if it’s imperfect. We have heard the utilities concern that data could potentially paint a misleading picture. To address that concern, we are willing to 1) accept qualitative caveats on reported data and 2) would support an additional study to understand the reported data.</w:t>
      </w:r>
    </w:p>
    <w:p w14:paraId="6BB4E69B" w14:textId="77777777" w:rsidR="00BD02A4" w:rsidRPr="00532E29" w:rsidRDefault="00BD02A4" w:rsidP="00BD02A4">
      <w:pPr>
        <w:pStyle w:val="CommentText"/>
      </w:pPr>
    </w:p>
    <w:p w14:paraId="08AB83B4" w14:textId="15FFAFDD" w:rsidR="00BD02A4" w:rsidRDefault="00BD02A4" w:rsidP="00BD02A4">
      <w:pPr>
        <w:pStyle w:val="CommentText"/>
      </w:pPr>
      <w:r w:rsidRPr="00532E29">
        <w:t>The Policy Manual principle above references reporting “by program.” Stakeholders are willing to drop the “by program” reporting, and could accept bundled reported, separated by IQ and non-IQ programs. Stakeholders feel strongly this should be annual reporting.</w:t>
      </w:r>
    </w:p>
  </w:comment>
  <w:comment w:id="8" w:author="Celia Johnson" w:date="2024-01-23T09:39:00Z" w:initials="CJ">
    <w:p w14:paraId="6A4FFFB2" w14:textId="77777777" w:rsidR="001A253B" w:rsidRPr="008B3C84" w:rsidRDefault="00335227" w:rsidP="001A253B">
      <w:pPr>
        <w:pStyle w:val="CommentText"/>
        <w:rPr>
          <w:b/>
          <w:bCs/>
          <w:u w:val="single"/>
        </w:rPr>
      </w:pPr>
      <w:r>
        <w:rPr>
          <w:rStyle w:val="CommentReference"/>
        </w:rPr>
        <w:annotationRef/>
      </w:r>
      <w:r w:rsidR="001A253B" w:rsidRPr="008B3C84">
        <w:rPr>
          <w:b/>
          <w:bCs/>
          <w:u w:val="single"/>
        </w:rPr>
        <w:t>Stakeholders Compromise Proposal for 1/23</w:t>
      </w:r>
    </w:p>
    <w:p w14:paraId="5E99A0BC" w14:textId="449F7D08" w:rsidR="00335227" w:rsidRDefault="001A253B" w:rsidP="001A253B">
      <w:pPr>
        <w:spacing w:line="420" w:lineRule="atLeast"/>
      </w:pPr>
      <w:r w:rsidRPr="008B3C84">
        <w:t xml:space="preserve">Stakeholders </w:t>
      </w:r>
      <w:r w:rsidR="0000302C">
        <w:t>propose bi-</w:t>
      </w:r>
      <w:r w:rsidRPr="008B3C84">
        <w:t xml:space="preserve"> annual reporting beginning with the 2024 program year, in annual evaluation reports, if this information can also be shared for the 2023 program year – in the annual evaluation reports that will be prepared soon</w:t>
      </w:r>
    </w:p>
  </w:comment>
  <w:comment w:id="9" w:author="Celia Johnson" w:date="2024-01-22T16:24:00Z" w:initials="CJ">
    <w:p w14:paraId="45E878A1" w14:textId="3135C081" w:rsidR="009E08C2" w:rsidRDefault="009E08C2">
      <w:pPr>
        <w:pStyle w:val="CommentText"/>
        <w:rPr>
          <w:b/>
          <w:bCs/>
          <w:u w:val="single"/>
        </w:rPr>
      </w:pPr>
      <w:r>
        <w:rPr>
          <w:rStyle w:val="CommentReference"/>
        </w:rPr>
        <w:annotationRef/>
      </w:r>
      <w:r w:rsidRPr="00811F80">
        <w:rPr>
          <w:b/>
          <w:bCs/>
          <w:u w:val="single"/>
        </w:rPr>
        <w:t xml:space="preserve">Stakeholders </w:t>
      </w:r>
      <w:r w:rsidR="0043072A">
        <w:rPr>
          <w:b/>
          <w:bCs/>
          <w:u w:val="single"/>
        </w:rPr>
        <w:t>Comments for 1/23</w:t>
      </w:r>
    </w:p>
    <w:p w14:paraId="2A5C1AFD" w14:textId="1F17E8B6" w:rsidR="009E08C2" w:rsidRDefault="0043072A">
      <w:pPr>
        <w:pStyle w:val="CommentText"/>
      </w:pPr>
      <w:r w:rsidRPr="0043072A">
        <w:t>Chris Neme and Matt Armstrong met recently to review the IQ MF Reporting Tables</w:t>
      </w:r>
      <w:r w:rsidR="00F7055F">
        <w:t>, and likely need to meet again</w:t>
      </w:r>
      <w:r w:rsidRPr="0043072A">
        <w:t>.</w:t>
      </w:r>
      <w:r w:rsidR="008F26BF">
        <w:t xml:space="preserve"> </w:t>
      </w:r>
      <w:r w:rsidR="00F7055F">
        <w:t xml:space="preserve">At that point </w:t>
      </w:r>
      <w:r w:rsidR="008F26BF">
        <w:t xml:space="preserve">Chris will confirm edits with </w:t>
      </w:r>
      <w:r w:rsidR="00FE0F88">
        <w:t>stakeholders who drafted the tables. Matt will confirm edits internally with Ameren, and share with the other utilities to confirm.</w:t>
      </w:r>
    </w:p>
  </w:comment>
  <w:comment w:id="10" w:author="Celia Johnson" w:date="2024-01-23T09:51:00Z" w:initials="CJ">
    <w:p w14:paraId="1E74823E" w14:textId="77777777" w:rsidR="00F662C3" w:rsidRPr="0072358D" w:rsidRDefault="003E27A4" w:rsidP="00F662C3">
      <w:pPr>
        <w:pStyle w:val="CommentText"/>
        <w:rPr>
          <w:b/>
          <w:bCs/>
          <w:u w:val="single"/>
        </w:rPr>
      </w:pPr>
      <w:r>
        <w:rPr>
          <w:rStyle w:val="CommentReference"/>
        </w:rPr>
        <w:annotationRef/>
      </w:r>
      <w:r w:rsidR="00F662C3" w:rsidRPr="0072358D">
        <w:rPr>
          <w:b/>
          <w:bCs/>
          <w:u w:val="single"/>
        </w:rPr>
        <w:t>Stakeholder Compromise Proposal for 1/23</w:t>
      </w:r>
    </w:p>
    <w:p w14:paraId="1BDFA436" w14:textId="76B5493B" w:rsidR="003E27A4" w:rsidRDefault="00F662C3" w:rsidP="00F662C3">
      <w:pPr>
        <w:pStyle w:val="CommentText"/>
      </w:pPr>
      <w:r w:rsidRPr="0072358D">
        <w:t>Stakeholders propose reporting on any funding source where the utilities leverage $500,000 or more per year</w:t>
      </w:r>
    </w:p>
  </w:comment>
  <w:comment w:id="11" w:author="Celia Johnson" w:date="2024-01-23T09:52:00Z" w:initials="CJ">
    <w:p w14:paraId="49DFD7A7" w14:textId="686EDB0E" w:rsidR="0072358D" w:rsidRPr="0072358D" w:rsidRDefault="0072358D" w:rsidP="0072358D">
      <w:pPr>
        <w:pStyle w:val="CommentText"/>
        <w:rPr>
          <w:b/>
          <w:bCs/>
          <w:u w:val="single"/>
        </w:rPr>
      </w:pPr>
      <w:r>
        <w:rPr>
          <w:rStyle w:val="CommentReference"/>
        </w:rPr>
        <w:annotationRef/>
      </w:r>
      <w:r w:rsidRPr="0072358D">
        <w:rPr>
          <w:b/>
          <w:bCs/>
          <w:u w:val="single"/>
        </w:rPr>
        <w:t xml:space="preserve">Stakeholder </w:t>
      </w:r>
      <w:r>
        <w:rPr>
          <w:b/>
          <w:bCs/>
          <w:u w:val="single"/>
        </w:rPr>
        <w:t>Comments for 1/23</w:t>
      </w:r>
    </w:p>
    <w:p w14:paraId="2F5E181E" w14:textId="680F2D5D" w:rsidR="0072358D" w:rsidRDefault="0072358D" w:rsidP="0072358D">
      <w:pPr>
        <w:pStyle w:val="CommentText"/>
      </w:pPr>
      <w:r>
        <w:t>See redline edits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9F07B" w15:done="0"/>
  <w15:commentEx w15:paraId="4ACD9EEA" w15:done="0"/>
  <w15:commentEx w15:paraId="25F89943" w15:done="0"/>
  <w15:commentEx w15:paraId="04E5E9E1" w15:done="0"/>
  <w15:commentEx w15:paraId="0F16DEF1" w15:done="0"/>
  <w15:commentEx w15:paraId="5FCA40AF" w15:done="0"/>
  <w15:commentEx w15:paraId="16DCCE91" w15:done="0"/>
  <w15:commentEx w15:paraId="08AB83B4" w15:done="0"/>
  <w15:commentEx w15:paraId="5E99A0BC" w15:done="0"/>
  <w15:commentEx w15:paraId="2A5C1AFD" w15:done="0"/>
  <w15:commentEx w15:paraId="1BDFA436" w15:done="0"/>
  <w15:commentEx w15:paraId="2F5E18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5ABA01" w16cex:dateUtc="2024-01-22T23:00:00Z"/>
  <w16cex:commentExtensible w16cex:durableId="5D156461" w16cex:dateUtc="2024-01-22T21:27:00Z"/>
  <w16cex:commentExtensible w16cex:durableId="1D36390E" w16cex:dateUtc="2024-01-23T12:04:00Z"/>
  <w16cex:commentExtensible w16cex:durableId="2124C0D4" w16cex:dateUtc="2024-01-22T22:01:00Z"/>
  <w16cex:commentExtensible w16cex:durableId="7E036F39" w16cex:dateUtc="2024-01-22T21:58:00Z"/>
  <w16cex:commentExtensible w16cex:durableId="073CD6F5" w16cex:dateUtc="2024-01-22T22:19:00Z"/>
  <w16cex:commentExtensible w16cex:durableId="4328A9F3" w16cex:dateUtc="2024-01-22T22:22:00Z"/>
  <w16cex:commentExtensible w16cex:durableId="29462BBF" w16cex:dateUtc="2024-01-22T22:22:00Z"/>
  <w16cex:commentExtensible w16cex:durableId="163B8162" w16cex:dateUtc="2024-01-23T15:39:00Z"/>
  <w16cex:commentExtensible w16cex:durableId="370F964F" w16cex:dateUtc="2024-01-22T22:24:00Z"/>
  <w16cex:commentExtensible w16cex:durableId="0BFC7936" w16cex:dateUtc="2024-01-23T15:51:00Z"/>
  <w16cex:commentExtensible w16cex:durableId="253DD1D5" w16cex:dateUtc="2024-01-23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9F07B" w16cid:durableId="2E5ABA01"/>
  <w16cid:commentId w16cid:paraId="4ACD9EEA" w16cid:durableId="5D156461"/>
  <w16cid:commentId w16cid:paraId="25F89943" w16cid:durableId="1D36390E"/>
  <w16cid:commentId w16cid:paraId="04E5E9E1" w16cid:durableId="2124C0D4"/>
  <w16cid:commentId w16cid:paraId="0F16DEF1" w16cid:durableId="7E036F39"/>
  <w16cid:commentId w16cid:paraId="5FCA40AF" w16cid:durableId="073CD6F5"/>
  <w16cid:commentId w16cid:paraId="16DCCE91" w16cid:durableId="4328A9F3"/>
  <w16cid:commentId w16cid:paraId="08AB83B4" w16cid:durableId="29462BBF"/>
  <w16cid:commentId w16cid:paraId="5E99A0BC" w16cid:durableId="163B8162"/>
  <w16cid:commentId w16cid:paraId="2A5C1AFD" w16cid:durableId="370F964F"/>
  <w16cid:commentId w16cid:paraId="1BDFA436" w16cid:durableId="0BFC7936"/>
  <w16cid:commentId w16cid:paraId="2F5E181E" w16cid:durableId="253DD1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A3925" w14:textId="77777777" w:rsidR="00DF5361" w:rsidRDefault="00DF5361" w:rsidP="00C910EB">
      <w:r>
        <w:separator/>
      </w:r>
    </w:p>
  </w:endnote>
  <w:endnote w:type="continuationSeparator" w:id="0">
    <w:p w14:paraId="4B959368" w14:textId="77777777" w:rsidR="00DF5361" w:rsidRDefault="00DF5361" w:rsidP="00C9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274548"/>
      <w:docPartObj>
        <w:docPartGallery w:val="Page Numbers (Bottom of Page)"/>
        <w:docPartUnique/>
      </w:docPartObj>
    </w:sdtPr>
    <w:sdtEndPr>
      <w:rPr>
        <w:noProof/>
      </w:rPr>
    </w:sdtEndPr>
    <w:sdtContent>
      <w:p w14:paraId="3DEFAB77" w14:textId="6B6FE540" w:rsidR="00C910EB" w:rsidRDefault="00C910E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31E6AB21" w14:textId="77777777" w:rsidR="00C910EB" w:rsidRDefault="00C91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01E5" w14:textId="77777777" w:rsidR="00DF5361" w:rsidRDefault="00DF5361" w:rsidP="00C910EB">
      <w:r>
        <w:separator/>
      </w:r>
    </w:p>
  </w:footnote>
  <w:footnote w:type="continuationSeparator" w:id="0">
    <w:p w14:paraId="499BD742" w14:textId="77777777" w:rsidR="00DF5361" w:rsidRDefault="00DF5361" w:rsidP="00C9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0B0"/>
    <w:multiLevelType w:val="hybridMultilevel"/>
    <w:tmpl w:val="57605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375F"/>
    <w:multiLevelType w:val="hybridMultilevel"/>
    <w:tmpl w:val="D5662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B3485"/>
    <w:multiLevelType w:val="hybridMultilevel"/>
    <w:tmpl w:val="0E182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C77722"/>
    <w:multiLevelType w:val="hybridMultilevel"/>
    <w:tmpl w:val="3B185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4374E"/>
    <w:multiLevelType w:val="hybridMultilevel"/>
    <w:tmpl w:val="BBC62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17922"/>
    <w:multiLevelType w:val="multilevel"/>
    <w:tmpl w:val="B76A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948CB"/>
    <w:multiLevelType w:val="hybridMultilevel"/>
    <w:tmpl w:val="9AF06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45399B"/>
    <w:multiLevelType w:val="hybridMultilevel"/>
    <w:tmpl w:val="E4D0A64C"/>
    <w:lvl w:ilvl="0" w:tplc="21D66E7A">
      <w:start w:val="1"/>
      <w:numFmt w:val="decimal"/>
      <w:lvlText w:val="%1."/>
      <w:lvlJc w:val="left"/>
      <w:pPr>
        <w:ind w:left="720" w:hanging="360"/>
      </w:pPr>
      <w:rPr>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7DD05D6"/>
    <w:multiLevelType w:val="hybridMultilevel"/>
    <w:tmpl w:val="22C4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09D2253"/>
    <w:multiLevelType w:val="hybridMultilevel"/>
    <w:tmpl w:val="6B007D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CC032F"/>
    <w:multiLevelType w:val="hybridMultilevel"/>
    <w:tmpl w:val="E4D0A64C"/>
    <w:lvl w:ilvl="0" w:tplc="FFFFFFFF">
      <w:start w:val="1"/>
      <w:numFmt w:val="decimal"/>
      <w:lvlText w:val="%1."/>
      <w:lvlJc w:val="left"/>
      <w:pPr>
        <w:ind w:left="720" w:hanging="360"/>
      </w:pPr>
      <w:rPr>
        <w:b w:val="0"/>
        <w:bCs w:val="0"/>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6371E48"/>
    <w:multiLevelType w:val="hybridMultilevel"/>
    <w:tmpl w:val="F4B09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460CBD"/>
    <w:multiLevelType w:val="hybridMultilevel"/>
    <w:tmpl w:val="DE3073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1120B"/>
    <w:multiLevelType w:val="hybridMultilevel"/>
    <w:tmpl w:val="CEF4F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D2389A"/>
    <w:multiLevelType w:val="hybridMultilevel"/>
    <w:tmpl w:val="781A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B2105D"/>
    <w:multiLevelType w:val="hybridMultilevel"/>
    <w:tmpl w:val="6B007D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3E2273A"/>
    <w:multiLevelType w:val="hybridMultilevel"/>
    <w:tmpl w:val="576053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A00FAA"/>
    <w:multiLevelType w:val="hybridMultilevel"/>
    <w:tmpl w:val="F50215D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6A0A5601"/>
    <w:multiLevelType w:val="hybridMultilevel"/>
    <w:tmpl w:val="511C0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90039"/>
    <w:multiLevelType w:val="hybridMultilevel"/>
    <w:tmpl w:val="5DC25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262CB5"/>
    <w:multiLevelType w:val="hybridMultilevel"/>
    <w:tmpl w:val="4D3C7E9E"/>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79602DBA"/>
    <w:multiLevelType w:val="hybridMultilevel"/>
    <w:tmpl w:val="FBBAC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56189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444350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415521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325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0905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07507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8381061">
    <w:abstractNumId w:val="17"/>
  </w:num>
  <w:num w:numId="8" w16cid:durableId="1557931564">
    <w:abstractNumId w:val="2"/>
  </w:num>
  <w:num w:numId="9" w16cid:durableId="1948347278">
    <w:abstractNumId w:val="1"/>
  </w:num>
  <w:num w:numId="10" w16cid:durableId="2085837790">
    <w:abstractNumId w:val="4"/>
  </w:num>
  <w:num w:numId="11" w16cid:durableId="499276552">
    <w:abstractNumId w:val="21"/>
  </w:num>
  <w:num w:numId="12" w16cid:durableId="2059355172">
    <w:abstractNumId w:val="18"/>
  </w:num>
  <w:num w:numId="13" w16cid:durableId="607586910">
    <w:abstractNumId w:val="19"/>
  </w:num>
  <w:num w:numId="14" w16cid:durableId="869103645">
    <w:abstractNumId w:val="13"/>
  </w:num>
  <w:num w:numId="15" w16cid:durableId="1816021055">
    <w:abstractNumId w:val="10"/>
  </w:num>
  <w:num w:numId="16" w16cid:durableId="159350386">
    <w:abstractNumId w:val="11"/>
  </w:num>
  <w:num w:numId="17" w16cid:durableId="35089032">
    <w:abstractNumId w:val="12"/>
  </w:num>
  <w:num w:numId="18" w16cid:durableId="1635255071">
    <w:abstractNumId w:val="14"/>
  </w:num>
  <w:num w:numId="19" w16cid:durableId="2025550148">
    <w:abstractNumId w:val="3"/>
  </w:num>
  <w:num w:numId="20" w16cid:durableId="906694800">
    <w:abstractNumId w:val="6"/>
  </w:num>
  <w:num w:numId="21" w16cid:durableId="1965235481">
    <w:abstractNumId w:val="0"/>
  </w:num>
  <w:num w:numId="22" w16cid:durableId="1835220180">
    <w:abstractNumId w:val="15"/>
  </w:num>
  <w:num w:numId="23" w16cid:durableId="1949313307">
    <w:abstractNumId w:val="9"/>
  </w:num>
  <w:num w:numId="24" w16cid:durableId="409079419">
    <w:abstractNumId w:val="16"/>
  </w:num>
  <w:num w:numId="25" w16cid:durableId="217145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C0"/>
    <w:rsid w:val="000000BC"/>
    <w:rsid w:val="0000302C"/>
    <w:rsid w:val="0001634E"/>
    <w:rsid w:val="00026164"/>
    <w:rsid w:val="000269A9"/>
    <w:rsid w:val="000365CF"/>
    <w:rsid w:val="000427B2"/>
    <w:rsid w:val="00046FD0"/>
    <w:rsid w:val="00082831"/>
    <w:rsid w:val="0009608D"/>
    <w:rsid w:val="000A3085"/>
    <w:rsid w:val="000C4803"/>
    <w:rsid w:val="000C677D"/>
    <w:rsid w:val="000E344E"/>
    <w:rsid w:val="000E5AF9"/>
    <w:rsid w:val="000E60C8"/>
    <w:rsid w:val="00105B42"/>
    <w:rsid w:val="001301BE"/>
    <w:rsid w:val="001349C2"/>
    <w:rsid w:val="00173C29"/>
    <w:rsid w:val="001812E0"/>
    <w:rsid w:val="001A253B"/>
    <w:rsid w:val="001A3838"/>
    <w:rsid w:val="001A4C6C"/>
    <w:rsid w:val="001A7C66"/>
    <w:rsid w:val="001B54B8"/>
    <w:rsid w:val="001C1664"/>
    <w:rsid w:val="001C3B94"/>
    <w:rsid w:val="002028AA"/>
    <w:rsid w:val="00213109"/>
    <w:rsid w:val="0025364F"/>
    <w:rsid w:val="00253A82"/>
    <w:rsid w:val="00297AA5"/>
    <w:rsid w:val="002A0FFC"/>
    <w:rsid w:val="002B53C8"/>
    <w:rsid w:val="00304E24"/>
    <w:rsid w:val="003126E4"/>
    <w:rsid w:val="003322F6"/>
    <w:rsid w:val="00335227"/>
    <w:rsid w:val="003477AD"/>
    <w:rsid w:val="0037420C"/>
    <w:rsid w:val="00386637"/>
    <w:rsid w:val="003B5E9E"/>
    <w:rsid w:val="003B7EBD"/>
    <w:rsid w:val="003C385F"/>
    <w:rsid w:val="003C5981"/>
    <w:rsid w:val="003C7CC6"/>
    <w:rsid w:val="003D286C"/>
    <w:rsid w:val="003E27A4"/>
    <w:rsid w:val="003F5984"/>
    <w:rsid w:val="004031C9"/>
    <w:rsid w:val="00426435"/>
    <w:rsid w:val="0043072A"/>
    <w:rsid w:val="00434165"/>
    <w:rsid w:val="00492BED"/>
    <w:rsid w:val="00492C6D"/>
    <w:rsid w:val="00493BA7"/>
    <w:rsid w:val="004946A8"/>
    <w:rsid w:val="004A1DD7"/>
    <w:rsid w:val="005133D6"/>
    <w:rsid w:val="00532E29"/>
    <w:rsid w:val="005659E9"/>
    <w:rsid w:val="00571960"/>
    <w:rsid w:val="00574D73"/>
    <w:rsid w:val="00583618"/>
    <w:rsid w:val="00594052"/>
    <w:rsid w:val="005B09FF"/>
    <w:rsid w:val="005D56CF"/>
    <w:rsid w:val="005F2FAF"/>
    <w:rsid w:val="00602ACB"/>
    <w:rsid w:val="00623C45"/>
    <w:rsid w:val="00626E74"/>
    <w:rsid w:val="0062742A"/>
    <w:rsid w:val="00643360"/>
    <w:rsid w:val="006809CE"/>
    <w:rsid w:val="00681958"/>
    <w:rsid w:val="006841DA"/>
    <w:rsid w:val="006943A4"/>
    <w:rsid w:val="00697A09"/>
    <w:rsid w:val="006A19BD"/>
    <w:rsid w:val="006A25AD"/>
    <w:rsid w:val="006A2D9B"/>
    <w:rsid w:val="006C2DF9"/>
    <w:rsid w:val="006D04C5"/>
    <w:rsid w:val="006E73FE"/>
    <w:rsid w:val="006E7F99"/>
    <w:rsid w:val="007213A0"/>
    <w:rsid w:val="0072358D"/>
    <w:rsid w:val="00761235"/>
    <w:rsid w:val="0077723F"/>
    <w:rsid w:val="007829DA"/>
    <w:rsid w:val="00782FE3"/>
    <w:rsid w:val="00794D67"/>
    <w:rsid w:val="007B0ED2"/>
    <w:rsid w:val="007D01C4"/>
    <w:rsid w:val="00823697"/>
    <w:rsid w:val="008345C9"/>
    <w:rsid w:val="0084023D"/>
    <w:rsid w:val="00854A0D"/>
    <w:rsid w:val="00864258"/>
    <w:rsid w:val="008B1CFC"/>
    <w:rsid w:val="008B3C84"/>
    <w:rsid w:val="008C5E86"/>
    <w:rsid w:val="008C7583"/>
    <w:rsid w:val="008E335F"/>
    <w:rsid w:val="008F26BF"/>
    <w:rsid w:val="008F5233"/>
    <w:rsid w:val="00907EE7"/>
    <w:rsid w:val="0091368A"/>
    <w:rsid w:val="00945119"/>
    <w:rsid w:val="009508C7"/>
    <w:rsid w:val="0095210B"/>
    <w:rsid w:val="0096181F"/>
    <w:rsid w:val="009B4B36"/>
    <w:rsid w:val="009B4F47"/>
    <w:rsid w:val="009B6283"/>
    <w:rsid w:val="009C2393"/>
    <w:rsid w:val="009E08C2"/>
    <w:rsid w:val="009E39FF"/>
    <w:rsid w:val="009F5256"/>
    <w:rsid w:val="00A03962"/>
    <w:rsid w:val="00A710A1"/>
    <w:rsid w:val="00A71727"/>
    <w:rsid w:val="00A733A1"/>
    <w:rsid w:val="00A7603E"/>
    <w:rsid w:val="00A82B1B"/>
    <w:rsid w:val="00AA1C43"/>
    <w:rsid w:val="00AB06BE"/>
    <w:rsid w:val="00AB2D8A"/>
    <w:rsid w:val="00AC7521"/>
    <w:rsid w:val="00AF3E25"/>
    <w:rsid w:val="00B10F8F"/>
    <w:rsid w:val="00B169FF"/>
    <w:rsid w:val="00B206CC"/>
    <w:rsid w:val="00B35245"/>
    <w:rsid w:val="00B35CC6"/>
    <w:rsid w:val="00B435A9"/>
    <w:rsid w:val="00B5582A"/>
    <w:rsid w:val="00B62CF1"/>
    <w:rsid w:val="00B7216F"/>
    <w:rsid w:val="00B8480B"/>
    <w:rsid w:val="00B86575"/>
    <w:rsid w:val="00B967FA"/>
    <w:rsid w:val="00BB12D0"/>
    <w:rsid w:val="00BC3ACE"/>
    <w:rsid w:val="00BC7DDD"/>
    <w:rsid w:val="00BD02A4"/>
    <w:rsid w:val="00BF0D74"/>
    <w:rsid w:val="00C11B86"/>
    <w:rsid w:val="00C2093E"/>
    <w:rsid w:val="00C64983"/>
    <w:rsid w:val="00C77CCA"/>
    <w:rsid w:val="00C80794"/>
    <w:rsid w:val="00C84187"/>
    <w:rsid w:val="00C910EB"/>
    <w:rsid w:val="00CA04A9"/>
    <w:rsid w:val="00CC0FC3"/>
    <w:rsid w:val="00CD3869"/>
    <w:rsid w:val="00CD545B"/>
    <w:rsid w:val="00CE6835"/>
    <w:rsid w:val="00CE6F1B"/>
    <w:rsid w:val="00D25A4C"/>
    <w:rsid w:val="00D41347"/>
    <w:rsid w:val="00D95D91"/>
    <w:rsid w:val="00DA5E5B"/>
    <w:rsid w:val="00DB62B9"/>
    <w:rsid w:val="00DC41DB"/>
    <w:rsid w:val="00DD3822"/>
    <w:rsid w:val="00DF0BAF"/>
    <w:rsid w:val="00DF5361"/>
    <w:rsid w:val="00E009C0"/>
    <w:rsid w:val="00E0751B"/>
    <w:rsid w:val="00E14904"/>
    <w:rsid w:val="00E166E1"/>
    <w:rsid w:val="00E2757C"/>
    <w:rsid w:val="00E628EC"/>
    <w:rsid w:val="00E62C3B"/>
    <w:rsid w:val="00E735A1"/>
    <w:rsid w:val="00E84753"/>
    <w:rsid w:val="00E9137D"/>
    <w:rsid w:val="00EB028F"/>
    <w:rsid w:val="00EF66A9"/>
    <w:rsid w:val="00F04C77"/>
    <w:rsid w:val="00F0564A"/>
    <w:rsid w:val="00F3091D"/>
    <w:rsid w:val="00F3347B"/>
    <w:rsid w:val="00F464E4"/>
    <w:rsid w:val="00F46932"/>
    <w:rsid w:val="00F51AF3"/>
    <w:rsid w:val="00F62588"/>
    <w:rsid w:val="00F662C3"/>
    <w:rsid w:val="00F66C03"/>
    <w:rsid w:val="00F7055F"/>
    <w:rsid w:val="00F82BC9"/>
    <w:rsid w:val="00FA4A5B"/>
    <w:rsid w:val="00FE0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46196"/>
  <w15:chartTrackingRefBased/>
  <w15:docId w15:val="{299AF3F5-EB05-4A67-99F3-CD6B4F32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C0"/>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09C0"/>
    <w:rPr>
      <w:color w:val="0563C1"/>
      <w:u w:val="single"/>
    </w:rPr>
  </w:style>
  <w:style w:type="paragraph" w:styleId="CommentText">
    <w:name w:val="annotation text"/>
    <w:basedOn w:val="Normal"/>
    <w:link w:val="CommentTextChar"/>
    <w:uiPriority w:val="99"/>
    <w:unhideWhenUsed/>
    <w:rsid w:val="00E009C0"/>
    <w:pPr>
      <w:spacing w:after="160"/>
    </w:pPr>
    <w:rPr>
      <w:sz w:val="20"/>
      <w:szCs w:val="20"/>
      <w14:ligatures w14:val="none"/>
    </w:rPr>
  </w:style>
  <w:style w:type="character" w:customStyle="1" w:styleId="CommentTextChar">
    <w:name w:val="Comment Text Char"/>
    <w:basedOn w:val="DefaultParagraphFont"/>
    <w:link w:val="CommentText"/>
    <w:uiPriority w:val="99"/>
    <w:rsid w:val="00E009C0"/>
    <w:rPr>
      <w:rFonts w:ascii="Calibri" w:hAnsi="Calibri" w:cs="Calibri"/>
      <w:sz w:val="20"/>
      <w:szCs w:val="20"/>
    </w:rPr>
  </w:style>
  <w:style w:type="character" w:customStyle="1" w:styleId="ListParagraphChar">
    <w:name w:val="List Paragraph Char"/>
    <w:aliases w:val="TT - List Paragraph Char"/>
    <w:basedOn w:val="DefaultParagraphFont"/>
    <w:link w:val="ListParagraph"/>
    <w:uiPriority w:val="34"/>
    <w:locked/>
    <w:rsid w:val="00E009C0"/>
  </w:style>
  <w:style w:type="paragraph" w:styleId="ListParagraph">
    <w:name w:val="List Paragraph"/>
    <w:aliases w:val="TT - List Paragraph"/>
    <w:basedOn w:val="Normal"/>
    <w:link w:val="ListParagraphChar"/>
    <w:uiPriority w:val="34"/>
    <w:qFormat/>
    <w:rsid w:val="00E009C0"/>
    <w:pPr>
      <w:ind w:left="720"/>
    </w:pPr>
    <w:rPr>
      <w:rFonts w:asciiTheme="minorHAnsi" w:hAnsiTheme="minorHAnsi" w:cstheme="minorBidi"/>
      <w14:ligatures w14:val="none"/>
    </w:rPr>
  </w:style>
  <w:style w:type="paragraph" w:styleId="Header">
    <w:name w:val="header"/>
    <w:basedOn w:val="Normal"/>
    <w:link w:val="HeaderChar"/>
    <w:uiPriority w:val="99"/>
    <w:unhideWhenUsed/>
    <w:rsid w:val="00C910EB"/>
    <w:pPr>
      <w:tabs>
        <w:tab w:val="center" w:pos="4680"/>
        <w:tab w:val="right" w:pos="9360"/>
      </w:tabs>
    </w:pPr>
  </w:style>
  <w:style w:type="character" w:customStyle="1" w:styleId="HeaderChar">
    <w:name w:val="Header Char"/>
    <w:basedOn w:val="DefaultParagraphFont"/>
    <w:link w:val="Header"/>
    <w:uiPriority w:val="99"/>
    <w:rsid w:val="00C910EB"/>
    <w:rPr>
      <w:rFonts w:ascii="Calibri" w:hAnsi="Calibri" w:cs="Calibri"/>
      <w14:ligatures w14:val="standardContextual"/>
    </w:rPr>
  </w:style>
  <w:style w:type="paragraph" w:styleId="Footer">
    <w:name w:val="footer"/>
    <w:basedOn w:val="Normal"/>
    <w:link w:val="FooterChar"/>
    <w:uiPriority w:val="99"/>
    <w:unhideWhenUsed/>
    <w:rsid w:val="00C910EB"/>
    <w:pPr>
      <w:tabs>
        <w:tab w:val="center" w:pos="4680"/>
        <w:tab w:val="right" w:pos="9360"/>
      </w:tabs>
    </w:pPr>
  </w:style>
  <w:style w:type="character" w:customStyle="1" w:styleId="FooterChar">
    <w:name w:val="Footer Char"/>
    <w:basedOn w:val="DefaultParagraphFont"/>
    <w:link w:val="Footer"/>
    <w:uiPriority w:val="99"/>
    <w:rsid w:val="00C910EB"/>
    <w:rPr>
      <w:rFonts w:ascii="Calibri" w:hAnsi="Calibri" w:cs="Calibri"/>
      <w14:ligatures w14:val="standardContextual"/>
    </w:rPr>
  </w:style>
  <w:style w:type="character" w:styleId="CommentReference">
    <w:name w:val="annotation reference"/>
    <w:basedOn w:val="DefaultParagraphFont"/>
    <w:uiPriority w:val="99"/>
    <w:semiHidden/>
    <w:unhideWhenUsed/>
    <w:rsid w:val="002028AA"/>
    <w:rPr>
      <w:sz w:val="16"/>
      <w:szCs w:val="16"/>
    </w:rPr>
  </w:style>
  <w:style w:type="paragraph" w:styleId="CommentSubject">
    <w:name w:val="annotation subject"/>
    <w:basedOn w:val="CommentText"/>
    <w:next w:val="CommentText"/>
    <w:link w:val="CommentSubjectChar"/>
    <w:uiPriority w:val="99"/>
    <w:semiHidden/>
    <w:unhideWhenUsed/>
    <w:rsid w:val="00907EE7"/>
    <w:pPr>
      <w:spacing w:after="0"/>
    </w:pPr>
    <w:rPr>
      <w:b/>
      <w:bCs/>
      <w14:ligatures w14:val="standardContextual"/>
    </w:rPr>
  </w:style>
  <w:style w:type="character" w:customStyle="1" w:styleId="CommentSubjectChar">
    <w:name w:val="Comment Subject Char"/>
    <w:basedOn w:val="CommentTextChar"/>
    <w:link w:val="CommentSubject"/>
    <w:uiPriority w:val="99"/>
    <w:semiHidden/>
    <w:rsid w:val="00907EE7"/>
    <w:rPr>
      <w:rFonts w:ascii="Calibri" w:hAnsi="Calibri" w:cs="Calibri"/>
      <w:b/>
      <w:bCs/>
      <w:sz w:val="20"/>
      <w:szCs w:val="20"/>
      <w14:ligatures w14:val="standardContextual"/>
    </w:rPr>
  </w:style>
  <w:style w:type="character" w:styleId="FootnoteReference">
    <w:name w:val="footnote reference"/>
    <w:basedOn w:val="DefaultParagraphFont"/>
    <w:uiPriority w:val="99"/>
    <w:semiHidden/>
    <w:unhideWhenUsed/>
    <w:rsid w:val="00A82B1B"/>
    <w:rPr>
      <w:vertAlign w:val="superscript"/>
    </w:rPr>
  </w:style>
  <w:style w:type="character" w:styleId="Strong">
    <w:name w:val="Strong"/>
    <w:basedOn w:val="DefaultParagraphFont"/>
    <w:uiPriority w:val="22"/>
    <w:qFormat/>
    <w:rsid w:val="00335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61936">
      <w:bodyDiv w:val="1"/>
      <w:marLeft w:val="0"/>
      <w:marRight w:val="0"/>
      <w:marTop w:val="0"/>
      <w:marBottom w:val="0"/>
      <w:divBdr>
        <w:top w:val="none" w:sz="0" w:space="0" w:color="auto"/>
        <w:left w:val="none" w:sz="0" w:space="0" w:color="auto"/>
        <w:bottom w:val="none" w:sz="0" w:space="0" w:color="auto"/>
        <w:right w:val="none" w:sz="0" w:space="0" w:color="auto"/>
      </w:divBdr>
    </w:div>
    <w:div w:id="197741347">
      <w:bodyDiv w:val="1"/>
      <w:marLeft w:val="0"/>
      <w:marRight w:val="0"/>
      <w:marTop w:val="0"/>
      <w:marBottom w:val="0"/>
      <w:divBdr>
        <w:top w:val="none" w:sz="0" w:space="0" w:color="auto"/>
        <w:left w:val="none" w:sz="0" w:space="0" w:color="auto"/>
        <w:bottom w:val="none" w:sz="0" w:space="0" w:color="auto"/>
        <w:right w:val="none" w:sz="0" w:space="0" w:color="auto"/>
      </w:divBdr>
    </w:div>
    <w:div w:id="544827416">
      <w:bodyDiv w:val="1"/>
      <w:marLeft w:val="0"/>
      <w:marRight w:val="0"/>
      <w:marTop w:val="0"/>
      <w:marBottom w:val="0"/>
      <w:divBdr>
        <w:top w:val="none" w:sz="0" w:space="0" w:color="auto"/>
        <w:left w:val="none" w:sz="0" w:space="0" w:color="auto"/>
        <w:bottom w:val="none" w:sz="0" w:space="0" w:color="auto"/>
        <w:right w:val="none" w:sz="0" w:space="0" w:color="auto"/>
      </w:divBdr>
    </w:div>
    <w:div w:id="838886522">
      <w:bodyDiv w:val="1"/>
      <w:marLeft w:val="0"/>
      <w:marRight w:val="0"/>
      <w:marTop w:val="0"/>
      <w:marBottom w:val="0"/>
      <w:divBdr>
        <w:top w:val="none" w:sz="0" w:space="0" w:color="auto"/>
        <w:left w:val="none" w:sz="0" w:space="0" w:color="auto"/>
        <w:bottom w:val="none" w:sz="0" w:space="0" w:color="auto"/>
        <w:right w:val="none" w:sz="0" w:space="0" w:color="auto"/>
      </w:divBdr>
    </w:div>
    <w:div w:id="210549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wp-content/uploads/IQ-Health-and-Safety-Reporting-Metrics-CLEAN-1-16-2024.docx" TargetMode="External"/><Relationship Id="rId13" Type="http://schemas.openxmlformats.org/officeDocument/2006/relationships/hyperlink" Target="https://www.ilsag.info/wp-content/uploads/Equity-and-Affordability-Reporting-Policy-Metrics_CLEAN-1-16-2024.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lsag.info/wp-content/uploads/MF-Metrics-DRAFT-11-16-2023.xls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ilsag.info/wp-content/uploads/IQ-Multi-Family-Reporting-Metrics-CLEAN-12-19-23.docx"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lsag.info/wp-content/uploads/Diverse-Contracting-Reporting-Policy-Metrics-CLEAN-1-16-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4A9CD-9A07-490B-88FC-E989CF8C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45</cp:revision>
  <dcterms:created xsi:type="dcterms:W3CDTF">2024-01-22T21:00:00Z</dcterms:created>
  <dcterms:modified xsi:type="dcterms:W3CDTF">2024-01-23T15:56:00Z</dcterms:modified>
</cp:coreProperties>
</file>