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77D1" w14:textId="7192EE1B" w:rsidR="00EC541E" w:rsidRDefault="00F067A4" w:rsidP="00DC0851">
      <w:pPr>
        <w:spacing w:after="0" w:line="240" w:lineRule="auto"/>
        <w:jc w:val="center"/>
        <w:rPr>
          <w:rFonts w:ascii="Arial" w:hAnsi="Arial" w:cs="Arial"/>
          <w:b/>
          <w:bCs/>
          <w:sz w:val="26"/>
          <w:szCs w:val="26"/>
        </w:rPr>
      </w:pPr>
      <w:r w:rsidRPr="00373A90">
        <w:rPr>
          <w:rFonts w:ascii="Arial" w:hAnsi="Arial" w:cs="Arial"/>
          <w:b/>
          <w:bCs/>
          <w:sz w:val="26"/>
          <w:szCs w:val="26"/>
        </w:rPr>
        <w:t>SAG Fuel Conversion Working Group</w:t>
      </w:r>
      <w:r w:rsidR="00DC0851">
        <w:rPr>
          <w:rFonts w:ascii="Arial" w:hAnsi="Arial" w:cs="Arial"/>
          <w:b/>
          <w:bCs/>
          <w:sz w:val="26"/>
          <w:szCs w:val="26"/>
        </w:rPr>
        <w:t xml:space="preserve">: </w:t>
      </w:r>
      <w:r w:rsidR="00002968">
        <w:rPr>
          <w:rFonts w:ascii="Arial" w:hAnsi="Arial" w:cs="Arial"/>
          <w:b/>
          <w:bCs/>
          <w:sz w:val="26"/>
          <w:szCs w:val="26"/>
        </w:rPr>
        <w:t xml:space="preserve">Tracking </w:t>
      </w:r>
      <w:r w:rsidR="00EC541E">
        <w:rPr>
          <w:rFonts w:ascii="Arial" w:hAnsi="Arial" w:cs="Arial"/>
          <w:b/>
          <w:bCs/>
          <w:sz w:val="26"/>
          <w:szCs w:val="26"/>
        </w:rPr>
        <w:t>Follow-Up Items</w:t>
      </w:r>
    </w:p>
    <w:p w14:paraId="12142D35" w14:textId="0B84246D" w:rsidR="00343F9F" w:rsidRPr="00373A90" w:rsidRDefault="00343F9F" w:rsidP="00373A90">
      <w:pPr>
        <w:spacing w:after="0" w:line="240" w:lineRule="auto"/>
        <w:jc w:val="center"/>
        <w:rPr>
          <w:rFonts w:ascii="Arial" w:hAnsi="Arial" w:cs="Arial"/>
          <w:b/>
          <w:bCs/>
          <w:sz w:val="26"/>
          <w:szCs w:val="26"/>
        </w:rPr>
      </w:pPr>
      <w:r>
        <w:rPr>
          <w:rFonts w:ascii="Arial" w:hAnsi="Arial" w:cs="Arial"/>
          <w:b/>
          <w:bCs/>
          <w:sz w:val="26"/>
          <w:szCs w:val="26"/>
        </w:rPr>
        <w:t xml:space="preserve">For Discussion During </w:t>
      </w:r>
      <w:r w:rsidR="0017402F">
        <w:rPr>
          <w:rFonts w:ascii="Arial" w:hAnsi="Arial" w:cs="Arial"/>
          <w:b/>
          <w:bCs/>
          <w:sz w:val="26"/>
          <w:szCs w:val="26"/>
        </w:rPr>
        <w:t>June 21</w:t>
      </w:r>
      <w:r>
        <w:rPr>
          <w:rFonts w:ascii="Arial" w:hAnsi="Arial" w:cs="Arial"/>
          <w:b/>
          <w:bCs/>
          <w:sz w:val="26"/>
          <w:szCs w:val="26"/>
        </w:rPr>
        <w:t>, 2021 Meeting</w:t>
      </w:r>
    </w:p>
    <w:p w14:paraId="78E4A182" w14:textId="7614E6E5" w:rsidR="006F4A08" w:rsidRDefault="006F4A08" w:rsidP="00373A90">
      <w:pPr>
        <w:spacing w:after="0" w:line="240" w:lineRule="auto"/>
        <w:rPr>
          <w:rFonts w:ascii="Arial" w:hAnsi="Arial" w:cs="Arial"/>
        </w:rPr>
      </w:pPr>
    </w:p>
    <w:p w14:paraId="1AEAC3F9" w14:textId="2DD13604" w:rsidR="006F4A08" w:rsidRPr="00CF2E76" w:rsidRDefault="006F4A08" w:rsidP="00CF2E76">
      <w:pPr>
        <w:spacing w:after="0" w:line="240" w:lineRule="auto"/>
        <w:rPr>
          <w:rFonts w:ascii="Arial" w:hAnsi="Arial" w:cs="Arial"/>
          <w:b/>
          <w:bCs/>
          <w:u w:val="single"/>
        </w:rPr>
      </w:pPr>
      <w:r w:rsidRPr="006F4A08">
        <w:rPr>
          <w:rFonts w:ascii="Arial" w:hAnsi="Arial" w:cs="Arial"/>
          <w:b/>
          <w:bCs/>
          <w:u w:val="single"/>
        </w:rPr>
        <w:t>April 26</w:t>
      </w:r>
      <w:r w:rsidRPr="006F4A08">
        <w:rPr>
          <w:rFonts w:ascii="Arial" w:hAnsi="Arial" w:cs="Arial"/>
          <w:b/>
          <w:bCs/>
          <w:u w:val="single"/>
          <w:vertAlign w:val="superscript"/>
        </w:rPr>
        <w:t>th</w:t>
      </w:r>
      <w:r w:rsidRPr="006F4A08">
        <w:rPr>
          <w:rFonts w:ascii="Arial" w:hAnsi="Arial" w:cs="Arial"/>
          <w:b/>
          <w:bCs/>
          <w:u w:val="single"/>
        </w:rPr>
        <w:t xml:space="preserve"> </w:t>
      </w:r>
      <w:r w:rsidR="00352C40">
        <w:rPr>
          <w:rFonts w:ascii="Arial" w:hAnsi="Arial" w:cs="Arial"/>
          <w:b/>
          <w:bCs/>
          <w:u w:val="single"/>
        </w:rPr>
        <w:t xml:space="preserve">Working Group </w:t>
      </w:r>
      <w:r w:rsidRPr="00CF2E76">
        <w:rPr>
          <w:rFonts w:ascii="Arial" w:hAnsi="Arial" w:cs="Arial"/>
          <w:b/>
          <w:bCs/>
          <w:u w:val="single"/>
        </w:rPr>
        <w:t>Meeting</w:t>
      </w:r>
    </w:p>
    <w:p w14:paraId="5EE36954" w14:textId="7833C2AC" w:rsidR="00580F58" w:rsidRPr="00CF2E76"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Did ComEd have any custom projects that involved fuel switching</w:t>
      </w:r>
      <w:r w:rsidR="007414FC">
        <w:rPr>
          <w:rFonts w:ascii="Arial" w:eastAsia="Times New Roman" w:hAnsi="Arial" w:cs="Arial"/>
        </w:rPr>
        <w:t xml:space="preserve"> (per the utility tables discussed)</w:t>
      </w:r>
      <w:r w:rsidRPr="00CF2E76">
        <w:rPr>
          <w:rFonts w:ascii="Arial" w:eastAsia="Times New Roman" w:hAnsi="Arial" w:cs="Arial"/>
        </w:rPr>
        <w:t xml:space="preserve">? </w:t>
      </w:r>
    </w:p>
    <w:p w14:paraId="554DB3D7" w14:textId="77777777" w:rsidR="00DC0851" w:rsidRDefault="00DC0851" w:rsidP="00CF2E76">
      <w:pPr>
        <w:spacing w:after="0" w:line="240" w:lineRule="auto"/>
        <w:rPr>
          <w:rFonts w:ascii="Arial" w:eastAsia="Times New Roman" w:hAnsi="Arial" w:cs="Arial"/>
          <w:color w:val="FF0000"/>
        </w:rPr>
      </w:pPr>
    </w:p>
    <w:p w14:paraId="70FA6B8D" w14:textId="724828AF" w:rsidR="00F067A4" w:rsidRPr="00CF2E76" w:rsidRDefault="00F067A4" w:rsidP="00CF2E76">
      <w:pPr>
        <w:spacing w:after="0" w:line="240" w:lineRule="auto"/>
        <w:rPr>
          <w:rFonts w:ascii="Arial" w:eastAsia="Times New Roman" w:hAnsi="Arial" w:cs="Arial"/>
          <w:color w:val="FF0000"/>
        </w:rPr>
      </w:pPr>
      <w:r w:rsidRPr="00CF2E76">
        <w:rPr>
          <w:rFonts w:ascii="Arial" w:eastAsia="Times New Roman" w:hAnsi="Arial" w:cs="Arial"/>
          <w:b/>
          <w:bCs/>
          <w:color w:val="FF0000"/>
        </w:rPr>
        <w:t>Response from Guidehouse:</w:t>
      </w:r>
      <w:r w:rsidRPr="00CF2E76">
        <w:rPr>
          <w:rFonts w:ascii="Arial" w:eastAsia="Times New Roman" w:hAnsi="Arial" w:cs="Arial"/>
          <w:color w:val="FF0000"/>
        </w:rPr>
        <w:t xml:space="preserve"> No.</w:t>
      </w:r>
    </w:p>
    <w:p w14:paraId="3C033E1B" w14:textId="77777777" w:rsidR="00580F58" w:rsidRPr="00CF2E76" w:rsidRDefault="00580F58" w:rsidP="00CF2E76">
      <w:pPr>
        <w:spacing w:after="0" w:line="240" w:lineRule="auto"/>
        <w:rPr>
          <w:rFonts w:ascii="Arial" w:eastAsia="Times New Roman" w:hAnsi="Arial" w:cs="Arial"/>
          <w:color w:val="000000"/>
        </w:rPr>
      </w:pPr>
    </w:p>
    <w:p w14:paraId="26D861AB" w14:textId="0D442E12" w:rsidR="00F067A4" w:rsidRPr="00CF2E76"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Do the gas utilities capture or track the original / pre-existing fuel in CHP projects? Nicor Gas, Peoples Gas &amp; North Shore Gas to check.</w:t>
      </w:r>
    </w:p>
    <w:p w14:paraId="0BA822B0" w14:textId="1F1342C5" w:rsidR="00FD0B09" w:rsidRPr="00CF2E76" w:rsidRDefault="00FD0B09" w:rsidP="00CF2E76">
      <w:pPr>
        <w:spacing w:after="0" w:line="240" w:lineRule="auto"/>
        <w:rPr>
          <w:rFonts w:ascii="Arial" w:eastAsia="Times New Roman" w:hAnsi="Arial" w:cs="Arial"/>
          <w:b/>
          <w:bCs/>
          <w:color w:val="000000"/>
        </w:rPr>
      </w:pPr>
    </w:p>
    <w:p w14:paraId="020BD6F1" w14:textId="2BADA903" w:rsidR="004C0766" w:rsidRPr="00CF2E76" w:rsidRDefault="004C0766" w:rsidP="00CF2E76">
      <w:pPr>
        <w:spacing w:after="0" w:line="240" w:lineRule="auto"/>
        <w:rPr>
          <w:rFonts w:ascii="Arial" w:eastAsia="Times New Roman" w:hAnsi="Arial" w:cs="Arial"/>
          <w:color w:val="FF0000"/>
        </w:rPr>
      </w:pPr>
      <w:r w:rsidRPr="00CF2E76">
        <w:rPr>
          <w:rFonts w:ascii="Arial" w:eastAsia="Times New Roman" w:hAnsi="Arial" w:cs="Arial"/>
          <w:b/>
          <w:bCs/>
          <w:color w:val="FF0000"/>
        </w:rPr>
        <w:t>Response from Nicor Gas and Peoples Gas &amp; North Shore Gas:</w:t>
      </w:r>
      <w:r w:rsidRPr="00CF2E76">
        <w:rPr>
          <w:rFonts w:ascii="Arial" w:eastAsia="Times New Roman" w:hAnsi="Arial" w:cs="Arial"/>
          <w:color w:val="FF0000"/>
        </w:rPr>
        <w:t xml:space="preserve"> Yes. For CHP projects, Nicor Gas and its implementation contractors keep track of the energy systems used prior to the CHP installation, and how those change after installation.</w:t>
      </w:r>
    </w:p>
    <w:p w14:paraId="59F820E8" w14:textId="77777777" w:rsidR="004C0766" w:rsidRPr="00CF2E76" w:rsidRDefault="004C0766" w:rsidP="00CF2E76">
      <w:pPr>
        <w:spacing w:after="0" w:line="240" w:lineRule="auto"/>
        <w:rPr>
          <w:rFonts w:ascii="Arial" w:eastAsia="Times New Roman" w:hAnsi="Arial" w:cs="Arial"/>
          <w:color w:val="000000"/>
        </w:rPr>
      </w:pPr>
    </w:p>
    <w:p w14:paraId="5627994A" w14:textId="09B8DC66" w:rsidR="00F067A4" w:rsidRPr="00373A90" w:rsidRDefault="00F067A4" w:rsidP="00CF2E76">
      <w:pPr>
        <w:pStyle w:val="ListParagraph"/>
        <w:numPr>
          <w:ilvl w:val="0"/>
          <w:numId w:val="1"/>
        </w:numPr>
        <w:rPr>
          <w:rFonts w:ascii="Arial" w:eastAsia="Times New Roman" w:hAnsi="Arial" w:cs="Arial"/>
          <w:color w:val="000000"/>
        </w:rPr>
      </w:pPr>
      <w:r w:rsidRPr="00CF2E76">
        <w:rPr>
          <w:rFonts w:ascii="Arial" w:eastAsia="Times New Roman" w:hAnsi="Arial" w:cs="Arial"/>
        </w:rPr>
        <w:t>SAG Facilitator to follow</w:t>
      </w:r>
      <w:r w:rsidRPr="00373A90">
        <w:rPr>
          <w:rFonts w:ascii="Arial" w:eastAsia="Times New Roman" w:hAnsi="Arial" w:cs="Arial"/>
        </w:rPr>
        <w:t>-up with Chris Neme on fuel switching definition.</w:t>
      </w:r>
    </w:p>
    <w:p w14:paraId="14B7F02D" w14:textId="77777777" w:rsidR="00CE23C2" w:rsidRPr="005B5D1D" w:rsidRDefault="00CE23C2" w:rsidP="00CE23C2">
      <w:pPr>
        <w:spacing w:after="0" w:line="240" w:lineRule="auto"/>
        <w:contextualSpacing/>
        <w:rPr>
          <w:rFonts w:ascii="Arial" w:eastAsia="Times New Roman" w:hAnsi="Arial" w:cs="Arial"/>
          <w:b/>
          <w:bCs/>
          <w:color w:val="FF0000"/>
        </w:rPr>
      </w:pPr>
    </w:p>
    <w:p w14:paraId="2C47C9E1" w14:textId="191E4533" w:rsidR="00CE23C2" w:rsidRPr="005B5D1D" w:rsidRDefault="00CE23C2" w:rsidP="00CE23C2">
      <w:pPr>
        <w:spacing w:after="0" w:line="240" w:lineRule="auto"/>
        <w:contextualSpacing/>
        <w:rPr>
          <w:rFonts w:ascii="Arial" w:hAnsi="Arial" w:cs="Arial"/>
          <w:b/>
          <w:bCs/>
          <w:color w:val="FF0000"/>
        </w:rPr>
      </w:pPr>
      <w:r w:rsidRPr="005B5D1D">
        <w:rPr>
          <w:rFonts w:ascii="Arial" w:hAnsi="Arial" w:cs="Arial"/>
          <w:b/>
          <w:bCs/>
          <w:color w:val="FF0000"/>
        </w:rPr>
        <w:t>Fuel Switching Definition (proposed by NRDC and NCLC):</w:t>
      </w:r>
    </w:p>
    <w:p w14:paraId="59187C20" w14:textId="77777777" w:rsidR="00CE23C2" w:rsidRPr="005B5D1D" w:rsidRDefault="00CE23C2" w:rsidP="00CE23C2">
      <w:pPr>
        <w:spacing w:after="0" w:line="240" w:lineRule="auto"/>
        <w:contextualSpacing/>
        <w:rPr>
          <w:rFonts w:ascii="Arial" w:hAnsi="Arial" w:cs="Arial"/>
          <w:color w:val="FF0000"/>
        </w:rPr>
      </w:pPr>
    </w:p>
    <w:p w14:paraId="1B5ECB18" w14:textId="77777777"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A fuel switching measure is:</w:t>
      </w:r>
    </w:p>
    <w:p w14:paraId="05864266" w14:textId="4DA8F4BD" w:rsidR="00CE23C2" w:rsidRPr="00DC0851" w:rsidRDefault="00CE23C2" w:rsidP="00CE23C2">
      <w:pPr>
        <w:pStyle w:val="ListParagraph"/>
        <w:numPr>
          <w:ilvl w:val="0"/>
          <w:numId w:val="6"/>
        </w:numPr>
        <w:contextualSpacing/>
        <w:rPr>
          <w:rFonts w:ascii="Arial" w:hAnsi="Arial" w:cs="Arial"/>
          <w:color w:val="FF0000"/>
        </w:rPr>
      </w:pPr>
      <w:r w:rsidRPr="005B5D1D">
        <w:rPr>
          <w:rFonts w:ascii="Arial" w:hAnsi="Arial" w:cs="Arial"/>
          <w:color w:val="FF0000"/>
        </w:rPr>
        <w:t>The replacement of an existing piece of equipment, or the replacement or substantial supplementation of an existing end-use system (e.g., heating, water heating, cooking, etc.), that substitutes the existing use of a primary input fuel with equipment or a system that uses a different primary fuel input; or the installation of combined heat and power which substitutes purchased power with self-generation using an alternate primary fuel.</w:t>
      </w:r>
    </w:p>
    <w:p w14:paraId="4E089A64" w14:textId="6F331284" w:rsidR="00CE23C2" w:rsidRPr="00DC0851" w:rsidRDefault="00CE23C2" w:rsidP="00DC0851">
      <w:pPr>
        <w:spacing w:after="0" w:line="240" w:lineRule="auto"/>
        <w:contextualSpacing/>
        <w:rPr>
          <w:rFonts w:ascii="Arial" w:hAnsi="Arial" w:cs="Arial"/>
          <w:color w:val="FF0000"/>
        </w:rPr>
      </w:pPr>
      <w:r w:rsidRPr="005B5D1D">
        <w:rPr>
          <w:rFonts w:ascii="Arial" w:hAnsi="Arial" w:cs="Arial"/>
          <w:color w:val="FF0000"/>
        </w:rPr>
        <w:t>AND</w:t>
      </w:r>
    </w:p>
    <w:p w14:paraId="1AB3D046" w14:textId="0AADF124" w:rsidR="00CE23C2" w:rsidRPr="005B5D1D" w:rsidRDefault="00CE23C2" w:rsidP="00CE23C2">
      <w:pPr>
        <w:pStyle w:val="ListParagraph"/>
        <w:numPr>
          <w:ilvl w:val="0"/>
          <w:numId w:val="6"/>
        </w:numPr>
        <w:contextualSpacing/>
        <w:rPr>
          <w:rFonts w:ascii="Arial" w:hAnsi="Arial" w:cs="Arial"/>
          <w:color w:val="FF0000"/>
        </w:rPr>
      </w:pPr>
      <w:r w:rsidRPr="005B5D1D">
        <w:rPr>
          <w:rFonts w:ascii="Arial" w:hAnsi="Arial" w:cs="Arial"/>
          <w:color w:val="FF0000"/>
        </w:rPr>
        <w:t xml:space="preserve">The program design for which the customer is participating in is specifically designed to promote fuel switching and there is a reasonable expectation that the program offerings are a primary factor in the customer’s decision to fuel switch. </w:t>
      </w:r>
    </w:p>
    <w:p w14:paraId="7F49CA0B" w14:textId="77777777" w:rsidR="00CE23C2" w:rsidRPr="005B5D1D" w:rsidRDefault="00CE23C2" w:rsidP="00CE23C2">
      <w:pPr>
        <w:pStyle w:val="ListParagraph"/>
        <w:contextualSpacing/>
        <w:rPr>
          <w:rFonts w:ascii="Arial" w:hAnsi="Arial" w:cs="Arial"/>
          <w:color w:val="FF0000"/>
        </w:rPr>
      </w:pPr>
    </w:p>
    <w:p w14:paraId="38A3227D" w14:textId="58E0BC19" w:rsidR="00CE23C2" w:rsidRPr="005B5D1D" w:rsidRDefault="00CE23C2" w:rsidP="00CE23C2">
      <w:pPr>
        <w:spacing w:after="0" w:line="240" w:lineRule="auto"/>
        <w:contextualSpacing/>
        <w:rPr>
          <w:rFonts w:ascii="Arial" w:hAnsi="Arial" w:cs="Arial"/>
          <w:color w:val="FF0000"/>
        </w:rPr>
      </w:pPr>
      <w:r w:rsidRPr="005B5D1D">
        <w:rPr>
          <w:rFonts w:ascii="Arial" w:hAnsi="Arial" w:cs="Arial"/>
          <w:color w:val="FF0000"/>
        </w:rPr>
        <w:t>Note that measures adopted through most midstream and upstream programs are not likely to qualify as these programs generally capture customers who were already planning to purchase new equipment, and generally are designed to only improve the efficiency of the new equipment. Also, new construction measures or projects do not qualify as fuel switching.</w:t>
      </w:r>
    </w:p>
    <w:p w14:paraId="409CEE83" w14:textId="77777777" w:rsidR="00CE23C2" w:rsidRPr="00CE23C2" w:rsidRDefault="00CE23C2" w:rsidP="00CE23C2">
      <w:pPr>
        <w:spacing w:after="0" w:line="240" w:lineRule="auto"/>
        <w:contextualSpacing/>
        <w:rPr>
          <w:rFonts w:ascii="Arial" w:hAnsi="Arial" w:cs="Arial"/>
        </w:rPr>
      </w:pPr>
    </w:p>
    <w:p w14:paraId="04BB9B14" w14:textId="77777777" w:rsidR="001A19F6" w:rsidRPr="00373A90" w:rsidRDefault="001A19F6" w:rsidP="001A19F6">
      <w:pPr>
        <w:pStyle w:val="ListParagraph"/>
        <w:numPr>
          <w:ilvl w:val="0"/>
          <w:numId w:val="1"/>
        </w:numPr>
        <w:rPr>
          <w:rFonts w:ascii="Arial" w:eastAsia="Times New Roman" w:hAnsi="Arial" w:cs="Arial"/>
          <w:color w:val="000000"/>
        </w:rPr>
      </w:pPr>
      <w:r w:rsidRPr="00373A90">
        <w:rPr>
          <w:rFonts w:ascii="Arial" w:eastAsia="Times New Roman" w:hAnsi="Arial" w:cs="Arial"/>
        </w:rPr>
        <w:t xml:space="preserve">Questions that may require Working Group discussion: </w:t>
      </w:r>
    </w:p>
    <w:p w14:paraId="2C38FBC0" w14:textId="0D52185A" w:rsidR="001A19F6" w:rsidRPr="005D3C03" w:rsidRDefault="001A19F6" w:rsidP="001A19F6">
      <w:pPr>
        <w:pStyle w:val="ListParagraph"/>
        <w:numPr>
          <w:ilvl w:val="1"/>
          <w:numId w:val="2"/>
        </w:numPr>
        <w:rPr>
          <w:rFonts w:ascii="Arial" w:eastAsia="Times New Roman" w:hAnsi="Arial" w:cs="Arial"/>
          <w:color w:val="000000"/>
        </w:rPr>
      </w:pPr>
      <w:r w:rsidRPr="00373A90">
        <w:rPr>
          <w:rFonts w:ascii="Arial" w:eastAsia="Times New Roman" w:hAnsi="Arial" w:cs="Arial"/>
        </w:rPr>
        <w:t>Considering whether the EE program is driving the fuel switch and/or early retirement</w:t>
      </w:r>
    </w:p>
    <w:p w14:paraId="211EB20B" w14:textId="340389E9" w:rsidR="001A19F6" w:rsidRPr="00311248" w:rsidRDefault="001A19F6" w:rsidP="006F4A08">
      <w:pPr>
        <w:pStyle w:val="ListParagraph"/>
        <w:numPr>
          <w:ilvl w:val="1"/>
          <w:numId w:val="2"/>
        </w:numPr>
        <w:rPr>
          <w:rFonts w:ascii="Arial" w:eastAsia="Times New Roman" w:hAnsi="Arial" w:cs="Arial"/>
          <w:color w:val="000000"/>
        </w:rPr>
      </w:pPr>
      <w:r w:rsidRPr="00373A90">
        <w:rPr>
          <w:rFonts w:ascii="Arial" w:eastAsia="Times New Roman" w:hAnsi="Arial" w:cs="Arial"/>
        </w:rPr>
        <w:t>How do total BTU savings work?</w:t>
      </w:r>
    </w:p>
    <w:p w14:paraId="3CBB82E7" w14:textId="77777777" w:rsidR="006F4A08" w:rsidRPr="002E5C64" w:rsidRDefault="006F4A08" w:rsidP="006F4A08">
      <w:pPr>
        <w:spacing w:after="0" w:line="240" w:lineRule="auto"/>
        <w:rPr>
          <w:rFonts w:ascii="Arial" w:eastAsia="Times New Roman" w:hAnsi="Arial" w:cs="Arial"/>
          <w:color w:val="000000"/>
        </w:rPr>
      </w:pPr>
    </w:p>
    <w:p w14:paraId="08DD21BD" w14:textId="249D8BBE" w:rsidR="006F4A08" w:rsidRPr="002E5C64" w:rsidRDefault="006F4A08" w:rsidP="006F4A08">
      <w:pPr>
        <w:spacing w:after="0" w:line="240" w:lineRule="auto"/>
        <w:rPr>
          <w:rFonts w:ascii="Arial" w:eastAsia="Times New Roman" w:hAnsi="Arial" w:cs="Arial"/>
          <w:b/>
          <w:bCs/>
          <w:color w:val="000000"/>
          <w:u w:val="single"/>
        </w:rPr>
      </w:pPr>
      <w:r w:rsidRPr="002E5C64">
        <w:rPr>
          <w:rFonts w:ascii="Arial" w:eastAsia="Times New Roman" w:hAnsi="Arial" w:cs="Arial"/>
          <w:b/>
          <w:bCs/>
          <w:color w:val="000000"/>
          <w:u w:val="single"/>
        </w:rPr>
        <w:t>May 10</w:t>
      </w:r>
      <w:r w:rsidRPr="002E5C64">
        <w:rPr>
          <w:rFonts w:ascii="Arial" w:eastAsia="Times New Roman" w:hAnsi="Arial" w:cs="Arial"/>
          <w:b/>
          <w:bCs/>
          <w:color w:val="000000"/>
          <w:u w:val="single"/>
          <w:vertAlign w:val="superscript"/>
        </w:rPr>
        <w:t>th</w:t>
      </w:r>
      <w:r w:rsidRPr="002E5C64">
        <w:rPr>
          <w:rFonts w:ascii="Arial" w:eastAsia="Times New Roman" w:hAnsi="Arial" w:cs="Arial"/>
          <w:b/>
          <w:bCs/>
          <w:color w:val="000000"/>
          <w:u w:val="single"/>
        </w:rPr>
        <w:t xml:space="preserve"> </w:t>
      </w:r>
      <w:r w:rsidR="00352C40">
        <w:rPr>
          <w:rFonts w:ascii="Arial" w:eastAsia="Times New Roman" w:hAnsi="Arial" w:cs="Arial"/>
          <w:b/>
          <w:bCs/>
          <w:color w:val="000000"/>
          <w:u w:val="single"/>
        </w:rPr>
        <w:t xml:space="preserve">Working Group </w:t>
      </w:r>
      <w:r w:rsidRPr="002E5C64">
        <w:rPr>
          <w:rFonts w:ascii="Arial" w:eastAsia="Times New Roman" w:hAnsi="Arial" w:cs="Arial"/>
          <w:b/>
          <w:bCs/>
          <w:color w:val="000000"/>
          <w:u w:val="single"/>
        </w:rPr>
        <w:t>Meeting</w:t>
      </w:r>
    </w:p>
    <w:p w14:paraId="1CFD85E3" w14:textId="0040BB42" w:rsidR="006F4A08" w:rsidRPr="008802FE" w:rsidRDefault="006F4A08" w:rsidP="006F4A08">
      <w:pPr>
        <w:pStyle w:val="ListParagraph"/>
        <w:numPr>
          <w:ilvl w:val="0"/>
          <w:numId w:val="5"/>
        </w:numPr>
        <w:rPr>
          <w:rFonts w:ascii="Arial" w:eastAsia="Times New Roman" w:hAnsi="Arial" w:cs="Arial"/>
        </w:rPr>
      </w:pPr>
      <w:r w:rsidRPr="002E5C64">
        <w:rPr>
          <w:rFonts w:ascii="Arial" w:hAnsi="Arial" w:cs="Arial"/>
        </w:rPr>
        <w:t>ComEd to follow-up with legal on whether there is an exemption to the 10% cap.</w:t>
      </w:r>
    </w:p>
    <w:p w14:paraId="4E5C936A" w14:textId="2EAC6AFF" w:rsidR="008802FE" w:rsidRPr="008802FE" w:rsidRDefault="00C363C6" w:rsidP="008802FE">
      <w:pPr>
        <w:pStyle w:val="ListParagraph"/>
        <w:numPr>
          <w:ilvl w:val="1"/>
          <w:numId w:val="5"/>
        </w:numPr>
        <w:rPr>
          <w:rFonts w:ascii="Arial" w:eastAsia="Times New Roman" w:hAnsi="Arial" w:cs="Arial"/>
          <w:color w:val="FF0000"/>
        </w:rPr>
      </w:pPr>
      <w:r>
        <w:rPr>
          <w:rFonts w:ascii="Arial" w:hAnsi="Arial" w:cs="Arial"/>
          <w:color w:val="FF0000"/>
        </w:rPr>
        <w:t xml:space="preserve">ComEd is discussing internally; will follow-up </w:t>
      </w:r>
    </w:p>
    <w:p w14:paraId="468C057E" w14:textId="371AD78B" w:rsidR="001A19F6" w:rsidRPr="008802FE" w:rsidRDefault="00E3017B" w:rsidP="006F4A08">
      <w:pPr>
        <w:pStyle w:val="ListParagraph"/>
        <w:numPr>
          <w:ilvl w:val="0"/>
          <w:numId w:val="5"/>
        </w:numPr>
        <w:rPr>
          <w:rFonts w:ascii="Arial" w:eastAsia="Times New Roman" w:hAnsi="Arial" w:cs="Arial"/>
        </w:rPr>
      </w:pPr>
      <w:r>
        <w:rPr>
          <w:rFonts w:ascii="Arial" w:hAnsi="Arial" w:cs="Arial"/>
        </w:rPr>
        <w:t>IL Attorney General’s office to share position on fuel conversion questions.</w:t>
      </w:r>
      <w:r w:rsidR="006F4A08" w:rsidRPr="002E5C64">
        <w:rPr>
          <w:rFonts w:ascii="Arial" w:hAnsi="Arial" w:cs="Arial"/>
        </w:rPr>
        <w:t xml:space="preserve"> </w:t>
      </w:r>
    </w:p>
    <w:p w14:paraId="12790889" w14:textId="7070D72A" w:rsidR="008802FE" w:rsidRPr="00E53EE9" w:rsidRDefault="00884A00" w:rsidP="008802FE">
      <w:pPr>
        <w:pStyle w:val="ListParagraph"/>
        <w:numPr>
          <w:ilvl w:val="1"/>
          <w:numId w:val="5"/>
        </w:numPr>
        <w:rPr>
          <w:rFonts w:ascii="Arial" w:eastAsia="Times New Roman" w:hAnsi="Arial" w:cs="Arial"/>
          <w:color w:val="FF0000"/>
        </w:rPr>
      </w:pPr>
      <w:r>
        <w:rPr>
          <w:rFonts w:ascii="Arial" w:hAnsi="Arial" w:cs="Arial"/>
          <w:color w:val="FF0000"/>
        </w:rPr>
        <w:t>IL AG’s Office will follow-up</w:t>
      </w:r>
    </w:p>
    <w:p w14:paraId="57C9655D" w14:textId="64427860" w:rsidR="0084358D" w:rsidRPr="0084358D" w:rsidRDefault="0084358D" w:rsidP="0084358D">
      <w:pPr>
        <w:pStyle w:val="ListParagraph"/>
        <w:numPr>
          <w:ilvl w:val="0"/>
          <w:numId w:val="5"/>
        </w:numPr>
        <w:rPr>
          <w:rFonts w:ascii="Arial" w:eastAsia="Times New Roman" w:hAnsi="Arial" w:cs="Arial"/>
        </w:rPr>
      </w:pPr>
      <w:r w:rsidRPr="002E5C64">
        <w:rPr>
          <w:rFonts w:ascii="Arial" w:hAnsi="Arial" w:cs="Arial"/>
        </w:rPr>
        <w:t>Nicor Gas suggested a full compromise will also need to address 1) the 10% factor and 2) whether there are actual customer savings.</w:t>
      </w:r>
    </w:p>
    <w:p w14:paraId="1BCBCF42" w14:textId="514A04CE" w:rsidR="008802FE" w:rsidRPr="00490C41" w:rsidRDefault="00935352" w:rsidP="00826283">
      <w:pPr>
        <w:pStyle w:val="ListParagraph"/>
        <w:numPr>
          <w:ilvl w:val="1"/>
          <w:numId w:val="5"/>
        </w:numPr>
        <w:rPr>
          <w:rFonts w:ascii="Arial" w:eastAsia="Times New Roman" w:hAnsi="Arial" w:cs="Arial"/>
          <w:color w:val="FF0000"/>
        </w:rPr>
      </w:pPr>
      <w:r>
        <w:rPr>
          <w:rFonts w:ascii="Arial" w:hAnsi="Arial" w:cs="Arial"/>
          <w:color w:val="FF0000"/>
        </w:rPr>
        <w:t>Follow-up d</w:t>
      </w:r>
      <w:r w:rsidR="001F33E6">
        <w:rPr>
          <w:rFonts w:ascii="Arial" w:hAnsi="Arial" w:cs="Arial"/>
          <w:color w:val="FF0000"/>
        </w:rPr>
        <w:t>iscussion on 10% factor and customer savings scheduled during June 21 meeting</w:t>
      </w:r>
    </w:p>
    <w:p w14:paraId="3A8BAB54" w14:textId="35FD2ED0" w:rsidR="00F067A4" w:rsidRPr="000F6BAB" w:rsidRDefault="000F6BAB" w:rsidP="000F6BAB">
      <w:pPr>
        <w:spacing w:after="0" w:line="240" w:lineRule="auto"/>
        <w:rPr>
          <w:rFonts w:ascii="Arial" w:hAnsi="Arial" w:cs="Arial"/>
          <w:b/>
          <w:bCs/>
          <w:u w:val="single"/>
        </w:rPr>
      </w:pPr>
      <w:r w:rsidRPr="000F6BAB">
        <w:rPr>
          <w:rFonts w:ascii="Arial" w:hAnsi="Arial" w:cs="Arial"/>
          <w:b/>
          <w:bCs/>
          <w:u w:val="single"/>
        </w:rPr>
        <w:lastRenderedPageBreak/>
        <w:t>Provided for Reference – Positions Table</w:t>
      </w:r>
    </w:p>
    <w:p w14:paraId="4CF9A440" w14:textId="20DC9813" w:rsidR="000F6BAB" w:rsidRDefault="000F6BAB" w:rsidP="000F6BAB">
      <w:pPr>
        <w:spacing w:after="0" w:line="240" w:lineRule="auto"/>
        <w:rPr>
          <w:rFonts w:ascii="Arial" w:hAnsi="Arial" w:cs="Arial"/>
          <w:i/>
          <w:iCs/>
        </w:rPr>
      </w:pPr>
      <w:r w:rsidRPr="000F6BAB">
        <w:rPr>
          <w:rFonts w:ascii="Arial" w:hAnsi="Arial" w:cs="Arial"/>
          <w:i/>
          <w:iCs/>
        </w:rPr>
        <w:t>Updated following May 10, 2021 Working Group meeting</w:t>
      </w:r>
    </w:p>
    <w:p w14:paraId="49C2C580" w14:textId="77777777" w:rsidR="000F6BAB" w:rsidRPr="000F6BAB" w:rsidRDefault="000F6BAB" w:rsidP="000F6BAB">
      <w:pPr>
        <w:spacing w:after="0" w:line="240" w:lineRule="auto"/>
        <w:rPr>
          <w:rFonts w:ascii="Arial" w:hAnsi="Arial" w:cs="Arial"/>
          <w:i/>
          <w:iCs/>
        </w:rPr>
      </w:pPr>
    </w:p>
    <w:tbl>
      <w:tblPr>
        <w:tblW w:w="0" w:type="auto"/>
        <w:jc w:val="center"/>
        <w:tblCellMar>
          <w:left w:w="0" w:type="dxa"/>
          <w:right w:w="0" w:type="dxa"/>
        </w:tblCellMar>
        <w:tblLook w:val="04A0" w:firstRow="1" w:lastRow="0" w:firstColumn="1" w:lastColumn="0" w:noHBand="0" w:noVBand="1"/>
      </w:tblPr>
      <w:tblGrid>
        <w:gridCol w:w="1995"/>
        <w:gridCol w:w="3037"/>
        <w:gridCol w:w="2967"/>
      </w:tblGrid>
      <w:tr w:rsidR="000F6BAB" w:rsidRPr="000F6BAB" w14:paraId="664AC2A7" w14:textId="77777777" w:rsidTr="00CF64D7">
        <w:trPr>
          <w:trHeight w:val="610"/>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90EF1" w14:textId="77777777" w:rsidR="000F6BAB" w:rsidRPr="000F6BAB" w:rsidRDefault="000F6BAB" w:rsidP="00D26D65">
            <w:pPr>
              <w:spacing w:after="120"/>
              <w:rPr>
                <w:rFonts w:ascii="Arial" w:hAnsi="Arial" w:cs="Arial"/>
              </w:rPr>
            </w:pPr>
          </w:p>
        </w:tc>
        <w:tc>
          <w:tcPr>
            <w:tcW w:w="3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F0A78" w14:textId="77777777" w:rsidR="000F6BAB" w:rsidRPr="000F6BAB" w:rsidRDefault="000F6BAB" w:rsidP="00F107AA">
            <w:pPr>
              <w:spacing w:after="120"/>
              <w:jc w:val="center"/>
              <w:rPr>
                <w:rFonts w:ascii="Arial" w:hAnsi="Arial" w:cs="Arial"/>
                <w:b/>
                <w:bCs/>
              </w:rPr>
            </w:pPr>
            <w:r w:rsidRPr="000F6BAB">
              <w:rPr>
                <w:rFonts w:ascii="Arial" w:hAnsi="Arial" w:cs="Arial"/>
                <w:b/>
                <w:bCs/>
              </w:rPr>
              <w:t>Eligibility / Screening Calculation</w:t>
            </w:r>
          </w:p>
        </w:tc>
        <w:tc>
          <w:tcPr>
            <w:tcW w:w="2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16C0B" w14:textId="77777777" w:rsidR="000F6BAB" w:rsidRPr="000F6BAB" w:rsidRDefault="000F6BAB" w:rsidP="00F107AA">
            <w:pPr>
              <w:spacing w:after="120"/>
              <w:jc w:val="center"/>
              <w:rPr>
                <w:rFonts w:ascii="Arial" w:hAnsi="Arial" w:cs="Arial"/>
                <w:b/>
                <w:bCs/>
              </w:rPr>
            </w:pPr>
            <w:r w:rsidRPr="000F6BAB">
              <w:rPr>
                <w:rFonts w:ascii="Arial" w:hAnsi="Arial" w:cs="Arial"/>
                <w:b/>
                <w:bCs/>
              </w:rPr>
              <w:t>Savings Claim Calculation (for Fuel Switch Measures)</w:t>
            </w:r>
          </w:p>
        </w:tc>
      </w:tr>
      <w:tr w:rsidR="000F6BAB" w:rsidRPr="000F6BAB" w14:paraId="05D750FE" w14:textId="77777777" w:rsidTr="00CF64D7">
        <w:trPr>
          <w:trHeight w:val="249"/>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6A5" w14:textId="77777777" w:rsidR="000F6BAB" w:rsidRPr="000F6BAB" w:rsidRDefault="000F6BAB" w:rsidP="00D26D65">
            <w:pPr>
              <w:spacing w:after="120"/>
              <w:rPr>
                <w:rFonts w:ascii="Arial" w:hAnsi="Arial" w:cs="Arial"/>
              </w:rPr>
            </w:pPr>
            <w:r w:rsidRPr="000F6BAB">
              <w:rPr>
                <w:rFonts w:ascii="Arial" w:hAnsi="Arial" w:cs="Arial"/>
              </w:rPr>
              <w:t>Ameren Illinois</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58E0A9F2" w14:textId="77777777" w:rsidR="000F6BAB" w:rsidRPr="000F6BAB" w:rsidRDefault="000F6BAB" w:rsidP="00D26D65">
            <w:pPr>
              <w:spacing w:after="120"/>
              <w:rPr>
                <w:rFonts w:ascii="Arial" w:hAnsi="Arial" w:cs="Arial"/>
              </w:rPr>
            </w:pPr>
            <w:r w:rsidRPr="000F6BAB">
              <w:rPr>
                <w:rFonts w:ascii="Arial" w:hAnsi="Arial" w:cs="Arial"/>
              </w:rPr>
              <w:t>Source, if there is an agreed method for screening</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3DE4993B" w14:textId="77777777" w:rsidR="000F6BAB" w:rsidRPr="000F6BAB" w:rsidRDefault="000F6BAB" w:rsidP="00D26D65">
            <w:pPr>
              <w:spacing w:after="120"/>
              <w:rPr>
                <w:rFonts w:ascii="Arial" w:hAnsi="Arial" w:cs="Arial"/>
              </w:rPr>
            </w:pPr>
            <w:r w:rsidRPr="000F6BAB">
              <w:rPr>
                <w:rFonts w:ascii="Arial" w:hAnsi="Arial" w:cs="Arial"/>
              </w:rPr>
              <w:t>Site</w:t>
            </w:r>
          </w:p>
        </w:tc>
      </w:tr>
      <w:tr w:rsidR="000F6BAB" w:rsidRPr="000F6BAB" w14:paraId="31F3259D" w14:textId="77777777" w:rsidTr="00CF64D7">
        <w:trPr>
          <w:trHeight w:val="262"/>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CA9C" w14:textId="77777777" w:rsidR="000F6BAB" w:rsidRPr="000F6BAB" w:rsidRDefault="000F6BAB" w:rsidP="00D26D65">
            <w:pPr>
              <w:spacing w:after="120"/>
              <w:rPr>
                <w:rFonts w:ascii="Arial" w:hAnsi="Arial" w:cs="Arial"/>
              </w:rPr>
            </w:pPr>
            <w:r w:rsidRPr="000F6BAB">
              <w:rPr>
                <w:rFonts w:ascii="Arial" w:hAnsi="Arial" w:cs="Arial"/>
              </w:rPr>
              <w:t>ComEd</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404B8E33" w14:textId="77777777" w:rsidR="000F6BAB" w:rsidRPr="000F6BAB" w:rsidRDefault="000F6BAB" w:rsidP="00D26D65">
            <w:pPr>
              <w:spacing w:after="120"/>
              <w:rPr>
                <w:rFonts w:ascii="Arial" w:hAnsi="Arial" w:cs="Arial"/>
              </w:rPr>
            </w:pPr>
            <w:r w:rsidRPr="000F6BAB">
              <w:rPr>
                <w:rFonts w:ascii="Arial" w:hAnsi="Arial" w:cs="Arial"/>
              </w:rPr>
              <w:t>Source</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2D9B17F7" w14:textId="77777777" w:rsidR="000F6BAB" w:rsidRPr="000F6BAB" w:rsidRDefault="000F6BAB" w:rsidP="00D26D65">
            <w:pPr>
              <w:spacing w:after="120"/>
              <w:rPr>
                <w:rFonts w:ascii="Arial" w:hAnsi="Arial" w:cs="Arial"/>
              </w:rPr>
            </w:pPr>
            <w:r w:rsidRPr="000F6BAB">
              <w:rPr>
                <w:rFonts w:ascii="Arial" w:hAnsi="Arial" w:cs="Arial"/>
              </w:rPr>
              <w:t>Site</w:t>
            </w:r>
          </w:p>
        </w:tc>
      </w:tr>
      <w:tr w:rsidR="000F6BAB" w:rsidRPr="000F6BAB" w14:paraId="41F3638A" w14:textId="77777777" w:rsidTr="00CF64D7">
        <w:trPr>
          <w:trHeight w:val="249"/>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6CB6E" w14:textId="77777777" w:rsidR="000F6BAB" w:rsidRPr="000F6BAB" w:rsidRDefault="000F6BAB" w:rsidP="00D26D65">
            <w:pPr>
              <w:spacing w:after="120"/>
              <w:rPr>
                <w:rFonts w:ascii="Arial" w:hAnsi="Arial" w:cs="Arial"/>
              </w:rPr>
            </w:pPr>
            <w:r w:rsidRPr="000F6BAB">
              <w:rPr>
                <w:rFonts w:ascii="Arial" w:hAnsi="Arial" w:cs="Arial"/>
              </w:rPr>
              <w:t>Nicor Gas</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31E71B2C" w14:textId="77777777" w:rsidR="000F6BAB" w:rsidRPr="000F6BAB" w:rsidRDefault="000F6BAB" w:rsidP="00D26D65">
            <w:pPr>
              <w:spacing w:after="120"/>
              <w:rPr>
                <w:rFonts w:ascii="Arial" w:hAnsi="Arial" w:cs="Arial"/>
              </w:rPr>
            </w:pPr>
            <w:r w:rsidRPr="000F6BAB">
              <w:rPr>
                <w:rFonts w:ascii="Arial" w:hAnsi="Arial" w:cs="Arial"/>
              </w:rPr>
              <w:t>Source</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0A0A2328" w14:textId="77777777" w:rsidR="000F6BAB" w:rsidRPr="000F6BAB" w:rsidRDefault="000F6BAB" w:rsidP="00D26D65">
            <w:pPr>
              <w:spacing w:after="120"/>
              <w:rPr>
                <w:rFonts w:ascii="Arial" w:hAnsi="Arial" w:cs="Arial"/>
              </w:rPr>
            </w:pPr>
            <w:r w:rsidRPr="000F6BAB">
              <w:rPr>
                <w:rFonts w:ascii="Arial" w:hAnsi="Arial" w:cs="Arial"/>
              </w:rPr>
              <w:t>Source</w:t>
            </w:r>
          </w:p>
        </w:tc>
      </w:tr>
      <w:tr w:rsidR="000F6BAB" w:rsidRPr="000F6BAB" w14:paraId="54AF6D65" w14:textId="77777777" w:rsidTr="00CF64D7">
        <w:trPr>
          <w:trHeight w:val="601"/>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E6CD7" w14:textId="77777777" w:rsidR="000F6BAB" w:rsidRPr="000F6BAB" w:rsidRDefault="000F6BAB" w:rsidP="00D26D65">
            <w:pPr>
              <w:spacing w:after="120"/>
              <w:rPr>
                <w:rFonts w:ascii="Arial" w:hAnsi="Arial" w:cs="Arial"/>
              </w:rPr>
            </w:pPr>
            <w:r w:rsidRPr="000F6BAB">
              <w:rPr>
                <w:rFonts w:ascii="Arial" w:hAnsi="Arial" w:cs="Arial"/>
              </w:rPr>
              <w:t>Peoples Gas &amp; North Shore Gas</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42E2476D" w14:textId="77777777" w:rsidR="000F6BAB" w:rsidRPr="000F6BAB" w:rsidRDefault="000F6BAB" w:rsidP="00D26D65">
            <w:pPr>
              <w:spacing w:after="120"/>
              <w:rPr>
                <w:rFonts w:ascii="Arial" w:hAnsi="Arial" w:cs="Arial"/>
              </w:rPr>
            </w:pPr>
            <w:r w:rsidRPr="000F6BAB">
              <w:rPr>
                <w:rFonts w:ascii="Arial" w:hAnsi="Arial" w:cs="Arial"/>
              </w:rPr>
              <w:t>Source</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7DDAF9D5" w14:textId="77777777" w:rsidR="000F6BAB" w:rsidRPr="000F6BAB" w:rsidRDefault="000F6BAB" w:rsidP="00D26D65">
            <w:pPr>
              <w:spacing w:after="120"/>
              <w:rPr>
                <w:rFonts w:ascii="Arial" w:hAnsi="Arial" w:cs="Arial"/>
              </w:rPr>
            </w:pPr>
            <w:r w:rsidRPr="000F6BAB">
              <w:rPr>
                <w:rFonts w:ascii="Arial" w:hAnsi="Arial" w:cs="Arial"/>
              </w:rPr>
              <w:t>Source</w:t>
            </w:r>
          </w:p>
        </w:tc>
      </w:tr>
      <w:tr w:rsidR="000F6BAB" w:rsidRPr="000F6BAB" w14:paraId="1C8697EC" w14:textId="77777777" w:rsidTr="00CF64D7">
        <w:trPr>
          <w:trHeight w:val="262"/>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8FD5" w14:textId="77777777" w:rsidR="000F6BAB" w:rsidRPr="000F6BAB" w:rsidRDefault="000F6BAB" w:rsidP="00D26D65">
            <w:pPr>
              <w:spacing w:after="120"/>
              <w:rPr>
                <w:rFonts w:ascii="Arial" w:hAnsi="Arial" w:cs="Arial"/>
              </w:rPr>
            </w:pPr>
            <w:r w:rsidRPr="000F6BAB">
              <w:rPr>
                <w:rFonts w:ascii="Arial" w:hAnsi="Arial" w:cs="Arial"/>
              </w:rPr>
              <w:t>NCLC</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6F0EDDE8" w14:textId="77777777" w:rsidR="000F6BAB" w:rsidRPr="000F6BAB" w:rsidRDefault="000F6BAB" w:rsidP="00D26D65">
            <w:pPr>
              <w:spacing w:after="120"/>
              <w:rPr>
                <w:rFonts w:ascii="Arial" w:hAnsi="Arial" w:cs="Arial"/>
              </w:rPr>
            </w:pPr>
            <w:r w:rsidRPr="000F6BAB">
              <w:rPr>
                <w:rFonts w:ascii="Arial" w:hAnsi="Arial" w:cs="Arial"/>
              </w:rPr>
              <w:t>Source</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2863ECF7" w14:textId="77777777" w:rsidR="000F6BAB" w:rsidRPr="000F6BAB" w:rsidRDefault="000F6BAB" w:rsidP="00D26D65">
            <w:pPr>
              <w:spacing w:after="120"/>
              <w:rPr>
                <w:rFonts w:ascii="Arial" w:hAnsi="Arial" w:cs="Arial"/>
              </w:rPr>
            </w:pPr>
            <w:r w:rsidRPr="000F6BAB">
              <w:rPr>
                <w:rFonts w:ascii="Arial" w:hAnsi="Arial" w:cs="Arial"/>
              </w:rPr>
              <w:t>Site</w:t>
            </w:r>
          </w:p>
        </w:tc>
      </w:tr>
      <w:tr w:rsidR="000F6BAB" w:rsidRPr="000F6BAB" w14:paraId="2B71CAA6" w14:textId="77777777" w:rsidTr="00CF64D7">
        <w:trPr>
          <w:trHeight w:val="262"/>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F0A8E" w14:textId="77777777" w:rsidR="000F6BAB" w:rsidRPr="000F6BAB" w:rsidRDefault="000F6BAB" w:rsidP="00D26D65">
            <w:pPr>
              <w:spacing w:after="120"/>
              <w:rPr>
                <w:rFonts w:ascii="Arial" w:hAnsi="Arial" w:cs="Arial"/>
              </w:rPr>
            </w:pPr>
            <w:r w:rsidRPr="000F6BAB">
              <w:rPr>
                <w:rFonts w:ascii="Arial" w:hAnsi="Arial" w:cs="Arial"/>
              </w:rPr>
              <w:t>NRDC</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0EC4D0EA" w14:textId="77777777" w:rsidR="000F6BAB" w:rsidRPr="000F6BAB" w:rsidRDefault="000F6BAB" w:rsidP="00D26D65">
            <w:pPr>
              <w:spacing w:after="120"/>
              <w:rPr>
                <w:rFonts w:ascii="Arial" w:hAnsi="Arial" w:cs="Arial"/>
              </w:rPr>
            </w:pPr>
            <w:r w:rsidRPr="000F6BAB">
              <w:rPr>
                <w:rFonts w:ascii="Arial" w:hAnsi="Arial" w:cs="Arial"/>
              </w:rPr>
              <w:t>Site</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2F8F6711" w14:textId="77777777" w:rsidR="000F6BAB" w:rsidRPr="000F6BAB" w:rsidRDefault="000F6BAB" w:rsidP="00D26D65">
            <w:pPr>
              <w:spacing w:after="120"/>
              <w:rPr>
                <w:rFonts w:ascii="Arial" w:hAnsi="Arial" w:cs="Arial"/>
              </w:rPr>
            </w:pPr>
            <w:r w:rsidRPr="000F6BAB">
              <w:rPr>
                <w:rFonts w:ascii="Arial" w:hAnsi="Arial" w:cs="Arial"/>
              </w:rPr>
              <w:t>Site</w:t>
            </w:r>
          </w:p>
        </w:tc>
      </w:tr>
      <w:tr w:rsidR="000F6BAB" w:rsidRPr="000F6BAB" w14:paraId="32710C9A" w14:textId="77777777" w:rsidTr="00CF64D7">
        <w:trPr>
          <w:trHeight w:val="862"/>
          <w:jc w:val="center"/>
        </w:trPr>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031E" w14:textId="77777777" w:rsidR="000F6BAB" w:rsidRPr="000F6BAB" w:rsidRDefault="000F6BAB" w:rsidP="00D26D65">
            <w:pPr>
              <w:spacing w:after="120"/>
              <w:rPr>
                <w:rFonts w:ascii="Arial" w:hAnsi="Arial" w:cs="Arial"/>
              </w:rPr>
            </w:pPr>
            <w:r w:rsidRPr="000F6BAB">
              <w:rPr>
                <w:rFonts w:ascii="Arial" w:hAnsi="Arial" w:cs="Arial"/>
              </w:rPr>
              <w:t>ICC Staff</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621C744E" w14:textId="77777777" w:rsidR="000F6BAB" w:rsidRPr="000F6BAB" w:rsidRDefault="000F6BAB" w:rsidP="00D26D65">
            <w:pPr>
              <w:spacing w:after="120"/>
              <w:rPr>
                <w:rFonts w:ascii="Arial" w:hAnsi="Arial" w:cs="Arial"/>
              </w:rPr>
            </w:pPr>
            <w:r w:rsidRPr="000F6BAB">
              <w:rPr>
                <w:rFonts w:ascii="Arial" w:hAnsi="Arial" w:cs="Arial"/>
              </w:rPr>
              <w:t>Either site or source (law does not specify); total BTUs need to be reduced</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78A6CF71" w14:textId="77777777" w:rsidR="000F6BAB" w:rsidRPr="000F6BAB" w:rsidRDefault="000F6BAB" w:rsidP="00D26D65">
            <w:pPr>
              <w:spacing w:after="120"/>
              <w:rPr>
                <w:rFonts w:ascii="Arial" w:hAnsi="Arial" w:cs="Arial"/>
              </w:rPr>
            </w:pPr>
            <w:r w:rsidRPr="000F6BAB">
              <w:rPr>
                <w:rFonts w:ascii="Arial" w:hAnsi="Arial" w:cs="Arial"/>
              </w:rPr>
              <w:t>Law does not specify; ICC has flexibility</w:t>
            </w:r>
          </w:p>
        </w:tc>
      </w:tr>
    </w:tbl>
    <w:p w14:paraId="159C36A5" w14:textId="77777777" w:rsidR="000F6BAB" w:rsidRDefault="000F6BAB"/>
    <w:sectPr w:rsidR="000F6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2A"/>
    <w:multiLevelType w:val="hybridMultilevel"/>
    <w:tmpl w:val="1ACC6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770F9"/>
    <w:multiLevelType w:val="hybridMultilevel"/>
    <w:tmpl w:val="87EC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97B93"/>
    <w:multiLevelType w:val="hybridMultilevel"/>
    <w:tmpl w:val="2A709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A00B7A"/>
    <w:multiLevelType w:val="hybridMultilevel"/>
    <w:tmpl w:val="03486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2E567A"/>
    <w:multiLevelType w:val="hybridMultilevel"/>
    <w:tmpl w:val="2A7096E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A4"/>
    <w:rsid w:val="00002968"/>
    <w:rsid w:val="00081545"/>
    <w:rsid w:val="000C1B55"/>
    <w:rsid w:val="000F6BAB"/>
    <w:rsid w:val="001404E2"/>
    <w:rsid w:val="0017402F"/>
    <w:rsid w:val="001A19F6"/>
    <w:rsid w:val="001F33E6"/>
    <w:rsid w:val="002E5C64"/>
    <w:rsid w:val="00311248"/>
    <w:rsid w:val="00343F9F"/>
    <w:rsid w:val="00352C40"/>
    <w:rsid w:val="003573D3"/>
    <w:rsid w:val="00373A90"/>
    <w:rsid w:val="003B1325"/>
    <w:rsid w:val="00490C41"/>
    <w:rsid w:val="004C0766"/>
    <w:rsid w:val="00525696"/>
    <w:rsid w:val="005577E7"/>
    <w:rsid w:val="00580F58"/>
    <w:rsid w:val="005B5D1D"/>
    <w:rsid w:val="005D3C03"/>
    <w:rsid w:val="00623779"/>
    <w:rsid w:val="00630090"/>
    <w:rsid w:val="006569F2"/>
    <w:rsid w:val="00681EB0"/>
    <w:rsid w:val="006913B9"/>
    <w:rsid w:val="00695DC0"/>
    <w:rsid w:val="006E0381"/>
    <w:rsid w:val="006F4A08"/>
    <w:rsid w:val="007206C2"/>
    <w:rsid w:val="007414FC"/>
    <w:rsid w:val="00750936"/>
    <w:rsid w:val="007E50BB"/>
    <w:rsid w:val="00826283"/>
    <w:rsid w:val="0084358D"/>
    <w:rsid w:val="008802FE"/>
    <w:rsid w:val="00884A00"/>
    <w:rsid w:val="008F49C4"/>
    <w:rsid w:val="00935352"/>
    <w:rsid w:val="00963C8A"/>
    <w:rsid w:val="00A53F27"/>
    <w:rsid w:val="00B008A5"/>
    <w:rsid w:val="00BB54DD"/>
    <w:rsid w:val="00BC3A90"/>
    <w:rsid w:val="00BD7EA1"/>
    <w:rsid w:val="00BE16F8"/>
    <w:rsid w:val="00C10187"/>
    <w:rsid w:val="00C1412C"/>
    <w:rsid w:val="00C363C6"/>
    <w:rsid w:val="00C579F6"/>
    <w:rsid w:val="00C948DC"/>
    <w:rsid w:val="00CE21CB"/>
    <w:rsid w:val="00CE23C2"/>
    <w:rsid w:val="00CF2E76"/>
    <w:rsid w:val="00D26D65"/>
    <w:rsid w:val="00D34C8B"/>
    <w:rsid w:val="00D63352"/>
    <w:rsid w:val="00DA365C"/>
    <w:rsid w:val="00DC0851"/>
    <w:rsid w:val="00E03052"/>
    <w:rsid w:val="00E3017B"/>
    <w:rsid w:val="00E32872"/>
    <w:rsid w:val="00E53EE9"/>
    <w:rsid w:val="00E7138C"/>
    <w:rsid w:val="00EC541E"/>
    <w:rsid w:val="00F067A4"/>
    <w:rsid w:val="00F107AA"/>
    <w:rsid w:val="00F4018D"/>
    <w:rsid w:val="00F85828"/>
    <w:rsid w:val="00FD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98DC"/>
  <w15:chartTrackingRefBased/>
  <w15:docId w15:val="{B3B297EA-6390-4572-AF88-28F36F2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A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5959">
      <w:bodyDiv w:val="1"/>
      <w:marLeft w:val="0"/>
      <w:marRight w:val="0"/>
      <w:marTop w:val="0"/>
      <w:marBottom w:val="0"/>
      <w:divBdr>
        <w:top w:val="none" w:sz="0" w:space="0" w:color="auto"/>
        <w:left w:val="none" w:sz="0" w:space="0" w:color="auto"/>
        <w:bottom w:val="none" w:sz="0" w:space="0" w:color="auto"/>
        <w:right w:val="none" w:sz="0" w:space="0" w:color="auto"/>
      </w:divBdr>
    </w:div>
    <w:div w:id="1093168919">
      <w:bodyDiv w:val="1"/>
      <w:marLeft w:val="0"/>
      <w:marRight w:val="0"/>
      <w:marTop w:val="0"/>
      <w:marBottom w:val="0"/>
      <w:divBdr>
        <w:top w:val="none" w:sz="0" w:space="0" w:color="auto"/>
        <w:left w:val="none" w:sz="0" w:space="0" w:color="auto"/>
        <w:bottom w:val="none" w:sz="0" w:space="0" w:color="auto"/>
        <w:right w:val="none" w:sz="0" w:space="0" w:color="auto"/>
      </w:divBdr>
    </w:div>
    <w:div w:id="13252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0189-0428-4B6F-9D4E-6988019D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13</cp:revision>
  <dcterms:created xsi:type="dcterms:W3CDTF">2021-06-14T11:14:00Z</dcterms:created>
  <dcterms:modified xsi:type="dcterms:W3CDTF">2021-06-14T11:22:00Z</dcterms:modified>
</cp:coreProperties>
</file>