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FECD" w14:textId="755566D4" w:rsidR="00EF66FB" w:rsidRPr="003516A2" w:rsidRDefault="008276AE" w:rsidP="00A94EC6">
      <w:pPr>
        <w:spacing w:after="0" w:line="240" w:lineRule="auto"/>
        <w:jc w:val="center"/>
        <w:rPr>
          <w:b/>
          <w:bCs/>
          <w:sz w:val="24"/>
          <w:szCs w:val="24"/>
        </w:rPr>
      </w:pPr>
      <w:r w:rsidRPr="003516A2">
        <w:rPr>
          <w:b/>
          <w:bCs/>
          <w:sz w:val="24"/>
          <w:szCs w:val="24"/>
        </w:rPr>
        <w:t>Questions for Policy Manual Writing Committee</w:t>
      </w:r>
      <w:r w:rsidR="00A94EC6" w:rsidRPr="003516A2">
        <w:rPr>
          <w:b/>
          <w:bCs/>
          <w:sz w:val="24"/>
          <w:szCs w:val="24"/>
        </w:rPr>
        <w:t xml:space="preserve"> (compiled by SAG Facilitator)</w:t>
      </w:r>
    </w:p>
    <w:p w14:paraId="73F41F9B" w14:textId="35583149" w:rsidR="00AC4E13" w:rsidRPr="003516A2" w:rsidRDefault="00A94EC6" w:rsidP="004326F5">
      <w:pPr>
        <w:spacing w:after="0" w:line="240" w:lineRule="auto"/>
        <w:jc w:val="center"/>
        <w:rPr>
          <w:b/>
          <w:bCs/>
          <w:sz w:val="24"/>
          <w:szCs w:val="24"/>
        </w:rPr>
      </w:pPr>
      <w:r w:rsidRPr="003516A2">
        <w:rPr>
          <w:b/>
          <w:bCs/>
          <w:sz w:val="24"/>
          <w:szCs w:val="24"/>
        </w:rPr>
        <w:t>Sept. 11, 2023</w:t>
      </w:r>
    </w:p>
    <w:p w14:paraId="3ADA25ED" w14:textId="77777777" w:rsidR="00AC4E13" w:rsidRPr="00AC4E13" w:rsidRDefault="00AC4E13" w:rsidP="00AC4E13">
      <w:pPr>
        <w:spacing w:after="0" w:line="240" w:lineRule="auto"/>
        <w:rPr>
          <w:b/>
          <w:bCs/>
          <w:sz w:val="24"/>
          <w:szCs w:val="24"/>
        </w:rPr>
      </w:pPr>
    </w:p>
    <w:p w14:paraId="05BD234F" w14:textId="77777777" w:rsidR="009904C6" w:rsidRDefault="009904C6" w:rsidP="00A94EC6">
      <w:pPr>
        <w:pStyle w:val="ListParagraph"/>
        <w:numPr>
          <w:ilvl w:val="0"/>
          <w:numId w:val="1"/>
        </w:numPr>
        <w:spacing w:after="0" w:line="240" w:lineRule="auto"/>
        <w:rPr>
          <w:b/>
          <w:bCs/>
        </w:rPr>
      </w:pPr>
      <w:r>
        <w:rPr>
          <w:b/>
          <w:bCs/>
        </w:rPr>
        <w:t>Income Qualified Topics (see Section 3.10)</w:t>
      </w:r>
    </w:p>
    <w:p w14:paraId="5B6EEEE3" w14:textId="77777777" w:rsidR="009904C6" w:rsidRDefault="009904C6" w:rsidP="009904C6">
      <w:pPr>
        <w:pStyle w:val="ListParagraph"/>
        <w:spacing w:after="0" w:line="240" w:lineRule="auto"/>
        <w:rPr>
          <w:b/>
          <w:bCs/>
        </w:rPr>
      </w:pPr>
    </w:p>
    <w:p w14:paraId="398A324E" w14:textId="2E3BDF45" w:rsidR="009904C6" w:rsidRPr="00430301" w:rsidRDefault="009904C6" w:rsidP="009904C6">
      <w:pPr>
        <w:spacing w:after="0" w:line="240" w:lineRule="auto"/>
      </w:pPr>
      <w:r w:rsidRPr="00430301">
        <w:t>I suggest this policy be re-worded for clarity:</w:t>
      </w:r>
    </w:p>
    <w:p w14:paraId="457928A8" w14:textId="77777777" w:rsidR="009904C6" w:rsidRDefault="009904C6" w:rsidP="009904C6">
      <w:pPr>
        <w:spacing w:after="0" w:line="240" w:lineRule="auto"/>
        <w:rPr>
          <w:b/>
          <w:bCs/>
        </w:rPr>
      </w:pPr>
    </w:p>
    <w:p w14:paraId="201E3CDE" w14:textId="057EA5D6" w:rsidR="009904C6" w:rsidRDefault="009904C6" w:rsidP="009904C6">
      <w:pPr>
        <w:pStyle w:val="ListParagraph"/>
        <w:spacing w:after="0" w:line="240" w:lineRule="auto"/>
        <w:rPr>
          <w:i/>
          <w:iCs/>
        </w:rPr>
      </w:pPr>
      <w:r w:rsidRPr="009904C6">
        <w:rPr>
          <w:i/>
          <w:iCs/>
        </w:rPr>
        <w:t xml:space="preserve">All income qualified items discussed through SAG, SAG Working Groups, and/or SAG Subcommittees should be grouped so that </w:t>
      </w:r>
      <w:r w:rsidRPr="009904C6">
        <w:rPr>
          <w:i/>
          <w:iCs/>
          <w:strike/>
        </w:rPr>
        <w:t>interested income qualified</w:t>
      </w:r>
      <w:r w:rsidRPr="009904C6">
        <w:rPr>
          <w:i/>
          <w:iCs/>
        </w:rPr>
        <w:t xml:space="preserve"> participants </w:t>
      </w:r>
      <w:r w:rsidRPr="009904C6">
        <w:rPr>
          <w:i/>
          <w:iCs/>
          <w:highlight w:val="yellow"/>
        </w:rPr>
        <w:t>interested in income qualified topics</w:t>
      </w:r>
      <w:r>
        <w:rPr>
          <w:i/>
          <w:iCs/>
        </w:rPr>
        <w:t xml:space="preserve"> </w:t>
      </w:r>
      <w:r w:rsidRPr="009904C6">
        <w:rPr>
          <w:i/>
          <w:iCs/>
        </w:rPr>
        <w:t>can participate in targeted way in SAG meetings, where reasonably possible.</w:t>
      </w:r>
    </w:p>
    <w:p w14:paraId="09B75256" w14:textId="77777777" w:rsidR="009904C6" w:rsidRDefault="009904C6" w:rsidP="009904C6">
      <w:pPr>
        <w:pStyle w:val="ListParagraph"/>
        <w:spacing w:after="0" w:line="240" w:lineRule="auto"/>
        <w:rPr>
          <w:b/>
          <w:bCs/>
        </w:rPr>
      </w:pPr>
    </w:p>
    <w:p w14:paraId="1CA86E24" w14:textId="440052A2" w:rsidR="00B52A6A" w:rsidRPr="003516A2" w:rsidRDefault="00360613" w:rsidP="00A94EC6">
      <w:pPr>
        <w:pStyle w:val="ListParagraph"/>
        <w:numPr>
          <w:ilvl w:val="0"/>
          <w:numId w:val="1"/>
        </w:numPr>
        <w:spacing w:after="0" w:line="240" w:lineRule="auto"/>
        <w:rPr>
          <w:b/>
          <w:bCs/>
        </w:rPr>
      </w:pPr>
      <w:r w:rsidRPr="003516A2">
        <w:rPr>
          <w:b/>
          <w:bCs/>
        </w:rPr>
        <w:t>Single Family Income Qualified Eligibility Verification Guidelines Policy</w:t>
      </w:r>
      <w:r w:rsidR="00816238" w:rsidRPr="003516A2">
        <w:rPr>
          <w:b/>
          <w:bCs/>
        </w:rPr>
        <w:t xml:space="preserve"> (see Section 4.4)</w:t>
      </w:r>
    </w:p>
    <w:p w14:paraId="541754B8" w14:textId="77777777" w:rsidR="00360613" w:rsidRPr="003516A2" w:rsidRDefault="00360613" w:rsidP="00360613">
      <w:pPr>
        <w:spacing w:after="0" w:line="240" w:lineRule="auto"/>
      </w:pPr>
    </w:p>
    <w:p w14:paraId="72FDED21" w14:textId="67CF8352" w:rsidR="004537D4" w:rsidRPr="003516A2" w:rsidRDefault="00360613" w:rsidP="00360613">
      <w:pPr>
        <w:spacing w:after="0" w:line="240" w:lineRule="auto"/>
      </w:pPr>
      <w:r w:rsidRPr="003516A2">
        <w:t xml:space="preserve">Should this policy </w:t>
      </w:r>
      <w:r w:rsidR="00A40BA2" w:rsidRPr="003516A2">
        <w:t xml:space="preserve">use </w:t>
      </w:r>
      <w:r w:rsidRPr="003516A2">
        <w:t xml:space="preserve">“income eligible” </w:t>
      </w:r>
      <w:r w:rsidR="009F293A" w:rsidRPr="003516A2">
        <w:t xml:space="preserve">or “income qualified”? </w:t>
      </w:r>
      <w:r w:rsidR="00354142">
        <w:t xml:space="preserve">Or does </w:t>
      </w:r>
      <w:r w:rsidR="00BC53EA">
        <w:t>the policy</w:t>
      </w:r>
      <w:r w:rsidR="00354142">
        <w:t xml:space="preserve"> make sense as-written? </w:t>
      </w:r>
      <w:r w:rsidR="009F293A" w:rsidRPr="003516A2">
        <w:t>Both</w:t>
      </w:r>
      <w:r w:rsidR="00D179C6">
        <w:t xml:space="preserve"> terms</w:t>
      </w:r>
      <w:r w:rsidR="009F293A" w:rsidRPr="003516A2">
        <w:t xml:space="preserve"> are used</w:t>
      </w:r>
      <w:r w:rsidRPr="003516A2">
        <w:t xml:space="preserve"> in this policy. </w:t>
      </w:r>
      <w:r w:rsidR="004537D4" w:rsidRPr="003516A2">
        <w:t>A similar policy already exists in the Policy Manual (see Section 4.3, Income Eligibility Verification Guidelines for Low Income Customers).</w:t>
      </w:r>
    </w:p>
    <w:p w14:paraId="2BACCD47" w14:textId="77777777" w:rsidR="004537D4" w:rsidRPr="003516A2" w:rsidRDefault="004537D4" w:rsidP="00360613">
      <w:pPr>
        <w:spacing w:after="0" w:line="240" w:lineRule="auto"/>
        <w:rPr>
          <w:rFonts w:cstheme="minorHAnsi"/>
        </w:rPr>
      </w:pPr>
    </w:p>
    <w:p w14:paraId="57E0BED4" w14:textId="127EF5EA" w:rsidR="00360613" w:rsidRPr="003516A2" w:rsidRDefault="00360613" w:rsidP="00360613">
      <w:pPr>
        <w:spacing w:after="0" w:line="240" w:lineRule="auto"/>
        <w:rPr>
          <w:rFonts w:cstheme="minorHAnsi"/>
        </w:rPr>
      </w:pPr>
      <w:r w:rsidRPr="003516A2">
        <w:rPr>
          <w:rFonts w:cstheme="minorHAnsi"/>
        </w:rPr>
        <w:t>Low Income is a defined term</w:t>
      </w:r>
      <w:r w:rsidR="005E2E59" w:rsidRPr="003516A2">
        <w:rPr>
          <w:rFonts w:cstheme="minorHAnsi"/>
        </w:rPr>
        <w:t xml:space="preserve"> in the Manual’s Glossary</w:t>
      </w:r>
      <w:r w:rsidRPr="003516A2">
        <w:rPr>
          <w:rFonts w:cstheme="minorHAnsi"/>
        </w:rPr>
        <w:t>:</w:t>
      </w:r>
    </w:p>
    <w:p w14:paraId="3C59648F" w14:textId="3A7C515D" w:rsidR="00B52A6A" w:rsidRPr="003516A2" w:rsidRDefault="005E2E59" w:rsidP="000B358F">
      <w:pPr>
        <w:pStyle w:val="Default"/>
        <w:numPr>
          <w:ilvl w:val="0"/>
          <w:numId w:val="4"/>
        </w:numPr>
        <w:rPr>
          <w:rFonts w:asciiTheme="minorHAnsi" w:hAnsiTheme="minorHAnsi" w:cstheme="minorHAnsi"/>
          <w:sz w:val="22"/>
          <w:szCs w:val="22"/>
        </w:rPr>
      </w:pPr>
      <w:r w:rsidRPr="003516A2">
        <w:rPr>
          <w:rFonts w:asciiTheme="minorHAnsi" w:hAnsiTheme="minorHAnsi" w:cstheme="minorHAnsi"/>
          <w:b/>
          <w:bCs/>
          <w:i/>
          <w:iCs/>
          <w:sz w:val="22"/>
          <w:szCs w:val="22"/>
        </w:rPr>
        <w:t xml:space="preserve">Low Income Customer </w:t>
      </w:r>
      <w:r w:rsidRPr="003516A2">
        <w:rPr>
          <w:rFonts w:asciiTheme="minorHAnsi" w:hAnsiTheme="minorHAnsi" w:cstheme="minorHAnsi"/>
          <w:i/>
          <w:iCs/>
          <w:sz w:val="22"/>
          <w:szCs w:val="22"/>
        </w:rPr>
        <w:t>means a residential Customer of a participating utility with a household income at or below one-hundred and fifty percent (150%) of the poverty level9 or households at or below eighty percent (80%) of the Area Median Income</w:t>
      </w:r>
      <w:r w:rsidR="000E6B0B" w:rsidRPr="003516A2">
        <w:rPr>
          <w:rFonts w:asciiTheme="minorHAnsi" w:hAnsiTheme="minorHAnsi" w:cstheme="minorHAnsi"/>
          <w:i/>
          <w:iCs/>
          <w:sz w:val="22"/>
          <w:szCs w:val="22"/>
        </w:rPr>
        <w:t>.</w:t>
      </w:r>
    </w:p>
    <w:p w14:paraId="3CA65CBD" w14:textId="77777777" w:rsidR="00E93BA9" w:rsidRPr="003516A2" w:rsidRDefault="00E93BA9" w:rsidP="000B358F">
      <w:pPr>
        <w:spacing w:after="0" w:line="240" w:lineRule="auto"/>
      </w:pPr>
    </w:p>
    <w:p w14:paraId="3B6C3D1A" w14:textId="7E1395CC" w:rsidR="00EA518F" w:rsidRPr="003516A2" w:rsidRDefault="00EA518F" w:rsidP="00EA518F">
      <w:pPr>
        <w:pStyle w:val="ListParagraph"/>
        <w:numPr>
          <w:ilvl w:val="0"/>
          <w:numId w:val="1"/>
        </w:numPr>
        <w:spacing w:after="0" w:line="240" w:lineRule="auto"/>
        <w:rPr>
          <w:b/>
          <w:bCs/>
        </w:rPr>
      </w:pPr>
      <w:r w:rsidRPr="003516A2">
        <w:rPr>
          <w:b/>
          <w:bCs/>
        </w:rPr>
        <w:t>One Stop Shop Program Design Definition for Income Qualified Multifamily Retrofit Policy</w:t>
      </w:r>
      <w:r w:rsidR="00816238" w:rsidRPr="003516A2">
        <w:rPr>
          <w:b/>
          <w:bCs/>
        </w:rPr>
        <w:t xml:space="preserve"> (see Section 4.5)</w:t>
      </w:r>
    </w:p>
    <w:p w14:paraId="4D028800" w14:textId="77777777" w:rsidR="00EA518F" w:rsidRPr="003516A2" w:rsidRDefault="00EA518F" w:rsidP="000B358F">
      <w:pPr>
        <w:spacing w:after="0" w:line="240" w:lineRule="auto"/>
      </w:pPr>
    </w:p>
    <w:p w14:paraId="335E3D73" w14:textId="0326D946" w:rsidR="00EA518F" w:rsidRPr="003516A2" w:rsidRDefault="00EA518F" w:rsidP="00EA518F">
      <w:pPr>
        <w:spacing w:after="0" w:line="240" w:lineRule="auto"/>
      </w:pPr>
      <w:r w:rsidRPr="003516A2">
        <w:t xml:space="preserve">Similar to question 1, </w:t>
      </w:r>
      <w:r w:rsidR="001C7650" w:rsidRPr="003516A2">
        <w:t>is the Writing Committee comfortable with this policy using “income qualified” vs. another term?</w:t>
      </w:r>
      <w:r w:rsidRPr="003516A2">
        <w:t xml:space="preserve"> </w:t>
      </w:r>
    </w:p>
    <w:p w14:paraId="27CB403D" w14:textId="77777777" w:rsidR="00EA518F" w:rsidRPr="003516A2" w:rsidRDefault="00EA518F" w:rsidP="000B358F">
      <w:pPr>
        <w:spacing w:after="0" w:line="240" w:lineRule="auto"/>
      </w:pPr>
    </w:p>
    <w:p w14:paraId="31A86080" w14:textId="77777777" w:rsidR="000B358F" w:rsidRPr="003516A2" w:rsidRDefault="000B358F" w:rsidP="000B358F">
      <w:pPr>
        <w:pStyle w:val="ListParagraph"/>
        <w:numPr>
          <w:ilvl w:val="0"/>
          <w:numId w:val="1"/>
        </w:numPr>
        <w:spacing w:after="0" w:line="240" w:lineRule="auto"/>
        <w:rPr>
          <w:b/>
          <w:bCs/>
        </w:rPr>
      </w:pPr>
      <w:r w:rsidRPr="003516A2">
        <w:rPr>
          <w:b/>
          <w:bCs/>
        </w:rPr>
        <w:t>Language referencing agreement on metrics</w:t>
      </w:r>
    </w:p>
    <w:p w14:paraId="238AE305" w14:textId="77777777" w:rsidR="000B358F" w:rsidRPr="003516A2" w:rsidRDefault="000B358F" w:rsidP="000B358F">
      <w:pPr>
        <w:spacing w:after="0" w:line="240" w:lineRule="auto"/>
      </w:pPr>
    </w:p>
    <w:p w14:paraId="22340C76" w14:textId="77777777" w:rsidR="000B358F" w:rsidRPr="003516A2" w:rsidRDefault="000B358F" w:rsidP="000B358F">
      <w:pPr>
        <w:spacing w:after="0" w:line="240" w:lineRule="auto"/>
      </w:pPr>
      <w:r w:rsidRPr="003516A2">
        <w:t>There are four “reporting principle” policies that are new to the Manual:</w:t>
      </w:r>
    </w:p>
    <w:p w14:paraId="41CED5F2" w14:textId="77777777" w:rsidR="000B358F" w:rsidRPr="003516A2" w:rsidRDefault="000B358F" w:rsidP="000B358F">
      <w:pPr>
        <w:pStyle w:val="ListParagraph"/>
        <w:numPr>
          <w:ilvl w:val="0"/>
          <w:numId w:val="2"/>
        </w:numPr>
        <w:spacing w:after="0" w:line="240" w:lineRule="auto"/>
      </w:pPr>
      <w:r w:rsidRPr="003516A2">
        <w:t>Income Qualified Multi-Family Reporting Principles Policy</w:t>
      </w:r>
    </w:p>
    <w:p w14:paraId="36F27EE7" w14:textId="77777777" w:rsidR="000B358F" w:rsidRPr="003516A2" w:rsidRDefault="000B358F" w:rsidP="000B358F">
      <w:pPr>
        <w:pStyle w:val="ListParagraph"/>
        <w:numPr>
          <w:ilvl w:val="1"/>
          <w:numId w:val="2"/>
        </w:numPr>
        <w:spacing w:after="0" w:line="240" w:lineRule="auto"/>
      </w:pPr>
      <w:r w:rsidRPr="003516A2">
        <w:t>See Section 6.8</w:t>
      </w:r>
    </w:p>
    <w:p w14:paraId="0FFB4388" w14:textId="77777777" w:rsidR="000B358F" w:rsidRPr="003516A2" w:rsidRDefault="000B358F" w:rsidP="000B358F">
      <w:pPr>
        <w:pStyle w:val="ListParagraph"/>
        <w:numPr>
          <w:ilvl w:val="0"/>
          <w:numId w:val="2"/>
        </w:numPr>
        <w:spacing w:after="0" w:line="240" w:lineRule="auto"/>
      </w:pPr>
      <w:r w:rsidRPr="003516A2">
        <w:t>Income Qualified Health and Safety Reporting Principles Policy</w:t>
      </w:r>
    </w:p>
    <w:p w14:paraId="355A6331" w14:textId="77777777" w:rsidR="000B358F" w:rsidRPr="003516A2" w:rsidRDefault="000B358F" w:rsidP="000B358F">
      <w:pPr>
        <w:pStyle w:val="ListParagraph"/>
        <w:numPr>
          <w:ilvl w:val="1"/>
          <w:numId w:val="2"/>
        </w:numPr>
        <w:spacing w:after="0" w:line="240" w:lineRule="auto"/>
      </w:pPr>
      <w:r w:rsidRPr="003516A2">
        <w:t>See Section 6.9</w:t>
      </w:r>
    </w:p>
    <w:p w14:paraId="679C1DC6" w14:textId="77777777" w:rsidR="000B358F" w:rsidRPr="003516A2" w:rsidRDefault="000B358F" w:rsidP="000B358F">
      <w:pPr>
        <w:pStyle w:val="ListParagraph"/>
        <w:numPr>
          <w:ilvl w:val="0"/>
          <w:numId w:val="2"/>
        </w:numPr>
        <w:spacing w:after="0" w:line="240" w:lineRule="auto"/>
      </w:pPr>
      <w:r w:rsidRPr="003516A2">
        <w:t>Equity and Affordability Reporting Principles Policy</w:t>
      </w:r>
    </w:p>
    <w:p w14:paraId="6B2F2000" w14:textId="77777777" w:rsidR="000B358F" w:rsidRPr="003516A2" w:rsidRDefault="000B358F" w:rsidP="000B358F">
      <w:pPr>
        <w:pStyle w:val="ListParagraph"/>
        <w:numPr>
          <w:ilvl w:val="1"/>
          <w:numId w:val="2"/>
        </w:numPr>
        <w:spacing w:after="0" w:line="240" w:lineRule="auto"/>
      </w:pPr>
      <w:r w:rsidRPr="003516A2">
        <w:t>See Section 6.10</w:t>
      </w:r>
    </w:p>
    <w:p w14:paraId="09EB8F7F" w14:textId="77777777" w:rsidR="000B358F" w:rsidRPr="003516A2" w:rsidRDefault="000B358F" w:rsidP="000B358F">
      <w:pPr>
        <w:pStyle w:val="ListParagraph"/>
        <w:numPr>
          <w:ilvl w:val="0"/>
          <w:numId w:val="2"/>
        </w:numPr>
        <w:spacing w:after="0" w:line="240" w:lineRule="auto"/>
      </w:pPr>
      <w:r w:rsidRPr="003516A2">
        <w:t>Diverse Contracting Reporting Principles Policy</w:t>
      </w:r>
    </w:p>
    <w:p w14:paraId="2CECB967" w14:textId="77777777" w:rsidR="000B358F" w:rsidRPr="003516A2" w:rsidRDefault="000B358F" w:rsidP="000B358F">
      <w:pPr>
        <w:pStyle w:val="ListParagraph"/>
        <w:numPr>
          <w:ilvl w:val="1"/>
          <w:numId w:val="2"/>
        </w:numPr>
        <w:spacing w:after="0" w:line="240" w:lineRule="auto"/>
      </w:pPr>
      <w:r w:rsidRPr="003516A2">
        <w:t>See Section 6.11</w:t>
      </w:r>
    </w:p>
    <w:p w14:paraId="10917C16" w14:textId="77777777" w:rsidR="000B358F" w:rsidRPr="003516A2" w:rsidRDefault="000B358F" w:rsidP="000B358F">
      <w:pPr>
        <w:spacing w:after="0" w:line="240" w:lineRule="auto"/>
      </w:pPr>
    </w:p>
    <w:p w14:paraId="38521F66" w14:textId="3115D7B8" w:rsidR="000B358F" w:rsidRPr="003516A2" w:rsidRDefault="000B358F" w:rsidP="000B358F">
      <w:pPr>
        <w:spacing w:after="0" w:line="240" w:lineRule="auto"/>
      </w:pPr>
      <w:r w:rsidRPr="003516A2">
        <w:t>There is a sentence towards the end of each policy that references developing specific metrics that may evolve over time. This sentence is not the same in each policy</w:t>
      </w:r>
      <w:r w:rsidR="0075739F" w:rsidRPr="003516A2">
        <w:t>.</w:t>
      </w:r>
    </w:p>
    <w:p w14:paraId="418B69DD" w14:textId="77777777" w:rsidR="000B358F" w:rsidRPr="003516A2" w:rsidRDefault="000B358F" w:rsidP="000B358F">
      <w:pPr>
        <w:spacing w:after="0" w:line="240" w:lineRule="auto"/>
      </w:pPr>
    </w:p>
    <w:p w14:paraId="1C692D03" w14:textId="4715415C" w:rsidR="000B358F" w:rsidRPr="003516A2" w:rsidRDefault="000B358F" w:rsidP="000B358F">
      <w:pPr>
        <w:spacing w:after="0" w:line="240" w:lineRule="auto"/>
      </w:pPr>
      <w:r w:rsidRPr="003516A2">
        <w:t>I suggest this language be the same for each policy. The SAG Reporting Working Group will meet this fall with the goal of reaching consensus on metrics for each of these policies</w:t>
      </w:r>
      <w:r w:rsidR="009923B3" w:rsidRPr="003516A2">
        <w:t xml:space="preserve"> by the end of 2023</w:t>
      </w:r>
      <w:r w:rsidRPr="003516A2">
        <w:t xml:space="preserve">. </w:t>
      </w:r>
    </w:p>
    <w:p w14:paraId="09F08AE2" w14:textId="77777777" w:rsidR="000B358F" w:rsidRPr="003516A2" w:rsidRDefault="000B358F" w:rsidP="000B358F">
      <w:pPr>
        <w:spacing w:after="0" w:line="240" w:lineRule="auto"/>
      </w:pPr>
    </w:p>
    <w:p w14:paraId="6C0CBBD1" w14:textId="77777777" w:rsidR="000B358F" w:rsidRPr="003516A2" w:rsidRDefault="000B358F" w:rsidP="000B358F">
      <w:pPr>
        <w:spacing w:after="0" w:line="240" w:lineRule="auto"/>
      </w:pPr>
      <w:r w:rsidRPr="003516A2">
        <w:lastRenderedPageBreak/>
        <w:t xml:space="preserve">What does the Writing Committee think about using this sentence? </w:t>
      </w:r>
      <w:r w:rsidRPr="003516A2">
        <w:rPr>
          <w:i/>
          <w:iCs/>
        </w:rPr>
        <w:t>Program Administrators shall work with interested stakeholders to reach consensus in developing the specific metrics to address these reporting needs. The metrics may evolve over time.</w:t>
      </w:r>
    </w:p>
    <w:p w14:paraId="43DA8836" w14:textId="77777777" w:rsidR="000B358F" w:rsidRPr="003516A2" w:rsidRDefault="000B358F" w:rsidP="000B358F">
      <w:pPr>
        <w:spacing w:after="0" w:line="240" w:lineRule="auto"/>
      </w:pPr>
    </w:p>
    <w:p w14:paraId="72178408" w14:textId="3398F6C6" w:rsidR="00460DC3" w:rsidRPr="003516A2" w:rsidRDefault="003B729C" w:rsidP="00A94EC6">
      <w:pPr>
        <w:pStyle w:val="ListParagraph"/>
        <w:numPr>
          <w:ilvl w:val="0"/>
          <w:numId w:val="1"/>
        </w:numPr>
        <w:spacing w:after="0" w:line="240" w:lineRule="auto"/>
        <w:rPr>
          <w:b/>
          <w:bCs/>
        </w:rPr>
      </w:pPr>
      <w:r w:rsidRPr="003516A2">
        <w:rPr>
          <w:b/>
          <w:bCs/>
        </w:rPr>
        <w:t>LIEEAC Facilitator Independence Policy (see Section 4.6)</w:t>
      </w:r>
    </w:p>
    <w:p w14:paraId="42B31E04" w14:textId="77777777" w:rsidR="003B729C" w:rsidRPr="003516A2" w:rsidRDefault="003B729C" w:rsidP="003B729C">
      <w:pPr>
        <w:spacing w:after="0" w:line="240" w:lineRule="auto"/>
      </w:pPr>
    </w:p>
    <w:p w14:paraId="795B40B9" w14:textId="47D79301" w:rsidR="003B729C" w:rsidRPr="003516A2" w:rsidRDefault="003B729C" w:rsidP="003B729C">
      <w:pPr>
        <w:spacing w:after="0" w:line="240" w:lineRule="auto"/>
        <w:rPr>
          <w:rFonts w:cstheme="minorHAnsi"/>
        </w:rPr>
      </w:pPr>
      <w:r w:rsidRPr="003516A2">
        <w:rPr>
          <w:rFonts w:cstheme="minorHAnsi"/>
        </w:rPr>
        <w:t>CEJA refers to this committee as the “low-income energy efficiency accountability committee”, however in practice it is referred to as the Income Qualified North EE Committee and IQ South EE Committee. Should both be referenced, or leave the statutory name?</w:t>
      </w:r>
    </w:p>
    <w:p w14:paraId="1C059967" w14:textId="77777777" w:rsidR="00050FB3" w:rsidRPr="003516A2" w:rsidRDefault="00050FB3" w:rsidP="003B729C">
      <w:pPr>
        <w:spacing w:after="0" w:line="240" w:lineRule="auto"/>
        <w:rPr>
          <w:rFonts w:cstheme="minorHAnsi"/>
        </w:rPr>
      </w:pPr>
    </w:p>
    <w:p w14:paraId="27B217E0" w14:textId="77777777" w:rsidR="00050FB3" w:rsidRPr="003516A2" w:rsidRDefault="00050FB3" w:rsidP="00050FB3">
      <w:pPr>
        <w:pStyle w:val="ListParagraph"/>
        <w:numPr>
          <w:ilvl w:val="0"/>
          <w:numId w:val="6"/>
        </w:numPr>
        <w:spacing w:after="0" w:line="240" w:lineRule="auto"/>
        <w:rPr>
          <w:rFonts w:cstheme="minorHAnsi"/>
          <w:b/>
          <w:bCs/>
        </w:rPr>
      </w:pPr>
      <w:r w:rsidRPr="003516A2">
        <w:rPr>
          <w:rFonts w:cstheme="minorHAnsi"/>
          <w:b/>
          <w:bCs/>
        </w:rPr>
        <w:t>Independence Policies</w:t>
      </w:r>
    </w:p>
    <w:p w14:paraId="6E2BF710" w14:textId="77777777" w:rsidR="00050FB3" w:rsidRPr="003516A2" w:rsidRDefault="00050FB3" w:rsidP="003B729C">
      <w:pPr>
        <w:spacing w:after="0" w:line="240" w:lineRule="auto"/>
        <w:rPr>
          <w:rFonts w:cstheme="minorHAnsi"/>
        </w:rPr>
      </w:pPr>
    </w:p>
    <w:p w14:paraId="4C74A307" w14:textId="77777777" w:rsidR="00B430D0" w:rsidRPr="003516A2" w:rsidRDefault="00B430D0" w:rsidP="00B430D0">
      <w:pPr>
        <w:pStyle w:val="CommentText"/>
        <w:rPr>
          <w:rFonts w:asciiTheme="minorHAnsi" w:hAnsiTheme="minorHAnsi" w:cstheme="minorHAnsi"/>
          <w:sz w:val="22"/>
          <w:szCs w:val="22"/>
        </w:rPr>
      </w:pPr>
      <w:r w:rsidRPr="003516A2">
        <w:rPr>
          <w:rFonts w:asciiTheme="minorHAnsi" w:hAnsiTheme="minorHAnsi" w:cstheme="minorHAnsi"/>
          <w:sz w:val="22"/>
          <w:szCs w:val="22"/>
        </w:rPr>
        <w:t>There are four independence protocols:</w:t>
      </w:r>
    </w:p>
    <w:p w14:paraId="319F1D9C" w14:textId="77777777" w:rsidR="00B430D0" w:rsidRPr="003516A2" w:rsidRDefault="00B430D0" w:rsidP="00B430D0">
      <w:pPr>
        <w:pStyle w:val="CommentText"/>
        <w:numPr>
          <w:ilvl w:val="0"/>
          <w:numId w:val="7"/>
        </w:numPr>
        <w:rPr>
          <w:rFonts w:asciiTheme="minorHAnsi" w:hAnsiTheme="minorHAnsi" w:cstheme="minorHAnsi"/>
          <w:sz w:val="22"/>
          <w:szCs w:val="22"/>
        </w:rPr>
      </w:pPr>
      <w:r w:rsidRPr="003516A2">
        <w:rPr>
          <w:rFonts w:asciiTheme="minorHAnsi" w:hAnsiTheme="minorHAnsi" w:cstheme="minorHAnsi"/>
          <w:sz w:val="22"/>
          <w:szCs w:val="22"/>
        </w:rPr>
        <w:t xml:space="preserve">SAG Facilitator Independence – see Section 3.5 </w:t>
      </w:r>
    </w:p>
    <w:p w14:paraId="403FA9E3" w14:textId="77777777" w:rsidR="00B430D0" w:rsidRPr="003516A2" w:rsidRDefault="00B430D0" w:rsidP="00B430D0">
      <w:pPr>
        <w:pStyle w:val="CommentText"/>
        <w:numPr>
          <w:ilvl w:val="0"/>
          <w:numId w:val="7"/>
        </w:numPr>
        <w:rPr>
          <w:rFonts w:asciiTheme="minorHAnsi" w:hAnsiTheme="minorHAnsi" w:cstheme="minorHAnsi"/>
          <w:sz w:val="22"/>
          <w:szCs w:val="22"/>
        </w:rPr>
      </w:pPr>
      <w:r w:rsidRPr="003516A2">
        <w:rPr>
          <w:rFonts w:asciiTheme="minorHAnsi" w:hAnsiTheme="minorHAnsi" w:cstheme="minorHAnsi"/>
          <w:sz w:val="22"/>
          <w:szCs w:val="22"/>
        </w:rPr>
        <w:t>LIEEAC Facilitator Independence – see Section 4.6</w:t>
      </w:r>
    </w:p>
    <w:p w14:paraId="6565367D" w14:textId="77777777" w:rsidR="00B430D0" w:rsidRPr="003516A2" w:rsidRDefault="00B430D0" w:rsidP="00B430D0">
      <w:pPr>
        <w:pStyle w:val="CommentText"/>
        <w:numPr>
          <w:ilvl w:val="0"/>
          <w:numId w:val="7"/>
        </w:numPr>
        <w:rPr>
          <w:rFonts w:asciiTheme="minorHAnsi" w:hAnsiTheme="minorHAnsi" w:cstheme="minorHAnsi"/>
          <w:sz w:val="22"/>
          <w:szCs w:val="22"/>
        </w:rPr>
      </w:pPr>
      <w:r w:rsidRPr="003516A2">
        <w:rPr>
          <w:rFonts w:asciiTheme="minorHAnsi" w:hAnsiTheme="minorHAnsi" w:cstheme="minorHAnsi"/>
          <w:sz w:val="22"/>
          <w:szCs w:val="22"/>
        </w:rPr>
        <w:t>IL-TRM Administrator Independence – see Section 7.1(ii)</w:t>
      </w:r>
    </w:p>
    <w:p w14:paraId="76E84F1F" w14:textId="77777777" w:rsidR="00B430D0" w:rsidRPr="003516A2" w:rsidRDefault="00B430D0" w:rsidP="00B430D0">
      <w:pPr>
        <w:pStyle w:val="CommentText"/>
        <w:numPr>
          <w:ilvl w:val="0"/>
          <w:numId w:val="7"/>
        </w:numPr>
        <w:rPr>
          <w:rFonts w:asciiTheme="minorHAnsi" w:hAnsiTheme="minorHAnsi" w:cstheme="minorHAnsi"/>
          <w:sz w:val="22"/>
          <w:szCs w:val="22"/>
        </w:rPr>
      </w:pPr>
      <w:r w:rsidRPr="003516A2">
        <w:rPr>
          <w:rFonts w:asciiTheme="minorHAnsi" w:hAnsiTheme="minorHAnsi" w:cstheme="minorHAnsi"/>
          <w:sz w:val="22"/>
          <w:szCs w:val="22"/>
        </w:rPr>
        <w:t>Evaluator Independence – see Section 7.6</w:t>
      </w:r>
    </w:p>
    <w:p w14:paraId="268B637E" w14:textId="77777777" w:rsidR="00B430D0" w:rsidRPr="003516A2" w:rsidRDefault="00B430D0" w:rsidP="003B729C">
      <w:pPr>
        <w:spacing w:after="0" w:line="240" w:lineRule="auto"/>
        <w:rPr>
          <w:rFonts w:cstheme="minorHAnsi"/>
        </w:rPr>
      </w:pPr>
    </w:p>
    <w:p w14:paraId="7F5DC753" w14:textId="57391822" w:rsidR="00F73CC7" w:rsidRPr="003516A2" w:rsidRDefault="004E32D9" w:rsidP="00F73CC7">
      <w:pPr>
        <w:pStyle w:val="CommentText"/>
        <w:rPr>
          <w:rFonts w:asciiTheme="minorHAnsi" w:hAnsiTheme="minorHAnsi" w:cstheme="minorHAnsi"/>
          <w:sz w:val="22"/>
          <w:szCs w:val="22"/>
        </w:rPr>
      </w:pPr>
      <w:r w:rsidRPr="003516A2">
        <w:rPr>
          <w:rFonts w:asciiTheme="minorHAnsi" w:hAnsiTheme="minorHAnsi" w:cstheme="minorHAnsi"/>
          <w:b/>
          <w:bCs/>
          <w:i/>
          <w:iCs/>
          <w:sz w:val="22"/>
          <w:szCs w:val="22"/>
        </w:rPr>
        <w:t>Question 1:</w:t>
      </w:r>
      <w:r w:rsidRPr="003516A2">
        <w:rPr>
          <w:rFonts w:asciiTheme="minorHAnsi" w:hAnsiTheme="minorHAnsi" w:cstheme="minorHAnsi"/>
          <w:sz w:val="22"/>
          <w:szCs w:val="22"/>
        </w:rPr>
        <w:t xml:space="preserve"> </w:t>
      </w:r>
      <w:r w:rsidR="00F73CC7" w:rsidRPr="003516A2">
        <w:rPr>
          <w:rFonts w:asciiTheme="minorHAnsi" w:hAnsiTheme="minorHAnsi" w:cstheme="minorHAnsi"/>
          <w:sz w:val="22"/>
          <w:szCs w:val="22"/>
        </w:rPr>
        <w:t xml:space="preserve">Should the independence protocols be moved into a new, separate section? Or remain where they are in the Manual? </w:t>
      </w:r>
    </w:p>
    <w:p w14:paraId="277DCF8A" w14:textId="77777777" w:rsidR="004E32D9" w:rsidRPr="003516A2" w:rsidRDefault="004E32D9" w:rsidP="004E32D9">
      <w:pPr>
        <w:pStyle w:val="CommentText"/>
        <w:rPr>
          <w:rFonts w:asciiTheme="minorHAnsi" w:hAnsiTheme="minorHAnsi" w:cstheme="minorHAnsi"/>
          <w:sz w:val="22"/>
          <w:szCs w:val="22"/>
        </w:rPr>
      </w:pPr>
    </w:p>
    <w:p w14:paraId="43C8825B" w14:textId="6E9AF366" w:rsidR="004E32D9" w:rsidRPr="003516A2" w:rsidRDefault="004E32D9" w:rsidP="004E32D9">
      <w:pPr>
        <w:pStyle w:val="CommentText"/>
        <w:rPr>
          <w:rFonts w:asciiTheme="minorHAnsi" w:hAnsiTheme="minorHAnsi" w:cstheme="minorHAnsi"/>
          <w:sz w:val="22"/>
          <w:szCs w:val="22"/>
        </w:rPr>
      </w:pPr>
      <w:r w:rsidRPr="003516A2">
        <w:rPr>
          <w:rFonts w:asciiTheme="minorHAnsi" w:hAnsiTheme="minorHAnsi" w:cstheme="minorHAnsi"/>
          <w:b/>
          <w:bCs/>
          <w:i/>
          <w:iCs/>
          <w:sz w:val="22"/>
          <w:szCs w:val="22"/>
        </w:rPr>
        <w:t>Question 2:</w:t>
      </w:r>
      <w:r w:rsidRPr="003516A2">
        <w:rPr>
          <w:rFonts w:asciiTheme="minorHAnsi" w:hAnsiTheme="minorHAnsi" w:cstheme="minorHAnsi"/>
          <w:sz w:val="22"/>
          <w:szCs w:val="22"/>
        </w:rPr>
        <w:t xml:space="preserve"> </w:t>
      </w:r>
      <w:r w:rsidR="00CB306E" w:rsidRPr="003516A2">
        <w:rPr>
          <w:rFonts w:asciiTheme="minorHAnsi" w:hAnsiTheme="minorHAnsi" w:cstheme="minorHAnsi"/>
          <w:sz w:val="22"/>
          <w:szCs w:val="22"/>
        </w:rPr>
        <w:t xml:space="preserve"> </w:t>
      </w:r>
      <w:bookmarkStart w:id="0" w:name="_Hlk145331368"/>
      <w:r w:rsidR="00CB306E" w:rsidRPr="003516A2">
        <w:rPr>
          <w:rFonts w:asciiTheme="minorHAnsi" w:hAnsiTheme="minorHAnsi" w:cstheme="minorHAnsi"/>
          <w:sz w:val="22"/>
          <w:szCs w:val="22"/>
        </w:rPr>
        <w:t>The edits to this policy establish a timeframe for Commission review of contracts.</w:t>
      </w:r>
      <w:r w:rsidR="003460F3" w:rsidRPr="003516A2">
        <w:rPr>
          <w:rFonts w:asciiTheme="minorHAnsi" w:hAnsiTheme="minorHAnsi" w:cstheme="minorHAnsi"/>
          <w:sz w:val="22"/>
          <w:szCs w:val="22"/>
        </w:rPr>
        <w:t xml:space="preserve"> This timeframe was also incorporated into the new LIEEAC Facilitator Independence policy.</w:t>
      </w:r>
      <w:r w:rsidR="00CB306E" w:rsidRPr="003516A2">
        <w:rPr>
          <w:rFonts w:asciiTheme="minorHAnsi" w:hAnsiTheme="minorHAnsi" w:cstheme="minorHAnsi"/>
          <w:sz w:val="22"/>
          <w:szCs w:val="22"/>
        </w:rPr>
        <w:t xml:space="preserve"> This policy edit was proposed for the TRM Administrator and Evaluator independence policies. The SAG Facilitator contract also requires Commission approval. Is the Writing Committee comfortable with this language being in all independence policies?</w:t>
      </w:r>
      <w:bookmarkEnd w:id="0"/>
    </w:p>
    <w:p w14:paraId="3B4EFA45" w14:textId="23559154" w:rsidR="003460F3" w:rsidRPr="003516A2" w:rsidRDefault="003460F3" w:rsidP="004E32D9">
      <w:pPr>
        <w:pStyle w:val="CommentText"/>
        <w:rPr>
          <w:rFonts w:asciiTheme="minorHAnsi" w:hAnsiTheme="minorHAnsi" w:cstheme="minorHAnsi"/>
          <w:sz w:val="22"/>
          <w:szCs w:val="22"/>
        </w:rPr>
      </w:pPr>
    </w:p>
    <w:p w14:paraId="56615085" w14:textId="77777777" w:rsidR="00F87674" w:rsidRPr="003516A2" w:rsidRDefault="00F87674" w:rsidP="00F87674">
      <w:pPr>
        <w:pStyle w:val="ListParagraph"/>
        <w:numPr>
          <w:ilvl w:val="0"/>
          <w:numId w:val="10"/>
        </w:numPr>
        <w:spacing w:after="0" w:line="240" w:lineRule="auto"/>
        <w:rPr>
          <w:rFonts w:cstheme="minorHAnsi"/>
          <w:b/>
          <w:bCs/>
        </w:rPr>
      </w:pPr>
      <w:r w:rsidRPr="003516A2">
        <w:rPr>
          <w:rFonts w:cstheme="minorHAnsi"/>
          <w:b/>
          <w:bCs/>
        </w:rPr>
        <w:t>Heating Penalties Policy (see Section 7.7)</w:t>
      </w:r>
    </w:p>
    <w:p w14:paraId="00010643" w14:textId="77777777" w:rsidR="00E26716" w:rsidRPr="003516A2" w:rsidRDefault="00E26716" w:rsidP="00E26716">
      <w:pPr>
        <w:spacing w:after="0" w:line="240" w:lineRule="auto"/>
        <w:rPr>
          <w:rFonts w:cstheme="minorHAnsi"/>
        </w:rPr>
      </w:pPr>
    </w:p>
    <w:p w14:paraId="5CE2792D" w14:textId="315508C6" w:rsidR="00E26716" w:rsidRPr="003516A2" w:rsidRDefault="00E26716" w:rsidP="00E26716">
      <w:pPr>
        <w:spacing w:after="0" w:line="240" w:lineRule="auto"/>
        <w:rPr>
          <w:rFonts w:cstheme="minorHAnsi"/>
        </w:rPr>
      </w:pPr>
      <w:r w:rsidRPr="003516A2">
        <w:rPr>
          <w:rFonts w:cstheme="minorHAnsi"/>
        </w:rPr>
        <w:t>The policy references FEJA. Should FEJA still be referenced, or Section 8-103B(b-25) instead?</w:t>
      </w:r>
    </w:p>
    <w:p w14:paraId="342A508F" w14:textId="77777777" w:rsidR="00F87674" w:rsidRPr="003516A2" w:rsidRDefault="00F87674" w:rsidP="004E32D9">
      <w:pPr>
        <w:pStyle w:val="CommentText"/>
        <w:rPr>
          <w:rFonts w:asciiTheme="minorHAnsi" w:hAnsiTheme="minorHAnsi" w:cstheme="minorHAnsi"/>
          <w:sz w:val="22"/>
          <w:szCs w:val="22"/>
        </w:rPr>
      </w:pPr>
    </w:p>
    <w:p w14:paraId="16A9C516" w14:textId="23A56069" w:rsidR="006F6BCD" w:rsidRPr="003516A2" w:rsidRDefault="006F6BCD" w:rsidP="006F6BCD">
      <w:pPr>
        <w:pStyle w:val="ListParagraph"/>
        <w:numPr>
          <w:ilvl w:val="0"/>
          <w:numId w:val="12"/>
        </w:numPr>
        <w:spacing w:after="0" w:line="240" w:lineRule="auto"/>
        <w:rPr>
          <w:rFonts w:cstheme="minorHAnsi"/>
          <w:b/>
          <w:bCs/>
        </w:rPr>
      </w:pPr>
      <w:r w:rsidRPr="003516A2">
        <w:rPr>
          <w:rFonts w:cstheme="minorHAnsi"/>
          <w:b/>
          <w:bCs/>
        </w:rPr>
        <w:t>Negative Savings Policy (see Section 7.8)</w:t>
      </w:r>
    </w:p>
    <w:p w14:paraId="09FAAAD9" w14:textId="77777777" w:rsidR="006F6BCD" w:rsidRPr="003516A2" w:rsidRDefault="006F6BCD" w:rsidP="006F6BCD">
      <w:pPr>
        <w:spacing w:after="0" w:line="240" w:lineRule="auto"/>
        <w:rPr>
          <w:rFonts w:cstheme="minorHAnsi"/>
        </w:rPr>
      </w:pPr>
    </w:p>
    <w:p w14:paraId="7078EFBE" w14:textId="51783B7C" w:rsidR="006F6BCD" w:rsidRPr="003516A2" w:rsidRDefault="006F6BCD" w:rsidP="006F6BCD">
      <w:pPr>
        <w:spacing w:after="0" w:line="240" w:lineRule="auto"/>
        <w:rPr>
          <w:rFonts w:cstheme="minorHAnsi"/>
        </w:rPr>
      </w:pPr>
      <w:r w:rsidRPr="003516A2">
        <w:rPr>
          <w:rFonts w:cstheme="minorHAnsi"/>
        </w:rPr>
        <w:t xml:space="preserve">There is a sentence from a previous version of the policy that should be deleted: </w:t>
      </w:r>
      <w:r w:rsidR="00326497" w:rsidRPr="003516A2">
        <w:rPr>
          <w:rFonts w:cstheme="minorHAnsi"/>
          <w:i/>
          <w:iCs/>
        </w:rPr>
        <w:t>This exception is described in response to question 5.</w:t>
      </w:r>
    </w:p>
    <w:p w14:paraId="724686AE" w14:textId="77777777" w:rsidR="006F6BCD" w:rsidRPr="003516A2" w:rsidRDefault="006F6BCD" w:rsidP="004E32D9">
      <w:pPr>
        <w:pStyle w:val="CommentText"/>
        <w:rPr>
          <w:rFonts w:asciiTheme="minorHAnsi" w:hAnsiTheme="minorHAnsi" w:cstheme="minorHAnsi"/>
          <w:sz w:val="22"/>
          <w:szCs w:val="22"/>
        </w:rPr>
      </w:pPr>
    </w:p>
    <w:p w14:paraId="192E26DF" w14:textId="7A6283EF" w:rsidR="007C0150" w:rsidRPr="003516A2" w:rsidRDefault="007C0150" w:rsidP="007C0150">
      <w:pPr>
        <w:pStyle w:val="ListParagraph"/>
        <w:numPr>
          <w:ilvl w:val="0"/>
          <w:numId w:val="11"/>
        </w:numPr>
        <w:spacing w:after="0" w:line="240" w:lineRule="auto"/>
        <w:rPr>
          <w:rFonts w:cstheme="minorHAnsi"/>
          <w:b/>
          <w:bCs/>
        </w:rPr>
      </w:pPr>
      <w:r w:rsidRPr="003516A2">
        <w:rPr>
          <w:rFonts w:cstheme="minorHAnsi"/>
          <w:b/>
          <w:bCs/>
        </w:rPr>
        <w:t>Interactive Effects Policy (see Section 12.3)</w:t>
      </w:r>
    </w:p>
    <w:p w14:paraId="210A09FE" w14:textId="77777777" w:rsidR="007C0150" w:rsidRPr="003516A2" w:rsidRDefault="007C0150" w:rsidP="004E32D9">
      <w:pPr>
        <w:pStyle w:val="CommentText"/>
        <w:rPr>
          <w:rFonts w:asciiTheme="minorHAnsi" w:hAnsiTheme="minorHAnsi" w:cstheme="minorHAnsi"/>
          <w:sz w:val="22"/>
          <w:szCs w:val="22"/>
        </w:rPr>
      </w:pPr>
    </w:p>
    <w:p w14:paraId="4B9C70C7" w14:textId="79138239" w:rsidR="007C0150" w:rsidRPr="003516A2" w:rsidRDefault="007C0150" w:rsidP="004E32D9">
      <w:pPr>
        <w:pStyle w:val="CommentText"/>
        <w:rPr>
          <w:rFonts w:asciiTheme="minorHAnsi" w:hAnsiTheme="minorHAnsi" w:cstheme="minorHAnsi"/>
          <w:sz w:val="22"/>
          <w:szCs w:val="22"/>
        </w:rPr>
      </w:pPr>
      <w:r w:rsidRPr="003516A2">
        <w:rPr>
          <w:rFonts w:asciiTheme="minorHAnsi" w:hAnsiTheme="minorHAnsi" w:cstheme="minorHAnsi"/>
          <w:sz w:val="22"/>
          <w:szCs w:val="22"/>
        </w:rPr>
        <w:t>Zach Ross (Opinion Dynamics) recommends the writing committee consider re-naming this policy to make clear it is specific the statute (b-25).</w:t>
      </w:r>
    </w:p>
    <w:p w14:paraId="524D5F31" w14:textId="77777777" w:rsidR="004B4ED6" w:rsidRPr="003516A2" w:rsidRDefault="004B4ED6" w:rsidP="004E32D9">
      <w:pPr>
        <w:pStyle w:val="CommentText"/>
        <w:rPr>
          <w:rFonts w:asciiTheme="minorHAnsi" w:hAnsiTheme="minorHAnsi" w:cstheme="minorHAnsi"/>
          <w:sz w:val="22"/>
          <w:szCs w:val="22"/>
        </w:rPr>
      </w:pPr>
    </w:p>
    <w:p w14:paraId="79CD7C3E" w14:textId="224CFCFA" w:rsidR="004B4ED6" w:rsidRPr="003516A2" w:rsidRDefault="004B4ED6" w:rsidP="004E32D9">
      <w:pPr>
        <w:pStyle w:val="CommentText"/>
        <w:rPr>
          <w:rFonts w:asciiTheme="minorHAnsi" w:hAnsiTheme="minorHAnsi" w:cstheme="minorHAnsi"/>
          <w:sz w:val="22"/>
          <w:szCs w:val="22"/>
        </w:rPr>
      </w:pPr>
      <w:bookmarkStart w:id="1" w:name="_Hlk145333609"/>
      <w:r w:rsidRPr="003516A2">
        <w:rPr>
          <w:rFonts w:asciiTheme="minorHAnsi" w:hAnsiTheme="minorHAnsi" w:cstheme="minorHAnsi"/>
          <w:sz w:val="22"/>
          <w:szCs w:val="22"/>
        </w:rPr>
        <w:t xml:space="preserve">What does the Writing Committee think about re-naming </w:t>
      </w:r>
      <w:r w:rsidR="00553A1A" w:rsidRPr="003516A2">
        <w:rPr>
          <w:rFonts w:asciiTheme="minorHAnsi" w:hAnsiTheme="minorHAnsi" w:cstheme="minorHAnsi"/>
          <w:sz w:val="22"/>
          <w:szCs w:val="22"/>
        </w:rPr>
        <w:t xml:space="preserve">the policy </w:t>
      </w:r>
      <w:r w:rsidRPr="003516A2">
        <w:rPr>
          <w:rFonts w:asciiTheme="minorHAnsi" w:hAnsiTheme="minorHAnsi" w:cstheme="minorHAnsi"/>
          <w:sz w:val="22"/>
          <w:szCs w:val="22"/>
        </w:rPr>
        <w:t>“Interactive Effects and Savings Conversions”?</w:t>
      </w:r>
      <w:bookmarkEnd w:id="1"/>
    </w:p>
    <w:p w14:paraId="7E35FF68" w14:textId="77777777" w:rsidR="004B4ED6" w:rsidRDefault="004B4ED6" w:rsidP="004E32D9">
      <w:pPr>
        <w:pStyle w:val="CommentText"/>
        <w:rPr>
          <w:rFonts w:asciiTheme="minorHAnsi" w:hAnsiTheme="minorHAnsi" w:cstheme="minorHAnsi"/>
          <w:sz w:val="22"/>
          <w:szCs w:val="22"/>
        </w:rPr>
      </w:pPr>
    </w:p>
    <w:p w14:paraId="394979FC" w14:textId="31FD4A7A" w:rsidR="0051751F" w:rsidRPr="007C0150" w:rsidRDefault="0051751F" w:rsidP="004E32D9">
      <w:pPr>
        <w:pStyle w:val="CommentText"/>
        <w:rPr>
          <w:rFonts w:asciiTheme="minorHAnsi" w:hAnsiTheme="minorHAnsi" w:cstheme="minorHAnsi"/>
          <w:sz w:val="22"/>
          <w:szCs w:val="22"/>
        </w:rPr>
      </w:pPr>
    </w:p>
    <w:sectPr w:rsidR="0051751F" w:rsidRPr="007C015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2FC2" w14:textId="77777777" w:rsidR="009D5C00" w:rsidRDefault="009D5C00" w:rsidP="009D5C00">
      <w:pPr>
        <w:spacing w:after="0" w:line="240" w:lineRule="auto"/>
      </w:pPr>
      <w:r>
        <w:separator/>
      </w:r>
    </w:p>
  </w:endnote>
  <w:endnote w:type="continuationSeparator" w:id="0">
    <w:p w14:paraId="00A9373A" w14:textId="77777777" w:rsidR="009D5C00" w:rsidRDefault="009D5C00" w:rsidP="009D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566989"/>
      <w:docPartObj>
        <w:docPartGallery w:val="Page Numbers (Bottom of Page)"/>
        <w:docPartUnique/>
      </w:docPartObj>
    </w:sdtPr>
    <w:sdtEndPr>
      <w:rPr>
        <w:noProof/>
      </w:rPr>
    </w:sdtEndPr>
    <w:sdtContent>
      <w:p w14:paraId="657E58B5" w14:textId="0B1BE159" w:rsidR="009D5C00" w:rsidRDefault="009D5C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934290" w14:textId="77777777" w:rsidR="009D5C00" w:rsidRDefault="009D5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32CD5" w14:textId="77777777" w:rsidR="009D5C00" w:rsidRDefault="009D5C00" w:rsidP="009D5C00">
      <w:pPr>
        <w:spacing w:after="0" w:line="240" w:lineRule="auto"/>
      </w:pPr>
      <w:r>
        <w:separator/>
      </w:r>
    </w:p>
  </w:footnote>
  <w:footnote w:type="continuationSeparator" w:id="0">
    <w:p w14:paraId="2F691BC1" w14:textId="77777777" w:rsidR="009D5C00" w:rsidRDefault="009D5C00" w:rsidP="009D5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B6F"/>
    <w:multiLevelType w:val="hybridMultilevel"/>
    <w:tmpl w:val="AEC67B8E"/>
    <w:lvl w:ilvl="0" w:tplc="FFFFFFFF">
      <w:start w:val="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A25C6D"/>
    <w:multiLevelType w:val="hybridMultilevel"/>
    <w:tmpl w:val="F58CB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63A47"/>
    <w:multiLevelType w:val="hybridMultilevel"/>
    <w:tmpl w:val="E2A2197A"/>
    <w:lvl w:ilvl="0" w:tplc="D33E9C5E">
      <w:start w:val="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8D4F00"/>
    <w:multiLevelType w:val="hybridMultilevel"/>
    <w:tmpl w:val="C428C1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56726E"/>
    <w:multiLevelType w:val="hybridMultilevel"/>
    <w:tmpl w:val="FC5E2444"/>
    <w:lvl w:ilvl="0" w:tplc="62A4A78A">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DF4CC8"/>
    <w:multiLevelType w:val="hybridMultilevel"/>
    <w:tmpl w:val="A1FA9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04E9A"/>
    <w:multiLevelType w:val="hybridMultilevel"/>
    <w:tmpl w:val="3DE8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91F6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CCD34C7"/>
    <w:multiLevelType w:val="hybridMultilevel"/>
    <w:tmpl w:val="AEC67B8E"/>
    <w:lvl w:ilvl="0" w:tplc="79A4FA1E">
      <w:start w:val="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E256322"/>
    <w:multiLevelType w:val="hybridMultilevel"/>
    <w:tmpl w:val="A1C8E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E35726"/>
    <w:multiLevelType w:val="hybridMultilevel"/>
    <w:tmpl w:val="FCF4B5D4"/>
    <w:lvl w:ilvl="0" w:tplc="E1200650">
      <w:start w:val="5"/>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4C03741"/>
    <w:multiLevelType w:val="hybridMultilevel"/>
    <w:tmpl w:val="4C78F86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0158332">
    <w:abstractNumId w:val="5"/>
  </w:num>
  <w:num w:numId="2" w16cid:durableId="653487470">
    <w:abstractNumId w:val="9"/>
  </w:num>
  <w:num w:numId="3" w16cid:durableId="1208031169">
    <w:abstractNumId w:val="7"/>
  </w:num>
  <w:num w:numId="4" w16cid:durableId="1355766511">
    <w:abstractNumId w:val="6"/>
  </w:num>
  <w:num w:numId="5" w16cid:durableId="1883706302">
    <w:abstractNumId w:val="3"/>
  </w:num>
  <w:num w:numId="6" w16cid:durableId="443307464">
    <w:abstractNumId w:val="10"/>
  </w:num>
  <w:num w:numId="7" w16cid:durableId="1152866898">
    <w:abstractNumId w:val="1"/>
  </w:num>
  <w:num w:numId="8" w16cid:durableId="40133087">
    <w:abstractNumId w:val="11"/>
  </w:num>
  <w:num w:numId="9" w16cid:durableId="49421378">
    <w:abstractNumId w:val="2"/>
  </w:num>
  <w:num w:numId="10" w16cid:durableId="1807548623">
    <w:abstractNumId w:val="8"/>
  </w:num>
  <w:num w:numId="11" w16cid:durableId="1144659118">
    <w:abstractNumId w:val="4"/>
  </w:num>
  <w:num w:numId="12" w16cid:durableId="754939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AE"/>
    <w:rsid w:val="00050FB3"/>
    <w:rsid w:val="00053DE8"/>
    <w:rsid w:val="000B358F"/>
    <w:rsid w:val="000B74DC"/>
    <w:rsid w:val="000E6B0B"/>
    <w:rsid w:val="00121B65"/>
    <w:rsid w:val="001A4C6C"/>
    <w:rsid w:val="001C7650"/>
    <w:rsid w:val="002014FA"/>
    <w:rsid w:val="00232C0D"/>
    <w:rsid w:val="00326497"/>
    <w:rsid w:val="003438A2"/>
    <w:rsid w:val="003460F3"/>
    <w:rsid w:val="003516A2"/>
    <w:rsid w:val="00354142"/>
    <w:rsid w:val="00360613"/>
    <w:rsid w:val="003B729C"/>
    <w:rsid w:val="003F3D86"/>
    <w:rsid w:val="00430301"/>
    <w:rsid w:val="004326F5"/>
    <w:rsid w:val="004350BF"/>
    <w:rsid w:val="004537D4"/>
    <w:rsid w:val="00460DC3"/>
    <w:rsid w:val="00473FAD"/>
    <w:rsid w:val="004B4ED6"/>
    <w:rsid w:val="004D6642"/>
    <w:rsid w:val="004E32D9"/>
    <w:rsid w:val="0051106C"/>
    <w:rsid w:val="0051751F"/>
    <w:rsid w:val="005327AF"/>
    <w:rsid w:val="005517A1"/>
    <w:rsid w:val="00553A1A"/>
    <w:rsid w:val="005602C3"/>
    <w:rsid w:val="00560FAF"/>
    <w:rsid w:val="00565126"/>
    <w:rsid w:val="005C01F7"/>
    <w:rsid w:val="005E2E59"/>
    <w:rsid w:val="006643E7"/>
    <w:rsid w:val="006B1148"/>
    <w:rsid w:val="006F6BCD"/>
    <w:rsid w:val="0074553A"/>
    <w:rsid w:val="0075739F"/>
    <w:rsid w:val="00794672"/>
    <w:rsid w:val="007C0150"/>
    <w:rsid w:val="007C0D23"/>
    <w:rsid w:val="00816238"/>
    <w:rsid w:val="008276AE"/>
    <w:rsid w:val="00852F19"/>
    <w:rsid w:val="009111D7"/>
    <w:rsid w:val="009904C6"/>
    <w:rsid w:val="009923B3"/>
    <w:rsid w:val="009D5C00"/>
    <w:rsid w:val="009F293A"/>
    <w:rsid w:val="00A40BA2"/>
    <w:rsid w:val="00A94EC6"/>
    <w:rsid w:val="00AC4E13"/>
    <w:rsid w:val="00B206CC"/>
    <w:rsid w:val="00B27112"/>
    <w:rsid w:val="00B430D0"/>
    <w:rsid w:val="00B52A6A"/>
    <w:rsid w:val="00BC53EA"/>
    <w:rsid w:val="00BF0543"/>
    <w:rsid w:val="00C243A2"/>
    <w:rsid w:val="00CB306E"/>
    <w:rsid w:val="00CB525E"/>
    <w:rsid w:val="00D179C6"/>
    <w:rsid w:val="00D64602"/>
    <w:rsid w:val="00D85502"/>
    <w:rsid w:val="00DA52AA"/>
    <w:rsid w:val="00DB312F"/>
    <w:rsid w:val="00DB6614"/>
    <w:rsid w:val="00E26716"/>
    <w:rsid w:val="00E73CC1"/>
    <w:rsid w:val="00E802A3"/>
    <w:rsid w:val="00E93BA9"/>
    <w:rsid w:val="00EA518F"/>
    <w:rsid w:val="00EF5B74"/>
    <w:rsid w:val="00EF66FB"/>
    <w:rsid w:val="00F70B50"/>
    <w:rsid w:val="00F73CC7"/>
    <w:rsid w:val="00F8630B"/>
    <w:rsid w:val="00F87674"/>
    <w:rsid w:val="00FF6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7B4C"/>
  <w15:chartTrackingRefBased/>
  <w15:docId w15:val="{0218368B-DB37-4FAE-A625-816EF830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DC3"/>
    <w:pPr>
      <w:ind w:left="720"/>
      <w:contextualSpacing/>
    </w:pPr>
  </w:style>
  <w:style w:type="paragraph" w:customStyle="1" w:styleId="Default">
    <w:name w:val="Default"/>
    <w:rsid w:val="005E2E59"/>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unhideWhenUsed/>
    <w:rsid w:val="00F73CC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73CC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D5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C00"/>
  </w:style>
  <w:style w:type="paragraph" w:styleId="Footer">
    <w:name w:val="footer"/>
    <w:basedOn w:val="Normal"/>
    <w:link w:val="FooterChar"/>
    <w:uiPriority w:val="99"/>
    <w:unhideWhenUsed/>
    <w:rsid w:val="009D5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82</cp:revision>
  <dcterms:created xsi:type="dcterms:W3CDTF">2023-09-11T15:45:00Z</dcterms:created>
  <dcterms:modified xsi:type="dcterms:W3CDTF">2023-09-11T20:26:00Z</dcterms:modified>
</cp:coreProperties>
</file>