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4C3211" w:rsidRDefault="004C3211" w:rsidP="00FE1C61"/>
    <w:p w14:paraId="02F03F72" w14:textId="77777777" w:rsidR="004C3211" w:rsidRDefault="004C3211" w:rsidP="00BA112B">
      <w:pPr>
        <w:pStyle w:val="Title"/>
      </w:pPr>
    </w:p>
    <w:p w14:paraId="1D2C8FD3" w14:textId="14B18EE2" w:rsidR="009137D9" w:rsidRPr="00190360" w:rsidRDefault="008D080C" w:rsidP="00BA112B">
      <w:pPr>
        <w:pStyle w:val="Title"/>
      </w:pPr>
      <w:r>
        <w:t xml:space="preserve">Income Eligible </w:t>
      </w:r>
      <w:r w:rsidR="008917B3">
        <w:t>Multi-Family and Public Housing</w:t>
      </w:r>
      <w:r w:rsidR="006D75EA" w:rsidRPr="00190360">
        <w:t xml:space="preserve"> </w:t>
      </w:r>
      <w:r w:rsidR="001B330A">
        <w:t>Impact Evaluation Report</w:t>
      </w:r>
    </w:p>
    <w:p w14:paraId="0506F919" w14:textId="77777777" w:rsidR="003F708F" w:rsidRDefault="003F708F" w:rsidP="003F708F"/>
    <w:p w14:paraId="3A773FF2" w14:textId="1264E6CB" w:rsidR="007D1E07" w:rsidRPr="008D080C" w:rsidRDefault="00573576" w:rsidP="008D080C">
      <w:pPr>
        <w:rPr>
          <w:sz w:val="28"/>
          <w:szCs w:val="28"/>
        </w:rPr>
      </w:pPr>
      <w:r w:rsidRPr="008D080C">
        <w:rPr>
          <w:sz w:val="28"/>
          <w:szCs w:val="28"/>
        </w:rPr>
        <w:t xml:space="preserve">Energy </w:t>
      </w:r>
      <w:r w:rsidR="00AD1053" w:rsidRPr="008D080C">
        <w:rPr>
          <w:sz w:val="28"/>
          <w:szCs w:val="28"/>
        </w:rPr>
        <w:t>Efficiency Plan</w:t>
      </w:r>
      <w:r w:rsidR="008D080C" w:rsidRPr="008D080C">
        <w:rPr>
          <w:sz w:val="28"/>
          <w:szCs w:val="28"/>
        </w:rPr>
        <w:t xml:space="preserve">: </w:t>
      </w:r>
      <w:r w:rsidR="007531F7" w:rsidRPr="008D080C">
        <w:rPr>
          <w:sz w:val="28"/>
          <w:szCs w:val="28"/>
        </w:rPr>
        <w:t>Program Year 20</w:t>
      </w:r>
      <w:r w:rsidR="001B330A" w:rsidRPr="008D080C">
        <w:rPr>
          <w:sz w:val="28"/>
          <w:szCs w:val="28"/>
        </w:rPr>
        <w:t>25</w:t>
      </w:r>
      <w:r w:rsidR="007531F7" w:rsidRPr="008D080C">
        <w:rPr>
          <w:sz w:val="28"/>
          <w:szCs w:val="28"/>
        </w:rPr>
        <w:t xml:space="preserve"> </w:t>
      </w:r>
    </w:p>
    <w:p w14:paraId="52F05965" w14:textId="4967A2B7" w:rsidR="009137D9" w:rsidRPr="008D080C" w:rsidRDefault="001B330A" w:rsidP="00BA112B">
      <w:pPr>
        <w:pStyle w:val="Subtitle"/>
      </w:pPr>
      <w:r w:rsidRPr="008D080C">
        <w:t>(01/01/2025-12/31/2025)</w:t>
      </w:r>
      <w:r w:rsidR="007531F7" w:rsidRPr="008D080C">
        <w:t xml:space="preserve"> </w:t>
      </w:r>
    </w:p>
    <w:p w14:paraId="2E775BE8" w14:textId="77777777" w:rsidR="000B7F56" w:rsidRPr="005B6988" w:rsidRDefault="000B7F56">
      <w:pPr>
        <w:rPr>
          <w:sz w:val="40"/>
          <w:szCs w:val="40"/>
        </w:rPr>
      </w:pPr>
    </w:p>
    <w:p w14:paraId="4BCD3333" w14:textId="77777777" w:rsidR="009137D9" w:rsidRPr="0056335A" w:rsidRDefault="009137D9">
      <w:pPr>
        <w:rPr>
          <w:rStyle w:val="Strong"/>
          <w:sz w:val="28"/>
          <w:szCs w:val="28"/>
        </w:rPr>
      </w:pPr>
      <w:r w:rsidRPr="0056335A">
        <w:rPr>
          <w:rStyle w:val="Strong"/>
          <w:sz w:val="28"/>
          <w:szCs w:val="28"/>
        </w:rPr>
        <w:t>Prepared for:</w:t>
      </w:r>
    </w:p>
    <w:p w14:paraId="1ED5FE83" w14:textId="757F2B8D" w:rsidR="009137D9" w:rsidRPr="0056335A" w:rsidRDefault="00AD4B4E">
      <w:pPr>
        <w:rPr>
          <w:rStyle w:val="Strong"/>
          <w:sz w:val="28"/>
          <w:szCs w:val="28"/>
        </w:rPr>
      </w:pPr>
      <w:r>
        <w:rPr>
          <w:rStyle w:val="Strong"/>
          <w:sz w:val="28"/>
          <w:szCs w:val="28"/>
        </w:rPr>
        <w:t>Peoples Gas and North Shore Gas</w:t>
      </w:r>
    </w:p>
    <w:p w14:paraId="4EB17E00" w14:textId="1D176C91" w:rsidR="00B06A32" w:rsidRDefault="00DB72D0">
      <w:pPr>
        <w:rPr>
          <w:rStyle w:val="Strong"/>
          <w:sz w:val="28"/>
          <w:szCs w:val="28"/>
        </w:rPr>
      </w:pPr>
      <w:r w:rsidRPr="00DB72D0">
        <w:rPr>
          <w:rStyle w:val="Strong"/>
          <w:noProof/>
          <w:sz w:val="28"/>
          <w:szCs w:val="28"/>
        </w:rPr>
        <w:drawing>
          <wp:inline distT="0" distB="0" distL="0" distR="0" wp14:anchorId="16555AD0" wp14:editId="4364E279">
            <wp:extent cx="1628775" cy="238262"/>
            <wp:effectExtent l="0" t="0" r="0" b="9525"/>
            <wp:docPr id="1233358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58260" name=""/>
                    <pic:cNvPicPr/>
                  </pic:nvPicPr>
                  <pic:blipFill>
                    <a:blip r:embed="rId11"/>
                    <a:stretch>
                      <a:fillRect/>
                    </a:stretch>
                  </pic:blipFill>
                  <pic:spPr>
                    <a:xfrm>
                      <a:off x="0" y="0"/>
                      <a:ext cx="1905535" cy="278747"/>
                    </a:xfrm>
                    <a:prstGeom prst="rect">
                      <a:avLst/>
                    </a:prstGeom>
                  </pic:spPr>
                </pic:pic>
              </a:graphicData>
            </a:graphic>
          </wp:inline>
        </w:drawing>
      </w:r>
      <w:r>
        <w:rPr>
          <w:rStyle w:val="Strong"/>
          <w:sz w:val="28"/>
          <w:szCs w:val="28"/>
        </w:rPr>
        <w:tab/>
      </w:r>
      <w:r w:rsidRPr="0063626D">
        <w:rPr>
          <w:rStyle w:val="Strong"/>
          <w:noProof/>
          <w:sz w:val="28"/>
          <w:szCs w:val="28"/>
        </w:rPr>
        <w:drawing>
          <wp:inline distT="0" distB="0" distL="0" distR="0" wp14:anchorId="26ACB159" wp14:editId="003D31DA">
            <wp:extent cx="2028825" cy="319088"/>
            <wp:effectExtent l="0" t="0" r="0" b="5080"/>
            <wp:docPr id="327584620" name="Picture 1"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84620" name="Picture 1" descr="Blue letters on a white background&#10;&#10;AI-generated content may be incorrect."/>
                    <pic:cNvPicPr/>
                  </pic:nvPicPr>
                  <pic:blipFill>
                    <a:blip r:embed="rId12"/>
                    <a:stretch>
                      <a:fillRect/>
                    </a:stretch>
                  </pic:blipFill>
                  <pic:spPr>
                    <a:xfrm>
                      <a:off x="0" y="0"/>
                      <a:ext cx="2190892" cy="344577"/>
                    </a:xfrm>
                    <a:prstGeom prst="rect">
                      <a:avLst/>
                    </a:prstGeom>
                  </pic:spPr>
                </pic:pic>
              </a:graphicData>
            </a:graphic>
          </wp:inline>
        </w:drawing>
      </w:r>
    </w:p>
    <w:p w14:paraId="4309E08C" w14:textId="59884F70" w:rsidR="00BA112B" w:rsidRDefault="003F708F">
      <w:pPr>
        <w:rPr>
          <w:rStyle w:val="Strong"/>
          <w:sz w:val="28"/>
          <w:szCs w:val="28"/>
        </w:rPr>
      </w:pPr>
      <w:r w:rsidRPr="0056335A">
        <w:rPr>
          <w:rStyle w:val="Strong"/>
          <w:sz w:val="28"/>
          <w:szCs w:val="28"/>
        </w:rPr>
        <w:t>DRAFT</w:t>
      </w:r>
    </w:p>
    <w:p w14:paraId="139BFCE7" w14:textId="77777777" w:rsidR="00B06A32" w:rsidRPr="0056335A" w:rsidRDefault="00B06A32">
      <w:pPr>
        <w:rPr>
          <w:rStyle w:val="Strong"/>
          <w:sz w:val="28"/>
          <w:szCs w:val="28"/>
        </w:rPr>
      </w:pPr>
    </w:p>
    <w:p w14:paraId="21376970" w14:textId="0AF12889" w:rsidR="00BA112B" w:rsidRPr="0056335A" w:rsidRDefault="00BA5E11">
      <w:pPr>
        <w:rPr>
          <w:rStyle w:val="Strong"/>
          <w:sz w:val="28"/>
          <w:szCs w:val="28"/>
        </w:rPr>
      </w:pPr>
      <w:r>
        <w:rPr>
          <w:rStyle w:val="Strong"/>
          <w:sz w:val="28"/>
          <w:szCs w:val="28"/>
        </w:rPr>
        <w:t>March 13</w:t>
      </w:r>
      <w:r w:rsidR="000B5663" w:rsidRPr="00BD0E01">
        <w:rPr>
          <w:rStyle w:val="Strong"/>
          <w:sz w:val="28"/>
          <w:szCs w:val="28"/>
        </w:rPr>
        <w:t xml:space="preserve">, </w:t>
      </w:r>
      <w:r w:rsidR="00025E39">
        <w:rPr>
          <w:rStyle w:val="Strong"/>
          <w:sz w:val="28"/>
          <w:szCs w:val="28"/>
        </w:rPr>
        <w:t>2026</w:t>
      </w:r>
    </w:p>
    <w:p w14:paraId="59E60A6D" w14:textId="77777777" w:rsidR="009137D9" w:rsidRDefault="009137D9"/>
    <w:p w14:paraId="16409EEC" w14:textId="1B81EC12" w:rsidR="009137D9" w:rsidRPr="0010260D" w:rsidRDefault="00D06A86" w:rsidP="005B6988">
      <w:pPr>
        <w:pStyle w:val="NoSpacing"/>
        <w:rPr>
          <w:b/>
          <w:sz w:val="22"/>
          <w:szCs w:val="22"/>
        </w:rPr>
      </w:pPr>
      <w:r w:rsidRPr="0010260D">
        <w:rPr>
          <w:b/>
          <w:bCs/>
          <w:sz w:val="22"/>
          <w:szCs w:val="22"/>
        </w:rPr>
        <w:t>Prepared</w:t>
      </w:r>
      <w:r w:rsidR="009137D9" w:rsidRPr="0010260D">
        <w:rPr>
          <w:b/>
          <w:sz w:val="22"/>
          <w:szCs w:val="22"/>
        </w:rPr>
        <w:t xml:space="preserve"> by: </w:t>
      </w:r>
    </w:p>
    <w:p w14:paraId="4E445C90" w14:textId="77777777" w:rsidR="00024074" w:rsidRPr="0010260D" w:rsidRDefault="00024074" w:rsidP="005B6988">
      <w:pPr>
        <w:pStyle w:val="NoSpacing"/>
        <w:rPr>
          <w:b/>
          <w:bCs/>
          <w:i/>
          <w:iCs/>
          <w:sz w:val="22"/>
          <w:szCs w:val="22"/>
        </w:rPr>
      </w:pPr>
    </w:p>
    <w:tbl>
      <w:tblPr>
        <w:tblStyle w:val="Test1"/>
        <w:tblW w:w="9348" w:type="dxa"/>
        <w:tblCellMar>
          <w:left w:w="0" w:type="dxa"/>
        </w:tblCellMar>
        <w:tblLook w:val="04A0" w:firstRow="1" w:lastRow="0" w:firstColumn="1" w:lastColumn="0" w:noHBand="0" w:noVBand="1"/>
      </w:tblPr>
      <w:tblGrid>
        <w:gridCol w:w="2337"/>
        <w:gridCol w:w="2337"/>
        <w:gridCol w:w="2337"/>
        <w:gridCol w:w="2337"/>
      </w:tblGrid>
      <w:tr w:rsidR="002679A1" w:rsidRPr="0010260D" w14:paraId="4155AFC7" w14:textId="3B38B476" w:rsidTr="002679A1">
        <w:trPr>
          <w:trHeight w:val="1134"/>
        </w:trPr>
        <w:tc>
          <w:tcPr>
            <w:tcW w:w="2337" w:type="dxa"/>
          </w:tcPr>
          <w:p w14:paraId="24F64166" w14:textId="77777777" w:rsidR="002679A1" w:rsidRPr="00025E39" w:rsidRDefault="002679A1" w:rsidP="00A85344">
            <w:pPr>
              <w:pStyle w:val="NoSpacing"/>
              <w:rPr>
                <w:b/>
                <w:bCs/>
                <w:sz w:val="22"/>
                <w:szCs w:val="22"/>
              </w:rPr>
            </w:pPr>
            <w:r w:rsidRPr="00025E39">
              <w:rPr>
                <w:b/>
                <w:bCs/>
                <w:sz w:val="22"/>
                <w:szCs w:val="22"/>
              </w:rPr>
              <w:t>Swapnil Lotake</w:t>
            </w:r>
          </w:p>
          <w:p w14:paraId="54F55874" w14:textId="4EB764AA" w:rsidR="002679A1" w:rsidRPr="0010260D" w:rsidRDefault="002679A1" w:rsidP="00A85344">
            <w:pPr>
              <w:pStyle w:val="NoSpacing"/>
              <w:rPr>
                <w:sz w:val="22"/>
                <w:szCs w:val="22"/>
              </w:rPr>
            </w:pPr>
            <w:r w:rsidRPr="00025E39">
              <w:rPr>
                <w:sz w:val="22"/>
                <w:szCs w:val="22"/>
              </w:rPr>
              <w:t>EcoMetric</w:t>
            </w:r>
          </w:p>
        </w:tc>
        <w:tc>
          <w:tcPr>
            <w:tcW w:w="2337" w:type="dxa"/>
          </w:tcPr>
          <w:p w14:paraId="1BEEF17B" w14:textId="44C8B8E5" w:rsidR="002679A1" w:rsidRPr="002679A1" w:rsidRDefault="002679A1" w:rsidP="478931D3">
            <w:pPr>
              <w:pStyle w:val="NoSpacing"/>
              <w:rPr>
                <w:sz w:val="22"/>
                <w:szCs w:val="22"/>
              </w:rPr>
            </w:pPr>
            <w:r>
              <w:rPr>
                <w:b/>
                <w:bCs/>
                <w:sz w:val="22"/>
                <w:szCs w:val="22"/>
              </w:rPr>
              <w:t>Vishal Jagdale</w:t>
            </w:r>
            <w:r>
              <w:rPr>
                <w:b/>
                <w:bCs/>
                <w:sz w:val="22"/>
                <w:szCs w:val="22"/>
              </w:rPr>
              <w:br/>
            </w:r>
            <w:r>
              <w:rPr>
                <w:sz w:val="22"/>
                <w:szCs w:val="22"/>
              </w:rPr>
              <w:t>EcoMetric</w:t>
            </w:r>
          </w:p>
        </w:tc>
        <w:tc>
          <w:tcPr>
            <w:tcW w:w="2337" w:type="dxa"/>
          </w:tcPr>
          <w:p w14:paraId="5A583784" w14:textId="7DA7B422" w:rsidR="002679A1" w:rsidRPr="478931D3" w:rsidRDefault="002679A1" w:rsidP="478931D3">
            <w:pPr>
              <w:pStyle w:val="NoSpacing"/>
              <w:rPr>
                <w:b/>
                <w:bCs/>
                <w:sz w:val="22"/>
                <w:szCs w:val="22"/>
              </w:rPr>
            </w:pPr>
            <w:r w:rsidRPr="478931D3">
              <w:rPr>
                <w:b/>
                <w:bCs/>
                <w:sz w:val="22"/>
                <w:szCs w:val="22"/>
              </w:rPr>
              <w:t>Fahman Khan</w:t>
            </w:r>
            <w:r>
              <w:br/>
            </w:r>
            <w:r w:rsidRPr="478931D3">
              <w:rPr>
                <w:sz w:val="22"/>
                <w:szCs w:val="22"/>
              </w:rPr>
              <w:t>EcoMetric</w:t>
            </w:r>
          </w:p>
        </w:tc>
        <w:tc>
          <w:tcPr>
            <w:tcW w:w="2337" w:type="dxa"/>
          </w:tcPr>
          <w:p w14:paraId="3987E04F" w14:textId="187B19E6" w:rsidR="002679A1" w:rsidRPr="478931D3" w:rsidRDefault="002679A1" w:rsidP="478931D3">
            <w:pPr>
              <w:pStyle w:val="NoSpacing"/>
              <w:rPr>
                <w:b/>
                <w:bCs/>
                <w:sz w:val="22"/>
                <w:szCs w:val="22"/>
              </w:rPr>
            </w:pPr>
            <w:r w:rsidRPr="478931D3">
              <w:rPr>
                <w:b/>
                <w:bCs/>
                <w:sz w:val="22"/>
                <w:szCs w:val="22"/>
              </w:rPr>
              <w:t>Mike Frischmann</w:t>
            </w:r>
            <w:r>
              <w:br/>
            </w:r>
            <w:r w:rsidRPr="478931D3">
              <w:rPr>
                <w:sz w:val="22"/>
                <w:szCs w:val="22"/>
              </w:rPr>
              <w:t>EcoMetric</w:t>
            </w:r>
          </w:p>
        </w:tc>
      </w:tr>
      <w:tr w:rsidR="002679A1" w:rsidRPr="0010260D" w14:paraId="73DF88AA" w14:textId="4108C9F0" w:rsidTr="002679A1">
        <w:trPr>
          <w:trHeight w:val="1134"/>
        </w:trPr>
        <w:tc>
          <w:tcPr>
            <w:tcW w:w="2337" w:type="dxa"/>
          </w:tcPr>
          <w:p w14:paraId="7E2D130D" w14:textId="31EA2634" w:rsidR="002679A1" w:rsidRPr="00187113" w:rsidRDefault="002679A1" w:rsidP="00A85344">
            <w:pPr>
              <w:pStyle w:val="NoSpacing"/>
              <w:jc w:val="center"/>
              <w:rPr>
                <w:b/>
                <w:bCs/>
                <w:sz w:val="22"/>
                <w:szCs w:val="22"/>
                <w:highlight w:val="yellow"/>
              </w:rPr>
            </w:pPr>
            <w:r w:rsidRPr="00FD0661">
              <w:rPr>
                <w:rFonts w:cs="Arial"/>
                <w:noProof/>
              </w:rPr>
              <w:drawing>
                <wp:inline distT="0" distB="0" distL="0" distR="0" wp14:anchorId="7EC8611E" wp14:editId="219354D0">
                  <wp:extent cx="806601" cy="646751"/>
                  <wp:effectExtent l="0" t="0" r="0" b="1270"/>
                  <wp:docPr id="12" name="Picture 12" descr="EcoMe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6601" cy="646751"/>
                          </a:xfrm>
                          <a:prstGeom prst="rect">
                            <a:avLst/>
                          </a:prstGeom>
                        </pic:spPr>
                      </pic:pic>
                    </a:graphicData>
                  </a:graphic>
                </wp:inline>
              </w:drawing>
            </w:r>
          </w:p>
        </w:tc>
        <w:tc>
          <w:tcPr>
            <w:tcW w:w="2337" w:type="dxa"/>
          </w:tcPr>
          <w:p w14:paraId="7B4A90B0" w14:textId="77777777" w:rsidR="002679A1" w:rsidRDefault="002679A1" w:rsidP="478931D3">
            <w:pPr>
              <w:pStyle w:val="NoSpacing"/>
              <w:rPr>
                <w:b/>
                <w:bCs/>
                <w:sz w:val="22"/>
                <w:szCs w:val="22"/>
                <w:highlight w:val="yellow"/>
              </w:rPr>
            </w:pPr>
          </w:p>
        </w:tc>
        <w:tc>
          <w:tcPr>
            <w:tcW w:w="2337" w:type="dxa"/>
            <w:vAlign w:val="center"/>
          </w:tcPr>
          <w:p w14:paraId="0E07D0F3" w14:textId="60C96915" w:rsidR="002679A1" w:rsidRDefault="002679A1" w:rsidP="478931D3">
            <w:pPr>
              <w:pStyle w:val="NoSpacing"/>
              <w:rPr>
                <w:b/>
                <w:bCs/>
                <w:sz w:val="22"/>
                <w:szCs w:val="22"/>
                <w:highlight w:val="yellow"/>
              </w:rPr>
            </w:pPr>
          </w:p>
        </w:tc>
        <w:tc>
          <w:tcPr>
            <w:tcW w:w="2337" w:type="dxa"/>
            <w:vAlign w:val="center"/>
          </w:tcPr>
          <w:p w14:paraId="4EAB6FD7" w14:textId="3A85EE6D" w:rsidR="002679A1" w:rsidRDefault="002679A1" w:rsidP="478931D3">
            <w:pPr>
              <w:pStyle w:val="NoSpacing"/>
              <w:rPr>
                <w:b/>
                <w:bCs/>
                <w:sz w:val="22"/>
                <w:szCs w:val="22"/>
                <w:highlight w:val="yellow"/>
              </w:rPr>
            </w:pPr>
          </w:p>
        </w:tc>
      </w:tr>
    </w:tbl>
    <w:p w14:paraId="25F39255" w14:textId="77777777" w:rsidR="009C65E3" w:rsidRDefault="009C65E3">
      <w:r>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0069F8" w:rsidRPr="009B781E" w14:paraId="42306BBE" w14:textId="77777777" w:rsidTr="000069F8">
        <w:tc>
          <w:tcPr>
            <w:tcW w:w="386" w:type="dxa"/>
          </w:tcPr>
          <w:p w14:paraId="631457BC" w14:textId="1D1767BD" w:rsidR="000069F8" w:rsidRPr="009B781E" w:rsidRDefault="000069F8" w:rsidP="005B6988">
            <w:pPr>
              <w:pStyle w:val="NoSpacing"/>
              <w:rPr>
                <w:i/>
                <w:iCs/>
                <w:noProof/>
              </w:rPr>
            </w:pPr>
          </w:p>
        </w:tc>
        <w:tc>
          <w:tcPr>
            <w:tcW w:w="1870" w:type="dxa"/>
          </w:tcPr>
          <w:p w14:paraId="3D34E61E" w14:textId="509A6C3B" w:rsidR="006D6596" w:rsidRPr="009B781E" w:rsidRDefault="006D6596" w:rsidP="005B6988">
            <w:pPr>
              <w:pStyle w:val="NoSpacing"/>
              <w:rPr>
                <w:i/>
                <w:iCs/>
              </w:rPr>
            </w:pPr>
          </w:p>
        </w:tc>
        <w:tc>
          <w:tcPr>
            <w:tcW w:w="1870" w:type="dxa"/>
          </w:tcPr>
          <w:p w14:paraId="316CD295" w14:textId="118C5B62" w:rsidR="006D6596" w:rsidRPr="009B781E" w:rsidRDefault="006D6596" w:rsidP="005B6988">
            <w:pPr>
              <w:pStyle w:val="NoSpacing"/>
              <w:rPr>
                <w:i/>
                <w:iCs/>
              </w:rPr>
            </w:pPr>
          </w:p>
        </w:tc>
        <w:tc>
          <w:tcPr>
            <w:tcW w:w="1870" w:type="dxa"/>
          </w:tcPr>
          <w:p w14:paraId="36D7751F" w14:textId="55394802" w:rsidR="006D6596" w:rsidRPr="009B781E" w:rsidRDefault="006D6596" w:rsidP="005B6988">
            <w:pPr>
              <w:pStyle w:val="NoSpacing"/>
              <w:rPr>
                <w:i/>
                <w:iCs/>
              </w:rPr>
            </w:pPr>
          </w:p>
        </w:tc>
        <w:tc>
          <w:tcPr>
            <w:tcW w:w="1870" w:type="dxa"/>
          </w:tcPr>
          <w:p w14:paraId="02B4FBAF" w14:textId="424B1389" w:rsidR="006D6596" w:rsidRPr="009B781E" w:rsidRDefault="006D6596" w:rsidP="005B6988">
            <w:pPr>
              <w:pStyle w:val="NoSpacing"/>
              <w:rPr>
                <w:i/>
                <w:iCs/>
              </w:rPr>
            </w:pPr>
          </w:p>
        </w:tc>
        <w:tc>
          <w:tcPr>
            <w:tcW w:w="1870" w:type="dxa"/>
          </w:tcPr>
          <w:p w14:paraId="74281EBF" w14:textId="1159EFA4" w:rsidR="006D6596" w:rsidRPr="009B781E" w:rsidRDefault="006D6596" w:rsidP="005B6988">
            <w:pPr>
              <w:pStyle w:val="NoSpacing"/>
              <w:rPr>
                <w:i/>
                <w:iCs/>
              </w:rPr>
            </w:pPr>
          </w:p>
        </w:tc>
      </w:tr>
    </w:tbl>
    <w:p w14:paraId="5496EE32" w14:textId="77777777" w:rsidR="00564AAD" w:rsidRPr="00564AAD" w:rsidRDefault="00564AAD" w:rsidP="00564AAD">
      <w:pPr>
        <w:pStyle w:val="NoSpacing"/>
        <w:rPr>
          <w:b/>
          <w:bCs/>
        </w:rPr>
      </w:pPr>
      <w:r w:rsidRPr="00564AAD">
        <w:rPr>
          <w:b/>
          <w:bCs/>
        </w:rPr>
        <w:t>Submitted to:</w:t>
      </w:r>
    </w:p>
    <w:p w14:paraId="395C9214" w14:textId="7FE7FA88" w:rsidR="00CF3DC9" w:rsidRDefault="005B7F30" w:rsidP="00564AAD">
      <w:pPr>
        <w:pStyle w:val="NoSpacing"/>
      </w:pPr>
      <w:proofErr w:type="gramStart"/>
      <w:r>
        <w:t>Peoples</w:t>
      </w:r>
      <w:proofErr w:type="gramEnd"/>
      <w:r>
        <w:t xml:space="preserve"> Gas</w:t>
      </w:r>
    </w:p>
    <w:p w14:paraId="201DC7E8" w14:textId="28CDE363" w:rsidR="005B7F30" w:rsidRDefault="005B7F30" w:rsidP="00564AAD">
      <w:pPr>
        <w:pStyle w:val="NoSpacing"/>
      </w:pPr>
      <w:r>
        <w:t>North Shore Gas</w:t>
      </w:r>
    </w:p>
    <w:p w14:paraId="727BF7AB" w14:textId="5BB07E00" w:rsidR="005B7F30" w:rsidRDefault="005B7F30" w:rsidP="00564AAD">
      <w:pPr>
        <w:pStyle w:val="NoSpacing"/>
      </w:pPr>
      <w:r>
        <w:t>200 East Randolph Street</w:t>
      </w:r>
    </w:p>
    <w:p w14:paraId="26AEE9DC" w14:textId="7834244F" w:rsidR="005B7F30" w:rsidRPr="00564AAD" w:rsidRDefault="005B7F30" w:rsidP="00564AAD">
      <w:pPr>
        <w:pStyle w:val="NoSpacing"/>
      </w:pPr>
      <w:r>
        <w:t>Chicago, IL 60601</w:t>
      </w:r>
    </w:p>
    <w:p w14:paraId="52EFC8CF" w14:textId="77777777" w:rsidR="00564AAD" w:rsidRPr="00564AAD" w:rsidRDefault="00564AAD" w:rsidP="00564AAD">
      <w:pPr>
        <w:pStyle w:val="NoSpacing"/>
      </w:pPr>
    </w:p>
    <w:p w14:paraId="53F7870A" w14:textId="77777777" w:rsidR="00564AAD" w:rsidRPr="00564AAD" w:rsidRDefault="00564AAD" w:rsidP="00564AAD">
      <w:pPr>
        <w:pStyle w:val="NoSpacing"/>
        <w:rPr>
          <w:b/>
          <w:bCs/>
        </w:rPr>
      </w:pPr>
      <w:r w:rsidRPr="00564AAD">
        <w:rPr>
          <w:b/>
          <w:bCs/>
        </w:rPr>
        <w:t>Submitted by:</w:t>
      </w:r>
    </w:p>
    <w:p w14:paraId="5A045C4E" w14:textId="77777777" w:rsidR="00564AAD" w:rsidRPr="00564AAD" w:rsidRDefault="00564AAD" w:rsidP="00564AAD">
      <w:pPr>
        <w:pStyle w:val="NoSpacing"/>
      </w:pPr>
      <w:r w:rsidRPr="00564AAD">
        <w:t>Guidehouse Inc.</w:t>
      </w:r>
    </w:p>
    <w:p w14:paraId="6542356B" w14:textId="77777777" w:rsidR="00574AC0" w:rsidRDefault="00574AC0" w:rsidP="00574AC0">
      <w:pPr>
        <w:pStyle w:val="NoSpacing"/>
      </w:pPr>
      <w:r>
        <w:t>167 N. Green Street</w:t>
      </w:r>
    </w:p>
    <w:p w14:paraId="4802A659" w14:textId="3C640C8C" w:rsidR="00574AC0" w:rsidRDefault="00574AC0" w:rsidP="00574AC0">
      <w:pPr>
        <w:pStyle w:val="NoSpacing"/>
      </w:pPr>
      <w:r>
        <w:t>12th Floor</w:t>
      </w:r>
    </w:p>
    <w:p w14:paraId="5CD2CC66" w14:textId="28B47F5F" w:rsidR="00574AC0" w:rsidRPr="00564AAD" w:rsidRDefault="00574AC0" w:rsidP="00574AC0">
      <w:pPr>
        <w:pStyle w:val="NoSpacing"/>
      </w:pPr>
      <w:r>
        <w:t>Chicago, IL 60607</w:t>
      </w:r>
    </w:p>
    <w:p w14:paraId="1AFE93DD" w14:textId="77777777" w:rsidR="00564AAD" w:rsidRPr="00564AAD" w:rsidRDefault="00564AAD" w:rsidP="00564AAD">
      <w:pPr>
        <w:pStyle w:val="NoSpacing"/>
      </w:pPr>
    </w:p>
    <w:p w14:paraId="337B5143" w14:textId="77777777" w:rsidR="00564AAD" w:rsidRPr="00564AAD" w:rsidRDefault="00564AAD" w:rsidP="00564AAD">
      <w:pPr>
        <w:pStyle w:val="NoSpacing"/>
      </w:pPr>
    </w:p>
    <w:p w14:paraId="1CE95839" w14:textId="77777777" w:rsidR="00564AAD" w:rsidRPr="00631500" w:rsidRDefault="00564AAD" w:rsidP="00C844AA">
      <w:pPr>
        <w:pStyle w:val="NoSpacing"/>
        <w:rPr>
          <w:b/>
          <w:bCs/>
        </w:rPr>
      </w:pPr>
      <w:r w:rsidRPr="00631500">
        <w:rPr>
          <w:b/>
          <w:bCs/>
        </w:rPr>
        <w:t>Contact:</w:t>
      </w:r>
    </w:p>
    <w:p w14:paraId="3EEA573A" w14:textId="77777777" w:rsidR="00564AAD" w:rsidRPr="00564AAD" w:rsidRDefault="00564AAD" w:rsidP="00564AAD">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FA22B3" w:rsidRPr="00564AAD" w14:paraId="439334FA" w14:textId="77777777" w:rsidTr="005B7F30">
        <w:trPr>
          <w:trHeight w:val="693"/>
        </w:trPr>
        <w:tc>
          <w:tcPr>
            <w:tcW w:w="3330" w:type="dxa"/>
          </w:tcPr>
          <w:p w14:paraId="2C883693" w14:textId="4001EB4F" w:rsidR="00FA22B3" w:rsidRPr="00A85344" w:rsidRDefault="005B7F30" w:rsidP="00FA22B3">
            <w:pPr>
              <w:spacing w:after="0"/>
              <w:rPr>
                <w:rFonts w:cs="Arial"/>
                <w:sz w:val="21"/>
                <w:szCs w:val="21"/>
                <w:lang w:val="it-IT"/>
              </w:rPr>
            </w:pPr>
            <w:r w:rsidRPr="00A85344">
              <w:rPr>
                <w:rFonts w:eastAsia="Arial" w:cs="Arial"/>
                <w:sz w:val="21"/>
                <w:szCs w:val="21"/>
                <w:lang w:val="it-IT"/>
              </w:rPr>
              <w:t>Ed Balbis</w:t>
            </w:r>
            <w:r w:rsidR="00AE6836" w:rsidRPr="00A85344">
              <w:rPr>
                <w:rFonts w:eastAsia="Arial" w:cs="Arial"/>
                <w:sz w:val="21"/>
                <w:szCs w:val="21"/>
                <w:lang w:val="it-IT"/>
              </w:rPr>
              <w:t>,</w:t>
            </w:r>
            <w:r w:rsidR="00FA22B3" w:rsidRPr="00A85344">
              <w:rPr>
                <w:rFonts w:eastAsia="Arial" w:cs="Arial"/>
                <w:sz w:val="21"/>
                <w:szCs w:val="21"/>
                <w:lang w:val="it-IT"/>
              </w:rPr>
              <w:t xml:space="preserve"> </w:t>
            </w:r>
            <w:r w:rsidR="00B83CEE" w:rsidRPr="00A85344">
              <w:rPr>
                <w:rFonts w:eastAsia="Arial" w:cs="Arial"/>
                <w:sz w:val="21"/>
                <w:szCs w:val="21"/>
                <w:lang w:val="it-IT"/>
              </w:rPr>
              <w:t>Partner</w:t>
            </w:r>
          </w:p>
          <w:p w14:paraId="00A26E03" w14:textId="29959C23" w:rsidR="00FA22B3" w:rsidRPr="00A85344" w:rsidRDefault="005B7F30" w:rsidP="00FA22B3">
            <w:pPr>
              <w:spacing w:after="0"/>
              <w:rPr>
                <w:rFonts w:cs="Arial"/>
                <w:sz w:val="21"/>
                <w:szCs w:val="21"/>
                <w:lang w:val="it-IT"/>
              </w:rPr>
            </w:pPr>
            <w:r w:rsidRPr="00A85344">
              <w:rPr>
                <w:rFonts w:eastAsia="Arial" w:cs="Arial"/>
                <w:sz w:val="21"/>
                <w:szCs w:val="21"/>
                <w:lang w:val="it-IT"/>
              </w:rPr>
              <w:t>561.644.9407</w:t>
            </w:r>
          </w:p>
          <w:p w14:paraId="16482BF1" w14:textId="30378D7E" w:rsidR="00FA22B3" w:rsidRPr="00A85344" w:rsidRDefault="005B7F30" w:rsidP="00FE59C2">
            <w:pPr>
              <w:pStyle w:val="GHHyperlink"/>
              <w:rPr>
                <w:lang w:val="it-IT"/>
              </w:rPr>
            </w:pPr>
            <w:hyperlink r:id="rId14" w:history="1">
              <w:r w:rsidRPr="00A3668B">
                <w:rPr>
                  <w:rStyle w:val="Hyperlink"/>
                  <w:color w:val="auto"/>
                  <w:lang w:val="it-IT"/>
                </w:rPr>
                <w:t>ebalbis@guidehouse.com</w:t>
              </w:r>
            </w:hyperlink>
          </w:p>
        </w:tc>
        <w:tc>
          <w:tcPr>
            <w:tcW w:w="3060" w:type="dxa"/>
          </w:tcPr>
          <w:p w14:paraId="1E4C24CB" w14:textId="14C88D4E" w:rsidR="00FA22B3" w:rsidRPr="00F61CF7" w:rsidRDefault="00B83CEE" w:rsidP="00FA22B3">
            <w:pPr>
              <w:spacing w:after="0"/>
              <w:rPr>
                <w:rFonts w:cs="Arial"/>
                <w:sz w:val="21"/>
                <w:szCs w:val="21"/>
              </w:rPr>
            </w:pPr>
            <w:r w:rsidRPr="00F61CF7">
              <w:rPr>
                <w:rFonts w:eastAsia="Arial" w:cs="Arial"/>
                <w:sz w:val="21"/>
                <w:szCs w:val="21"/>
              </w:rPr>
              <w:t>Jeff Erickson, Director</w:t>
            </w:r>
          </w:p>
          <w:p w14:paraId="6A2C2F66" w14:textId="6C2C6BE7" w:rsidR="00FA22B3" w:rsidRPr="00F61CF7" w:rsidRDefault="00B83CEE" w:rsidP="00FA22B3">
            <w:pPr>
              <w:spacing w:after="0"/>
              <w:rPr>
                <w:rFonts w:cs="Arial"/>
                <w:sz w:val="21"/>
                <w:szCs w:val="21"/>
              </w:rPr>
            </w:pPr>
            <w:r w:rsidRPr="00F61CF7">
              <w:rPr>
                <w:rFonts w:eastAsia="Arial" w:cs="Arial"/>
                <w:sz w:val="21"/>
                <w:szCs w:val="21"/>
              </w:rPr>
              <w:t>608.616.</w:t>
            </w:r>
            <w:r w:rsidR="003A2344" w:rsidRPr="00F61CF7">
              <w:rPr>
                <w:rFonts w:eastAsia="Arial" w:cs="Arial"/>
                <w:sz w:val="21"/>
                <w:szCs w:val="21"/>
              </w:rPr>
              <w:t>4962</w:t>
            </w:r>
          </w:p>
          <w:p w14:paraId="2C28F0D8" w14:textId="3B18D43F" w:rsidR="00FA22B3" w:rsidRPr="00F61CF7" w:rsidRDefault="003A2344" w:rsidP="00FE59C2">
            <w:pPr>
              <w:pStyle w:val="GHHyperlink"/>
            </w:pPr>
            <w:hyperlink r:id="rId15" w:history="1">
              <w:r w:rsidRPr="00F61CF7">
                <w:rPr>
                  <w:rStyle w:val="Hyperlink"/>
                  <w:color w:val="auto"/>
                </w:rPr>
                <w:t>jeff.erickson@guidehouse.com</w:t>
              </w:r>
            </w:hyperlink>
          </w:p>
        </w:tc>
        <w:tc>
          <w:tcPr>
            <w:tcW w:w="3870" w:type="dxa"/>
          </w:tcPr>
          <w:p w14:paraId="2CD5C960" w14:textId="434A4F14" w:rsidR="00FA22B3" w:rsidRPr="00F61CF7" w:rsidRDefault="003A2344" w:rsidP="00FA22B3">
            <w:pPr>
              <w:spacing w:after="0"/>
              <w:rPr>
                <w:rFonts w:cs="Arial"/>
                <w:sz w:val="21"/>
                <w:szCs w:val="21"/>
              </w:rPr>
            </w:pPr>
            <w:r w:rsidRPr="00F61CF7">
              <w:rPr>
                <w:rFonts w:eastAsia="Arial" w:cs="Arial"/>
                <w:sz w:val="21"/>
                <w:szCs w:val="21"/>
              </w:rPr>
              <w:t>Laura Agapay-Read, Associate Director</w:t>
            </w:r>
          </w:p>
          <w:p w14:paraId="209B276B" w14:textId="551FD213" w:rsidR="00FA22B3" w:rsidRPr="00F61CF7" w:rsidRDefault="003A2344" w:rsidP="00FA22B3">
            <w:pPr>
              <w:spacing w:after="0"/>
              <w:rPr>
                <w:rFonts w:cs="Arial"/>
                <w:sz w:val="21"/>
                <w:szCs w:val="21"/>
              </w:rPr>
            </w:pPr>
            <w:r w:rsidRPr="00F61CF7">
              <w:rPr>
                <w:rFonts w:eastAsia="Arial" w:cs="Arial"/>
                <w:sz w:val="21"/>
                <w:szCs w:val="21"/>
              </w:rPr>
              <w:t>312.583.4178</w:t>
            </w:r>
          </w:p>
          <w:p w14:paraId="72F5322F" w14:textId="2599A5C4" w:rsidR="00FA22B3" w:rsidRPr="00F61CF7" w:rsidRDefault="00F61CF7" w:rsidP="00FE59C2">
            <w:pPr>
              <w:pStyle w:val="GHHyperlink"/>
            </w:pPr>
            <w:hyperlink r:id="rId16" w:history="1">
              <w:r w:rsidRPr="00F61CF7">
                <w:rPr>
                  <w:rStyle w:val="Hyperlink"/>
                  <w:color w:val="auto"/>
                </w:rPr>
                <w:t>laura.agapay.read@guidehouse.com</w:t>
              </w:r>
            </w:hyperlink>
          </w:p>
        </w:tc>
      </w:tr>
    </w:tbl>
    <w:p w14:paraId="01643710" w14:textId="77777777" w:rsidR="00564AAD" w:rsidRDefault="00564AAD" w:rsidP="00564AAD">
      <w:pPr>
        <w:pStyle w:val="NoSpacing"/>
      </w:pPr>
    </w:p>
    <w:p w14:paraId="5A8B3D52" w14:textId="038FF796" w:rsidR="00762586" w:rsidRPr="00762586" w:rsidRDefault="00762586" w:rsidP="00564AAD">
      <w:pPr>
        <w:pStyle w:val="NoSpacing"/>
        <w:rPr>
          <w:rFonts w:eastAsia="Arial" w:cs="Arial"/>
          <w:sz w:val="21"/>
          <w:szCs w:val="21"/>
        </w:rPr>
      </w:pPr>
      <w:r w:rsidRPr="00762586">
        <w:rPr>
          <w:rFonts w:eastAsia="Arial" w:cs="Arial"/>
          <w:sz w:val="21"/>
          <w:szCs w:val="21"/>
        </w:rPr>
        <w:t>Charles Ampong, Associate Director</w:t>
      </w:r>
    </w:p>
    <w:p w14:paraId="0E0E23A4" w14:textId="5AFA3780" w:rsidR="00762586" w:rsidRPr="00762586" w:rsidRDefault="00762586" w:rsidP="00564AAD">
      <w:pPr>
        <w:pStyle w:val="NoSpacing"/>
        <w:rPr>
          <w:rFonts w:eastAsia="Arial" w:cs="Arial"/>
          <w:sz w:val="21"/>
          <w:szCs w:val="21"/>
        </w:rPr>
      </w:pPr>
      <w:r w:rsidRPr="00762586">
        <w:rPr>
          <w:rFonts w:eastAsia="Arial" w:cs="Arial"/>
          <w:sz w:val="21"/>
          <w:szCs w:val="21"/>
        </w:rPr>
        <w:t>608.446.3172</w:t>
      </w:r>
    </w:p>
    <w:p w14:paraId="6B447806" w14:textId="49832561" w:rsidR="00762586" w:rsidRPr="00FF167E" w:rsidRDefault="009B03CB" w:rsidP="00FE59C2">
      <w:pPr>
        <w:pStyle w:val="GHHyperlink"/>
        <w:rPr>
          <w:rStyle w:val="Hyperlink"/>
          <w:color w:val="auto"/>
        </w:rPr>
      </w:pPr>
      <w:hyperlink r:id="rId17" w:history="1">
        <w:r w:rsidRPr="00FF167E">
          <w:rPr>
            <w:rStyle w:val="Hyperlink"/>
            <w:color w:val="auto"/>
          </w:rPr>
          <w:t>charles.ampong@guidehouse.com</w:t>
        </w:r>
      </w:hyperlink>
    </w:p>
    <w:p w14:paraId="5A3FFA0E" w14:textId="77777777" w:rsidR="00AE6836" w:rsidRPr="005B7F30" w:rsidRDefault="00AE6836" w:rsidP="00564AAD">
      <w:pPr>
        <w:pStyle w:val="NoSpacing"/>
        <w:rPr>
          <w:rFonts w:eastAsia="Arial" w:cs="Arial"/>
          <w:b/>
          <w:bCs/>
          <w:sz w:val="21"/>
          <w:szCs w:val="21"/>
        </w:rPr>
      </w:pPr>
    </w:p>
    <w:p w14:paraId="246F2D01" w14:textId="77777777" w:rsidR="00631500" w:rsidRPr="00564AAD" w:rsidRDefault="00631500" w:rsidP="00564AAD">
      <w:pPr>
        <w:pStyle w:val="NoSpacing"/>
      </w:pPr>
    </w:p>
    <w:p w14:paraId="4E6E3E1B" w14:textId="6CA51F75" w:rsidR="00E62C25" w:rsidRPr="00035A6D" w:rsidRDefault="00564AAD" w:rsidP="005B6988">
      <w:pPr>
        <w:pStyle w:val="NoSpacing"/>
        <w:rPr>
          <w:sz w:val="20"/>
          <w:szCs w:val="20"/>
        </w:rPr>
      </w:pPr>
      <w:r w:rsidRPr="00564AAD">
        <w:rPr>
          <w:sz w:val="20"/>
          <w:szCs w:val="20"/>
        </w:rPr>
        <w:t xml:space="preserve">This report was prepared by Guidehouse for </w:t>
      </w:r>
      <w:r w:rsidR="00FA7ACF">
        <w:rPr>
          <w:sz w:val="20"/>
          <w:szCs w:val="20"/>
        </w:rPr>
        <w:t xml:space="preserve">People Gas </w:t>
      </w:r>
      <w:r w:rsidR="00E92A33">
        <w:rPr>
          <w:sz w:val="20"/>
          <w:szCs w:val="20"/>
        </w:rPr>
        <w:t>Light and Coke Company (PGL)</w:t>
      </w:r>
      <w:r w:rsidR="00FA7ACF">
        <w:rPr>
          <w:sz w:val="20"/>
          <w:szCs w:val="20"/>
        </w:rPr>
        <w:t xml:space="preserve">and North Shore </w:t>
      </w:r>
      <w:proofErr w:type="gramStart"/>
      <w:r w:rsidR="00FA7ACF">
        <w:rPr>
          <w:sz w:val="20"/>
          <w:szCs w:val="20"/>
        </w:rPr>
        <w:t>Gas</w:t>
      </w:r>
      <w:r w:rsidR="006E10A5">
        <w:rPr>
          <w:sz w:val="20"/>
          <w:szCs w:val="20"/>
        </w:rPr>
        <w:t>(</w:t>
      </w:r>
      <w:proofErr w:type="gramEnd"/>
      <w:r w:rsidR="006E10A5">
        <w:rPr>
          <w:sz w:val="20"/>
          <w:szCs w:val="20"/>
        </w:rPr>
        <w:t>NSG)</w:t>
      </w:r>
      <w:r w:rsidR="00FA7ACF">
        <w:rPr>
          <w:sz w:val="20"/>
          <w:szCs w:val="20"/>
        </w:rPr>
        <w:t xml:space="preserve"> companies</w:t>
      </w:r>
      <w:r w:rsidRPr="00564AAD">
        <w:rPr>
          <w:sz w:val="20"/>
          <w:szCs w:val="20"/>
        </w:rPr>
        <w:t xml:space="preserve">. The work presented in this report represents </w:t>
      </w:r>
      <w:proofErr w:type="spellStart"/>
      <w:r w:rsidRPr="00564AAD">
        <w:rPr>
          <w:sz w:val="20"/>
          <w:szCs w:val="20"/>
        </w:rPr>
        <w:t>Guidehouse’s</w:t>
      </w:r>
      <w:proofErr w:type="spellEnd"/>
      <w:r w:rsidRPr="00564AAD">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w:t>
      </w:r>
      <w:proofErr w:type="gramStart"/>
      <w:r w:rsidRPr="00564AAD">
        <w:rPr>
          <w:sz w:val="20"/>
          <w:szCs w:val="20"/>
        </w:rPr>
        <w:t>parties, and</w:t>
      </w:r>
      <w:proofErr w:type="gramEnd"/>
      <w:r w:rsidRPr="00564AAD">
        <w:rPr>
          <w:sz w:val="20"/>
          <w:szCs w:val="20"/>
        </w:rPr>
        <w:t xml:space="preserve"> hereby disclaims any such liability.</w:t>
      </w:r>
      <w:r w:rsidR="00E62C25">
        <w:br w:type="page"/>
      </w:r>
    </w:p>
    <w:p w14:paraId="02D50774" w14:textId="77777777" w:rsidR="008C17F1" w:rsidRDefault="008C17F1">
      <w:pPr>
        <w:sectPr w:rsidR="008C17F1" w:rsidSect="00FB30FD">
          <w:headerReference w:type="default" r:id="rId18"/>
          <w:footerReference w:type="default" r:id="rId19"/>
          <w:headerReference w:type="first" r:id="rId20"/>
          <w:footerReference w:type="first" r:id="rId21"/>
          <w:pgSz w:w="12240" w:h="15840"/>
          <w:pgMar w:top="1440" w:right="1440" w:bottom="1440" w:left="1440" w:header="720" w:footer="720" w:gutter="0"/>
          <w:pgNumType w:fmt="lowerRoman"/>
          <w:cols w:space="720"/>
          <w:titlePg/>
          <w:docGrid w:linePitch="360"/>
        </w:sectPr>
      </w:pPr>
    </w:p>
    <w:p w14:paraId="258C3457" w14:textId="77777777" w:rsidR="00035A6D" w:rsidRDefault="00035A6D"/>
    <w:p w14:paraId="346103F2" w14:textId="49B22EF3" w:rsidR="008C17F1" w:rsidRPr="008C17F1" w:rsidRDefault="008C17F1">
      <w:pPr>
        <w:rPr>
          <w:sz w:val="40"/>
          <w:szCs w:val="40"/>
        </w:rPr>
      </w:pPr>
      <w:r>
        <w:rPr>
          <w:sz w:val="40"/>
          <w:szCs w:val="40"/>
        </w:rPr>
        <w:t>Table of Contents</w:t>
      </w:r>
    </w:p>
    <w:p w14:paraId="64261190" w14:textId="74A628C9" w:rsidR="00DB4E59" w:rsidRDefault="008C17F1">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4332874" w:history="1">
        <w:r w:rsidR="00DB4E59" w:rsidRPr="0058401B">
          <w:rPr>
            <w:rStyle w:val="Hyperlink"/>
            <w:noProof/>
          </w:rPr>
          <w:t>1</w:t>
        </w:r>
        <w:r w:rsidR="00DB4E59">
          <w:rPr>
            <w:rFonts w:cstheme="minorBidi"/>
            <w:noProof/>
            <w:kern w:val="2"/>
            <w:sz w:val="24"/>
            <w:szCs w:val="24"/>
            <w14:ligatures w14:val="standardContextual"/>
          </w:rPr>
          <w:tab/>
        </w:r>
        <w:r w:rsidR="00DB4E59" w:rsidRPr="0058401B">
          <w:rPr>
            <w:rStyle w:val="Hyperlink"/>
            <w:noProof/>
          </w:rPr>
          <w:t>Introduction</w:t>
        </w:r>
        <w:r w:rsidR="00DB4E59">
          <w:rPr>
            <w:noProof/>
            <w:webHidden/>
          </w:rPr>
          <w:tab/>
        </w:r>
        <w:r w:rsidR="00DB4E59">
          <w:rPr>
            <w:noProof/>
            <w:webHidden/>
          </w:rPr>
          <w:fldChar w:fldCharType="begin"/>
        </w:r>
        <w:r w:rsidR="00DB4E59">
          <w:rPr>
            <w:noProof/>
            <w:webHidden/>
          </w:rPr>
          <w:instrText xml:space="preserve"> PAGEREF _Toc224332874 \h </w:instrText>
        </w:r>
        <w:r w:rsidR="00DB4E59">
          <w:rPr>
            <w:noProof/>
            <w:webHidden/>
          </w:rPr>
        </w:r>
        <w:r w:rsidR="00DB4E59">
          <w:rPr>
            <w:noProof/>
            <w:webHidden/>
          </w:rPr>
          <w:fldChar w:fldCharType="separate"/>
        </w:r>
        <w:r w:rsidR="00DB4E59">
          <w:rPr>
            <w:noProof/>
            <w:webHidden/>
          </w:rPr>
          <w:t>1</w:t>
        </w:r>
        <w:r w:rsidR="00DB4E59">
          <w:rPr>
            <w:noProof/>
            <w:webHidden/>
          </w:rPr>
          <w:fldChar w:fldCharType="end"/>
        </w:r>
      </w:hyperlink>
    </w:p>
    <w:p w14:paraId="237CB78D" w14:textId="7737EB67" w:rsidR="00DB4E59" w:rsidRDefault="00DB4E59">
      <w:pPr>
        <w:pStyle w:val="TOC1"/>
        <w:tabs>
          <w:tab w:val="left" w:pos="440"/>
          <w:tab w:val="right" w:leader="dot" w:pos="9350"/>
        </w:tabs>
        <w:rPr>
          <w:rFonts w:cstheme="minorBidi"/>
          <w:noProof/>
          <w:kern w:val="2"/>
          <w:sz w:val="24"/>
          <w:szCs w:val="24"/>
          <w14:ligatures w14:val="standardContextual"/>
        </w:rPr>
      </w:pPr>
      <w:hyperlink w:anchor="_Toc224332875" w:history="1">
        <w:r w:rsidRPr="0058401B">
          <w:rPr>
            <w:rStyle w:val="Hyperlink"/>
            <w:noProof/>
          </w:rPr>
          <w:t>2</w:t>
        </w:r>
        <w:r>
          <w:rPr>
            <w:rFonts w:cstheme="minorBidi"/>
            <w:noProof/>
            <w:kern w:val="2"/>
            <w:sz w:val="24"/>
            <w:szCs w:val="24"/>
            <w14:ligatures w14:val="standardContextual"/>
          </w:rPr>
          <w:tab/>
        </w:r>
        <w:r w:rsidRPr="0058401B">
          <w:rPr>
            <w:rStyle w:val="Hyperlink"/>
            <w:noProof/>
          </w:rPr>
          <w:t>Multi-Family Income Eligible</w:t>
        </w:r>
        <w:r>
          <w:rPr>
            <w:noProof/>
            <w:webHidden/>
          </w:rPr>
          <w:tab/>
        </w:r>
        <w:r>
          <w:rPr>
            <w:noProof/>
            <w:webHidden/>
          </w:rPr>
          <w:fldChar w:fldCharType="begin"/>
        </w:r>
        <w:r>
          <w:rPr>
            <w:noProof/>
            <w:webHidden/>
          </w:rPr>
          <w:instrText xml:space="preserve"> PAGEREF _Toc224332875 \h </w:instrText>
        </w:r>
        <w:r>
          <w:rPr>
            <w:noProof/>
            <w:webHidden/>
          </w:rPr>
        </w:r>
        <w:r>
          <w:rPr>
            <w:noProof/>
            <w:webHidden/>
          </w:rPr>
          <w:fldChar w:fldCharType="separate"/>
        </w:r>
        <w:r>
          <w:rPr>
            <w:noProof/>
            <w:webHidden/>
          </w:rPr>
          <w:t>1</w:t>
        </w:r>
        <w:r>
          <w:rPr>
            <w:noProof/>
            <w:webHidden/>
          </w:rPr>
          <w:fldChar w:fldCharType="end"/>
        </w:r>
      </w:hyperlink>
    </w:p>
    <w:p w14:paraId="029A67D4" w14:textId="658A593C" w:rsidR="00DB4E59" w:rsidRDefault="00DB4E59">
      <w:pPr>
        <w:pStyle w:val="TOC2"/>
        <w:tabs>
          <w:tab w:val="left" w:pos="960"/>
          <w:tab w:val="right" w:leader="dot" w:pos="9350"/>
        </w:tabs>
        <w:rPr>
          <w:rFonts w:cstheme="minorBidi"/>
          <w:noProof/>
          <w:kern w:val="2"/>
          <w:sz w:val="24"/>
          <w:szCs w:val="24"/>
          <w14:ligatures w14:val="standardContextual"/>
        </w:rPr>
      </w:pPr>
      <w:hyperlink w:anchor="_Toc224332876" w:history="1">
        <w:r w:rsidRPr="0058401B">
          <w:rPr>
            <w:rStyle w:val="Hyperlink"/>
            <w:noProof/>
          </w:rPr>
          <w:t>2.1</w:t>
        </w:r>
        <w:r>
          <w:rPr>
            <w:rFonts w:cstheme="minorBidi"/>
            <w:noProof/>
            <w:kern w:val="2"/>
            <w:sz w:val="24"/>
            <w:szCs w:val="24"/>
            <w14:ligatures w14:val="standardContextual"/>
          </w:rPr>
          <w:tab/>
        </w:r>
        <w:r w:rsidRPr="0058401B">
          <w:rPr>
            <w:rStyle w:val="Hyperlink"/>
            <w:noProof/>
          </w:rPr>
          <w:t>Program Description</w:t>
        </w:r>
        <w:r>
          <w:rPr>
            <w:noProof/>
            <w:webHidden/>
          </w:rPr>
          <w:tab/>
        </w:r>
        <w:r>
          <w:rPr>
            <w:noProof/>
            <w:webHidden/>
          </w:rPr>
          <w:fldChar w:fldCharType="begin"/>
        </w:r>
        <w:r>
          <w:rPr>
            <w:noProof/>
            <w:webHidden/>
          </w:rPr>
          <w:instrText xml:space="preserve"> PAGEREF _Toc224332876 \h </w:instrText>
        </w:r>
        <w:r>
          <w:rPr>
            <w:noProof/>
            <w:webHidden/>
          </w:rPr>
        </w:r>
        <w:r>
          <w:rPr>
            <w:noProof/>
            <w:webHidden/>
          </w:rPr>
          <w:fldChar w:fldCharType="separate"/>
        </w:r>
        <w:r>
          <w:rPr>
            <w:noProof/>
            <w:webHidden/>
          </w:rPr>
          <w:t>1</w:t>
        </w:r>
        <w:r>
          <w:rPr>
            <w:noProof/>
            <w:webHidden/>
          </w:rPr>
          <w:fldChar w:fldCharType="end"/>
        </w:r>
      </w:hyperlink>
    </w:p>
    <w:p w14:paraId="788DEE0E" w14:textId="7541D026" w:rsidR="00DB4E59" w:rsidRDefault="00DB4E59">
      <w:pPr>
        <w:pStyle w:val="TOC2"/>
        <w:tabs>
          <w:tab w:val="left" w:pos="960"/>
          <w:tab w:val="right" w:leader="dot" w:pos="9350"/>
        </w:tabs>
        <w:rPr>
          <w:rFonts w:cstheme="minorBidi"/>
          <w:noProof/>
          <w:kern w:val="2"/>
          <w:sz w:val="24"/>
          <w:szCs w:val="24"/>
          <w14:ligatures w14:val="standardContextual"/>
        </w:rPr>
      </w:pPr>
      <w:hyperlink w:anchor="_Toc224332877" w:history="1">
        <w:r w:rsidRPr="0058401B">
          <w:rPr>
            <w:rStyle w:val="Hyperlink"/>
            <w:noProof/>
          </w:rPr>
          <w:t>2.2</w:t>
        </w:r>
        <w:r>
          <w:rPr>
            <w:rFonts w:cstheme="minorBidi"/>
            <w:noProof/>
            <w:kern w:val="2"/>
            <w:sz w:val="24"/>
            <w:szCs w:val="24"/>
            <w14:ligatures w14:val="standardContextual"/>
          </w:rPr>
          <w:tab/>
        </w:r>
        <w:r w:rsidRPr="0058401B">
          <w:rPr>
            <w:rStyle w:val="Hyperlink"/>
            <w:noProof/>
          </w:rPr>
          <w:t>Program Savings Detail</w:t>
        </w:r>
        <w:r>
          <w:rPr>
            <w:noProof/>
            <w:webHidden/>
          </w:rPr>
          <w:tab/>
        </w:r>
        <w:r>
          <w:rPr>
            <w:noProof/>
            <w:webHidden/>
          </w:rPr>
          <w:fldChar w:fldCharType="begin"/>
        </w:r>
        <w:r>
          <w:rPr>
            <w:noProof/>
            <w:webHidden/>
          </w:rPr>
          <w:instrText xml:space="preserve"> PAGEREF _Toc224332877 \h </w:instrText>
        </w:r>
        <w:r>
          <w:rPr>
            <w:noProof/>
            <w:webHidden/>
          </w:rPr>
        </w:r>
        <w:r>
          <w:rPr>
            <w:noProof/>
            <w:webHidden/>
          </w:rPr>
          <w:fldChar w:fldCharType="separate"/>
        </w:r>
        <w:r>
          <w:rPr>
            <w:noProof/>
            <w:webHidden/>
          </w:rPr>
          <w:t>4</w:t>
        </w:r>
        <w:r>
          <w:rPr>
            <w:noProof/>
            <w:webHidden/>
          </w:rPr>
          <w:fldChar w:fldCharType="end"/>
        </w:r>
      </w:hyperlink>
    </w:p>
    <w:p w14:paraId="77F27836" w14:textId="0EEA739E" w:rsidR="00DB4E59" w:rsidRDefault="00DB4E59">
      <w:pPr>
        <w:pStyle w:val="TOC2"/>
        <w:tabs>
          <w:tab w:val="left" w:pos="960"/>
          <w:tab w:val="right" w:leader="dot" w:pos="9350"/>
        </w:tabs>
        <w:rPr>
          <w:rFonts w:cstheme="minorBidi"/>
          <w:noProof/>
          <w:kern w:val="2"/>
          <w:sz w:val="24"/>
          <w:szCs w:val="24"/>
          <w14:ligatures w14:val="standardContextual"/>
        </w:rPr>
      </w:pPr>
      <w:hyperlink w:anchor="_Toc224332878" w:history="1">
        <w:r w:rsidRPr="0058401B">
          <w:rPr>
            <w:rStyle w:val="Hyperlink"/>
            <w:noProof/>
          </w:rPr>
          <w:t>2.3</w:t>
        </w:r>
        <w:r>
          <w:rPr>
            <w:rFonts w:cstheme="minorBidi"/>
            <w:noProof/>
            <w:kern w:val="2"/>
            <w:sz w:val="24"/>
            <w:szCs w:val="24"/>
            <w14:ligatures w14:val="standardContextual"/>
          </w:rPr>
          <w:tab/>
        </w:r>
        <w:r w:rsidRPr="0058401B">
          <w:rPr>
            <w:rStyle w:val="Hyperlink"/>
            <w:noProof/>
          </w:rPr>
          <w:t>Program Savings by Measure</w:t>
        </w:r>
        <w:r>
          <w:rPr>
            <w:noProof/>
            <w:webHidden/>
          </w:rPr>
          <w:tab/>
        </w:r>
        <w:r>
          <w:rPr>
            <w:noProof/>
            <w:webHidden/>
          </w:rPr>
          <w:fldChar w:fldCharType="begin"/>
        </w:r>
        <w:r>
          <w:rPr>
            <w:noProof/>
            <w:webHidden/>
          </w:rPr>
          <w:instrText xml:space="preserve"> PAGEREF _Toc224332878 \h </w:instrText>
        </w:r>
        <w:r>
          <w:rPr>
            <w:noProof/>
            <w:webHidden/>
          </w:rPr>
        </w:r>
        <w:r>
          <w:rPr>
            <w:noProof/>
            <w:webHidden/>
          </w:rPr>
          <w:fldChar w:fldCharType="separate"/>
        </w:r>
        <w:r>
          <w:rPr>
            <w:noProof/>
            <w:webHidden/>
          </w:rPr>
          <w:t>4</w:t>
        </w:r>
        <w:r>
          <w:rPr>
            <w:noProof/>
            <w:webHidden/>
          </w:rPr>
          <w:fldChar w:fldCharType="end"/>
        </w:r>
      </w:hyperlink>
    </w:p>
    <w:p w14:paraId="2BFA9A64" w14:textId="77B78D02" w:rsidR="00DB4E59" w:rsidRDefault="00DB4E59">
      <w:pPr>
        <w:pStyle w:val="TOC2"/>
        <w:tabs>
          <w:tab w:val="left" w:pos="960"/>
          <w:tab w:val="right" w:leader="dot" w:pos="9350"/>
        </w:tabs>
        <w:rPr>
          <w:rFonts w:cstheme="minorBidi"/>
          <w:noProof/>
          <w:kern w:val="2"/>
          <w:sz w:val="24"/>
          <w:szCs w:val="24"/>
          <w14:ligatures w14:val="standardContextual"/>
        </w:rPr>
      </w:pPr>
      <w:hyperlink w:anchor="_Toc224332879" w:history="1">
        <w:r w:rsidRPr="0058401B">
          <w:rPr>
            <w:rStyle w:val="Hyperlink"/>
            <w:noProof/>
          </w:rPr>
          <w:t>2.4</w:t>
        </w:r>
        <w:r>
          <w:rPr>
            <w:rFonts w:cstheme="minorBidi"/>
            <w:noProof/>
            <w:kern w:val="2"/>
            <w:sz w:val="24"/>
            <w:szCs w:val="24"/>
            <w14:ligatures w14:val="standardContextual"/>
          </w:rPr>
          <w:tab/>
        </w:r>
        <w:r w:rsidRPr="0058401B">
          <w:rPr>
            <w:rStyle w:val="Hyperlink"/>
            <w:noProof/>
          </w:rPr>
          <w:t>Impact Analysis Findings and Recommendations</w:t>
        </w:r>
        <w:r>
          <w:rPr>
            <w:noProof/>
            <w:webHidden/>
          </w:rPr>
          <w:tab/>
        </w:r>
        <w:r>
          <w:rPr>
            <w:noProof/>
            <w:webHidden/>
          </w:rPr>
          <w:fldChar w:fldCharType="begin"/>
        </w:r>
        <w:r>
          <w:rPr>
            <w:noProof/>
            <w:webHidden/>
          </w:rPr>
          <w:instrText xml:space="preserve"> PAGEREF _Toc224332879 \h </w:instrText>
        </w:r>
        <w:r>
          <w:rPr>
            <w:noProof/>
            <w:webHidden/>
          </w:rPr>
        </w:r>
        <w:r>
          <w:rPr>
            <w:noProof/>
            <w:webHidden/>
          </w:rPr>
          <w:fldChar w:fldCharType="separate"/>
        </w:r>
        <w:r>
          <w:rPr>
            <w:noProof/>
            <w:webHidden/>
          </w:rPr>
          <w:t>6</w:t>
        </w:r>
        <w:r>
          <w:rPr>
            <w:noProof/>
            <w:webHidden/>
          </w:rPr>
          <w:fldChar w:fldCharType="end"/>
        </w:r>
      </w:hyperlink>
    </w:p>
    <w:p w14:paraId="4801C206" w14:textId="1E4184AD" w:rsidR="00DB4E59" w:rsidRDefault="00DB4E59">
      <w:pPr>
        <w:pStyle w:val="TOC3"/>
        <w:tabs>
          <w:tab w:val="left" w:pos="1200"/>
          <w:tab w:val="right" w:leader="dot" w:pos="9350"/>
        </w:tabs>
        <w:rPr>
          <w:rFonts w:cstheme="minorBidi"/>
          <w:noProof/>
          <w:kern w:val="2"/>
          <w:sz w:val="24"/>
          <w:szCs w:val="24"/>
          <w14:ligatures w14:val="standardContextual"/>
        </w:rPr>
      </w:pPr>
      <w:hyperlink w:anchor="_Toc224332880" w:history="1">
        <w:r w:rsidRPr="0058401B">
          <w:rPr>
            <w:rStyle w:val="Hyperlink"/>
            <w:noProof/>
          </w:rPr>
          <w:t>2.4.1</w:t>
        </w:r>
        <w:r>
          <w:rPr>
            <w:rFonts w:cstheme="minorBidi"/>
            <w:noProof/>
            <w:kern w:val="2"/>
            <w:sz w:val="24"/>
            <w:szCs w:val="24"/>
            <w14:ligatures w14:val="standardContextual"/>
          </w:rPr>
          <w:tab/>
        </w:r>
        <w:r w:rsidRPr="0058401B">
          <w:rPr>
            <w:rStyle w:val="Hyperlink"/>
            <w:noProof/>
          </w:rPr>
          <w:t>Impact Parameter Estimates</w:t>
        </w:r>
        <w:r>
          <w:rPr>
            <w:noProof/>
            <w:webHidden/>
          </w:rPr>
          <w:tab/>
        </w:r>
        <w:r>
          <w:rPr>
            <w:noProof/>
            <w:webHidden/>
          </w:rPr>
          <w:fldChar w:fldCharType="begin"/>
        </w:r>
        <w:r>
          <w:rPr>
            <w:noProof/>
            <w:webHidden/>
          </w:rPr>
          <w:instrText xml:space="preserve"> PAGEREF _Toc224332880 \h </w:instrText>
        </w:r>
        <w:r>
          <w:rPr>
            <w:noProof/>
            <w:webHidden/>
          </w:rPr>
        </w:r>
        <w:r>
          <w:rPr>
            <w:noProof/>
            <w:webHidden/>
          </w:rPr>
          <w:fldChar w:fldCharType="separate"/>
        </w:r>
        <w:r>
          <w:rPr>
            <w:noProof/>
            <w:webHidden/>
          </w:rPr>
          <w:t>6</w:t>
        </w:r>
        <w:r>
          <w:rPr>
            <w:noProof/>
            <w:webHidden/>
          </w:rPr>
          <w:fldChar w:fldCharType="end"/>
        </w:r>
      </w:hyperlink>
    </w:p>
    <w:p w14:paraId="067D35E7" w14:textId="503BE085" w:rsidR="00DB4E59" w:rsidRDefault="00DB4E59">
      <w:pPr>
        <w:pStyle w:val="TOC3"/>
        <w:tabs>
          <w:tab w:val="left" w:pos="1200"/>
          <w:tab w:val="right" w:leader="dot" w:pos="9350"/>
        </w:tabs>
        <w:rPr>
          <w:rFonts w:cstheme="minorBidi"/>
          <w:noProof/>
          <w:kern w:val="2"/>
          <w:sz w:val="24"/>
          <w:szCs w:val="24"/>
          <w14:ligatures w14:val="standardContextual"/>
        </w:rPr>
      </w:pPr>
      <w:hyperlink w:anchor="_Toc224332881" w:history="1">
        <w:r w:rsidRPr="0058401B">
          <w:rPr>
            <w:rStyle w:val="Hyperlink"/>
            <w:noProof/>
          </w:rPr>
          <w:t>2.4.2</w:t>
        </w:r>
        <w:r>
          <w:rPr>
            <w:rFonts w:cstheme="minorBidi"/>
            <w:noProof/>
            <w:kern w:val="2"/>
            <w:sz w:val="24"/>
            <w:szCs w:val="24"/>
            <w14:ligatures w14:val="standardContextual"/>
          </w:rPr>
          <w:tab/>
        </w:r>
        <w:r w:rsidRPr="0058401B">
          <w:rPr>
            <w:rStyle w:val="Hyperlink"/>
            <w:noProof/>
          </w:rPr>
          <w:t>Findings and Recommendations</w:t>
        </w:r>
        <w:r>
          <w:rPr>
            <w:noProof/>
            <w:webHidden/>
          </w:rPr>
          <w:tab/>
        </w:r>
        <w:r>
          <w:rPr>
            <w:noProof/>
            <w:webHidden/>
          </w:rPr>
          <w:fldChar w:fldCharType="begin"/>
        </w:r>
        <w:r>
          <w:rPr>
            <w:noProof/>
            <w:webHidden/>
          </w:rPr>
          <w:instrText xml:space="preserve"> PAGEREF _Toc224332881 \h </w:instrText>
        </w:r>
        <w:r>
          <w:rPr>
            <w:noProof/>
            <w:webHidden/>
          </w:rPr>
        </w:r>
        <w:r>
          <w:rPr>
            <w:noProof/>
            <w:webHidden/>
          </w:rPr>
          <w:fldChar w:fldCharType="separate"/>
        </w:r>
        <w:r>
          <w:rPr>
            <w:noProof/>
            <w:webHidden/>
          </w:rPr>
          <w:t>7</w:t>
        </w:r>
        <w:r>
          <w:rPr>
            <w:noProof/>
            <w:webHidden/>
          </w:rPr>
          <w:fldChar w:fldCharType="end"/>
        </w:r>
      </w:hyperlink>
    </w:p>
    <w:p w14:paraId="0C898A9B" w14:textId="2A69D189" w:rsidR="00DB4E59" w:rsidRDefault="00DB4E59">
      <w:pPr>
        <w:pStyle w:val="TOC1"/>
        <w:tabs>
          <w:tab w:val="left" w:pos="440"/>
          <w:tab w:val="right" w:leader="dot" w:pos="9350"/>
        </w:tabs>
        <w:rPr>
          <w:rFonts w:cstheme="minorBidi"/>
          <w:noProof/>
          <w:kern w:val="2"/>
          <w:sz w:val="24"/>
          <w:szCs w:val="24"/>
          <w14:ligatures w14:val="standardContextual"/>
        </w:rPr>
      </w:pPr>
      <w:hyperlink w:anchor="_Toc224332882" w:history="1">
        <w:r w:rsidRPr="0058401B">
          <w:rPr>
            <w:rStyle w:val="Hyperlink"/>
            <w:noProof/>
          </w:rPr>
          <w:t>3</w:t>
        </w:r>
        <w:r>
          <w:rPr>
            <w:rFonts w:cstheme="minorBidi"/>
            <w:noProof/>
            <w:kern w:val="2"/>
            <w:sz w:val="24"/>
            <w:szCs w:val="24"/>
            <w14:ligatures w14:val="standardContextual"/>
          </w:rPr>
          <w:tab/>
        </w:r>
        <w:r w:rsidRPr="0058401B">
          <w:rPr>
            <w:rStyle w:val="Hyperlink"/>
            <w:noProof/>
          </w:rPr>
          <w:t>Public Housing Energy Savings Program</w:t>
        </w:r>
        <w:r>
          <w:rPr>
            <w:noProof/>
            <w:webHidden/>
          </w:rPr>
          <w:tab/>
        </w:r>
        <w:r>
          <w:rPr>
            <w:noProof/>
            <w:webHidden/>
          </w:rPr>
          <w:fldChar w:fldCharType="begin"/>
        </w:r>
        <w:r>
          <w:rPr>
            <w:noProof/>
            <w:webHidden/>
          </w:rPr>
          <w:instrText xml:space="preserve"> PAGEREF _Toc224332882 \h </w:instrText>
        </w:r>
        <w:r>
          <w:rPr>
            <w:noProof/>
            <w:webHidden/>
          </w:rPr>
        </w:r>
        <w:r>
          <w:rPr>
            <w:noProof/>
            <w:webHidden/>
          </w:rPr>
          <w:fldChar w:fldCharType="separate"/>
        </w:r>
        <w:r>
          <w:rPr>
            <w:noProof/>
            <w:webHidden/>
          </w:rPr>
          <w:t>9</w:t>
        </w:r>
        <w:r>
          <w:rPr>
            <w:noProof/>
            <w:webHidden/>
          </w:rPr>
          <w:fldChar w:fldCharType="end"/>
        </w:r>
      </w:hyperlink>
    </w:p>
    <w:p w14:paraId="13970BD1" w14:textId="454BF102" w:rsidR="00DB4E59" w:rsidRDefault="00DB4E59">
      <w:pPr>
        <w:pStyle w:val="TOC2"/>
        <w:tabs>
          <w:tab w:val="left" w:pos="960"/>
          <w:tab w:val="right" w:leader="dot" w:pos="9350"/>
        </w:tabs>
        <w:rPr>
          <w:rFonts w:cstheme="minorBidi"/>
          <w:noProof/>
          <w:kern w:val="2"/>
          <w:sz w:val="24"/>
          <w:szCs w:val="24"/>
          <w14:ligatures w14:val="standardContextual"/>
        </w:rPr>
      </w:pPr>
      <w:hyperlink w:anchor="_Toc224332883" w:history="1">
        <w:r w:rsidRPr="0058401B">
          <w:rPr>
            <w:rStyle w:val="Hyperlink"/>
            <w:noProof/>
          </w:rPr>
          <w:t>3.1</w:t>
        </w:r>
        <w:r>
          <w:rPr>
            <w:rFonts w:cstheme="minorBidi"/>
            <w:noProof/>
            <w:kern w:val="2"/>
            <w:sz w:val="24"/>
            <w:szCs w:val="24"/>
            <w14:ligatures w14:val="standardContextual"/>
          </w:rPr>
          <w:tab/>
        </w:r>
        <w:r w:rsidRPr="0058401B">
          <w:rPr>
            <w:rStyle w:val="Hyperlink"/>
            <w:noProof/>
          </w:rPr>
          <w:t>Program Description</w:t>
        </w:r>
        <w:r>
          <w:rPr>
            <w:noProof/>
            <w:webHidden/>
          </w:rPr>
          <w:tab/>
        </w:r>
        <w:r>
          <w:rPr>
            <w:noProof/>
            <w:webHidden/>
          </w:rPr>
          <w:fldChar w:fldCharType="begin"/>
        </w:r>
        <w:r>
          <w:rPr>
            <w:noProof/>
            <w:webHidden/>
          </w:rPr>
          <w:instrText xml:space="preserve"> PAGEREF _Toc224332883 \h </w:instrText>
        </w:r>
        <w:r>
          <w:rPr>
            <w:noProof/>
            <w:webHidden/>
          </w:rPr>
        </w:r>
        <w:r>
          <w:rPr>
            <w:noProof/>
            <w:webHidden/>
          </w:rPr>
          <w:fldChar w:fldCharType="separate"/>
        </w:r>
        <w:r>
          <w:rPr>
            <w:noProof/>
            <w:webHidden/>
          </w:rPr>
          <w:t>9</w:t>
        </w:r>
        <w:r>
          <w:rPr>
            <w:noProof/>
            <w:webHidden/>
          </w:rPr>
          <w:fldChar w:fldCharType="end"/>
        </w:r>
      </w:hyperlink>
    </w:p>
    <w:p w14:paraId="24AD0A8C" w14:textId="2C2BA710" w:rsidR="00DB4E59" w:rsidRDefault="00DB4E59">
      <w:pPr>
        <w:pStyle w:val="TOC2"/>
        <w:tabs>
          <w:tab w:val="left" w:pos="960"/>
          <w:tab w:val="right" w:leader="dot" w:pos="9350"/>
        </w:tabs>
        <w:rPr>
          <w:rFonts w:cstheme="minorBidi"/>
          <w:noProof/>
          <w:kern w:val="2"/>
          <w:sz w:val="24"/>
          <w:szCs w:val="24"/>
          <w14:ligatures w14:val="standardContextual"/>
        </w:rPr>
      </w:pPr>
      <w:hyperlink w:anchor="_Toc224332884" w:history="1">
        <w:r w:rsidRPr="0058401B">
          <w:rPr>
            <w:rStyle w:val="Hyperlink"/>
            <w:noProof/>
          </w:rPr>
          <w:t>3.2</w:t>
        </w:r>
        <w:r>
          <w:rPr>
            <w:rFonts w:cstheme="minorBidi"/>
            <w:noProof/>
            <w:kern w:val="2"/>
            <w:sz w:val="24"/>
            <w:szCs w:val="24"/>
            <w14:ligatures w14:val="standardContextual"/>
          </w:rPr>
          <w:tab/>
        </w:r>
        <w:r w:rsidRPr="0058401B">
          <w:rPr>
            <w:rStyle w:val="Hyperlink"/>
            <w:noProof/>
          </w:rPr>
          <w:t>Program Savings Detail</w:t>
        </w:r>
        <w:r>
          <w:rPr>
            <w:noProof/>
            <w:webHidden/>
          </w:rPr>
          <w:tab/>
        </w:r>
        <w:r>
          <w:rPr>
            <w:noProof/>
            <w:webHidden/>
          </w:rPr>
          <w:fldChar w:fldCharType="begin"/>
        </w:r>
        <w:r>
          <w:rPr>
            <w:noProof/>
            <w:webHidden/>
          </w:rPr>
          <w:instrText xml:space="preserve"> PAGEREF _Toc224332884 \h </w:instrText>
        </w:r>
        <w:r>
          <w:rPr>
            <w:noProof/>
            <w:webHidden/>
          </w:rPr>
        </w:r>
        <w:r>
          <w:rPr>
            <w:noProof/>
            <w:webHidden/>
          </w:rPr>
          <w:fldChar w:fldCharType="separate"/>
        </w:r>
        <w:r>
          <w:rPr>
            <w:noProof/>
            <w:webHidden/>
          </w:rPr>
          <w:t>10</w:t>
        </w:r>
        <w:r>
          <w:rPr>
            <w:noProof/>
            <w:webHidden/>
          </w:rPr>
          <w:fldChar w:fldCharType="end"/>
        </w:r>
      </w:hyperlink>
    </w:p>
    <w:p w14:paraId="1D7A6A7D" w14:textId="335BC8B2" w:rsidR="00DB4E59" w:rsidRDefault="00DB4E59">
      <w:pPr>
        <w:pStyle w:val="TOC2"/>
        <w:tabs>
          <w:tab w:val="left" w:pos="960"/>
          <w:tab w:val="right" w:leader="dot" w:pos="9350"/>
        </w:tabs>
        <w:rPr>
          <w:rFonts w:cstheme="minorBidi"/>
          <w:noProof/>
          <w:kern w:val="2"/>
          <w:sz w:val="24"/>
          <w:szCs w:val="24"/>
          <w14:ligatures w14:val="standardContextual"/>
        </w:rPr>
      </w:pPr>
      <w:hyperlink w:anchor="_Toc224332885" w:history="1">
        <w:r w:rsidRPr="0058401B">
          <w:rPr>
            <w:rStyle w:val="Hyperlink"/>
            <w:noProof/>
          </w:rPr>
          <w:t>3.3</w:t>
        </w:r>
        <w:r>
          <w:rPr>
            <w:rFonts w:cstheme="minorBidi"/>
            <w:noProof/>
            <w:kern w:val="2"/>
            <w:sz w:val="24"/>
            <w:szCs w:val="24"/>
            <w14:ligatures w14:val="standardContextual"/>
          </w:rPr>
          <w:tab/>
        </w:r>
        <w:r w:rsidRPr="0058401B">
          <w:rPr>
            <w:rStyle w:val="Hyperlink"/>
            <w:noProof/>
          </w:rPr>
          <w:t>Program Savings by Measure</w:t>
        </w:r>
        <w:r>
          <w:rPr>
            <w:noProof/>
            <w:webHidden/>
          </w:rPr>
          <w:tab/>
        </w:r>
        <w:r>
          <w:rPr>
            <w:noProof/>
            <w:webHidden/>
          </w:rPr>
          <w:fldChar w:fldCharType="begin"/>
        </w:r>
        <w:r>
          <w:rPr>
            <w:noProof/>
            <w:webHidden/>
          </w:rPr>
          <w:instrText xml:space="preserve"> PAGEREF _Toc224332885 \h </w:instrText>
        </w:r>
        <w:r>
          <w:rPr>
            <w:noProof/>
            <w:webHidden/>
          </w:rPr>
        </w:r>
        <w:r>
          <w:rPr>
            <w:noProof/>
            <w:webHidden/>
          </w:rPr>
          <w:fldChar w:fldCharType="separate"/>
        </w:r>
        <w:r>
          <w:rPr>
            <w:noProof/>
            <w:webHidden/>
          </w:rPr>
          <w:t>10</w:t>
        </w:r>
        <w:r>
          <w:rPr>
            <w:noProof/>
            <w:webHidden/>
          </w:rPr>
          <w:fldChar w:fldCharType="end"/>
        </w:r>
      </w:hyperlink>
    </w:p>
    <w:p w14:paraId="7C53F7C7" w14:textId="2396825B" w:rsidR="00DB4E59" w:rsidRDefault="00DB4E59">
      <w:pPr>
        <w:pStyle w:val="TOC2"/>
        <w:tabs>
          <w:tab w:val="left" w:pos="960"/>
          <w:tab w:val="right" w:leader="dot" w:pos="9350"/>
        </w:tabs>
        <w:rPr>
          <w:rFonts w:cstheme="minorBidi"/>
          <w:noProof/>
          <w:kern w:val="2"/>
          <w:sz w:val="24"/>
          <w:szCs w:val="24"/>
          <w14:ligatures w14:val="standardContextual"/>
        </w:rPr>
      </w:pPr>
      <w:hyperlink w:anchor="_Toc224332886" w:history="1">
        <w:r w:rsidRPr="0058401B">
          <w:rPr>
            <w:rStyle w:val="Hyperlink"/>
            <w:noProof/>
          </w:rPr>
          <w:t>3.4</w:t>
        </w:r>
        <w:r>
          <w:rPr>
            <w:rFonts w:cstheme="minorBidi"/>
            <w:noProof/>
            <w:kern w:val="2"/>
            <w:sz w:val="24"/>
            <w:szCs w:val="24"/>
            <w14:ligatures w14:val="standardContextual"/>
          </w:rPr>
          <w:tab/>
        </w:r>
        <w:r w:rsidRPr="0058401B">
          <w:rPr>
            <w:rStyle w:val="Hyperlink"/>
            <w:noProof/>
          </w:rPr>
          <w:t>Impact Analysis Findings and Recommendations</w:t>
        </w:r>
        <w:r>
          <w:rPr>
            <w:noProof/>
            <w:webHidden/>
          </w:rPr>
          <w:tab/>
        </w:r>
        <w:r>
          <w:rPr>
            <w:noProof/>
            <w:webHidden/>
          </w:rPr>
          <w:fldChar w:fldCharType="begin"/>
        </w:r>
        <w:r>
          <w:rPr>
            <w:noProof/>
            <w:webHidden/>
          </w:rPr>
          <w:instrText xml:space="preserve"> PAGEREF _Toc224332886 \h </w:instrText>
        </w:r>
        <w:r>
          <w:rPr>
            <w:noProof/>
            <w:webHidden/>
          </w:rPr>
        </w:r>
        <w:r>
          <w:rPr>
            <w:noProof/>
            <w:webHidden/>
          </w:rPr>
          <w:fldChar w:fldCharType="separate"/>
        </w:r>
        <w:r>
          <w:rPr>
            <w:noProof/>
            <w:webHidden/>
          </w:rPr>
          <w:t>11</w:t>
        </w:r>
        <w:r>
          <w:rPr>
            <w:noProof/>
            <w:webHidden/>
          </w:rPr>
          <w:fldChar w:fldCharType="end"/>
        </w:r>
      </w:hyperlink>
    </w:p>
    <w:p w14:paraId="3C557A3D" w14:textId="6E56D2FE" w:rsidR="00DB4E59" w:rsidRDefault="00DB4E59">
      <w:pPr>
        <w:pStyle w:val="TOC3"/>
        <w:tabs>
          <w:tab w:val="left" w:pos="1200"/>
          <w:tab w:val="right" w:leader="dot" w:pos="9350"/>
        </w:tabs>
        <w:rPr>
          <w:rFonts w:cstheme="minorBidi"/>
          <w:noProof/>
          <w:kern w:val="2"/>
          <w:sz w:val="24"/>
          <w:szCs w:val="24"/>
          <w14:ligatures w14:val="standardContextual"/>
        </w:rPr>
      </w:pPr>
      <w:hyperlink w:anchor="_Toc224332887" w:history="1">
        <w:r w:rsidRPr="0058401B">
          <w:rPr>
            <w:rStyle w:val="Hyperlink"/>
            <w:noProof/>
          </w:rPr>
          <w:t>3.4.1</w:t>
        </w:r>
        <w:r>
          <w:rPr>
            <w:rFonts w:cstheme="minorBidi"/>
            <w:noProof/>
            <w:kern w:val="2"/>
            <w:sz w:val="24"/>
            <w:szCs w:val="24"/>
            <w14:ligatures w14:val="standardContextual"/>
          </w:rPr>
          <w:tab/>
        </w:r>
        <w:r w:rsidRPr="0058401B">
          <w:rPr>
            <w:rStyle w:val="Hyperlink"/>
            <w:noProof/>
          </w:rPr>
          <w:t>Impact Parameter Estimates</w:t>
        </w:r>
        <w:r>
          <w:rPr>
            <w:noProof/>
            <w:webHidden/>
          </w:rPr>
          <w:tab/>
        </w:r>
        <w:r>
          <w:rPr>
            <w:noProof/>
            <w:webHidden/>
          </w:rPr>
          <w:fldChar w:fldCharType="begin"/>
        </w:r>
        <w:r>
          <w:rPr>
            <w:noProof/>
            <w:webHidden/>
          </w:rPr>
          <w:instrText xml:space="preserve"> PAGEREF _Toc224332887 \h </w:instrText>
        </w:r>
        <w:r>
          <w:rPr>
            <w:noProof/>
            <w:webHidden/>
          </w:rPr>
        </w:r>
        <w:r>
          <w:rPr>
            <w:noProof/>
            <w:webHidden/>
          </w:rPr>
          <w:fldChar w:fldCharType="separate"/>
        </w:r>
        <w:r>
          <w:rPr>
            <w:noProof/>
            <w:webHidden/>
          </w:rPr>
          <w:t>11</w:t>
        </w:r>
        <w:r>
          <w:rPr>
            <w:noProof/>
            <w:webHidden/>
          </w:rPr>
          <w:fldChar w:fldCharType="end"/>
        </w:r>
      </w:hyperlink>
    </w:p>
    <w:p w14:paraId="363F5432" w14:textId="78E4FBCA" w:rsidR="00DB4E59" w:rsidRDefault="00DB4E59">
      <w:pPr>
        <w:pStyle w:val="TOC3"/>
        <w:tabs>
          <w:tab w:val="left" w:pos="1200"/>
          <w:tab w:val="right" w:leader="dot" w:pos="9350"/>
        </w:tabs>
        <w:rPr>
          <w:rFonts w:cstheme="minorBidi"/>
          <w:noProof/>
          <w:kern w:val="2"/>
          <w:sz w:val="24"/>
          <w:szCs w:val="24"/>
          <w14:ligatures w14:val="standardContextual"/>
        </w:rPr>
      </w:pPr>
      <w:hyperlink w:anchor="_Toc224332888" w:history="1">
        <w:r w:rsidRPr="0058401B">
          <w:rPr>
            <w:rStyle w:val="Hyperlink"/>
            <w:noProof/>
          </w:rPr>
          <w:t>3.4.2</w:t>
        </w:r>
        <w:r>
          <w:rPr>
            <w:rFonts w:cstheme="minorBidi"/>
            <w:noProof/>
            <w:kern w:val="2"/>
            <w:sz w:val="24"/>
            <w:szCs w:val="24"/>
            <w14:ligatures w14:val="standardContextual"/>
          </w:rPr>
          <w:tab/>
        </w:r>
        <w:r w:rsidRPr="0058401B">
          <w:rPr>
            <w:rStyle w:val="Hyperlink"/>
            <w:noProof/>
          </w:rPr>
          <w:t>Findings and Recommendations</w:t>
        </w:r>
        <w:r>
          <w:rPr>
            <w:noProof/>
            <w:webHidden/>
          </w:rPr>
          <w:tab/>
        </w:r>
        <w:r>
          <w:rPr>
            <w:noProof/>
            <w:webHidden/>
          </w:rPr>
          <w:fldChar w:fldCharType="begin"/>
        </w:r>
        <w:r>
          <w:rPr>
            <w:noProof/>
            <w:webHidden/>
          </w:rPr>
          <w:instrText xml:space="preserve"> PAGEREF _Toc224332888 \h </w:instrText>
        </w:r>
        <w:r>
          <w:rPr>
            <w:noProof/>
            <w:webHidden/>
          </w:rPr>
        </w:r>
        <w:r>
          <w:rPr>
            <w:noProof/>
            <w:webHidden/>
          </w:rPr>
          <w:fldChar w:fldCharType="separate"/>
        </w:r>
        <w:r>
          <w:rPr>
            <w:noProof/>
            <w:webHidden/>
          </w:rPr>
          <w:t>11</w:t>
        </w:r>
        <w:r>
          <w:rPr>
            <w:noProof/>
            <w:webHidden/>
          </w:rPr>
          <w:fldChar w:fldCharType="end"/>
        </w:r>
      </w:hyperlink>
    </w:p>
    <w:p w14:paraId="368DDA6E" w14:textId="20743B62" w:rsidR="00DB4E59" w:rsidRDefault="00DB4E59">
      <w:pPr>
        <w:pStyle w:val="TOC1"/>
        <w:tabs>
          <w:tab w:val="right" w:leader="dot" w:pos="9350"/>
        </w:tabs>
        <w:rPr>
          <w:rFonts w:cstheme="minorBidi"/>
          <w:noProof/>
          <w:kern w:val="2"/>
          <w:sz w:val="24"/>
          <w:szCs w:val="24"/>
          <w14:ligatures w14:val="standardContextual"/>
        </w:rPr>
      </w:pPr>
      <w:hyperlink w:anchor="_Toc224332889" w:history="1">
        <w:r w:rsidRPr="0058401B">
          <w:rPr>
            <w:rStyle w:val="Hyperlink"/>
            <w:rFonts w:ascii="Aptos Display" w:eastAsia="Aptos Display" w:hAnsi="Aptos Display" w:cs="Aptos Display"/>
            <w:noProof/>
          </w:rPr>
          <w:t>Appendix A. Impact Analysis Methodology</w:t>
        </w:r>
        <w:r>
          <w:rPr>
            <w:noProof/>
            <w:webHidden/>
          </w:rPr>
          <w:tab/>
        </w:r>
        <w:r>
          <w:rPr>
            <w:noProof/>
            <w:webHidden/>
          </w:rPr>
          <w:fldChar w:fldCharType="begin"/>
        </w:r>
        <w:r>
          <w:rPr>
            <w:noProof/>
            <w:webHidden/>
          </w:rPr>
          <w:instrText xml:space="preserve"> PAGEREF _Toc224332889 \h </w:instrText>
        </w:r>
        <w:r>
          <w:rPr>
            <w:noProof/>
            <w:webHidden/>
          </w:rPr>
        </w:r>
        <w:r>
          <w:rPr>
            <w:noProof/>
            <w:webHidden/>
          </w:rPr>
          <w:fldChar w:fldCharType="separate"/>
        </w:r>
        <w:r>
          <w:rPr>
            <w:noProof/>
            <w:webHidden/>
          </w:rPr>
          <w:t>12</w:t>
        </w:r>
        <w:r>
          <w:rPr>
            <w:noProof/>
            <w:webHidden/>
          </w:rPr>
          <w:fldChar w:fldCharType="end"/>
        </w:r>
      </w:hyperlink>
    </w:p>
    <w:p w14:paraId="7B0186BF" w14:textId="553B32CA" w:rsidR="00DB4E59" w:rsidRDefault="00DB4E59">
      <w:pPr>
        <w:pStyle w:val="TOC1"/>
        <w:tabs>
          <w:tab w:val="right" w:leader="dot" w:pos="9350"/>
        </w:tabs>
        <w:rPr>
          <w:rFonts w:cstheme="minorBidi"/>
          <w:noProof/>
          <w:kern w:val="2"/>
          <w:sz w:val="24"/>
          <w:szCs w:val="24"/>
          <w14:ligatures w14:val="standardContextual"/>
        </w:rPr>
      </w:pPr>
      <w:hyperlink w:anchor="_Toc224332890" w:history="1">
        <w:r w:rsidRPr="0058401B">
          <w:rPr>
            <w:rStyle w:val="Hyperlink"/>
            <w:rFonts w:ascii="Aptos Display" w:eastAsia="Aptos Display" w:hAnsi="Aptos Display" w:cs="Aptos Display"/>
            <w:noProof/>
          </w:rPr>
          <w:t xml:space="preserve">Appendix B. </w:t>
        </w:r>
        <w:r w:rsidRPr="0058401B">
          <w:rPr>
            <w:rStyle w:val="Hyperlink"/>
            <w:noProof/>
          </w:rPr>
          <w:t>Program Specific Inputs for the Illinois TRC</w:t>
        </w:r>
        <w:r>
          <w:rPr>
            <w:noProof/>
            <w:webHidden/>
          </w:rPr>
          <w:tab/>
        </w:r>
        <w:r>
          <w:rPr>
            <w:noProof/>
            <w:webHidden/>
          </w:rPr>
          <w:fldChar w:fldCharType="begin"/>
        </w:r>
        <w:r>
          <w:rPr>
            <w:noProof/>
            <w:webHidden/>
          </w:rPr>
          <w:instrText xml:space="preserve"> PAGEREF _Toc224332890 \h </w:instrText>
        </w:r>
        <w:r>
          <w:rPr>
            <w:noProof/>
            <w:webHidden/>
          </w:rPr>
        </w:r>
        <w:r>
          <w:rPr>
            <w:noProof/>
            <w:webHidden/>
          </w:rPr>
          <w:fldChar w:fldCharType="separate"/>
        </w:r>
        <w:r>
          <w:rPr>
            <w:noProof/>
            <w:webHidden/>
          </w:rPr>
          <w:t>13</w:t>
        </w:r>
        <w:r>
          <w:rPr>
            <w:noProof/>
            <w:webHidden/>
          </w:rPr>
          <w:fldChar w:fldCharType="end"/>
        </w:r>
      </w:hyperlink>
    </w:p>
    <w:p w14:paraId="46033CAD" w14:textId="049B56F6" w:rsidR="008C17F1" w:rsidRDefault="008C17F1">
      <w:r>
        <w:fldChar w:fldCharType="end"/>
      </w:r>
    </w:p>
    <w:p w14:paraId="08802225" w14:textId="4D7A0146" w:rsidR="008C17F1" w:rsidRPr="008C17F1" w:rsidRDefault="008C17F1">
      <w:pPr>
        <w:rPr>
          <w:sz w:val="40"/>
          <w:szCs w:val="40"/>
        </w:rPr>
      </w:pPr>
      <w:r>
        <w:rPr>
          <w:sz w:val="40"/>
          <w:szCs w:val="40"/>
        </w:rPr>
        <w:t>Table of Tables, Figures, and Equations</w:t>
      </w:r>
    </w:p>
    <w:p w14:paraId="47042626" w14:textId="5D228F92" w:rsidR="00212F0F" w:rsidRDefault="00E87E4D">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4230099" w:history="1">
        <w:r w:rsidR="00212F0F" w:rsidRPr="0085774F">
          <w:rPr>
            <w:rStyle w:val="Hyperlink"/>
            <w:noProof/>
          </w:rPr>
          <w:t>Table 1. 2025 Volumetric Summary for PGL – Income Eligible</w:t>
        </w:r>
        <w:r w:rsidR="00212F0F">
          <w:rPr>
            <w:noProof/>
            <w:webHidden/>
          </w:rPr>
          <w:tab/>
        </w:r>
        <w:r w:rsidR="00212F0F">
          <w:rPr>
            <w:noProof/>
            <w:webHidden/>
          </w:rPr>
          <w:fldChar w:fldCharType="begin"/>
        </w:r>
        <w:r w:rsidR="00212F0F">
          <w:rPr>
            <w:noProof/>
            <w:webHidden/>
          </w:rPr>
          <w:instrText xml:space="preserve"> PAGEREF _Toc224230099 \h </w:instrText>
        </w:r>
        <w:r w:rsidR="00212F0F">
          <w:rPr>
            <w:noProof/>
            <w:webHidden/>
          </w:rPr>
        </w:r>
        <w:r w:rsidR="00212F0F">
          <w:rPr>
            <w:noProof/>
            <w:webHidden/>
          </w:rPr>
          <w:fldChar w:fldCharType="separate"/>
        </w:r>
        <w:r w:rsidR="00803485">
          <w:rPr>
            <w:noProof/>
            <w:webHidden/>
          </w:rPr>
          <w:t>1</w:t>
        </w:r>
        <w:r w:rsidR="00212F0F">
          <w:rPr>
            <w:noProof/>
            <w:webHidden/>
          </w:rPr>
          <w:fldChar w:fldCharType="end"/>
        </w:r>
      </w:hyperlink>
    </w:p>
    <w:p w14:paraId="05384797" w14:textId="73767E66" w:rsidR="00212F0F" w:rsidRDefault="00212F0F">
      <w:pPr>
        <w:pStyle w:val="TableofFigures"/>
        <w:tabs>
          <w:tab w:val="right" w:leader="dot" w:pos="9350"/>
        </w:tabs>
        <w:rPr>
          <w:noProof/>
          <w:kern w:val="2"/>
          <w:sz w:val="24"/>
          <w:lang w:eastAsia="en-US"/>
          <w14:ligatures w14:val="standardContextual"/>
        </w:rPr>
      </w:pPr>
      <w:hyperlink w:anchor="_Toc224230100" w:history="1">
        <w:r w:rsidRPr="0085774F">
          <w:rPr>
            <w:rStyle w:val="Hyperlink"/>
            <w:noProof/>
          </w:rPr>
          <w:t>Table 2. 2025 Installed Measure Quantities for PGL – Income Eligible</w:t>
        </w:r>
        <w:r>
          <w:rPr>
            <w:noProof/>
            <w:webHidden/>
          </w:rPr>
          <w:tab/>
        </w:r>
        <w:r>
          <w:rPr>
            <w:noProof/>
            <w:webHidden/>
          </w:rPr>
          <w:fldChar w:fldCharType="begin"/>
        </w:r>
        <w:r>
          <w:rPr>
            <w:noProof/>
            <w:webHidden/>
          </w:rPr>
          <w:instrText xml:space="preserve"> PAGEREF _Toc224230100 \h </w:instrText>
        </w:r>
        <w:r>
          <w:rPr>
            <w:noProof/>
            <w:webHidden/>
          </w:rPr>
        </w:r>
        <w:r>
          <w:rPr>
            <w:noProof/>
            <w:webHidden/>
          </w:rPr>
          <w:fldChar w:fldCharType="separate"/>
        </w:r>
        <w:r w:rsidR="00803485">
          <w:rPr>
            <w:noProof/>
            <w:webHidden/>
          </w:rPr>
          <w:t>2</w:t>
        </w:r>
        <w:r>
          <w:rPr>
            <w:noProof/>
            <w:webHidden/>
          </w:rPr>
          <w:fldChar w:fldCharType="end"/>
        </w:r>
      </w:hyperlink>
    </w:p>
    <w:p w14:paraId="5B1F1FC8" w14:textId="4A4B1F48" w:rsidR="00212F0F" w:rsidRDefault="00212F0F">
      <w:pPr>
        <w:pStyle w:val="TableofFigures"/>
        <w:tabs>
          <w:tab w:val="right" w:leader="dot" w:pos="9350"/>
        </w:tabs>
        <w:rPr>
          <w:noProof/>
          <w:kern w:val="2"/>
          <w:sz w:val="24"/>
          <w:lang w:eastAsia="en-US"/>
          <w14:ligatures w14:val="standardContextual"/>
        </w:rPr>
      </w:pPr>
      <w:hyperlink w:anchor="_Toc224230101" w:history="1">
        <w:r w:rsidRPr="0085774F">
          <w:rPr>
            <w:rStyle w:val="Hyperlink"/>
            <w:noProof/>
          </w:rPr>
          <w:t>Table 3. 2025 Volumetric Summary for NSG – Income Eligible</w:t>
        </w:r>
        <w:r>
          <w:rPr>
            <w:noProof/>
            <w:webHidden/>
          </w:rPr>
          <w:tab/>
        </w:r>
        <w:r>
          <w:rPr>
            <w:noProof/>
            <w:webHidden/>
          </w:rPr>
          <w:fldChar w:fldCharType="begin"/>
        </w:r>
        <w:r>
          <w:rPr>
            <w:noProof/>
            <w:webHidden/>
          </w:rPr>
          <w:instrText xml:space="preserve"> PAGEREF _Toc224230101 \h </w:instrText>
        </w:r>
        <w:r>
          <w:rPr>
            <w:noProof/>
            <w:webHidden/>
          </w:rPr>
        </w:r>
        <w:r>
          <w:rPr>
            <w:noProof/>
            <w:webHidden/>
          </w:rPr>
          <w:fldChar w:fldCharType="separate"/>
        </w:r>
        <w:r w:rsidR="00803485">
          <w:rPr>
            <w:noProof/>
            <w:webHidden/>
          </w:rPr>
          <w:t>3</w:t>
        </w:r>
        <w:r>
          <w:rPr>
            <w:noProof/>
            <w:webHidden/>
          </w:rPr>
          <w:fldChar w:fldCharType="end"/>
        </w:r>
      </w:hyperlink>
    </w:p>
    <w:p w14:paraId="541310C6" w14:textId="5FA04467" w:rsidR="00212F0F" w:rsidRDefault="00212F0F">
      <w:pPr>
        <w:pStyle w:val="TableofFigures"/>
        <w:tabs>
          <w:tab w:val="right" w:leader="dot" w:pos="9350"/>
        </w:tabs>
        <w:rPr>
          <w:noProof/>
          <w:kern w:val="2"/>
          <w:sz w:val="24"/>
          <w:lang w:eastAsia="en-US"/>
          <w14:ligatures w14:val="standardContextual"/>
        </w:rPr>
      </w:pPr>
      <w:hyperlink w:anchor="_Toc224230102" w:history="1">
        <w:r w:rsidRPr="0085774F">
          <w:rPr>
            <w:rStyle w:val="Hyperlink"/>
            <w:noProof/>
          </w:rPr>
          <w:t>Table 4. 2025 Installed Measure Quantities for NSG – Income Eligible</w:t>
        </w:r>
        <w:r>
          <w:rPr>
            <w:noProof/>
            <w:webHidden/>
          </w:rPr>
          <w:tab/>
        </w:r>
        <w:r>
          <w:rPr>
            <w:noProof/>
            <w:webHidden/>
          </w:rPr>
          <w:fldChar w:fldCharType="begin"/>
        </w:r>
        <w:r>
          <w:rPr>
            <w:noProof/>
            <w:webHidden/>
          </w:rPr>
          <w:instrText xml:space="preserve"> PAGEREF _Toc224230102 \h </w:instrText>
        </w:r>
        <w:r>
          <w:rPr>
            <w:noProof/>
            <w:webHidden/>
          </w:rPr>
        </w:r>
        <w:r>
          <w:rPr>
            <w:noProof/>
            <w:webHidden/>
          </w:rPr>
          <w:fldChar w:fldCharType="separate"/>
        </w:r>
        <w:r w:rsidR="00803485">
          <w:rPr>
            <w:noProof/>
            <w:webHidden/>
          </w:rPr>
          <w:t>3</w:t>
        </w:r>
        <w:r>
          <w:rPr>
            <w:noProof/>
            <w:webHidden/>
          </w:rPr>
          <w:fldChar w:fldCharType="end"/>
        </w:r>
      </w:hyperlink>
    </w:p>
    <w:p w14:paraId="7A7762F4" w14:textId="4E3ED07B" w:rsidR="00212F0F" w:rsidRDefault="00212F0F">
      <w:pPr>
        <w:pStyle w:val="TableofFigures"/>
        <w:tabs>
          <w:tab w:val="right" w:leader="dot" w:pos="9350"/>
        </w:tabs>
        <w:rPr>
          <w:noProof/>
          <w:kern w:val="2"/>
          <w:sz w:val="24"/>
          <w:lang w:eastAsia="en-US"/>
          <w14:ligatures w14:val="standardContextual"/>
        </w:rPr>
      </w:pPr>
      <w:hyperlink w:anchor="_Toc224230103" w:history="1">
        <w:r w:rsidRPr="0085774F">
          <w:rPr>
            <w:rStyle w:val="Hyperlink"/>
            <w:noProof/>
          </w:rPr>
          <w:t>Table 5. 2025 Annual Energy Savings Summary for PGL – Income Eligible</w:t>
        </w:r>
        <w:r>
          <w:rPr>
            <w:noProof/>
            <w:webHidden/>
          </w:rPr>
          <w:tab/>
        </w:r>
        <w:r>
          <w:rPr>
            <w:noProof/>
            <w:webHidden/>
          </w:rPr>
          <w:fldChar w:fldCharType="begin"/>
        </w:r>
        <w:r>
          <w:rPr>
            <w:noProof/>
            <w:webHidden/>
          </w:rPr>
          <w:instrText xml:space="preserve"> PAGEREF _Toc224230103 \h </w:instrText>
        </w:r>
        <w:r>
          <w:rPr>
            <w:noProof/>
            <w:webHidden/>
          </w:rPr>
        </w:r>
        <w:r>
          <w:rPr>
            <w:noProof/>
            <w:webHidden/>
          </w:rPr>
          <w:fldChar w:fldCharType="separate"/>
        </w:r>
        <w:r w:rsidR="00803485">
          <w:rPr>
            <w:noProof/>
            <w:webHidden/>
          </w:rPr>
          <w:t>4</w:t>
        </w:r>
        <w:r>
          <w:rPr>
            <w:noProof/>
            <w:webHidden/>
          </w:rPr>
          <w:fldChar w:fldCharType="end"/>
        </w:r>
      </w:hyperlink>
    </w:p>
    <w:p w14:paraId="511C217A" w14:textId="16FB9648" w:rsidR="00212F0F" w:rsidRDefault="00212F0F">
      <w:pPr>
        <w:pStyle w:val="TableofFigures"/>
        <w:tabs>
          <w:tab w:val="right" w:leader="dot" w:pos="9350"/>
        </w:tabs>
        <w:rPr>
          <w:noProof/>
          <w:kern w:val="2"/>
          <w:sz w:val="24"/>
          <w:lang w:eastAsia="en-US"/>
          <w14:ligatures w14:val="standardContextual"/>
        </w:rPr>
      </w:pPr>
      <w:hyperlink w:anchor="_Toc224230104" w:history="1">
        <w:r w:rsidRPr="0085774F">
          <w:rPr>
            <w:rStyle w:val="Hyperlink"/>
            <w:noProof/>
          </w:rPr>
          <w:t>Table 6. 2025 Annual Energy Savings Summary for NSG – Income Eligible</w:t>
        </w:r>
        <w:r>
          <w:rPr>
            <w:noProof/>
            <w:webHidden/>
          </w:rPr>
          <w:tab/>
        </w:r>
        <w:r>
          <w:rPr>
            <w:noProof/>
            <w:webHidden/>
          </w:rPr>
          <w:fldChar w:fldCharType="begin"/>
        </w:r>
        <w:r>
          <w:rPr>
            <w:noProof/>
            <w:webHidden/>
          </w:rPr>
          <w:instrText xml:space="preserve"> PAGEREF _Toc224230104 \h </w:instrText>
        </w:r>
        <w:r>
          <w:rPr>
            <w:noProof/>
            <w:webHidden/>
          </w:rPr>
        </w:r>
        <w:r>
          <w:rPr>
            <w:noProof/>
            <w:webHidden/>
          </w:rPr>
          <w:fldChar w:fldCharType="separate"/>
        </w:r>
        <w:r w:rsidR="00803485">
          <w:rPr>
            <w:noProof/>
            <w:webHidden/>
          </w:rPr>
          <w:t>4</w:t>
        </w:r>
        <w:r>
          <w:rPr>
            <w:noProof/>
            <w:webHidden/>
          </w:rPr>
          <w:fldChar w:fldCharType="end"/>
        </w:r>
      </w:hyperlink>
    </w:p>
    <w:p w14:paraId="3F3D2275" w14:textId="21B630B5" w:rsidR="00212F0F" w:rsidRDefault="00212F0F">
      <w:pPr>
        <w:pStyle w:val="TableofFigures"/>
        <w:tabs>
          <w:tab w:val="right" w:leader="dot" w:pos="9350"/>
        </w:tabs>
        <w:rPr>
          <w:noProof/>
          <w:kern w:val="2"/>
          <w:sz w:val="24"/>
          <w:lang w:eastAsia="en-US"/>
          <w14:ligatures w14:val="standardContextual"/>
        </w:rPr>
      </w:pPr>
      <w:hyperlink w:anchor="_Toc224230105" w:history="1">
        <w:r w:rsidRPr="0085774F">
          <w:rPr>
            <w:rStyle w:val="Hyperlink"/>
            <w:noProof/>
          </w:rPr>
          <w:t>Table 7. 2025 Annual Energy Savings by Measure for PGL – Income Eligible</w:t>
        </w:r>
        <w:r>
          <w:rPr>
            <w:noProof/>
            <w:webHidden/>
          </w:rPr>
          <w:tab/>
        </w:r>
        <w:r>
          <w:rPr>
            <w:noProof/>
            <w:webHidden/>
          </w:rPr>
          <w:fldChar w:fldCharType="begin"/>
        </w:r>
        <w:r>
          <w:rPr>
            <w:noProof/>
            <w:webHidden/>
          </w:rPr>
          <w:instrText xml:space="preserve"> PAGEREF _Toc224230105 \h </w:instrText>
        </w:r>
        <w:r>
          <w:rPr>
            <w:noProof/>
            <w:webHidden/>
          </w:rPr>
        </w:r>
        <w:r>
          <w:rPr>
            <w:noProof/>
            <w:webHidden/>
          </w:rPr>
          <w:fldChar w:fldCharType="separate"/>
        </w:r>
        <w:r w:rsidR="00803485">
          <w:rPr>
            <w:noProof/>
            <w:webHidden/>
          </w:rPr>
          <w:t>5</w:t>
        </w:r>
        <w:r>
          <w:rPr>
            <w:noProof/>
            <w:webHidden/>
          </w:rPr>
          <w:fldChar w:fldCharType="end"/>
        </w:r>
      </w:hyperlink>
    </w:p>
    <w:p w14:paraId="275FB3E1" w14:textId="2EE4775F" w:rsidR="00212F0F" w:rsidRDefault="00212F0F">
      <w:pPr>
        <w:pStyle w:val="TableofFigures"/>
        <w:tabs>
          <w:tab w:val="right" w:leader="dot" w:pos="9350"/>
        </w:tabs>
        <w:rPr>
          <w:noProof/>
          <w:kern w:val="2"/>
          <w:sz w:val="24"/>
          <w:lang w:eastAsia="en-US"/>
          <w14:ligatures w14:val="standardContextual"/>
        </w:rPr>
      </w:pPr>
      <w:hyperlink w:anchor="_Toc224230106" w:history="1">
        <w:r w:rsidRPr="0085774F">
          <w:rPr>
            <w:rStyle w:val="Hyperlink"/>
            <w:noProof/>
          </w:rPr>
          <w:t>Table 8. 2025 Annual Energy Savings by Measure for NSG – Income Eligible</w:t>
        </w:r>
        <w:r>
          <w:rPr>
            <w:noProof/>
            <w:webHidden/>
          </w:rPr>
          <w:tab/>
        </w:r>
        <w:r>
          <w:rPr>
            <w:noProof/>
            <w:webHidden/>
          </w:rPr>
          <w:fldChar w:fldCharType="begin"/>
        </w:r>
        <w:r>
          <w:rPr>
            <w:noProof/>
            <w:webHidden/>
          </w:rPr>
          <w:instrText xml:space="preserve"> PAGEREF _Toc224230106 \h </w:instrText>
        </w:r>
        <w:r>
          <w:rPr>
            <w:noProof/>
            <w:webHidden/>
          </w:rPr>
        </w:r>
        <w:r>
          <w:rPr>
            <w:noProof/>
            <w:webHidden/>
          </w:rPr>
          <w:fldChar w:fldCharType="separate"/>
        </w:r>
        <w:r w:rsidR="00803485">
          <w:rPr>
            <w:noProof/>
            <w:webHidden/>
          </w:rPr>
          <w:t>6</w:t>
        </w:r>
        <w:r>
          <w:rPr>
            <w:noProof/>
            <w:webHidden/>
          </w:rPr>
          <w:fldChar w:fldCharType="end"/>
        </w:r>
      </w:hyperlink>
    </w:p>
    <w:p w14:paraId="1D847C42" w14:textId="3A8F53A0" w:rsidR="00212F0F" w:rsidRDefault="00212F0F">
      <w:pPr>
        <w:pStyle w:val="TableofFigures"/>
        <w:tabs>
          <w:tab w:val="right" w:leader="dot" w:pos="9350"/>
        </w:tabs>
        <w:rPr>
          <w:noProof/>
          <w:kern w:val="2"/>
          <w:sz w:val="24"/>
          <w:lang w:eastAsia="en-US"/>
          <w14:ligatures w14:val="standardContextual"/>
        </w:rPr>
      </w:pPr>
      <w:hyperlink w:anchor="_Toc224230107" w:history="1">
        <w:r w:rsidRPr="0085774F">
          <w:rPr>
            <w:rStyle w:val="Hyperlink"/>
            <w:noProof/>
          </w:rPr>
          <w:t>Table 9. Verified Gross Savings Parameters – Income Eligible</w:t>
        </w:r>
        <w:r>
          <w:rPr>
            <w:noProof/>
            <w:webHidden/>
          </w:rPr>
          <w:tab/>
        </w:r>
        <w:r>
          <w:rPr>
            <w:noProof/>
            <w:webHidden/>
          </w:rPr>
          <w:fldChar w:fldCharType="begin"/>
        </w:r>
        <w:r>
          <w:rPr>
            <w:noProof/>
            <w:webHidden/>
          </w:rPr>
          <w:instrText xml:space="preserve"> PAGEREF _Toc224230107 \h </w:instrText>
        </w:r>
        <w:r>
          <w:rPr>
            <w:noProof/>
            <w:webHidden/>
          </w:rPr>
        </w:r>
        <w:r>
          <w:rPr>
            <w:noProof/>
            <w:webHidden/>
          </w:rPr>
          <w:fldChar w:fldCharType="separate"/>
        </w:r>
        <w:r w:rsidR="00803485">
          <w:rPr>
            <w:noProof/>
            <w:webHidden/>
          </w:rPr>
          <w:t>7</w:t>
        </w:r>
        <w:r>
          <w:rPr>
            <w:noProof/>
            <w:webHidden/>
          </w:rPr>
          <w:fldChar w:fldCharType="end"/>
        </w:r>
      </w:hyperlink>
    </w:p>
    <w:p w14:paraId="7E9FA852" w14:textId="2512DA28" w:rsidR="00212F0F" w:rsidRDefault="00212F0F">
      <w:pPr>
        <w:pStyle w:val="TableofFigures"/>
        <w:tabs>
          <w:tab w:val="right" w:leader="dot" w:pos="9350"/>
        </w:tabs>
        <w:rPr>
          <w:noProof/>
          <w:kern w:val="2"/>
          <w:sz w:val="24"/>
          <w:lang w:eastAsia="en-US"/>
          <w14:ligatures w14:val="standardContextual"/>
        </w:rPr>
      </w:pPr>
      <w:hyperlink w:anchor="_Toc224230108" w:history="1">
        <w:r w:rsidRPr="0085774F">
          <w:rPr>
            <w:rStyle w:val="Hyperlink"/>
            <w:noProof/>
          </w:rPr>
          <w:t>Table 10. Volumetric Summary for PGL – Public Housing</w:t>
        </w:r>
        <w:r>
          <w:rPr>
            <w:noProof/>
            <w:webHidden/>
          </w:rPr>
          <w:tab/>
        </w:r>
        <w:r>
          <w:rPr>
            <w:noProof/>
            <w:webHidden/>
          </w:rPr>
          <w:fldChar w:fldCharType="begin"/>
        </w:r>
        <w:r>
          <w:rPr>
            <w:noProof/>
            <w:webHidden/>
          </w:rPr>
          <w:instrText xml:space="preserve"> PAGEREF _Toc224230108 \h </w:instrText>
        </w:r>
        <w:r>
          <w:rPr>
            <w:noProof/>
            <w:webHidden/>
          </w:rPr>
        </w:r>
        <w:r>
          <w:rPr>
            <w:noProof/>
            <w:webHidden/>
          </w:rPr>
          <w:fldChar w:fldCharType="separate"/>
        </w:r>
        <w:r w:rsidR="00803485">
          <w:rPr>
            <w:noProof/>
            <w:webHidden/>
          </w:rPr>
          <w:t>10</w:t>
        </w:r>
        <w:r>
          <w:rPr>
            <w:noProof/>
            <w:webHidden/>
          </w:rPr>
          <w:fldChar w:fldCharType="end"/>
        </w:r>
      </w:hyperlink>
    </w:p>
    <w:p w14:paraId="4E094268" w14:textId="6741AD05" w:rsidR="00212F0F" w:rsidRDefault="00212F0F">
      <w:pPr>
        <w:pStyle w:val="TableofFigures"/>
        <w:tabs>
          <w:tab w:val="right" w:leader="dot" w:pos="9350"/>
        </w:tabs>
        <w:rPr>
          <w:noProof/>
          <w:kern w:val="2"/>
          <w:sz w:val="24"/>
          <w:lang w:eastAsia="en-US"/>
          <w14:ligatures w14:val="standardContextual"/>
        </w:rPr>
      </w:pPr>
      <w:hyperlink w:anchor="_Toc224230109" w:history="1">
        <w:r w:rsidRPr="0085774F">
          <w:rPr>
            <w:rStyle w:val="Hyperlink"/>
            <w:noProof/>
          </w:rPr>
          <w:t>Table 11. Installed Measure Quantities for PGL – Public Housing</w:t>
        </w:r>
        <w:r>
          <w:rPr>
            <w:noProof/>
            <w:webHidden/>
          </w:rPr>
          <w:tab/>
        </w:r>
        <w:r>
          <w:rPr>
            <w:noProof/>
            <w:webHidden/>
          </w:rPr>
          <w:fldChar w:fldCharType="begin"/>
        </w:r>
        <w:r>
          <w:rPr>
            <w:noProof/>
            <w:webHidden/>
          </w:rPr>
          <w:instrText xml:space="preserve"> PAGEREF _Toc224230109 \h </w:instrText>
        </w:r>
        <w:r>
          <w:rPr>
            <w:noProof/>
            <w:webHidden/>
          </w:rPr>
        </w:r>
        <w:r>
          <w:rPr>
            <w:noProof/>
            <w:webHidden/>
          </w:rPr>
          <w:fldChar w:fldCharType="separate"/>
        </w:r>
        <w:r w:rsidR="00803485">
          <w:rPr>
            <w:noProof/>
            <w:webHidden/>
          </w:rPr>
          <w:t>10</w:t>
        </w:r>
        <w:r>
          <w:rPr>
            <w:noProof/>
            <w:webHidden/>
          </w:rPr>
          <w:fldChar w:fldCharType="end"/>
        </w:r>
      </w:hyperlink>
    </w:p>
    <w:p w14:paraId="544569EB" w14:textId="1B82CA3E" w:rsidR="00212F0F" w:rsidRDefault="00212F0F">
      <w:pPr>
        <w:pStyle w:val="TableofFigures"/>
        <w:tabs>
          <w:tab w:val="right" w:leader="dot" w:pos="9350"/>
        </w:tabs>
        <w:rPr>
          <w:noProof/>
          <w:kern w:val="2"/>
          <w:sz w:val="24"/>
          <w:lang w:eastAsia="en-US"/>
          <w14:ligatures w14:val="standardContextual"/>
        </w:rPr>
      </w:pPr>
      <w:hyperlink w:anchor="_Toc224230110" w:history="1">
        <w:r w:rsidRPr="0085774F">
          <w:rPr>
            <w:rStyle w:val="Hyperlink"/>
            <w:noProof/>
          </w:rPr>
          <w:t>Table 12. Volumetric Summary for NSG – Public Housing</w:t>
        </w:r>
        <w:r>
          <w:rPr>
            <w:noProof/>
            <w:webHidden/>
          </w:rPr>
          <w:tab/>
        </w:r>
        <w:r>
          <w:rPr>
            <w:noProof/>
            <w:webHidden/>
          </w:rPr>
          <w:fldChar w:fldCharType="begin"/>
        </w:r>
        <w:r>
          <w:rPr>
            <w:noProof/>
            <w:webHidden/>
          </w:rPr>
          <w:instrText xml:space="preserve"> PAGEREF _Toc224230110 \h </w:instrText>
        </w:r>
        <w:r>
          <w:rPr>
            <w:noProof/>
            <w:webHidden/>
          </w:rPr>
        </w:r>
        <w:r>
          <w:rPr>
            <w:noProof/>
            <w:webHidden/>
          </w:rPr>
          <w:fldChar w:fldCharType="separate"/>
        </w:r>
        <w:r w:rsidR="00803485">
          <w:rPr>
            <w:noProof/>
            <w:webHidden/>
          </w:rPr>
          <w:t>11</w:t>
        </w:r>
        <w:r>
          <w:rPr>
            <w:noProof/>
            <w:webHidden/>
          </w:rPr>
          <w:fldChar w:fldCharType="end"/>
        </w:r>
      </w:hyperlink>
    </w:p>
    <w:p w14:paraId="05FD49EC" w14:textId="15290AD2" w:rsidR="00212F0F" w:rsidRDefault="00212F0F">
      <w:pPr>
        <w:pStyle w:val="TableofFigures"/>
        <w:tabs>
          <w:tab w:val="right" w:leader="dot" w:pos="9350"/>
        </w:tabs>
        <w:rPr>
          <w:noProof/>
          <w:kern w:val="2"/>
          <w:sz w:val="24"/>
          <w:lang w:eastAsia="en-US"/>
          <w14:ligatures w14:val="standardContextual"/>
        </w:rPr>
      </w:pPr>
      <w:hyperlink w:anchor="_Toc224230111" w:history="1">
        <w:r w:rsidRPr="0085774F">
          <w:rPr>
            <w:rStyle w:val="Hyperlink"/>
            <w:noProof/>
          </w:rPr>
          <w:t>Table 13. Installed Measure Quantities for NSG – Public Housing</w:t>
        </w:r>
        <w:r>
          <w:rPr>
            <w:noProof/>
            <w:webHidden/>
          </w:rPr>
          <w:tab/>
        </w:r>
        <w:r>
          <w:rPr>
            <w:noProof/>
            <w:webHidden/>
          </w:rPr>
          <w:fldChar w:fldCharType="begin"/>
        </w:r>
        <w:r>
          <w:rPr>
            <w:noProof/>
            <w:webHidden/>
          </w:rPr>
          <w:instrText xml:space="preserve"> PAGEREF _Toc224230111 \h </w:instrText>
        </w:r>
        <w:r>
          <w:rPr>
            <w:noProof/>
            <w:webHidden/>
          </w:rPr>
        </w:r>
        <w:r>
          <w:rPr>
            <w:noProof/>
            <w:webHidden/>
          </w:rPr>
          <w:fldChar w:fldCharType="separate"/>
        </w:r>
        <w:r w:rsidR="00803485">
          <w:rPr>
            <w:noProof/>
            <w:webHidden/>
          </w:rPr>
          <w:t>11</w:t>
        </w:r>
        <w:r>
          <w:rPr>
            <w:noProof/>
            <w:webHidden/>
          </w:rPr>
          <w:fldChar w:fldCharType="end"/>
        </w:r>
      </w:hyperlink>
    </w:p>
    <w:p w14:paraId="61098546" w14:textId="69E4B658" w:rsidR="00212F0F" w:rsidRDefault="00212F0F">
      <w:pPr>
        <w:pStyle w:val="TableofFigures"/>
        <w:tabs>
          <w:tab w:val="right" w:leader="dot" w:pos="9350"/>
        </w:tabs>
        <w:rPr>
          <w:noProof/>
          <w:kern w:val="2"/>
          <w:sz w:val="24"/>
          <w:lang w:eastAsia="en-US"/>
          <w14:ligatures w14:val="standardContextual"/>
        </w:rPr>
      </w:pPr>
      <w:hyperlink w:anchor="_Toc224230112" w:history="1">
        <w:r w:rsidRPr="0085774F">
          <w:rPr>
            <w:rStyle w:val="Hyperlink"/>
            <w:noProof/>
          </w:rPr>
          <w:t>Table 14. Annual Energy Savings Summary for PGL – Public Housing</w:t>
        </w:r>
        <w:r>
          <w:rPr>
            <w:noProof/>
            <w:webHidden/>
          </w:rPr>
          <w:tab/>
        </w:r>
        <w:r>
          <w:rPr>
            <w:noProof/>
            <w:webHidden/>
          </w:rPr>
          <w:fldChar w:fldCharType="begin"/>
        </w:r>
        <w:r>
          <w:rPr>
            <w:noProof/>
            <w:webHidden/>
          </w:rPr>
          <w:instrText xml:space="preserve"> PAGEREF _Toc224230112 \h </w:instrText>
        </w:r>
        <w:r>
          <w:rPr>
            <w:noProof/>
            <w:webHidden/>
          </w:rPr>
        </w:r>
        <w:r>
          <w:rPr>
            <w:noProof/>
            <w:webHidden/>
          </w:rPr>
          <w:fldChar w:fldCharType="separate"/>
        </w:r>
        <w:r w:rsidR="00803485">
          <w:rPr>
            <w:noProof/>
            <w:webHidden/>
          </w:rPr>
          <w:t>11</w:t>
        </w:r>
        <w:r>
          <w:rPr>
            <w:noProof/>
            <w:webHidden/>
          </w:rPr>
          <w:fldChar w:fldCharType="end"/>
        </w:r>
      </w:hyperlink>
    </w:p>
    <w:p w14:paraId="454AC484" w14:textId="1E51AF0C" w:rsidR="00212F0F" w:rsidRDefault="00212F0F">
      <w:pPr>
        <w:pStyle w:val="TableofFigures"/>
        <w:tabs>
          <w:tab w:val="right" w:leader="dot" w:pos="9350"/>
        </w:tabs>
        <w:rPr>
          <w:noProof/>
          <w:kern w:val="2"/>
          <w:sz w:val="24"/>
          <w:lang w:eastAsia="en-US"/>
          <w14:ligatures w14:val="standardContextual"/>
        </w:rPr>
      </w:pPr>
      <w:hyperlink w:anchor="_Toc224230113" w:history="1">
        <w:r w:rsidRPr="0085774F">
          <w:rPr>
            <w:rStyle w:val="Hyperlink"/>
            <w:noProof/>
          </w:rPr>
          <w:t>Table 15. Annual Energy Savings Summary for NSG – Public Housing</w:t>
        </w:r>
        <w:r>
          <w:rPr>
            <w:noProof/>
            <w:webHidden/>
          </w:rPr>
          <w:tab/>
        </w:r>
        <w:r>
          <w:rPr>
            <w:noProof/>
            <w:webHidden/>
          </w:rPr>
          <w:fldChar w:fldCharType="begin"/>
        </w:r>
        <w:r>
          <w:rPr>
            <w:noProof/>
            <w:webHidden/>
          </w:rPr>
          <w:instrText xml:space="preserve"> PAGEREF _Toc224230113 \h </w:instrText>
        </w:r>
        <w:r>
          <w:rPr>
            <w:noProof/>
            <w:webHidden/>
          </w:rPr>
        </w:r>
        <w:r>
          <w:rPr>
            <w:noProof/>
            <w:webHidden/>
          </w:rPr>
          <w:fldChar w:fldCharType="separate"/>
        </w:r>
        <w:r w:rsidR="00803485">
          <w:rPr>
            <w:noProof/>
            <w:webHidden/>
          </w:rPr>
          <w:t>12</w:t>
        </w:r>
        <w:r>
          <w:rPr>
            <w:noProof/>
            <w:webHidden/>
          </w:rPr>
          <w:fldChar w:fldCharType="end"/>
        </w:r>
      </w:hyperlink>
    </w:p>
    <w:p w14:paraId="6061DFFB" w14:textId="480FDA55" w:rsidR="00212F0F" w:rsidRDefault="00212F0F">
      <w:pPr>
        <w:pStyle w:val="TableofFigures"/>
        <w:tabs>
          <w:tab w:val="right" w:leader="dot" w:pos="9350"/>
        </w:tabs>
        <w:rPr>
          <w:noProof/>
          <w:kern w:val="2"/>
          <w:sz w:val="24"/>
          <w:lang w:eastAsia="en-US"/>
          <w14:ligatures w14:val="standardContextual"/>
        </w:rPr>
      </w:pPr>
      <w:hyperlink w:anchor="_Toc224230114" w:history="1">
        <w:r w:rsidRPr="0085774F">
          <w:rPr>
            <w:rStyle w:val="Hyperlink"/>
            <w:noProof/>
          </w:rPr>
          <w:t>Table 16. Annual Energy Savings by Measure for PGL – Public Housing</w:t>
        </w:r>
        <w:r>
          <w:rPr>
            <w:noProof/>
            <w:webHidden/>
          </w:rPr>
          <w:tab/>
        </w:r>
        <w:r>
          <w:rPr>
            <w:noProof/>
            <w:webHidden/>
          </w:rPr>
          <w:fldChar w:fldCharType="begin"/>
        </w:r>
        <w:r>
          <w:rPr>
            <w:noProof/>
            <w:webHidden/>
          </w:rPr>
          <w:instrText xml:space="preserve"> PAGEREF _Toc224230114 \h </w:instrText>
        </w:r>
        <w:r>
          <w:rPr>
            <w:noProof/>
            <w:webHidden/>
          </w:rPr>
        </w:r>
        <w:r>
          <w:rPr>
            <w:noProof/>
            <w:webHidden/>
          </w:rPr>
          <w:fldChar w:fldCharType="separate"/>
        </w:r>
        <w:r w:rsidR="00803485">
          <w:rPr>
            <w:noProof/>
            <w:webHidden/>
          </w:rPr>
          <w:t>12</w:t>
        </w:r>
        <w:r>
          <w:rPr>
            <w:noProof/>
            <w:webHidden/>
          </w:rPr>
          <w:fldChar w:fldCharType="end"/>
        </w:r>
      </w:hyperlink>
    </w:p>
    <w:p w14:paraId="25DA8CD5" w14:textId="2B8F89E0" w:rsidR="00212F0F" w:rsidRDefault="00212F0F">
      <w:pPr>
        <w:pStyle w:val="TableofFigures"/>
        <w:tabs>
          <w:tab w:val="right" w:leader="dot" w:pos="9350"/>
        </w:tabs>
        <w:rPr>
          <w:noProof/>
          <w:kern w:val="2"/>
          <w:sz w:val="24"/>
          <w:lang w:eastAsia="en-US"/>
          <w14:ligatures w14:val="standardContextual"/>
        </w:rPr>
      </w:pPr>
      <w:hyperlink w:anchor="_Toc224230115" w:history="1">
        <w:r w:rsidRPr="0085774F">
          <w:rPr>
            <w:rStyle w:val="Hyperlink"/>
            <w:noProof/>
          </w:rPr>
          <w:t>Table 17. Annual Energy Savings by Measure for NSG – Public Housing</w:t>
        </w:r>
        <w:r>
          <w:rPr>
            <w:noProof/>
            <w:webHidden/>
          </w:rPr>
          <w:tab/>
        </w:r>
        <w:r>
          <w:rPr>
            <w:noProof/>
            <w:webHidden/>
          </w:rPr>
          <w:fldChar w:fldCharType="begin"/>
        </w:r>
        <w:r>
          <w:rPr>
            <w:noProof/>
            <w:webHidden/>
          </w:rPr>
          <w:instrText xml:space="preserve"> PAGEREF _Toc224230115 \h </w:instrText>
        </w:r>
        <w:r>
          <w:rPr>
            <w:noProof/>
            <w:webHidden/>
          </w:rPr>
        </w:r>
        <w:r>
          <w:rPr>
            <w:noProof/>
            <w:webHidden/>
          </w:rPr>
          <w:fldChar w:fldCharType="separate"/>
        </w:r>
        <w:r w:rsidR="00803485">
          <w:rPr>
            <w:noProof/>
            <w:webHidden/>
          </w:rPr>
          <w:t>12</w:t>
        </w:r>
        <w:r>
          <w:rPr>
            <w:noProof/>
            <w:webHidden/>
          </w:rPr>
          <w:fldChar w:fldCharType="end"/>
        </w:r>
      </w:hyperlink>
    </w:p>
    <w:p w14:paraId="4C598964" w14:textId="3E10C92B" w:rsidR="00212F0F" w:rsidRDefault="00212F0F">
      <w:pPr>
        <w:pStyle w:val="TableofFigures"/>
        <w:tabs>
          <w:tab w:val="right" w:leader="dot" w:pos="9350"/>
        </w:tabs>
        <w:rPr>
          <w:noProof/>
          <w:kern w:val="2"/>
          <w:sz w:val="24"/>
          <w:lang w:eastAsia="en-US"/>
          <w14:ligatures w14:val="standardContextual"/>
        </w:rPr>
      </w:pPr>
      <w:hyperlink w:anchor="_Toc224230116" w:history="1">
        <w:r w:rsidRPr="0085774F">
          <w:rPr>
            <w:rStyle w:val="Hyperlink"/>
            <w:noProof/>
          </w:rPr>
          <w:t>Table 18. Verified Gross Savings Parameters – Public Housing</w:t>
        </w:r>
        <w:r>
          <w:rPr>
            <w:noProof/>
            <w:webHidden/>
          </w:rPr>
          <w:tab/>
        </w:r>
        <w:r>
          <w:rPr>
            <w:noProof/>
            <w:webHidden/>
          </w:rPr>
          <w:fldChar w:fldCharType="begin"/>
        </w:r>
        <w:r>
          <w:rPr>
            <w:noProof/>
            <w:webHidden/>
          </w:rPr>
          <w:instrText xml:space="preserve"> PAGEREF _Toc224230116 \h </w:instrText>
        </w:r>
        <w:r>
          <w:rPr>
            <w:noProof/>
            <w:webHidden/>
          </w:rPr>
        </w:r>
        <w:r>
          <w:rPr>
            <w:noProof/>
            <w:webHidden/>
          </w:rPr>
          <w:fldChar w:fldCharType="separate"/>
        </w:r>
        <w:r w:rsidR="00803485">
          <w:rPr>
            <w:noProof/>
            <w:webHidden/>
          </w:rPr>
          <w:t>13</w:t>
        </w:r>
        <w:r>
          <w:rPr>
            <w:noProof/>
            <w:webHidden/>
          </w:rPr>
          <w:fldChar w:fldCharType="end"/>
        </w:r>
      </w:hyperlink>
    </w:p>
    <w:p w14:paraId="08905987" w14:textId="21F89C25" w:rsidR="00E87E4D" w:rsidRDefault="00E87E4D">
      <w:r>
        <w:fldChar w:fldCharType="end"/>
      </w:r>
    </w:p>
    <w:p w14:paraId="45B58AD7" w14:textId="2B840588" w:rsidR="008C17F1" w:rsidRDefault="008C17F1">
      <w:pPr>
        <w:sectPr w:rsidR="008C17F1" w:rsidSect="00FB30FD">
          <w:headerReference w:type="first" r:id="rId22"/>
          <w:pgSz w:w="12240" w:h="15840"/>
          <w:pgMar w:top="1440" w:right="1440" w:bottom="1440" w:left="1440" w:header="720" w:footer="720" w:gutter="0"/>
          <w:pgNumType w:fmt="lowerRoman"/>
          <w:cols w:space="720"/>
          <w:titlePg/>
          <w:docGrid w:linePitch="360"/>
        </w:sectPr>
      </w:pPr>
    </w:p>
    <w:p w14:paraId="61DD9945" w14:textId="77777777" w:rsidR="00BF0C66" w:rsidRDefault="00BF0C66" w:rsidP="00BF0C66">
      <w:pPr>
        <w:pStyle w:val="Heading1"/>
      </w:pPr>
      <w:bookmarkStart w:id="0" w:name="_Toc151976667"/>
      <w:bookmarkStart w:id="1" w:name="_Toc187399541"/>
      <w:bookmarkStart w:id="2" w:name="_Toc224332874"/>
      <w:r>
        <w:lastRenderedPageBreak/>
        <w:t>Introduction</w:t>
      </w:r>
      <w:bookmarkEnd w:id="0"/>
      <w:bookmarkEnd w:id="1"/>
      <w:bookmarkEnd w:id="2"/>
    </w:p>
    <w:p w14:paraId="0D4DE561" w14:textId="2AC73705" w:rsidR="00393B73" w:rsidRDefault="00BF0C66" w:rsidP="00393B73">
      <w:r w:rsidRPr="00F64B8B">
        <w:t xml:space="preserve">This report presents </w:t>
      </w:r>
      <w:r>
        <w:t xml:space="preserve">the results of the impact evaluation of the </w:t>
      </w:r>
      <w:r w:rsidR="00FA7ACF">
        <w:t>Peoples Gas</w:t>
      </w:r>
      <w:r w:rsidR="006E10A5">
        <w:t xml:space="preserve"> (PGL)</w:t>
      </w:r>
      <w:r w:rsidR="00FA7ACF">
        <w:t xml:space="preserve"> and North Shore Gas</w:t>
      </w:r>
      <w:r w:rsidR="006E10A5">
        <w:t xml:space="preserve"> (NSG)</w:t>
      </w:r>
      <w:r w:rsidR="0036759E">
        <w:t xml:space="preserve"> 2025</w:t>
      </w:r>
      <w:r w:rsidR="0075744E">
        <w:t xml:space="preserve"> </w:t>
      </w:r>
      <w:r w:rsidR="009B03CB">
        <w:t xml:space="preserve">Income Eligible </w:t>
      </w:r>
      <w:r w:rsidR="008265E0">
        <w:t>Multi-Family</w:t>
      </w:r>
      <w:r w:rsidR="009B03CB">
        <w:t xml:space="preserve"> (MFIE)</w:t>
      </w:r>
      <w:r w:rsidR="00733BD9">
        <w:t xml:space="preserve"> and the Public Housing (PH</w:t>
      </w:r>
      <w:r w:rsidR="00DB4F2B">
        <w:t>A</w:t>
      </w:r>
      <w:r w:rsidR="00733BD9">
        <w:t>) program</w:t>
      </w:r>
      <w:r w:rsidR="00DB4F2B">
        <w:t>s</w:t>
      </w:r>
      <w:r w:rsidR="000D42A3">
        <w:t xml:space="preserve">. It </w:t>
      </w:r>
      <w:r w:rsidR="002A64B1">
        <w:t xml:space="preserve">presents a summary of the </w:t>
      </w:r>
      <w:r w:rsidR="009F02C6">
        <w:t>energy</w:t>
      </w:r>
      <w:r w:rsidR="002A64B1">
        <w:t xml:space="preserve"> impacts for the total program and </w:t>
      </w:r>
      <w:r w:rsidR="006D5498">
        <w:t xml:space="preserve">is </w:t>
      </w:r>
      <w:r w:rsidR="002A64B1">
        <w:t xml:space="preserve">broken out by relevant measure and program </w:t>
      </w:r>
      <w:r w:rsidR="009F02C6">
        <w:t>structure</w:t>
      </w:r>
      <w:r w:rsidR="002A64B1">
        <w:t xml:space="preserve"> details. </w:t>
      </w:r>
      <w:r w:rsidR="0082019F">
        <w:t>A</w:t>
      </w:r>
      <w:r w:rsidR="002A64B1">
        <w:t>ppendix</w:t>
      </w:r>
      <w:r w:rsidR="0082019F">
        <w:t xml:space="preserve"> A</w:t>
      </w:r>
      <w:r w:rsidR="002A64B1">
        <w:t xml:space="preserve"> presents the impact analysis methodology.</w:t>
      </w:r>
      <w:r w:rsidR="001E6FB1">
        <w:t xml:space="preserve"> Appendix B presents</w:t>
      </w:r>
      <w:r w:rsidR="001E6FB1" w:rsidRPr="00D12853">
        <w:t xml:space="preserve"> the Total Resource Cost (TRC) cost-effectiveness analysis inputs</w:t>
      </w:r>
      <w:r w:rsidR="001E6FB1">
        <w:t>.</w:t>
      </w:r>
      <w:r w:rsidR="009F02C6">
        <w:t xml:space="preserve"> Program year 2025 covers </w:t>
      </w:r>
      <w:r>
        <w:t>January 1 to December 31, 202</w:t>
      </w:r>
      <w:r w:rsidR="002E09ED">
        <w:t>5</w:t>
      </w:r>
      <w:r w:rsidRPr="00B52A58">
        <w:t xml:space="preserve">. </w:t>
      </w:r>
    </w:p>
    <w:p w14:paraId="2FA4CE65" w14:textId="70476841" w:rsidR="00063E73" w:rsidRDefault="00063E73" w:rsidP="00BF0C66">
      <w:pPr>
        <w:pStyle w:val="Heading1"/>
      </w:pPr>
      <w:bookmarkStart w:id="3" w:name="_Toc151976668"/>
      <w:bookmarkStart w:id="4" w:name="_Toc187399542"/>
      <w:bookmarkStart w:id="5" w:name="_Toc224332875"/>
      <w:r>
        <w:t>Multi-Family Income Eligible</w:t>
      </w:r>
      <w:bookmarkEnd w:id="5"/>
    </w:p>
    <w:p w14:paraId="18549E79" w14:textId="74C4740B" w:rsidR="00BF0C66" w:rsidRDefault="00BF0C66" w:rsidP="00063E73">
      <w:pPr>
        <w:pStyle w:val="Heading2"/>
      </w:pPr>
      <w:bookmarkStart w:id="6" w:name="_Toc224332876"/>
      <w:r>
        <w:t xml:space="preserve">Program </w:t>
      </w:r>
      <w:bookmarkEnd w:id="3"/>
      <w:bookmarkEnd w:id="4"/>
      <w:r w:rsidR="005A50AE">
        <w:t>Description</w:t>
      </w:r>
      <w:bookmarkEnd w:id="6"/>
    </w:p>
    <w:p w14:paraId="69460A22" w14:textId="77777777" w:rsidR="005071A0" w:rsidRDefault="005071A0" w:rsidP="005071A0">
      <w:bookmarkStart w:id="7" w:name="_Hlk500573405"/>
      <w:r>
        <w:t>The MFIE program provides energy efficiency upgrades to customers in the PGL and NSG territories with incomes below 80% of the Area Median Income (AMI) level as defined by the geography or location of the building and/or the subsidy status and rent levels of the building. The programs offer assessments, direct installation of energy efficiency measures, rebates for replacement of inefficient equipment, technical assistance, and educational information.</w:t>
      </w:r>
    </w:p>
    <w:p w14:paraId="3EFF9684" w14:textId="77777777" w:rsidR="005071A0" w:rsidRDefault="005071A0" w:rsidP="005071A0">
      <w:r>
        <w:t xml:space="preserve">There are two program paths offered to multi-family income eligible customers. </w:t>
      </w:r>
    </w:p>
    <w:p w14:paraId="6E3E0976" w14:textId="77777777" w:rsidR="005071A0" w:rsidRDefault="005071A0" w:rsidP="005071A0">
      <w:pPr>
        <w:pStyle w:val="ListParagraph"/>
        <w:numPr>
          <w:ilvl w:val="0"/>
          <w:numId w:val="26"/>
        </w:numPr>
        <w:spacing w:before="120" w:after="120" w:line="240" w:lineRule="auto"/>
        <w:contextualSpacing w:val="0"/>
      </w:pPr>
      <w:r>
        <w:t>The Income Eligible Multi-Family Savings (Income Eligible) path, jointly implemented with ComEd.</w:t>
      </w:r>
    </w:p>
    <w:p w14:paraId="5CFDE6F5" w14:textId="77777777" w:rsidR="005071A0" w:rsidRDefault="005071A0" w:rsidP="005071A0">
      <w:pPr>
        <w:pStyle w:val="ListParagraph"/>
        <w:numPr>
          <w:ilvl w:val="0"/>
          <w:numId w:val="26"/>
        </w:numPr>
        <w:spacing w:before="120" w:after="120" w:line="240" w:lineRule="auto"/>
        <w:contextualSpacing w:val="0"/>
      </w:pPr>
      <w:r>
        <w:t>The Income Eligible Illinois Home Weatherization Assistance Program (IHWAP) path, jointly implemented with ComEd and Peoples Gas.</w:t>
      </w:r>
    </w:p>
    <w:p w14:paraId="3BE2B44A" w14:textId="2E894EB9" w:rsidR="00B773EE" w:rsidRDefault="00B773EE" w:rsidP="00B773EE">
      <w:r>
        <w:t xml:space="preserve">The </w:t>
      </w:r>
      <w:r w:rsidR="00D05F37">
        <w:t xml:space="preserve">PGL </w:t>
      </w:r>
      <w:r>
        <w:t xml:space="preserve">program had </w:t>
      </w:r>
      <w:r w:rsidR="00EA4556" w:rsidRPr="00EA4556">
        <w:t>4</w:t>
      </w:r>
      <w:r w:rsidR="00CD2132">
        <w:t>59</w:t>
      </w:r>
      <w:r>
        <w:t xml:space="preserve"> participants in </w:t>
      </w:r>
      <w:r w:rsidR="00491AC6">
        <w:t>2025</w:t>
      </w:r>
      <w:r w:rsidR="009B6D25">
        <w:t xml:space="preserve"> </w:t>
      </w:r>
      <w:r>
        <w:t xml:space="preserve">and completed </w:t>
      </w:r>
      <w:r w:rsidR="00EA4556" w:rsidRPr="00EA4556">
        <w:t>5,301</w:t>
      </w:r>
      <w:r>
        <w:t xml:space="preserve"> projects as shown in the following table. </w:t>
      </w:r>
    </w:p>
    <w:p w14:paraId="7C6AECFE" w14:textId="398E16F5" w:rsidR="00B773EE" w:rsidRDefault="00B773EE" w:rsidP="00F671C0">
      <w:pPr>
        <w:pStyle w:val="Caption"/>
      </w:pPr>
      <w:bookmarkStart w:id="8" w:name="_Ref224061483"/>
      <w:bookmarkStart w:id="9" w:name="_Toc189750766"/>
      <w:bookmarkStart w:id="10" w:name="_Toc224230099"/>
      <w:bookmarkEnd w:id="7"/>
      <w:r>
        <w:t xml:space="preserve">Table </w:t>
      </w:r>
      <w:r>
        <w:fldChar w:fldCharType="begin"/>
      </w:r>
      <w:r>
        <w:instrText>SEQ Table \* ARABIC</w:instrText>
      </w:r>
      <w:r>
        <w:fldChar w:fldCharType="separate"/>
      </w:r>
      <w:r w:rsidR="00803485">
        <w:rPr>
          <w:noProof/>
        </w:rPr>
        <w:t>1</w:t>
      </w:r>
      <w:r>
        <w:fldChar w:fldCharType="end"/>
      </w:r>
      <w:bookmarkEnd w:id="8"/>
      <w:r w:rsidRPr="00F7087A">
        <w:t>.</w:t>
      </w:r>
      <w:r>
        <w:t xml:space="preserve"> 202</w:t>
      </w:r>
      <w:r w:rsidR="002F0B52">
        <w:t>5</w:t>
      </w:r>
      <w:r>
        <w:t xml:space="preserve"> </w:t>
      </w:r>
      <w:r w:rsidRPr="005C2837">
        <w:t>Volumetric</w:t>
      </w:r>
      <w:r>
        <w:t xml:space="preserve"> </w:t>
      </w:r>
      <w:bookmarkEnd w:id="9"/>
      <w:r w:rsidR="00D72809">
        <w:t>Summary for PGL</w:t>
      </w:r>
      <w:r w:rsidR="00861A58">
        <w:t xml:space="preserve"> – Income Eligible</w:t>
      </w:r>
      <w:bookmarkEnd w:id="10"/>
    </w:p>
    <w:tbl>
      <w:tblPr>
        <w:tblStyle w:val="EnergyTable"/>
        <w:tblW w:w="5000" w:type="pct"/>
        <w:tblLook w:val="04A0" w:firstRow="1" w:lastRow="0" w:firstColumn="1" w:lastColumn="0" w:noHBand="0" w:noVBand="1"/>
      </w:tblPr>
      <w:tblGrid>
        <w:gridCol w:w="3151"/>
        <w:gridCol w:w="2070"/>
        <w:gridCol w:w="2070"/>
        <w:gridCol w:w="2069"/>
      </w:tblGrid>
      <w:tr w:rsidR="00B773EE" w:rsidRPr="00B17A8B" w14:paraId="4B12B572" w14:textId="77777777" w:rsidTr="00362F1B">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683" w:type="pct"/>
            <w:hideMark/>
          </w:tcPr>
          <w:p w14:paraId="2D12D9AA" w14:textId="77777777" w:rsidR="00B773EE" w:rsidRPr="00B17A8B" w:rsidRDefault="00B773EE">
            <w:pPr>
              <w:keepNext/>
              <w:keepLines/>
              <w:jc w:val="left"/>
              <w:rPr>
                <w:rFonts w:asciiTheme="minorHAnsi" w:eastAsia="Calibri" w:hAnsiTheme="minorHAnsi"/>
                <w:b w:val="0"/>
                <w:bCs/>
                <w:sz w:val="20"/>
              </w:rPr>
            </w:pPr>
            <w:r w:rsidRPr="00B17A8B">
              <w:rPr>
                <w:rFonts w:asciiTheme="minorHAnsi" w:hAnsiTheme="minorHAnsi"/>
                <w:b w:val="0"/>
                <w:bCs/>
                <w:sz w:val="20"/>
              </w:rPr>
              <w:t>Participation</w:t>
            </w:r>
          </w:p>
        </w:tc>
        <w:tc>
          <w:tcPr>
            <w:tcW w:w="1106" w:type="pct"/>
            <w:hideMark/>
          </w:tcPr>
          <w:p w14:paraId="47351F4E" w14:textId="734B8508" w:rsidR="00B773EE" w:rsidRPr="00B17A8B" w:rsidRDefault="00200AF4">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b w:val="0"/>
                <w:bCs/>
                <w:sz w:val="20"/>
              </w:rPr>
            </w:pPr>
            <w:r w:rsidRPr="00B17A8B">
              <w:rPr>
                <w:rFonts w:asciiTheme="minorHAnsi" w:hAnsiTheme="minorHAnsi"/>
                <w:b w:val="0"/>
                <w:bCs/>
                <w:sz w:val="20"/>
              </w:rPr>
              <w:t>Income Eligible</w:t>
            </w:r>
          </w:p>
        </w:tc>
        <w:tc>
          <w:tcPr>
            <w:tcW w:w="1106" w:type="pct"/>
          </w:tcPr>
          <w:p w14:paraId="5BFED74A" w14:textId="118C36F9" w:rsidR="00B773EE" w:rsidRPr="00B17A8B" w:rsidRDefault="00200AF4">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B17A8B">
              <w:rPr>
                <w:rFonts w:asciiTheme="minorHAnsi" w:hAnsiTheme="minorHAnsi"/>
                <w:b w:val="0"/>
                <w:bCs/>
                <w:sz w:val="20"/>
              </w:rPr>
              <w:t>IHWAP</w:t>
            </w:r>
          </w:p>
        </w:tc>
        <w:tc>
          <w:tcPr>
            <w:tcW w:w="1106" w:type="pct"/>
            <w:hideMark/>
          </w:tcPr>
          <w:p w14:paraId="5A96178F" w14:textId="77777777" w:rsidR="00B773EE" w:rsidRPr="00B17A8B" w:rsidRDefault="00B773EE">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b w:val="0"/>
                <w:bCs/>
                <w:sz w:val="20"/>
              </w:rPr>
            </w:pPr>
            <w:r w:rsidRPr="00B17A8B">
              <w:rPr>
                <w:rFonts w:asciiTheme="minorHAnsi" w:hAnsiTheme="minorHAnsi"/>
                <w:b w:val="0"/>
                <w:bCs/>
                <w:sz w:val="20"/>
              </w:rPr>
              <w:t>Total</w:t>
            </w:r>
          </w:p>
        </w:tc>
      </w:tr>
      <w:tr w:rsidR="001A46BA" w:rsidRPr="00B17A8B" w14:paraId="67EC15B7" w14:textId="77777777" w:rsidTr="00362F1B">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683" w:type="pct"/>
            <w:noWrap/>
          </w:tcPr>
          <w:p w14:paraId="27C7B0DB" w14:textId="77777777" w:rsidR="001A46BA" w:rsidRPr="00B17A8B" w:rsidRDefault="001A46BA" w:rsidP="001A46BA">
            <w:pPr>
              <w:keepNext/>
              <w:keepLines/>
              <w:jc w:val="left"/>
              <w:rPr>
                <w:rFonts w:asciiTheme="minorHAnsi" w:eastAsia="Calibri" w:hAnsiTheme="minorHAnsi"/>
                <w:color w:val="000000"/>
                <w:sz w:val="20"/>
              </w:rPr>
            </w:pPr>
            <w:r w:rsidRPr="00B17A8B">
              <w:rPr>
                <w:rFonts w:asciiTheme="minorHAnsi" w:eastAsia="Calibri" w:hAnsiTheme="minorHAnsi"/>
                <w:color w:val="000000"/>
                <w:sz w:val="20"/>
              </w:rPr>
              <w:t xml:space="preserve">Participants </w:t>
            </w:r>
            <w:r w:rsidRPr="00B17A8B">
              <w:rPr>
                <w:rFonts w:asciiTheme="minorHAnsi" w:hAnsiTheme="minorHAnsi"/>
                <w:sz w:val="20"/>
              </w:rPr>
              <w:t>*</w:t>
            </w:r>
          </w:p>
        </w:tc>
        <w:tc>
          <w:tcPr>
            <w:tcW w:w="1106" w:type="pct"/>
            <w:noWrap/>
            <w:vAlign w:val="top"/>
          </w:tcPr>
          <w:p w14:paraId="32D87E40" w14:textId="128F948A" w:rsidR="001A46BA" w:rsidRPr="00B17A8B" w:rsidRDefault="001A46BA" w:rsidP="001A46BA">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r w:rsidRPr="00B17A8B">
              <w:rPr>
                <w:sz w:val="20"/>
              </w:rPr>
              <w:t>4</w:t>
            </w:r>
            <w:r w:rsidR="001E7784" w:rsidRPr="00B17A8B">
              <w:rPr>
                <w:sz w:val="20"/>
              </w:rPr>
              <w:t>57</w:t>
            </w:r>
          </w:p>
        </w:tc>
        <w:tc>
          <w:tcPr>
            <w:tcW w:w="1106" w:type="pct"/>
            <w:vAlign w:val="top"/>
          </w:tcPr>
          <w:p w14:paraId="36703C09" w14:textId="75219D65" w:rsidR="001A46BA" w:rsidRPr="00B17A8B" w:rsidRDefault="001A46BA" w:rsidP="001A46BA">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r w:rsidRPr="00B17A8B">
              <w:rPr>
                <w:sz w:val="20"/>
              </w:rPr>
              <w:t>2</w:t>
            </w:r>
          </w:p>
        </w:tc>
        <w:tc>
          <w:tcPr>
            <w:tcW w:w="1106" w:type="pct"/>
            <w:vAlign w:val="top"/>
          </w:tcPr>
          <w:p w14:paraId="0ABBF67F" w14:textId="6A059F34" w:rsidR="001A46BA" w:rsidRPr="00B17A8B" w:rsidRDefault="001A46BA" w:rsidP="001A46BA">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r w:rsidRPr="00B17A8B">
              <w:rPr>
                <w:sz w:val="20"/>
              </w:rPr>
              <w:t>4</w:t>
            </w:r>
            <w:r w:rsidR="00350AF9" w:rsidRPr="00B17A8B">
              <w:rPr>
                <w:sz w:val="20"/>
              </w:rPr>
              <w:t>59</w:t>
            </w:r>
          </w:p>
        </w:tc>
      </w:tr>
      <w:tr w:rsidR="001A46BA" w:rsidRPr="00B17A8B" w14:paraId="06AF6039" w14:textId="77777777" w:rsidTr="00362F1B">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83" w:type="pct"/>
            <w:noWrap/>
          </w:tcPr>
          <w:p w14:paraId="6709F46E" w14:textId="77777777" w:rsidR="001A46BA" w:rsidRPr="00B17A8B" w:rsidRDefault="001A46BA" w:rsidP="001A46BA">
            <w:pPr>
              <w:keepNext/>
              <w:keepLines/>
              <w:jc w:val="left"/>
              <w:rPr>
                <w:rFonts w:asciiTheme="minorHAnsi" w:eastAsia="Calibri" w:hAnsiTheme="minorHAnsi"/>
                <w:bCs/>
                <w:color w:val="000000"/>
                <w:sz w:val="20"/>
              </w:rPr>
            </w:pPr>
            <w:r w:rsidRPr="00B17A8B">
              <w:rPr>
                <w:rFonts w:asciiTheme="minorHAnsi" w:eastAsia="Calibri" w:hAnsiTheme="minorHAnsi"/>
                <w:bCs/>
                <w:color w:val="000000"/>
                <w:sz w:val="20"/>
              </w:rPr>
              <w:t xml:space="preserve">Installed Projects </w:t>
            </w:r>
            <w:r w:rsidRPr="00B17A8B">
              <w:rPr>
                <w:rFonts w:asciiTheme="minorHAnsi" w:hAnsiTheme="minorHAnsi"/>
                <w:sz w:val="20"/>
              </w:rPr>
              <w:t>†</w:t>
            </w:r>
          </w:p>
        </w:tc>
        <w:tc>
          <w:tcPr>
            <w:tcW w:w="1106" w:type="pct"/>
            <w:noWrap/>
            <w:vAlign w:val="top"/>
          </w:tcPr>
          <w:p w14:paraId="03F30FD5" w14:textId="2AC0F68E" w:rsidR="001A46BA" w:rsidRPr="00B17A8B" w:rsidRDefault="001A46BA" w:rsidP="001A46BA">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B17A8B">
              <w:rPr>
                <w:sz w:val="20"/>
              </w:rPr>
              <w:t>5,295</w:t>
            </w:r>
          </w:p>
        </w:tc>
        <w:tc>
          <w:tcPr>
            <w:tcW w:w="1106" w:type="pct"/>
            <w:vAlign w:val="top"/>
          </w:tcPr>
          <w:p w14:paraId="1EB31920" w14:textId="2B3EAA29" w:rsidR="001A46BA" w:rsidRPr="00B17A8B" w:rsidRDefault="001A46BA" w:rsidP="001A46BA">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B17A8B">
              <w:rPr>
                <w:sz w:val="20"/>
              </w:rPr>
              <w:t>6</w:t>
            </w:r>
          </w:p>
        </w:tc>
        <w:tc>
          <w:tcPr>
            <w:tcW w:w="1106" w:type="pct"/>
            <w:vAlign w:val="top"/>
          </w:tcPr>
          <w:p w14:paraId="57D7A3AF" w14:textId="47BF7216" w:rsidR="001A46BA" w:rsidRPr="00B17A8B" w:rsidRDefault="001A46BA" w:rsidP="001A46BA">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B17A8B">
              <w:rPr>
                <w:sz w:val="20"/>
              </w:rPr>
              <w:t>5,301</w:t>
            </w:r>
          </w:p>
        </w:tc>
      </w:tr>
      <w:tr w:rsidR="001A46BA" w:rsidRPr="00B17A8B" w14:paraId="45F49E3C" w14:textId="77777777" w:rsidTr="00362F1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683" w:type="pct"/>
            <w:noWrap/>
          </w:tcPr>
          <w:p w14:paraId="3759234E" w14:textId="7339C99A" w:rsidR="001A46BA" w:rsidRPr="00B17A8B" w:rsidRDefault="001A46BA" w:rsidP="001A46BA">
            <w:pPr>
              <w:keepNext/>
              <w:keepLines/>
              <w:jc w:val="left"/>
              <w:rPr>
                <w:rFonts w:asciiTheme="minorHAnsi" w:hAnsiTheme="minorHAnsi"/>
                <w:color w:val="000000"/>
                <w:sz w:val="20"/>
              </w:rPr>
            </w:pPr>
            <w:r w:rsidRPr="00B17A8B">
              <w:rPr>
                <w:rFonts w:asciiTheme="minorHAnsi" w:hAnsiTheme="minorHAnsi"/>
                <w:color w:val="000000"/>
                <w:sz w:val="20"/>
              </w:rPr>
              <w:t>Measure Types Installed ‡</w:t>
            </w:r>
          </w:p>
        </w:tc>
        <w:tc>
          <w:tcPr>
            <w:tcW w:w="1106" w:type="pct"/>
            <w:noWrap/>
            <w:vAlign w:val="top"/>
          </w:tcPr>
          <w:p w14:paraId="71AC48D1" w14:textId="4C0C30EC" w:rsidR="001A46BA" w:rsidRPr="00B17A8B" w:rsidRDefault="001A46BA" w:rsidP="001A46BA">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B17A8B">
              <w:rPr>
                <w:sz w:val="20"/>
              </w:rPr>
              <w:t>61</w:t>
            </w:r>
          </w:p>
        </w:tc>
        <w:tc>
          <w:tcPr>
            <w:tcW w:w="1106" w:type="pct"/>
            <w:vAlign w:val="top"/>
          </w:tcPr>
          <w:p w14:paraId="79725FD3" w14:textId="0ABDB391" w:rsidR="001A46BA" w:rsidRPr="00B17A8B" w:rsidRDefault="001A46BA" w:rsidP="001A46BA">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B17A8B">
              <w:rPr>
                <w:sz w:val="20"/>
              </w:rPr>
              <w:t>8</w:t>
            </w:r>
          </w:p>
        </w:tc>
        <w:tc>
          <w:tcPr>
            <w:tcW w:w="1106" w:type="pct"/>
            <w:vAlign w:val="top"/>
          </w:tcPr>
          <w:p w14:paraId="33D3230E" w14:textId="2A9E6F62" w:rsidR="001A46BA" w:rsidRPr="00B17A8B" w:rsidRDefault="001A46BA" w:rsidP="001A46BA">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B17A8B">
              <w:rPr>
                <w:sz w:val="20"/>
              </w:rPr>
              <w:t>69</w:t>
            </w:r>
          </w:p>
        </w:tc>
      </w:tr>
    </w:tbl>
    <w:p w14:paraId="54674EF2" w14:textId="74B97CDB" w:rsidR="00B773EE" w:rsidRPr="00752E20" w:rsidRDefault="00B773EE" w:rsidP="00547DE5">
      <w:pPr>
        <w:pStyle w:val="TableFigureSourceorNote"/>
      </w:pPr>
      <w:r w:rsidRPr="00752E20">
        <w:t xml:space="preserve">* Participants are defined as </w:t>
      </w:r>
      <w:r w:rsidR="00CE0B2F" w:rsidRPr="00CE0B2F">
        <w:t xml:space="preserve">distinct count of </w:t>
      </w:r>
      <w:r w:rsidR="00F51E9E">
        <w:t>gas account numbers</w:t>
      </w:r>
      <w:r w:rsidR="00CE0B2F">
        <w:t>.</w:t>
      </w:r>
    </w:p>
    <w:p w14:paraId="1A4C6A04" w14:textId="09C220D7" w:rsidR="00B773EE" w:rsidRDefault="00B773EE" w:rsidP="00547DE5">
      <w:pPr>
        <w:pStyle w:val="TableFigureSourceorNote"/>
      </w:pPr>
      <w:r w:rsidRPr="00752E20">
        <w:t xml:space="preserve">† Installed Projects are defined as </w:t>
      </w:r>
      <w:r w:rsidR="00CE0B2F" w:rsidRPr="00CE0B2F">
        <w:t>distinct count of project ID</w:t>
      </w:r>
      <w:r w:rsidR="00CE0B2F">
        <w:t>.</w:t>
      </w:r>
    </w:p>
    <w:p w14:paraId="222A713B" w14:textId="031C2561" w:rsidR="00EF4414" w:rsidRPr="00752E20" w:rsidRDefault="00EF4414" w:rsidP="00547DE5">
      <w:pPr>
        <w:pStyle w:val="TableFigureSourceorNote"/>
      </w:pPr>
      <w:r w:rsidRPr="00EF4414">
        <w:t>‡ Measure Types Installed are the distinct count of PGL measure names</w:t>
      </w:r>
      <w:r w:rsidR="00CE0B2F">
        <w:t>.</w:t>
      </w:r>
    </w:p>
    <w:p w14:paraId="008BD59A" w14:textId="49214A3C" w:rsidR="00B773EE" w:rsidRDefault="00B773EE" w:rsidP="002679A1">
      <w:pPr>
        <w:pStyle w:val="TableFigureSourceorNote"/>
      </w:pPr>
      <w:r w:rsidRPr="00E47345">
        <w:t xml:space="preserve">Source: </w:t>
      </w:r>
      <w:r w:rsidR="00313B55">
        <w:t>Peoples</w:t>
      </w:r>
      <w:r>
        <w:t xml:space="preserve"> Gas tracking data and evaluation team </w:t>
      </w:r>
      <w:r w:rsidRPr="00651E3A">
        <w:t>analysis</w:t>
      </w:r>
      <w:r w:rsidRPr="00E47345">
        <w:t>.</w:t>
      </w:r>
    </w:p>
    <w:p w14:paraId="0D2966CE" w14:textId="669CC4A1" w:rsidR="004153AC" w:rsidRDefault="004153AC"/>
    <w:p w14:paraId="6E4423CB" w14:textId="5127A4E3" w:rsidR="00B773EE" w:rsidRDefault="00B773EE" w:rsidP="00B773EE">
      <w:r>
        <w:fldChar w:fldCharType="begin"/>
      </w:r>
      <w:r>
        <w:instrText xml:space="preserve"> REF _Ref189735540 \h </w:instrText>
      </w:r>
      <w:r>
        <w:fldChar w:fldCharType="separate"/>
      </w:r>
      <w:r w:rsidR="00803485">
        <w:t xml:space="preserve">Table </w:t>
      </w:r>
      <w:r w:rsidR="00803485">
        <w:rPr>
          <w:noProof/>
        </w:rPr>
        <w:t>2</w:t>
      </w:r>
      <w:r>
        <w:fldChar w:fldCharType="end"/>
      </w:r>
      <w:r>
        <w:t xml:space="preserve"> </w:t>
      </w:r>
      <w:r w:rsidRPr="00A90B62">
        <w:t>summarize</w:t>
      </w:r>
      <w:r>
        <w:t>s</w:t>
      </w:r>
      <w:r w:rsidRPr="00A90B62">
        <w:t xml:space="preserve"> the</w:t>
      </w:r>
      <w:r>
        <w:t xml:space="preserve"> installed measure quantities that are the basis for verified energy savings.</w:t>
      </w:r>
    </w:p>
    <w:p w14:paraId="694C802A" w14:textId="455D22ED" w:rsidR="00B773EE" w:rsidRDefault="00B773EE" w:rsidP="00F671C0">
      <w:pPr>
        <w:pStyle w:val="Caption"/>
      </w:pPr>
      <w:bookmarkStart w:id="11" w:name="_Ref189735540"/>
      <w:bookmarkStart w:id="12" w:name="_Toc61360846"/>
      <w:bookmarkStart w:id="13" w:name="_Toc189750767"/>
      <w:bookmarkStart w:id="14" w:name="_Toc224230100"/>
      <w:r>
        <w:lastRenderedPageBreak/>
        <w:t xml:space="preserve">Table </w:t>
      </w:r>
      <w:r>
        <w:fldChar w:fldCharType="begin"/>
      </w:r>
      <w:r>
        <w:instrText>SEQ Table \* ARABIC</w:instrText>
      </w:r>
      <w:r>
        <w:fldChar w:fldCharType="separate"/>
      </w:r>
      <w:r w:rsidR="00803485">
        <w:rPr>
          <w:noProof/>
        </w:rPr>
        <w:t>2</w:t>
      </w:r>
      <w:r>
        <w:fldChar w:fldCharType="end"/>
      </w:r>
      <w:bookmarkEnd w:id="11"/>
      <w:r w:rsidRPr="00F7087A">
        <w:t>.</w:t>
      </w:r>
      <w:r>
        <w:t xml:space="preserve"> 202</w:t>
      </w:r>
      <w:r w:rsidR="002F0B52">
        <w:t>5</w:t>
      </w:r>
      <w:r>
        <w:t xml:space="preserve"> Installed </w:t>
      </w:r>
      <w:r w:rsidRPr="0084176E">
        <w:t>Measure</w:t>
      </w:r>
      <w:r>
        <w:t xml:space="preserve"> Quantities</w:t>
      </w:r>
      <w:bookmarkEnd w:id="12"/>
      <w:bookmarkEnd w:id="13"/>
      <w:r w:rsidR="00313B55">
        <w:t xml:space="preserve"> for PGL</w:t>
      </w:r>
      <w:r w:rsidR="00861A58">
        <w:t xml:space="preserve"> – Income Eligible</w:t>
      </w:r>
      <w:bookmarkEnd w:id="14"/>
    </w:p>
    <w:tbl>
      <w:tblPr>
        <w:tblStyle w:val="EnergyTable"/>
        <w:tblpPr w:leftFromText="180" w:rightFromText="180" w:vertAnchor="text" w:tblpXSpec="center" w:tblpY="1"/>
        <w:tblOverlap w:val="never"/>
        <w:tblW w:w="5000" w:type="pct"/>
        <w:jc w:val="left"/>
        <w:tblLook w:val="04A0" w:firstRow="1" w:lastRow="0" w:firstColumn="1" w:lastColumn="0" w:noHBand="0" w:noVBand="1"/>
      </w:tblPr>
      <w:tblGrid>
        <w:gridCol w:w="1831"/>
        <w:gridCol w:w="3969"/>
        <w:gridCol w:w="2055"/>
        <w:gridCol w:w="1505"/>
      </w:tblGrid>
      <w:tr w:rsidR="00B17A8B" w:rsidRPr="00B17A8B" w14:paraId="36DBAB91" w14:textId="77777777" w:rsidTr="00B17A8B">
        <w:trPr>
          <w:cnfStyle w:val="100000000000" w:firstRow="1" w:lastRow="0" w:firstColumn="0" w:lastColumn="0" w:oddVBand="0" w:evenVBand="0" w:oddHBand="0" w:evenHBand="0" w:firstRowFirstColumn="0" w:firstRowLastColumn="0" w:lastRowFirstColumn="0" w:lastRowLastColumn="0"/>
          <w:trHeight w:val="459"/>
          <w:jc w:val="left"/>
        </w:trPr>
        <w:tc>
          <w:tcPr>
            <w:cnfStyle w:val="001000000000" w:firstRow="0" w:lastRow="0" w:firstColumn="1" w:lastColumn="0" w:oddVBand="0" w:evenVBand="0" w:oddHBand="0" w:evenHBand="0" w:firstRowFirstColumn="0" w:firstRowLastColumn="0" w:lastRowFirstColumn="0" w:lastRowLastColumn="0"/>
            <w:tcW w:w="978" w:type="pct"/>
          </w:tcPr>
          <w:p w14:paraId="72CE0253" w14:textId="77777777" w:rsidR="00B17A8B" w:rsidRPr="00B17A8B" w:rsidRDefault="00B17A8B" w:rsidP="009B6D25">
            <w:pPr>
              <w:keepNext/>
              <w:keepLines/>
              <w:jc w:val="left"/>
              <w:rPr>
                <w:rFonts w:asciiTheme="minorHAnsi" w:hAnsiTheme="minorHAnsi" w:cs="Arial"/>
                <w:b w:val="0"/>
                <w:bCs/>
                <w:color w:val="FFFFFF"/>
                <w:sz w:val="20"/>
              </w:rPr>
            </w:pPr>
            <w:r w:rsidRPr="00B17A8B">
              <w:rPr>
                <w:rFonts w:asciiTheme="minorHAnsi" w:hAnsiTheme="minorHAnsi" w:cs="Arial"/>
                <w:b w:val="0"/>
                <w:bCs/>
                <w:color w:val="FFFFFF"/>
                <w:sz w:val="20"/>
              </w:rPr>
              <w:t>Program Path</w:t>
            </w:r>
          </w:p>
        </w:tc>
        <w:tc>
          <w:tcPr>
            <w:tcW w:w="2120" w:type="pct"/>
            <w:hideMark/>
          </w:tcPr>
          <w:p w14:paraId="643C25EF" w14:textId="77777777" w:rsidR="00B17A8B" w:rsidRPr="00B17A8B" w:rsidRDefault="00B17A8B" w:rsidP="009B6D25">
            <w:pPr>
              <w:keepNext/>
              <w:keepLine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color w:val="FFFFFF"/>
                <w:sz w:val="20"/>
              </w:rPr>
            </w:pPr>
            <w:r w:rsidRPr="00B17A8B">
              <w:rPr>
                <w:rFonts w:asciiTheme="minorHAnsi" w:hAnsiTheme="minorHAnsi" w:cs="Arial"/>
                <w:b w:val="0"/>
                <w:bCs/>
                <w:color w:val="FFFFFF"/>
                <w:sz w:val="20"/>
              </w:rPr>
              <w:t>Measure</w:t>
            </w:r>
          </w:p>
        </w:tc>
        <w:tc>
          <w:tcPr>
            <w:tcW w:w="1098" w:type="pct"/>
          </w:tcPr>
          <w:p w14:paraId="72881E5C" w14:textId="77777777" w:rsidR="00B17A8B" w:rsidRPr="00B17A8B" w:rsidRDefault="00B17A8B" w:rsidP="006E1CD0">
            <w:pPr>
              <w:keepNext/>
              <w:keepLine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color w:val="FFFFFF"/>
                <w:sz w:val="20"/>
              </w:rPr>
            </w:pPr>
            <w:r w:rsidRPr="00B17A8B">
              <w:rPr>
                <w:rFonts w:asciiTheme="minorHAnsi" w:hAnsiTheme="minorHAnsi"/>
                <w:b w:val="0"/>
                <w:sz w:val="20"/>
              </w:rPr>
              <w:t>Quantity Unit</w:t>
            </w:r>
          </w:p>
        </w:tc>
        <w:tc>
          <w:tcPr>
            <w:tcW w:w="804" w:type="pct"/>
          </w:tcPr>
          <w:p w14:paraId="6B0195C6" w14:textId="77777777" w:rsidR="00B17A8B" w:rsidRPr="00B17A8B" w:rsidRDefault="00B17A8B" w:rsidP="009B6D25">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color w:val="FFFFFF"/>
                <w:sz w:val="20"/>
              </w:rPr>
            </w:pPr>
            <w:r w:rsidRPr="00B17A8B">
              <w:rPr>
                <w:rFonts w:asciiTheme="minorHAnsi" w:hAnsiTheme="minorHAnsi"/>
                <w:b w:val="0"/>
                <w:sz w:val="20"/>
              </w:rPr>
              <w:t>Installed Quantity</w:t>
            </w:r>
          </w:p>
        </w:tc>
      </w:tr>
      <w:tr w:rsidR="00B17A8B" w:rsidRPr="00B17A8B" w14:paraId="2CB5AE47" w14:textId="77777777" w:rsidTr="00B17A8B">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val="restart"/>
          </w:tcPr>
          <w:p w14:paraId="6A02476C" w14:textId="3F3DDCBB" w:rsidR="00B17A8B" w:rsidRPr="00B17A8B" w:rsidRDefault="00B17A8B" w:rsidP="009B6D25">
            <w:pPr>
              <w:keepNext/>
              <w:keepLines/>
              <w:jc w:val="left"/>
              <w:rPr>
                <w:rFonts w:asciiTheme="minorHAnsi" w:hAnsiTheme="minorHAnsi"/>
                <w:color w:val="000000"/>
                <w:sz w:val="20"/>
              </w:rPr>
            </w:pPr>
            <w:r w:rsidRPr="00B17A8B">
              <w:rPr>
                <w:rFonts w:asciiTheme="minorHAnsi" w:hAnsiTheme="minorHAnsi"/>
                <w:sz w:val="20"/>
              </w:rPr>
              <w:t>Income Eligible</w:t>
            </w:r>
          </w:p>
        </w:tc>
        <w:tc>
          <w:tcPr>
            <w:tcW w:w="2120" w:type="pct"/>
          </w:tcPr>
          <w:p w14:paraId="747ADC50" w14:textId="4EC4F390" w:rsidR="00B17A8B" w:rsidRPr="00B17A8B" w:rsidRDefault="00B17A8B" w:rsidP="009B6D25">
            <w:pPr>
              <w:keepNext/>
              <w:keepLines/>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Advanced Thermostat</w:t>
            </w:r>
          </w:p>
        </w:tc>
        <w:tc>
          <w:tcPr>
            <w:tcW w:w="1098" w:type="pct"/>
            <w:noWrap/>
          </w:tcPr>
          <w:p w14:paraId="2862E05A" w14:textId="4BC51103" w:rsidR="00B17A8B" w:rsidRPr="00B17A8B" w:rsidRDefault="000A4833" w:rsidP="006E1CD0">
            <w:pPr>
              <w:keepNext/>
              <w:keepLines/>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744596C3" w14:textId="21625A4A" w:rsidR="00B17A8B" w:rsidRPr="00B17A8B" w:rsidRDefault="00B17A8B" w:rsidP="009B6D25">
            <w:pPr>
              <w:keepNext/>
              <w:keepLines/>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10</w:t>
            </w:r>
          </w:p>
        </w:tc>
      </w:tr>
      <w:tr w:rsidR="00B17A8B" w:rsidRPr="00B17A8B" w14:paraId="4998F5F4" w14:textId="77777777" w:rsidTr="00B17A8B">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7AB0BE0B" w14:textId="41341642" w:rsidR="00B17A8B" w:rsidRPr="00B17A8B" w:rsidRDefault="00B17A8B" w:rsidP="009B6D25">
            <w:pPr>
              <w:keepNext/>
              <w:keepLines/>
              <w:jc w:val="left"/>
              <w:rPr>
                <w:rFonts w:asciiTheme="minorHAnsi" w:hAnsiTheme="minorHAnsi"/>
                <w:color w:val="000000"/>
                <w:sz w:val="20"/>
              </w:rPr>
            </w:pPr>
          </w:p>
        </w:tc>
        <w:tc>
          <w:tcPr>
            <w:tcW w:w="2120" w:type="pct"/>
          </w:tcPr>
          <w:p w14:paraId="697792DF" w14:textId="552E85A6" w:rsidR="00B17A8B" w:rsidRPr="00B17A8B" w:rsidRDefault="00B17A8B" w:rsidP="009B6D25">
            <w:pPr>
              <w:keepNext/>
              <w:keepLines/>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Air Sealing</w:t>
            </w:r>
          </w:p>
        </w:tc>
        <w:tc>
          <w:tcPr>
            <w:tcW w:w="1098" w:type="pct"/>
            <w:noWrap/>
          </w:tcPr>
          <w:p w14:paraId="2B4A5DFD" w14:textId="622A7C2D" w:rsidR="00B17A8B" w:rsidRPr="00B17A8B" w:rsidRDefault="000A4833" w:rsidP="006E1CD0">
            <w:pPr>
              <w:keepNext/>
              <w:keepLines/>
              <w:spacing w:before="0"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5F0478BE" w14:textId="2E7B796D" w:rsidR="00B17A8B" w:rsidRPr="00B17A8B" w:rsidRDefault="00B17A8B" w:rsidP="009B6D25">
            <w:pPr>
              <w:keepNext/>
              <w:keepLines/>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840</w:t>
            </w:r>
          </w:p>
        </w:tc>
      </w:tr>
      <w:tr w:rsidR="00B17A8B" w:rsidRPr="00B17A8B" w14:paraId="54705EC0" w14:textId="77777777" w:rsidTr="00B17A8B">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3E65A69E" w14:textId="77777777" w:rsidR="00B17A8B" w:rsidRPr="00B17A8B" w:rsidRDefault="00B17A8B" w:rsidP="009B6D25">
            <w:pPr>
              <w:keepNext/>
              <w:keepLines/>
              <w:rPr>
                <w:rFonts w:asciiTheme="minorHAnsi" w:hAnsiTheme="minorHAnsi"/>
                <w:color w:val="000000"/>
                <w:sz w:val="20"/>
              </w:rPr>
            </w:pPr>
          </w:p>
        </w:tc>
        <w:tc>
          <w:tcPr>
            <w:tcW w:w="2120" w:type="pct"/>
          </w:tcPr>
          <w:p w14:paraId="5CB5C3DA" w14:textId="1CD63FD7" w:rsidR="00B17A8B" w:rsidRPr="00B17A8B" w:rsidRDefault="00B17A8B" w:rsidP="008F1210">
            <w:pPr>
              <w:keepNext/>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17A8B">
              <w:rPr>
                <w:rFonts w:asciiTheme="minorHAnsi" w:hAnsiTheme="minorHAnsi"/>
                <w:sz w:val="20"/>
              </w:rPr>
              <w:t>Air Sealing</w:t>
            </w:r>
          </w:p>
        </w:tc>
        <w:tc>
          <w:tcPr>
            <w:tcW w:w="1098" w:type="pct"/>
            <w:noWrap/>
          </w:tcPr>
          <w:p w14:paraId="442774D6" w14:textId="4C62A6BE" w:rsidR="00B17A8B" w:rsidRPr="00B17A8B" w:rsidRDefault="00B17A8B" w:rsidP="006E1CD0">
            <w:pPr>
              <w:keepNext/>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17A8B">
              <w:rPr>
                <w:rFonts w:asciiTheme="minorHAnsi" w:hAnsiTheme="minorHAnsi"/>
                <w:sz w:val="20"/>
              </w:rPr>
              <w:t>Linear feet</w:t>
            </w:r>
          </w:p>
        </w:tc>
        <w:tc>
          <w:tcPr>
            <w:tcW w:w="804" w:type="pct"/>
            <w:noWrap/>
          </w:tcPr>
          <w:p w14:paraId="38BA0C23" w14:textId="590A3D38" w:rsidR="00B17A8B" w:rsidRPr="00B17A8B" w:rsidRDefault="00B17A8B" w:rsidP="009B6D25">
            <w:pPr>
              <w:keepNext/>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17A8B">
              <w:rPr>
                <w:rFonts w:asciiTheme="minorHAnsi" w:hAnsiTheme="minorHAnsi"/>
                <w:sz w:val="20"/>
              </w:rPr>
              <w:t>9582</w:t>
            </w:r>
          </w:p>
        </w:tc>
      </w:tr>
      <w:tr w:rsidR="00B17A8B" w:rsidRPr="00B17A8B" w14:paraId="63659EAF" w14:textId="77777777" w:rsidTr="00B17A8B">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50E25536" w14:textId="77777777" w:rsidR="00B17A8B" w:rsidRPr="00B17A8B" w:rsidRDefault="00B17A8B" w:rsidP="009B6D25">
            <w:pPr>
              <w:keepNext/>
              <w:keepLines/>
              <w:jc w:val="left"/>
              <w:rPr>
                <w:rFonts w:asciiTheme="minorHAnsi" w:hAnsiTheme="minorHAnsi"/>
                <w:color w:val="000000"/>
                <w:sz w:val="20"/>
              </w:rPr>
            </w:pPr>
          </w:p>
        </w:tc>
        <w:tc>
          <w:tcPr>
            <w:tcW w:w="2120" w:type="pct"/>
          </w:tcPr>
          <w:p w14:paraId="15EBD7EE" w14:textId="3A08629E" w:rsidR="00B17A8B" w:rsidRPr="00B17A8B" w:rsidRDefault="00B17A8B" w:rsidP="009B6D25">
            <w:pPr>
              <w:keepNext/>
              <w:keepLines/>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Assessments/No Savings</w:t>
            </w:r>
          </w:p>
        </w:tc>
        <w:tc>
          <w:tcPr>
            <w:tcW w:w="1098" w:type="pct"/>
            <w:noWrap/>
          </w:tcPr>
          <w:p w14:paraId="13C77ABD" w14:textId="12EAB8B8" w:rsidR="00B17A8B" w:rsidRPr="00B17A8B" w:rsidRDefault="000A4833" w:rsidP="006E1CD0">
            <w:pPr>
              <w:keepNext/>
              <w:keepLines/>
              <w:spacing w:before="0"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66BC5DC1" w14:textId="3338C511" w:rsidR="00B17A8B" w:rsidRPr="00B17A8B" w:rsidRDefault="00B17A8B" w:rsidP="009B6D25">
            <w:pPr>
              <w:keepNext/>
              <w:keepLines/>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34865</w:t>
            </w:r>
          </w:p>
        </w:tc>
      </w:tr>
      <w:tr w:rsidR="00B17A8B" w:rsidRPr="00B17A8B" w14:paraId="026ACA37" w14:textId="77777777" w:rsidTr="00B17A8B">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2FD98217" w14:textId="77777777" w:rsidR="00B17A8B" w:rsidRPr="00B17A8B" w:rsidRDefault="00B17A8B" w:rsidP="009B6D25">
            <w:pPr>
              <w:keepNext/>
              <w:keepLines/>
              <w:rPr>
                <w:rFonts w:asciiTheme="minorHAnsi" w:hAnsiTheme="minorHAnsi"/>
                <w:color w:val="000000"/>
                <w:sz w:val="20"/>
              </w:rPr>
            </w:pPr>
          </w:p>
        </w:tc>
        <w:tc>
          <w:tcPr>
            <w:tcW w:w="2120" w:type="pct"/>
          </w:tcPr>
          <w:p w14:paraId="46607A35" w14:textId="457ADB6E" w:rsidR="00B17A8B" w:rsidRPr="00B17A8B" w:rsidRDefault="00B17A8B" w:rsidP="00C26AC5">
            <w:pPr>
              <w:keepNext/>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17A8B">
              <w:rPr>
                <w:rFonts w:asciiTheme="minorHAnsi" w:hAnsiTheme="minorHAnsi"/>
                <w:sz w:val="20"/>
              </w:rPr>
              <w:t>Assessments/No Savings</w:t>
            </w:r>
          </w:p>
        </w:tc>
        <w:tc>
          <w:tcPr>
            <w:tcW w:w="1098" w:type="pct"/>
            <w:noWrap/>
          </w:tcPr>
          <w:p w14:paraId="7E3D1286" w14:textId="50848D20" w:rsidR="00B17A8B" w:rsidRPr="00B17A8B" w:rsidRDefault="00B17A8B" w:rsidP="006E1CD0">
            <w:pPr>
              <w:keepNext/>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17A8B">
              <w:rPr>
                <w:rFonts w:asciiTheme="minorHAnsi" w:hAnsiTheme="minorHAnsi"/>
                <w:sz w:val="20"/>
              </w:rPr>
              <w:t>Linear feet</w:t>
            </w:r>
          </w:p>
        </w:tc>
        <w:tc>
          <w:tcPr>
            <w:tcW w:w="804" w:type="pct"/>
            <w:noWrap/>
          </w:tcPr>
          <w:p w14:paraId="07FCA5A1" w14:textId="23A58762" w:rsidR="00B17A8B" w:rsidRPr="00B17A8B" w:rsidRDefault="00B17A8B" w:rsidP="00B34E4B">
            <w:pPr>
              <w:keepNext/>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17A8B">
              <w:rPr>
                <w:rFonts w:asciiTheme="minorHAnsi" w:hAnsiTheme="minorHAnsi"/>
                <w:sz w:val="20"/>
              </w:rPr>
              <w:t>556</w:t>
            </w:r>
          </w:p>
        </w:tc>
      </w:tr>
      <w:tr w:rsidR="00B17A8B" w:rsidRPr="00B17A8B" w14:paraId="0189F5BF" w14:textId="77777777" w:rsidTr="00B17A8B">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45F2BBEC" w14:textId="77777777" w:rsidR="00B17A8B" w:rsidRPr="00B17A8B" w:rsidRDefault="00B17A8B" w:rsidP="009B6D25">
            <w:pPr>
              <w:keepNext/>
              <w:keepLines/>
              <w:rPr>
                <w:rFonts w:asciiTheme="minorHAnsi" w:hAnsiTheme="minorHAnsi"/>
                <w:color w:val="000000"/>
                <w:sz w:val="20"/>
              </w:rPr>
            </w:pPr>
          </w:p>
        </w:tc>
        <w:tc>
          <w:tcPr>
            <w:tcW w:w="2120" w:type="pct"/>
          </w:tcPr>
          <w:p w14:paraId="0C2038C9" w14:textId="0DFF2036" w:rsidR="00B17A8B" w:rsidRPr="00B17A8B" w:rsidRDefault="00B17A8B" w:rsidP="00C26AC5">
            <w:pPr>
              <w:keepNext/>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B17A8B">
              <w:rPr>
                <w:rFonts w:asciiTheme="minorHAnsi" w:hAnsiTheme="minorHAnsi"/>
                <w:sz w:val="20"/>
              </w:rPr>
              <w:t>Assessments/No Savings</w:t>
            </w:r>
          </w:p>
        </w:tc>
        <w:tc>
          <w:tcPr>
            <w:tcW w:w="1098" w:type="pct"/>
            <w:noWrap/>
          </w:tcPr>
          <w:p w14:paraId="4B2F27A6" w14:textId="75678D8B" w:rsidR="00B17A8B" w:rsidRPr="00B17A8B" w:rsidRDefault="00B17A8B" w:rsidP="006E1CD0">
            <w:pPr>
              <w:keepNext/>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B17A8B">
              <w:rPr>
                <w:rFonts w:asciiTheme="minorHAnsi" w:hAnsiTheme="minorHAnsi"/>
                <w:sz w:val="20"/>
              </w:rPr>
              <w:t>Square feet</w:t>
            </w:r>
          </w:p>
        </w:tc>
        <w:tc>
          <w:tcPr>
            <w:tcW w:w="804" w:type="pct"/>
            <w:noWrap/>
          </w:tcPr>
          <w:p w14:paraId="6B10E0B8" w14:textId="6742E5D0" w:rsidR="00B17A8B" w:rsidRPr="00B17A8B" w:rsidRDefault="00B17A8B" w:rsidP="009B6D25">
            <w:pPr>
              <w:keepNext/>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B17A8B">
              <w:rPr>
                <w:rFonts w:asciiTheme="minorHAnsi" w:hAnsiTheme="minorHAnsi"/>
                <w:sz w:val="20"/>
              </w:rPr>
              <w:t>2996</w:t>
            </w:r>
          </w:p>
        </w:tc>
      </w:tr>
      <w:tr w:rsidR="00B17A8B" w:rsidRPr="00B17A8B" w14:paraId="10ADDE83" w14:textId="77777777" w:rsidTr="00B17A8B">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3CEACB7E" w14:textId="61D11BE8" w:rsidR="00B17A8B" w:rsidRPr="00B17A8B" w:rsidRDefault="00B17A8B" w:rsidP="009B6D25">
            <w:pPr>
              <w:keepNext/>
              <w:keepLines/>
              <w:jc w:val="left"/>
              <w:rPr>
                <w:rFonts w:asciiTheme="minorHAnsi" w:hAnsiTheme="minorHAnsi"/>
                <w:color w:val="000000"/>
                <w:sz w:val="20"/>
              </w:rPr>
            </w:pPr>
          </w:p>
        </w:tc>
        <w:tc>
          <w:tcPr>
            <w:tcW w:w="2120" w:type="pct"/>
          </w:tcPr>
          <w:p w14:paraId="168D70F3" w14:textId="4F8D50A9" w:rsidR="00B17A8B" w:rsidRPr="00B17A8B" w:rsidRDefault="00B17A8B" w:rsidP="009B6D25">
            <w:pPr>
              <w:keepNext/>
              <w:keepLines/>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Attic Insulation</w:t>
            </w:r>
          </w:p>
        </w:tc>
        <w:tc>
          <w:tcPr>
            <w:tcW w:w="1098" w:type="pct"/>
            <w:noWrap/>
          </w:tcPr>
          <w:p w14:paraId="4B32DB64" w14:textId="7B5C3EA7" w:rsidR="00B17A8B" w:rsidRPr="00B17A8B" w:rsidRDefault="00B17A8B" w:rsidP="006E1CD0">
            <w:pPr>
              <w:keepNext/>
              <w:keepLines/>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Square feet</w:t>
            </w:r>
          </w:p>
        </w:tc>
        <w:tc>
          <w:tcPr>
            <w:tcW w:w="804" w:type="pct"/>
            <w:noWrap/>
          </w:tcPr>
          <w:p w14:paraId="79175F3F" w14:textId="5AD6E1A0" w:rsidR="00B17A8B" w:rsidRPr="00B17A8B" w:rsidRDefault="00B17A8B" w:rsidP="009B6D25">
            <w:pPr>
              <w:keepNext/>
              <w:keepLines/>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7,06,537</w:t>
            </w:r>
          </w:p>
        </w:tc>
      </w:tr>
      <w:tr w:rsidR="00B17A8B" w:rsidRPr="00B17A8B" w14:paraId="1EBC4553" w14:textId="77777777" w:rsidTr="00B17A8B">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5C92ED4A" w14:textId="530828C2" w:rsidR="00B17A8B" w:rsidRPr="00B17A8B" w:rsidRDefault="00B17A8B" w:rsidP="009B6D25">
            <w:pPr>
              <w:keepNext/>
              <w:keepLines/>
              <w:jc w:val="left"/>
              <w:rPr>
                <w:rFonts w:asciiTheme="minorHAnsi" w:hAnsiTheme="minorHAnsi"/>
                <w:color w:val="000000"/>
                <w:sz w:val="20"/>
              </w:rPr>
            </w:pPr>
          </w:p>
        </w:tc>
        <w:tc>
          <w:tcPr>
            <w:tcW w:w="2120" w:type="pct"/>
          </w:tcPr>
          <w:p w14:paraId="0BA627B2" w14:textId="5573C8FB" w:rsidR="00B17A8B" w:rsidRPr="00B17A8B" w:rsidRDefault="00B17A8B" w:rsidP="009B6D25">
            <w:pPr>
              <w:keepNext/>
              <w:keepLines/>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Boiler Reset Controls</w:t>
            </w:r>
          </w:p>
        </w:tc>
        <w:tc>
          <w:tcPr>
            <w:tcW w:w="1098" w:type="pct"/>
            <w:noWrap/>
          </w:tcPr>
          <w:p w14:paraId="004D9C27" w14:textId="55F2217F" w:rsidR="00B17A8B" w:rsidRPr="00B17A8B" w:rsidRDefault="00B17A8B" w:rsidP="006E1CD0">
            <w:pPr>
              <w:keepNext/>
              <w:keepLines/>
              <w:spacing w:before="0"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MBH Input</w:t>
            </w:r>
          </w:p>
        </w:tc>
        <w:tc>
          <w:tcPr>
            <w:tcW w:w="804" w:type="pct"/>
            <w:noWrap/>
          </w:tcPr>
          <w:p w14:paraId="3C6C3865" w14:textId="44FBD695" w:rsidR="00B17A8B" w:rsidRPr="00B17A8B" w:rsidRDefault="00B17A8B" w:rsidP="009B6D25">
            <w:pPr>
              <w:keepNext/>
              <w:keepLines/>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2</w:t>
            </w:r>
          </w:p>
        </w:tc>
      </w:tr>
      <w:tr w:rsidR="00B17A8B" w:rsidRPr="00B17A8B" w14:paraId="2ECB9836" w14:textId="77777777" w:rsidTr="00B17A8B">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4BE54305" w14:textId="77777777" w:rsidR="00B17A8B" w:rsidRPr="00B17A8B" w:rsidRDefault="00B17A8B" w:rsidP="009B6D25">
            <w:pPr>
              <w:keepNext/>
              <w:keepLines/>
              <w:jc w:val="left"/>
              <w:rPr>
                <w:rFonts w:asciiTheme="minorHAnsi" w:hAnsiTheme="minorHAnsi"/>
                <w:color w:val="000000"/>
                <w:sz w:val="20"/>
              </w:rPr>
            </w:pPr>
          </w:p>
        </w:tc>
        <w:tc>
          <w:tcPr>
            <w:tcW w:w="2120" w:type="pct"/>
          </w:tcPr>
          <w:p w14:paraId="3548F41A" w14:textId="0C63FCFB" w:rsidR="00B17A8B" w:rsidRPr="00B17A8B" w:rsidRDefault="00B17A8B" w:rsidP="009B6D25">
            <w:pPr>
              <w:keepNext/>
              <w:keepLines/>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Boiler Tune Up</w:t>
            </w:r>
          </w:p>
        </w:tc>
        <w:tc>
          <w:tcPr>
            <w:tcW w:w="1098" w:type="pct"/>
            <w:noWrap/>
          </w:tcPr>
          <w:p w14:paraId="4AC968C1" w14:textId="72ECDD68" w:rsidR="00B17A8B" w:rsidRPr="00B17A8B" w:rsidRDefault="00B17A8B" w:rsidP="006E1CD0">
            <w:pPr>
              <w:keepNext/>
              <w:keepLines/>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MBH Input</w:t>
            </w:r>
          </w:p>
        </w:tc>
        <w:tc>
          <w:tcPr>
            <w:tcW w:w="804" w:type="pct"/>
            <w:noWrap/>
          </w:tcPr>
          <w:p w14:paraId="2BC48FC1" w14:textId="03F6CFC7" w:rsidR="00B17A8B" w:rsidRPr="00B17A8B" w:rsidRDefault="00B17A8B" w:rsidP="009B6D25">
            <w:pPr>
              <w:keepNext/>
              <w:keepLines/>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98</w:t>
            </w:r>
          </w:p>
        </w:tc>
      </w:tr>
      <w:tr w:rsidR="00B17A8B" w:rsidRPr="00B17A8B" w14:paraId="1EE08948" w14:textId="77777777" w:rsidTr="00B17A8B">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663DC6BA" w14:textId="77777777" w:rsidR="00B17A8B" w:rsidRPr="00B17A8B" w:rsidRDefault="00B17A8B" w:rsidP="009B6D25">
            <w:pPr>
              <w:keepNext/>
              <w:keepLines/>
              <w:jc w:val="left"/>
              <w:rPr>
                <w:rFonts w:asciiTheme="minorHAnsi" w:hAnsiTheme="minorHAnsi"/>
                <w:color w:val="000000"/>
                <w:sz w:val="20"/>
              </w:rPr>
            </w:pPr>
          </w:p>
        </w:tc>
        <w:tc>
          <w:tcPr>
            <w:tcW w:w="2120" w:type="pct"/>
          </w:tcPr>
          <w:p w14:paraId="6AFDBF62" w14:textId="2E8DB579" w:rsidR="00B17A8B" w:rsidRPr="00B17A8B" w:rsidRDefault="00B17A8B" w:rsidP="009B6D25">
            <w:pPr>
              <w:keepNext/>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 xml:space="preserve">Controls </w:t>
            </w:r>
            <w:proofErr w:type="gramStart"/>
            <w:r w:rsidRPr="00B17A8B">
              <w:rPr>
                <w:rFonts w:asciiTheme="minorHAnsi" w:hAnsiTheme="minorHAnsi"/>
                <w:sz w:val="20"/>
              </w:rPr>
              <w:t>for</w:t>
            </w:r>
            <w:proofErr w:type="gramEnd"/>
            <w:r w:rsidRPr="00B17A8B">
              <w:rPr>
                <w:rFonts w:asciiTheme="minorHAnsi" w:hAnsiTheme="minorHAnsi"/>
                <w:sz w:val="20"/>
              </w:rPr>
              <w:t xml:space="preserve"> Domestic Hot Water</w:t>
            </w:r>
          </w:p>
        </w:tc>
        <w:tc>
          <w:tcPr>
            <w:tcW w:w="1098" w:type="pct"/>
            <w:noWrap/>
          </w:tcPr>
          <w:p w14:paraId="23A40F6F" w14:textId="0D77B4EF" w:rsidR="00B17A8B" w:rsidRPr="00B17A8B" w:rsidRDefault="00B17A8B" w:rsidP="006E1CD0">
            <w:pPr>
              <w:keepNext/>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Living Units</w:t>
            </w:r>
          </w:p>
        </w:tc>
        <w:tc>
          <w:tcPr>
            <w:tcW w:w="804" w:type="pct"/>
            <w:noWrap/>
          </w:tcPr>
          <w:p w14:paraId="67F0E07A" w14:textId="4464DD5C" w:rsidR="00B17A8B" w:rsidRPr="00B17A8B" w:rsidRDefault="00B17A8B" w:rsidP="009B6D25">
            <w:pPr>
              <w:keepNext/>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267</w:t>
            </w:r>
          </w:p>
        </w:tc>
      </w:tr>
      <w:tr w:rsidR="00B17A8B" w:rsidRPr="00B17A8B" w14:paraId="05A5DC81" w14:textId="77777777" w:rsidTr="00B17A8B">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5C80E9BA" w14:textId="77777777" w:rsidR="00B17A8B" w:rsidRPr="00B17A8B" w:rsidRDefault="00B17A8B" w:rsidP="009B6D25">
            <w:pPr>
              <w:keepNext/>
              <w:keepLines/>
              <w:jc w:val="left"/>
              <w:rPr>
                <w:rFonts w:asciiTheme="minorHAnsi" w:hAnsiTheme="minorHAnsi"/>
                <w:color w:val="000000"/>
                <w:sz w:val="20"/>
              </w:rPr>
            </w:pPr>
          </w:p>
        </w:tc>
        <w:tc>
          <w:tcPr>
            <w:tcW w:w="2120" w:type="pct"/>
          </w:tcPr>
          <w:p w14:paraId="58936A8C" w14:textId="6C8CF686" w:rsidR="00B17A8B" w:rsidRPr="00B17A8B" w:rsidRDefault="00B17A8B" w:rsidP="009B6D25">
            <w:pPr>
              <w:keepNext/>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 xml:space="preserve">Covers and Gap Sealers for Room AC </w:t>
            </w:r>
          </w:p>
        </w:tc>
        <w:tc>
          <w:tcPr>
            <w:tcW w:w="1098" w:type="pct"/>
            <w:noWrap/>
          </w:tcPr>
          <w:p w14:paraId="2A6B5EDE" w14:textId="51BD33AC" w:rsidR="00B17A8B" w:rsidRPr="00B17A8B" w:rsidRDefault="000A4833" w:rsidP="006E1CD0">
            <w:pPr>
              <w:keepNext/>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7423349A" w14:textId="009A8F18" w:rsidR="00B17A8B" w:rsidRPr="00B17A8B" w:rsidRDefault="00B17A8B" w:rsidP="009B6D25">
            <w:pPr>
              <w:keepNext/>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1,125</w:t>
            </w:r>
          </w:p>
        </w:tc>
      </w:tr>
      <w:tr w:rsidR="00B17A8B" w:rsidRPr="00B17A8B" w14:paraId="6E48B0C6" w14:textId="77777777" w:rsidTr="00B17A8B">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3C398ECC" w14:textId="77777777" w:rsidR="00B17A8B" w:rsidRPr="00B17A8B" w:rsidRDefault="00B17A8B" w:rsidP="009B6D25">
            <w:pPr>
              <w:keepNext/>
              <w:keepLines/>
              <w:jc w:val="left"/>
              <w:rPr>
                <w:rFonts w:asciiTheme="minorHAnsi" w:hAnsiTheme="minorHAnsi"/>
                <w:color w:val="000000"/>
                <w:sz w:val="20"/>
              </w:rPr>
            </w:pPr>
          </w:p>
        </w:tc>
        <w:tc>
          <w:tcPr>
            <w:tcW w:w="2120" w:type="pct"/>
          </w:tcPr>
          <w:p w14:paraId="0727FD4E" w14:textId="3094FCA2" w:rsidR="00B17A8B" w:rsidRPr="00B17A8B" w:rsidRDefault="00B17A8B" w:rsidP="009B6D25">
            <w:pPr>
              <w:keepNext/>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Duct Sealing</w:t>
            </w:r>
          </w:p>
        </w:tc>
        <w:tc>
          <w:tcPr>
            <w:tcW w:w="1098" w:type="pct"/>
            <w:noWrap/>
          </w:tcPr>
          <w:p w14:paraId="242D60F8" w14:textId="5EACB1B6" w:rsidR="00B17A8B" w:rsidRPr="00B17A8B" w:rsidRDefault="00B17A8B" w:rsidP="006E1CD0">
            <w:pPr>
              <w:keepNext/>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Linear feet</w:t>
            </w:r>
          </w:p>
        </w:tc>
        <w:tc>
          <w:tcPr>
            <w:tcW w:w="804" w:type="pct"/>
            <w:noWrap/>
          </w:tcPr>
          <w:p w14:paraId="7BEDD671" w14:textId="222A6B4F" w:rsidR="00B17A8B" w:rsidRPr="00B17A8B" w:rsidRDefault="00B17A8B" w:rsidP="009B6D25">
            <w:pPr>
              <w:keepNext/>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396</w:t>
            </w:r>
          </w:p>
        </w:tc>
      </w:tr>
      <w:tr w:rsidR="00B17A8B" w:rsidRPr="00B17A8B" w14:paraId="7FFEB84F" w14:textId="77777777" w:rsidTr="00B17A8B">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5C3FC296" w14:textId="77777777" w:rsidR="00B17A8B" w:rsidRPr="00B17A8B" w:rsidRDefault="00B17A8B" w:rsidP="009B6D25">
            <w:pPr>
              <w:keepNext/>
              <w:keepLines/>
              <w:jc w:val="left"/>
              <w:rPr>
                <w:rFonts w:asciiTheme="minorHAnsi" w:hAnsiTheme="minorHAnsi"/>
                <w:color w:val="000000"/>
                <w:sz w:val="20"/>
              </w:rPr>
            </w:pPr>
          </w:p>
        </w:tc>
        <w:tc>
          <w:tcPr>
            <w:tcW w:w="2120" w:type="pct"/>
          </w:tcPr>
          <w:p w14:paraId="1518D321" w14:textId="50638785" w:rsidR="00B17A8B" w:rsidRPr="00B17A8B" w:rsidRDefault="00B17A8B" w:rsidP="009B6D25">
            <w:pPr>
              <w:keepNext/>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Exhaust Damper</w:t>
            </w:r>
          </w:p>
        </w:tc>
        <w:tc>
          <w:tcPr>
            <w:tcW w:w="1098" w:type="pct"/>
            <w:noWrap/>
          </w:tcPr>
          <w:p w14:paraId="74685C45" w14:textId="1552E0A5" w:rsidR="00B17A8B" w:rsidRPr="00B17A8B" w:rsidRDefault="00B17A8B" w:rsidP="006E1CD0">
            <w:pPr>
              <w:keepNext/>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MBH Input</w:t>
            </w:r>
          </w:p>
        </w:tc>
        <w:tc>
          <w:tcPr>
            <w:tcW w:w="804" w:type="pct"/>
            <w:noWrap/>
          </w:tcPr>
          <w:p w14:paraId="62A8C79D" w14:textId="447048A3" w:rsidR="00B17A8B" w:rsidRPr="00B17A8B" w:rsidRDefault="00B17A8B" w:rsidP="009B6D25">
            <w:pPr>
              <w:keepNext/>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7,461</w:t>
            </w:r>
          </w:p>
        </w:tc>
      </w:tr>
      <w:tr w:rsidR="00B17A8B" w:rsidRPr="00B17A8B" w14:paraId="0EB93E8C" w14:textId="77777777" w:rsidTr="00B17A8B">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77768999" w14:textId="77777777" w:rsidR="00B17A8B" w:rsidRPr="00B17A8B" w:rsidRDefault="00B17A8B" w:rsidP="009B6D25">
            <w:pPr>
              <w:keepNext/>
              <w:keepLines/>
              <w:jc w:val="left"/>
              <w:rPr>
                <w:rFonts w:asciiTheme="minorHAnsi" w:hAnsiTheme="minorHAnsi"/>
                <w:color w:val="000000"/>
                <w:sz w:val="20"/>
              </w:rPr>
            </w:pPr>
          </w:p>
        </w:tc>
        <w:tc>
          <w:tcPr>
            <w:tcW w:w="2120" w:type="pct"/>
          </w:tcPr>
          <w:p w14:paraId="198998A3" w14:textId="45E98231" w:rsidR="00B17A8B" w:rsidRPr="00B17A8B" w:rsidRDefault="00B17A8B" w:rsidP="009B6D25">
            <w:pPr>
              <w:keepNext/>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Faucet Aerator – Bathroom (IU)</w:t>
            </w:r>
          </w:p>
        </w:tc>
        <w:tc>
          <w:tcPr>
            <w:tcW w:w="1098" w:type="pct"/>
            <w:noWrap/>
          </w:tcPr>
          <w:p w14:paraId="4EB167FA" w14:textId="62743C9A" w:rsidR="00B17A8B" w:rsidRPr="00B17A8B" w:rsidRDefault="000A4833" w:rsidP="006E1CD0">
            <w:pPr>
              <w:keepNext/>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06EEB598" w14:textId="229F628B" w:rsidR="00B17A8B" w:rsidRPr="00B17A8B" w:rsidRDefault="00B17A8B" w:rsidP="009B6D25">
            <w:pPr>
              <w:keepNext/>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1,800</w:t>
            </w:r>
          </w:p>
        </w:tc>
      </w:tr>
      <w:tr w:rsidR="00B17A8B" w:rsidRPr="00B17A8B" w14:paraId="404552B3" w14:textId="77777777" w:rsidTr="00B17A8B">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08988D7B" w14:textId="77777777" w:rsidR="00B17A8B" w:rsidRPr="00B17A8B" w:rsidRDefault="00B17A8B" w:rsidP="009B6D25">
            <w:pPr>
              <w:keepNext/>
              <w:keepLines/>
              <w:jc w:val="left"/>
              <w:rPr>
                <w:rFonts w:asciiTheme="minorHAnsi" w:hAnsiTheme="minorHAnsi"/>
                <w:color w:val="000000"/>
                <w:sz w:val="20"/>
              </w:rPr>
            </w:pPr>
          </w:p>
        </w:tc>
        <w:tc>
          <w:tcPr>
            <w:tcW w:w="2120" w:type="pct"/>
          </w:tcPr>
          <w:p w14:paraId="5F785DDB" w14:textId="2DAB7025" w:rsidR="00B17A8B" w:rsidRPr="00B17A8B" w:rsidRDefault="00B17A8B" w:rsidP="009B6D25">
            <w:pPr>
              <w:keepNext/>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Faucet Aerator – Kitchen (CA)</w:t>
            </w:r>
          </w:p>
        </w:tc>
        <w:tc>
          <w:tcPr>
            <w:tcW w:w="1098" w:type="pct"/>
            <w:noWrap/>
          </w:tcPr>
          <w:p w14:paraId="27B580EA" w14:textId="2045C819" w:rsidR="00B17A8B" w:rsidRPr="00B17A8B" w:rsidRDefault="000A4833" w:rsidP="006E1CD0">
            <w:pPr>
              <w:keepNext/>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791F4920" w14:textId="6BEA6DD8" w:rsidR="00B17A8B" w:rsidRPr="00B17A8B" w:rsidRDefault="00B17A8B" w:rsidP="009B6D25">
            <w:pPr>
              <w:keepNext/>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5</w:t>
            </w:r>
          </w:p>
        </w:tc>
      </w:tr>
      <w:tr w:rsidR="00B17A8B" w:rsidRPr="00B17A8B" w14:paraId="376EF0D0" w14:textId="77777777" w:rsidTr="00B17A8B">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2FF9DE98" w14:textId="77777777" w:rsidR="00B17A8B" w:rsidRPr="00B17A8B" w:rsidRDefault="00B17A8B" w:rsidP="009B6D25">
            <w:pPr>
              <w:keepNext/>
              <w:keepLines/>
              <w:jc w:val="left"/>
              <w:rPr>
                <w:rFonts w:asciiTheme="minorHAnsi" w:hAnsiTheme="minorHAnsi"/>
                <w:color w:val="000000"/>
                <w:sz w:val="20"/>
              </w:rPr>
            </w:pPr>
          </w:p>
        </w:tc>
        <w:tc>
          <w:tcPr>
            <w:tcW w:w="2120" w:type="pct"/>
          </w:tcPr>
          <w:p w14:paraId="1FDD44D0" w14:textId="079410F1" w:rsidR="00B17A8B" w:rsidRPr="00B17A8B" w:rsidRDefault="00B17A8B" w:rsidP="009B6D25">
            <w:pPr>
              <w:keepNext/>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Faucet Aerator – Kitchen (IU)</w:t>
            </w:r>
          </w:p>
        </w:tc>
        <w:tc>
          <w:tcPr>
            <w:tcW w:w="1098" w:type="pct"/>
            <w:noWrap/>
          </w:tcPr>
          <w:p w14:paraId="06A5A001" w14:textId="301A2CFE" w:rsidR="00B17A8B" w:rsidRPr="00B17A8B" w:rsidRDefault="000A4833" w:rsidP="006E1CD0">
            <w:pPr>
              <w:keepNext/>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1AF801EF" w14:textId="57943ED1" w:rsidR="00B17A8B" w:rsidRPr="00B17A8B" w:rsidRDefault="00B17A8B" w:rsidP="009B6D25">
            <w:pPr>
              <w:keepNext/>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3,061</w:t>
            </w:r>
          </w:p>
        </w:tc>
      </w:tr>
      <w:tr w:rsidR="00B17A8B" w:rsidRPr="00B17A8B" w14:paraId="09C462A2" w14:textId="77777777" w:rsidTr="00B17A8B">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7C9BEAB2" w14:textId="77777777" w:rsidR="00B17A8B" w:rsidRPr="00B17A8B" w:rsidRDefault="00B17A8B" w:rsidP="009B6D25">
            <w:pPr>
              <w:keepNext/>
              <w:keepLines/>
              <w:jc w:val="left"/>
              <w:rPr>
                <w:rFonts w:asciiTheme="minorHAnsi" w:hAnsiTheme="minorHAnsi"/>
                <w:color w:val="000000"/>
                <w:sz w:val="20"/>
              </w:rPr>
            </w:pPr>
          </w:p>
        </w:tc>
        <w:tc>
          <w:tcPr>
            <w:tcW w:w="2120" w:type="pct"/>
          </w:tcPr>
          <w:p w14:paraId="0487A415" w14:textId="6B97FF45" w:rsidR="00B17A8B" w:rsidRPr="00B17A8B" w:rsidRDefault="00B17A8B" w:rsidP="009B6D25">
            <w:pPr>
              <w:keepNext/>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Furnace Filter</w:t>
            </w:r>
          </w:p>
        </w:tc>
        <w:tc>
          <w:tcPr>
            <w:tcW w:w="1098" w:type="pct"/>
            <w:noWrap/>
          </w:tcPr>
          <w:p w14:paraId="62AE5F04" w14:textId="773CD1CE" w:rsidR="00B17A8B" w:rsidRPr="00B17A8B" w:rsidRDefault="000A4833" w:rsidP="006E1CD0">
            <w:pPr>
              <w:keepNext/>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56800ECB" w14:textId="584794F7" w:rsidR="00B17A8B" w:rsidRPr="00B17A8B" w:rsidRDefault="00B17A8B" w:rsidP="009B6D25">
            <w:pPr>
              <w:keepNext/>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434</w:t>
            </w:r>
          </w:p>
        </w:tc>
      </w:tr>
      <w:tr w:rsidR="00B17A8B" w:rsidRPr="00B17A8B" w14:paraId="11815CED" w14:textId="77777777" w:rsidTr="00B17A8B">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29EB4FAE" w14:textId="77777777" w:rsidR="00B17A8B" w:rsidRPr="00B17A8B" w:rsidRDefault="00B17A8B" w:rsidP="009B6D25">
            <w:pPr>
              <w:keepNext/>
              <w:keepLines/>
              <w:jc w:val="left"/>
              <w:rPr>
                <w:rFonts w:asciiTheme="minorHAnsi" w:hAnsiTheme="minorHAnsi"/>
                <w:color w:val="000000"/>
                <w:sz w:val="20"/>
              </w:rPr>
            </w:pPr>
          </w:p>
        </w:tc>
        <w:tc>
          <w:tcPr>
            <w:tcW w:w="2120" w:type="pct"/>
          </w:tcPr>
          <w:p w14:paraId="435C91AA" w14:textId="4D2AAC49" w:rsidR="00B17A8B" w:rsidRPr="00B17A8B" w:rsidRDefault="00B17A8B" w:rsidP="009B6D25">
            <w:pPr>
              <w:keepNext/>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High Efficiency Boiler</w:t>
            </w:r>
          </w:p>
        </w:tc>
        <w:tc>
          <w:tcPr>
            <w:tcW w:w="1098" w:type="pct"/>
            <w:noWrap/>
          </w:tcPr>
          <w:p w14:paraId="514CFD39" w14:textId="79203D37" w:rsidR="00B17A8B" w:rsidRPr="00B17A8B" w:rsidRDefault="00B17A8B" w:rsidP="006E1CD0">
            <w:pPr>
              <w:keepNext/>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MBH Input</w:t>
            </w:r>
          </w:p>
        </w:tc>
        <w:tc>
          <w:tcPr>
            <w:tcW w:w="804" w:type="pct"/>
            <w:noWrap/>
          </w:tcPr>
          <w:p w14:paraId="119B6514" w14:textId="64D958DF" w:rsidR="00B17A8B" w:rsidRPr="00B17A8B" w:rsidRDefault="00B17A8B" w:rsidP="009B6D25">
            <w:pPr>
              <w:keepNext/>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13</w:t>
            </w:r>
          </w:p>
        </w:tc>
      </w:tr>
      <w:tr w:rsidR="00B17A8B" w:rsidRPr="00B17A8B" w14:paraId="7BD5D7BE" w14:textId="77777777" w:rsidTr="00B17A8B">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08C97F02" w14:textId="77777777" w:rsidR="00B17A8B" w:rsidRPr="00B17A8B" w:rsidRDefault="00B17A8B" w:rsidP="009B6D25">
            <w:pPr>
              <w:keepNext/>
              <w:keepLines/>
              <w:jc w:val="left"/>
              <w:rPr>
                <w:rFonts w:asciiTheme="minorHAnsi" w:hAnsiTheme="minorHAnsi"/>
                <w:color w:val="000000"/>
                <w:sz w:val="20"/>
              </w:rPr>
            </w:pPr>
          </w:p>
        </w:tc>
        <w:tc>
          <w:tcPr>
            <w:tcW w:w="2120" w:type="pct"/>
          </w:tcPr>
          <w:p w14:paraId="351A1BDC" w14:textId="01334074" w:rsidR="00B17A8B" w:rsidRPr="00B17A8B" w:rsidRDefault="00B17A8B" w:rsidP="009B6D25">
            <w:pPr>
              <w:keepNext/>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High Efficiency Furnace</w:t>
            </w:r>
          </w:p>
        </w:tc>
        <w:tc>
          <w:tcPr>
            <w:tcW w:w="1098" w:type="pct"/>
            <w:noWrap/>
          </w:tcPr>
          <w:p w14:paraId="45ABA03D" w14:textId="263C42A9" w:rsidR="00B17A8B" w:rsidRPr="00B17A8B" w:rsidRDefault="00B17A8B" w:rsidP="006E1CD0">
            <w:pPr>
              <w:keepNext/>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MBH Input</w:t>
            </w:r>
          </w:p>
        </w:tc>
        <w:tc>
          <w:tcPr>
            <w:tcW w:w="804" w:type="pct"/>
            <w:noWrap/>
          </w:tcPr>
          <w:p w14:paraId="642F0B6A" w14:textId="6D3ACD56" w:rsidR="00B17A8B" w:rsidRPr="00B17A8B" w:rsidRDefault="00B17A8B" w:rsidP="009B6D25">
            <w:pPr>
              <w:keepNext/>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1,291</w:t>
            </w:r>
          </w:p>
        </w:tc>
      </w:tr>
      <w:tr w:rsidR="00B17A8B" w:rsidRPr="00B17A8B" w14:paraId="6B80F5D8" w14:textId="77777777" w:rsidTr="00B17A8B">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229B1F64" w14:textId="77777777" w:rsidR="00B17A8B" w:rsidRPr="00B17A8B" w:rsidRDefault="00B17A8B" w:rsidP="009B6D25">
            <w:pPr>
              <w:keepNext/>
              <w:keepLines/>
              <w:jc w:val="left"/>
              <w:rPr>
                <w:rFonts w:asciiTheme="minorHAnsi" w:hAnsiTheme="minorHAnsi"/>
                <w:color w:val="000000"/>
                <w:sz w:val="20"/>
              </w:rPr>
            </w:pPr>
          </w:p>
        </w:tc>
        <w:tc>
          <w:tcPr>
            <w:tcW w:w="2120" w:type="pct"/>
          </w:tcPr>
          <w:p w14:paraId="3410090F" w14:textId="61B4D117" w:rsidR="00B17A8B" w:rsidRPr="00B17A8B" w:rsidRDefault="00B17A8B" w:rsidP="009B6D25">
            <w:pPr>
              <w:keepNext/>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Low Flow Showerheads (CA)</w:t>
            </w:r>
          </w:p>
        </w:tc>
        <w:tc>
          <w:tcPr>
            <w:tcW w:w="1098" w:type="pct"/>
            <w:noWrap/>
          </w:tcPr>
          <w:p w14:paraId="66385419" w14:textId="7349BB40" w:rsidR="00B17A8B" w:rsidRPr="00B17A8B" w:rsidRDefault="000A4833" w:rsidP="006E1CD0">
            <w:pPr>
              <w:keepNext/>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19FF2025" w14:textId="030DDC7E" w:rsidR="00B17A8B" w:rsidRPr="00B17A8B" w:rsidRDefault="00B17A8B" w:rsidP="009B6D25">
            <w:pPr>
              <w:keepNext/>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6</w:t>
            </w:r>
          </w:p>
        </w:tc>
      </w:tr>
      <w:tr w:rsidR="00B17A8B" w:rsidRPr="00B17A8B" w14:paraId="136C6C76" w14:textId="77777777" w:rsidTr="00B17A8B">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1B16A4EE" w14:textId="77777777" w:rsidR="00B17A8B" w:rsidRPr="00B17A8B" w:rsidRDefault="00B17A8B" w:rsidP="009B6D25">
            <w:pPr>
              <w:keepNext/>
              <w:keepLines/>
              <w:jc w:val="left"/>
              <w:rPr>
                <w:rFonts w:asciiTheme="minorHAnsi" w:hAnsiTheme="minorHAnsi"/>
                <w:color w:val="000000"/>
                <w:sz w:val="20"/>
              </w:rPr>
            </w:pPr>
          </w:p>
        </w:tc>
        <w:tc>
          <w:tcPr>
            <w:tcW w:w="2120" w:type="pct"/>
          </w:tcPr>
          <w:p w14:paraId="4EC20C3C" w14:textId="45D06D2B" w:rsidR="00B17A8B" w:rsidRPr="00B17A8B" w:rsidRDefault="00B17A8B" w:rsidP="009B6D25">
            <w:pPr>
              <w:keepNext/>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Low Flow Showerheads (IU)</w:t>
            </w:r>
          </w:p>
        </w:tc>
        <w:tc>
          <w:tcPr>
            <w:tcW w:w="1098" w:type="pct"/>
            <w:noWrap/>
          </w:tcPr>
          <w:p w14:paraId="055C4878" w14:textId="6EA18A59" w:rsidR="00B17A8B" w:rsidRPr="00B17A8B" w:rsidRDefault="000A4833" w:rsidP="006E1CD0">
            <w:pPr>
              <w:keepNext/>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4054E1EF" w14:textId="268AF176" w:rsidR="00B17A8B" w:rsidRPr="00B17A8B" w:rsidRDefault="00B17A8B" w:rsidP="009B6D25">
            <w:pPr>
              <w:keepNext/>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3,453</w:t>
            </w:r>
          </w:p>
        </w:tc>
      </w:tr>
      <w:tr w:rsidR="00B17A8B" w:rsidRPr="00B17A8B" w14:paraId="3E2551E2" w14:textId="77777777" w:rsidTr="00B17A8B">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59EAEC5A" w14:textId="77777777" w:rsidR="00B17A8B" w:rsidRPr="00B17A8B" w:rsidRDefault="00B17A8B" w:rsidP="009B6D25">
            <w:pPr>
              <w:keepNext/>
              <w:keepLines/>
              <w:jc w:val="left"/>
              <w:rPr>
                <w:rFonts w:asciiTheme="minorHAnsi" w:hAnsiTheme="minorHAnsi"/>
                <w:color w:val="000000"/>
                <w:sz w:val="20"/>
              </w:rPr>
            </w:pPr>
          </w:p>
        </w:tc>
        <w:tc>
          <w:tcPr>
            <w:tcW w:w="2120" w:type="pct"/>
          </w:tcPr>
          <w:p w14:paraId="247A1EE6" w14:textId="2F8843CF" w:rsidR="00B17A8B" w:rsidRPr="00B17A8B" w:rsidRDefault="00B17A8B" w:rsidP="009B6D25">
            <w:pPr>
              <w:keepNext/>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Pipe Insulation</w:t>
            </w:r>
          </w:p>
        </w:tc>
        <w:tc>
          <w:tcPr>
            <w:tcW w:w="1098" w:type="pct"/>
            <w:noWrap/>
          </w:tcPr>
          <w:p w14:paraId="7C002E19" w14:textId="46455B2A" w:rsidR="00B17A8B" w:rsidRPr="00B17A8B" w:rsidRDefault="000A4833" w:rsidP="006E1CD0">
            <w:pPr>
              <w:keepNext/>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2DF57F67" w14:textId="5182EC04" w:rsidR="00B17A8B" w:rsidRPr="00B17A8B" w:rsidRDefault="00B17A8B" w:rsidP="009B6D25">
            <w:pPr>
              <w:keepNext/>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1632</w:t>
            </w:r>
          </w:p>
        </w:tc>
      </w:tr>
      <w:tr w:rsidR="00B17A8B" w:rsidRPr="00B17A8B" w14:paraId="6E410965" w14:textId="77777777" w:rsidTr="00B17A8B">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7163411A" w14:textId="77777777" w:rsidR="00B17A8B" w:rsidRPr="00B17A8B" w:rsidRDefault="00B17A8B" w:rsidP="009B6D25">
            <w:pPr>
              <w:keepNext/>
              <w:keepLines/>
              <w:rPr>
                <w:rFonts w:asciiTheme="minorHAnsi" w:hAnsiTheme="minorHAnsi"/>
                <w:color w:val="000000"/>
                <w:sz w:val="20"/>
              </w:rPr>
            </w:pPr>
          </w:p>
        </w:tc>
        <w:tc>
          <w:tcPr>
            <w:tcW w:w="2120" w:type="pct"/>
          </w:tcPr>
          <w:p w14:paraId="07C5875F" w14:textId="1D60F4A7" w:rsidR="00B17A8B" w:rsidRPr="00B17A8B" w:rsidRDefault="00B17A8B" w:rsidP="000F4A47">
            <w:pPr>
              <w:keepNext/>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17A8B">
              <w:rPr>
                <w:rFonts w:asciiTheme="minorHAnsi" w:hAnsiTheme="minorHAnsi"/>
                <w:sz w:val="20"/>
              </w:rPr>
              <w:t>Pipe Insulation</w:t>
            </w:r>
          </w:p>
        </w:tc>
        <w:tc>
          <w:tcPr>
            <w:tcW w:w="1098" w:type="pct"/>
            <w:noWrap/>
          </w:tcPr>
          <w:p w14:paraId="3FE703FB" w14:textId="0BA9EFC7" w:rsidR="00B17A8B" w:rsidRPr="00B17A8B" w:rsidRDefault="00B17A8B" w:rsidP="006E1CD0">
            <w:pPr>
              <w:keepNext/>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17A8B">
              <w:rPr>
                <w:rFonts w:asciiTheme="minorHAnsi" w:hAnsiTheme="minorHAnsi"/>
                <w:sz w:val="20"/>
              </w:rPr>
              <w:t>Linear feet</w:t>
            </w:r>
          </w:p>
        </w:tc>
        <w:tc>
          <w:tcPr>
            <w:tcW w:w="804" w:type="pct"/>
            <w:noWrap/>
          </w:tcPr>
          <w:p w14:paraId="1C907E11" w14:textId="150979B9" w:rsidR="00B17A8B" w:rsidRPr="00B17A8B" w:rsidRDefault="00B17A8B" w:rsidP="009B6D25">
            <w:pPr>
              <w:keepNext/>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B17A8B">
              <w:rPr>
                <w:rFonts w:asciiTheme="minorHAnsi" w:hAnsiTheme="minorHAnsi"/>
                <w:sz w:val="20"/>
              </w:rPr>
              <w:t>31192</w:t>
            </w:r>
          </w:p>
        </w:tc>
      </w:tr>
      <w:tr w:rsidR="00B17A8B" w:rsidRPr="00B17A8B" w14:paraId="3AAAD941" w14:textId="77777777" w:rsidTr="00B17A8B">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7CDCA7E2" w14:textId="77777777" w:rsidR="00B17A8B" w:rsidRPr="00B17A8B" w:rsidRDefault="00B17A8B" w:rsidP="009B6D25">
            <w:pPr>
              <w:keepNext/>
              <w:keepLines/>
              <w:jc w:val="left"/>
              <w:rPr>
                <w:rFonts w:asciiTheme="minorHAnsi" w:hAnsiTheme="minorHAnsi"/>
                <w:color w:val="000000"/>
                <w:sz w:val="20"/>
              </w:rPr>
            </w:pPr>
          </w:p>
        </w:tc>
        <w:tc>
          <w:tcPr>
            <w:tcW w:w="2120" w:type="pct"/>
          </w:tcPr>
          <w:p w14:paraId="38219119" w14:textId="259CC462" w:rsidR="00B17A8B" w:rsidRPr="00B17A8B" w:rsidRDefault="00B17A8B" w:rsidP="009B6D25">
            <w:pPr>
              <w:keepNext/>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Programmable Thermostats</w:t>
            </w:r>
          </w:p>
        </w:tc>
        <w:tc>
          <w:tcPr>
            <w:tcW w:w="1098" w:type="pct"/>
            <w:noWrap/>
          </w:tcPr>
          <w:p w14:paraId="7AC839A1" w14:textId="6DC72436" w:rsidR="00B17A8B" w:rsidRPr="00B17A8B" w:rsidRDefault="000A4833" w:rsidP="006E1CD0">
            <w:pPr>
              <w:keepNext/>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6E57D59D" w14:textId="0B1BEB47" w:rsidR="00B17A8B" w:rsidRPr="00B17A8B" w:rsidRDefault="00B17A8B" w:rsidP="009B6D25">
            <w:pPr>
              <w:keepNext/>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454</w:t>
            </w:r>
          </w:p>
        </w:tc>
      </w:tr>
      <w:tr w:rsidR="00B17A8B" w:rsidRPr="00B17A8B" w14:paraId="27166A4B" w14:textId="77777777" w:rsidTr="00B17A8B">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62FD1381" w14:textId="77777777" w:rsidR="00B17A8B" w:rsidRPr="00B17A8B" w:rsidRDefault="00B17A8B" w:rsidP="009B6D25">
            <w:pPr>
              <w:keepNext/>
              <w:keepLines/>
              <w:jc w:val="left"/>
              <w:rPr>
                <w:rFonts w:asciiTheme="minorHAnsi" w:hAnsiTheme="minorHAnsi"/>
                <w:color w:val="000000"/>
                <w:sz w:val="20"/>
              </w:rPr>
            </w:pPr>
          </w:p>
        </w:tc>
        <w:tc>
          <w:tcPr>
            <w:tcW w:w="2120" w:type="pct"/>
          </w:tcPr>
          <w:p w14:paraId="21E22E22" w14:textId="491DC0E9" w:rsidR="00B17A8B" w:rsidRPr="00B17A8B" w:rsidRDefault="00B17A8B" w:rsidP="009B6D25">
            <w:pPr>
              <w:keepNext/>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Reprogrammable Thermostat</w:t>
            </w:r>
          </w:p>
        </w:tc>
        <w:tc>
          <w:tcPr>
            <w:tcW w:w="1098" w:type="pct"/>
            <w:noWrap/>
          </w:tcPr>
          <w:p w14:paraId="7D1081E6" w14:textId="0BC5102D" w:rsidR="00B17A8B" w:rsidRPr="00B17A8B" w:rsidRDefault="000A4833" w:rsidP="006E1CD0">
            <w:pPr>
              <w:keepNext/>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7D54538E" w14:textId="2F435686" w:rsidR="00B17A8B" w:rsidRPr="00B17A8B" w:rsidRDefault="00B17A8B" w:rsidP="009B6D25">
            <w:pPr>
              <w:keepNext/>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71</w:t>
            </w:r>
          </w:p>
        </w:tc>
      </w:tr>
      <w:tr w:rsidR="00B17A8B" w:rsidRPr="00B17A8B" w14:paraId="2D83339D" w14:textId="77777777" w:rsidTr="00B17A8B">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5874B9E8" w14:textId="77777777" w:rsidR="00B17A8B" w:rsidRPr="00B17A8B" w:rsidRDefault="00B17A8B" w:rsidP="009B6D25">
            <w:pPr>
              <w:keepNext/>
              <w:keepLines/>
              <w:jc w:val="left"/>
              <w:rPr>
                <w:rFonts w:asciiTheme="minorHAnsi" w:hAnsiTheme="minorHAnsi"/>
                <w:color w:val="000000"/>
                <w:sz w:val="20"/>
              </w:rPr>
            </w:pPr>
          </w:p>
        </w:tc>
        <w:tc>
          <w:tcPr>
            <w:tcW w:w="2120" w:type="pct"/>
          </w:tcPr>
          <w:p w14:paraId="110CD346" w14:textId="455B2FBE" w:rsidR="00B17A8B" w:rsidRPr="00B17A8B" w:rsidRDefault="00B17A8B" w:rsidP="009B6D25">
            <w:pPr>
              <w:keepNext/>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Shower Timer</w:t>
            </w:r>
          </w:p>
        </w:tc>
        <w:tc>
          <w:tcPr>
            <w:tcW w:w="1098" w:type="pct"/>
            <w:noWrap/>
          </w:tcPr>
          <w:p w14:paraId="3411DDAD" w14:textId="220A38D6" w:rsidR="00B17A8B" w:rsidRPr="00B17A8B" w:rsidRDefault="000A4833" w:rsidP="006E1CD0">
            <w:pPr>
              <w:keepNext/>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2C7206FF" w14:textId="4578DECA" w:rsidR="00B17A8B" w:rsidRPr="00B17A8B" w:rsidRDefault="00B17A8B" w:rsidP="009B6D25">
            <w:pPr>
              <w:keepNext/>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4,750</w:t>
            </w:r>
          </w:p>
        </w:tc>
      </w:tr>
      <w:tr w:rsidR="00B17A8B" w:rsidRPr="00B17A8B" w14:paraId="45C4FE63" w14:textId="77777777" w:rsidTr="00B17A8B">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7553FD65" w14:textId="77777777" w:rsidR="00B17A8B" w:rsidRPr="00B17A8B" w:rsidRDefault="00B17A8B" w:rsidP="009B6D25">
            <w:pPr>
              <w:keepNext/>
              <w:keepLines/>
              <w:jc w:val="left"/>
              <w:rPr>
                <w:rFonts w:asciiTheme="minorHAnsi" w:hAnsiTheme="minorHAnsi"/>
                <w:color w:val="000000"/>
                <w:sz w:val="20"/>
              </w:rPr>
            </w:pPr>
          </w:p>
        </w:tc>
        <w:tc>
          <w:tcPr>
            <w:tcW w:w="2120" w:type="pct"/>
          </w:tcPr>
          <w:p w14:paraId="322CFC29" w14:textId="3DC221C4" w:rsidR="00B17A8B" w:rsidRPr="00B17A8B" w:rsidRDefault="00B17A8B" w:rsidP="009B6D25">
            <w:pPr>
              <w:keepNext/>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Steam Boiler Average Controls</w:t>
            </w:r>
          </w:p>
        </w:tc>
        <w:tc>
          <w:tcPr>
            <w:tcW w:w="1098" w:type="pct"/>
            <w:noWrap/>
          </w:tcPr>
          <w:p w14:paraId="02D27D1A" w14:textId="5B963B36" w:rsidR="00B17A8B" w:rsidRPr="00B17A8B" w:rsidRDefault="00B17A8B" w:rsidP="006E1CD0">
            <w:pPr>
              <w:keepNext/>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Living Units</w:t>
            </w:r>
          </w:p>
        </w:tc>
        <w:tc>
          <w:tcPr>
            <w:tcW w:w="804" w:type="pct"/>
            <w:noWrap/>
          </w:tcPr>
          <w:p w14:paraId="6015F781" w14:textId="2D6A6CBF" w:rsidR="00B17A8B" w:rsidRPr="00B17A8B" w:rsidRDefault="00B17A8B" w:rsidP="009B6D25">
            <w:pPr>
              <w:keepNext/>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757</w:t>
            </w:r>
          </w:p>
        </w:tc>
      </w:tr>
      <w:tr w:rsidR="00B17A8B" w:rsidRPr="00B17A8B" w14:paraId="597581BB" w14:textId="77777777" w:rsidTr="00B17A8B">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46A29152" w14:textId="77777777" w:rsidR="00B17A8B" w:rsidRPr="00B17A8B" w:rsidRDefault="00B17A8B" w:rsidP="009B6D25">
            <w:pPr>
              <w:keepNext/>
              <w:keepLines/>
              <w:jc w:val="left"/>
              <w:rPr>
                <w:rFonts w:asciiTheme="minorHAnsi" w:hAnsiTheme="minorHAnsi"/>
                <w:color w:val="000000"/>
                <w:sz w:val="20"/>
              </w:rPr>
            </w:pPr>
          </w:p>
        </w:tc>
        <w:tc>
          <w:tcPr>
            <w:tcW w:w="2120" w:type="pct"/>
          </w:tcPr>
          <w:p w14:paraId="65ADE083" w14:textId="66DAA4F7" w:rsidR="00B17A8B" w:rsidRPr="00B17A8B" w:rsidRDefault="00B17A8B" w:rsidP="009B6D25">
            <w:pPr>
              <w:keepNext/>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Steam Traps</w:t>
            </w:r>
          </w:p>
        </w:tc>
        <w:tc>
          <w:tcPr>
            <w:tcW w:w="1098" w:type="pct"/>
            <w:noWrap/>
          </w:tcPr>
          <w:p w14:paraId="5A8AE6BE" w14:textId="7D331CD7" w:rsidR="00B17A8B" w:rsidRPr="00B17A8B" w:rsidRDefault="000A4833" w:rsidP="006E1CD0">
            <w:pPr>
              <w:keepNext/>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1DC2E91B" w14:textId="4907B749" w:rsidR="00B17A8B" w:rsidRPr="00B17A8B" w:rsidRDefault="00B17A8B" w:rsidP="009B6D25">
            <w:pPr>
              <w:keepNext/>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2,938</w:t>
            </w:r>
          </w:p>
        </w:tc>
      </w:tr>
      <w:tr w:rsidR="00B17A8B" w:rsidRPr="00B17A8B" w14:paraId="028D2015" w14:textId="77777777" w:rsidTr="00DF5C29">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Borders>
              <w:bottom w:val="single" w:sz="12" w:space="0" w:color="80DDEB" w:themeColor="accent6"/>
            </w:tcBorders>
          </w:tcPr>
          <w:p w14:paraId="4799BE39" w14:textId="77777777" w:rsidR="00B17A8B" w:rsidRPr="00B17A8B" w:rsidRDefault="00B17A8B" w:rsidP="009B6D25">
            <w:pPr>
              <w:keepNext/>
              <w:keepLines/>
              <w:jc w:val="left"/>
              <w:rPr>
                <w:rFonts w:asciiTheme="minorHAnsi" w:hAnsiTheme="minorHAnsi"/>
                <w:color w:val="000000"/>
                <w:sz w:val="20"/>
              </w:rPr>
            </w:pPr>
          </w:p>
        </w:tc>
        <w:tc>
          <w:tcPr>
            <w:tcW w:w="2120" w:type="pct"/>
            <w:tcBorders>
              <w:bottom w:val="single" w:sz="12" w:space="0" w:color="80DDEB" w:themeColor="accent6"/>
            </w:tcBorders>
          </w:tcPr>
          <w:p w14:paraId="702358B6" w14:textId="012619BD" w:rsidR="00B17A8B" w:rsidRPr="00B17A8B" w:rsidRDefault="00B17A8B" w:rsidP="009B6D25">
            <w:pPr>
              <w:keepNext/>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Wall Insulation</w:t>
            </w:r>
          </w:p>
        </w:tc>
        <w:tc>
          <w:tcPr>
            <w:tcW w:w="1098" w:type="pct"/>
            <w:tcBorders>
              <w:bottom w:val="single" w:sz="12" w:space="0" w:color="80DDEB" w:themeColor="accent6"/>
            </w:tcBorders>
            <w:noWrap/>
          </w:tcPr>
          <w:p w14:paraId="170F2D50" w14:textId="2DB60A0E" w:rsidR="00B17A8B" w:rsidRPr="00B17A8B" w:rsidRDefault="00B17A8B" w:rsidP="006E1CD0">
            <w:pPr>
              <w:keepNext/>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Square feet</w:t>
            </w:r>
          </w:p>
        </w:tc>
        <w:tc>
          <w:tcPr>
            <w:tcW w:w="804" w:type="pct"/>
            <w:tcBorders>
              <w:bottom w:val="single" w:sz="12" w:space="0" w:color="80DDEB" w:themeColor="accent6"/>
            </w:tcBorders>
            <w:noWrap/>
          </w:tcPr>
          <w:p w14:paraId="3C4A1ED2" w14:textId="3BAC7CE0" w:rsidR="00B17A8B" w:rsidRPr="00B17A8B" w:rsidRDefault="00B17A8B" w:rsidP="009B6D25">
            <w:pPr>
              <w:keepNext/>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252</w:t>
            </w:r>
          </w:p>
        </w:tc>
      </w:tr>
      <w:tr w:rsidR="00B17A8B" w:rsidRPr="00B17A8B" w14:paraId="4128E057" w14:textId="77777777" w:rsidTr="00DF5C29">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val="restart"/>
            <w:tcBorders>
              <w:top w:val="single" w:sz="12" w:space="0" w:color="80DDEB" w:themeColor="accent6"/>
            </w:tcBorders>
          </w:tcPr>
          <w:p w14:paraId="587A34E2" w14:textId="6C88C68C" w:rsidR="00B17A8B" w:rsidRPr="00B17A8B" w:rsidRDefault="00B17A8B" w:rsidP="009B6D25">
            <w:pPr>
              <w:keepNext/>
              <w:keepLines/>
              <w:jc w:val="left"/>
              <w:rPr>
                <w:rFonts w:asciiTheme="minorHAnsi" w:hAnsiTheme="minorHAnsi"/>
                <w:color w:val="000000"/>
                <w:sz w:val="20"/>
              </w:rPr>
            </w:pPr>
            <w:r w:rsidRPr="00B17A8B">
              <w:rPr>
                <w:rFonts w:asciiTheme="minorHAnsi" w:hAnsiTheme="minorHAnsi"/>
                <w:sz w:val="20"/>
              </w:rPr>
              <w:t>IHWAP</w:t>
            </w:r>
          </w:p>
        </w:tc>
        <w:tc>
          <w:tcPr>
            <w:tcW w:w="2120" w:type="pct"/>
            <w:tcBorders>
              <w:top w:val="single" w:sz="12" w:space="0" w:color="80DDEB" w:themeColor="accent6"/>
            </w:tcBorders>
          </w:tcPr>
          <w:p w14:paraId="634BA23C" w14:textId="1389E93E" w:rsidR="00B17A8B" w:rsidRPr="00B17A8B" w:rsidRDefault="00B17A8B" w:rsidP="009B6D25">
            <w:pPr>
              <w:keepNext/>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Air Sealing</w:t>
            </w:r>
          </w:p>
        </w:tc>
        <w:tc>
          <w:tcPr>
            <w:tcW w:w="1098" w:type="pct"/>
            <w:tcBorders>
              <w:top w:val="single" w:sz="12" w:space="0" w:color="80DDEB" w:themeColor="accent6"/>
            </w:tcBorders>
            <w:noWrap/>
          </w:tcPr>
          <w:p w14:paraId="679BB35B" w14:textId="2CE65FAA" w:rsidR="00B17A8B" w:rsidRPr="00B17A8B" w:rsidRDefault="000A4833" w:rsidP="006E1CD0">
            <w:pPr>
              <w:keepNext/>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tcBorders>
              <w:top w:val="single" w:sz="12" w:space="0" w:color="80DDEB" w:themeColor="accent6"/>
            </w:tcBorders>
            <w:noWrap/>
          </w:tcPr>
          <w:p w14:paraId="5B3CA8E9" w14:textId="480F456F" w:rsidR="00B17A8B" w:rsidRPr="00B17A8B" w:rsidRDefault="00B17A8B" w:rsidP="009B6D25">
            <w:pPr>
              <w:keepNext/>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16,805</w:t>
            </w:r>
          </w:p>
        </w:tc>
      </w:tr>
      <w:tr w:rsidR="00B17A8B" w:rsidRPr="00B17A8B" w14:paraId="23DAA94A" w14:textId="77777777" w:rsidTr="00B17A8B">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413C4342" w14:textId="77777777" w:rsidR="00B17A8B" w:rsidRPr="00B17A8B" w:rsidRDefault="00B17A8B" w:rsidP="009B6D25">
            <w:pPr>
              <w:keepNext/>
              <w:keepLines/>
              <w:jc w:val="left"/>
              <w:rPr>
                <w:rFonts w:asciiTheme="minorHAnsi" w:hAnsiTheme="minorHAnsi"/>
                <w:color w:val="000000"/>
                <w:sz w:val="20"/>
              </w:rPr>
            </w:pPr>
          </w:p>
        </w:tc>
        <w:tc>
          <w:tcPr>
            <w:tcW w:w="2120" w:type="pct"/>
          </w:tcPr>
          <w:p w14:paraId="3FED1FC1" w14:textId="327346B1" w:rsidR="00B17A8B" w:rsidRPr="00B17A8B" w:rsidRDefault="00B17A8B" w:rsidP="009B6D25">
            <w:pPr>
              <w:keepNext/>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Custom</w:t>
            </w:r>
          </w:p>
        </w:tc>
        <w:tc>
          <w:tcPr>
            <w:tcW w:w="1098" w:type="pct"/>
            <w:noWrap/>
          </w:tcPr>
          <w:p w14:paraId="06E814B8" w14:textId="1CF0C477" w:rsidR="00B17A8B" w:rsidRPr="00B17A8B" w:rsidRDefault="000A4833" w:rsidP="006E1CD0">
            <w:pPr>
              <w:keepNext/>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106F9603" w14:textId="3F0A0CB2" w:rsidR="00B17A8B" w:rsidRPr="00B17A8B" w:rsidRDefault="00B17A8B" w:rsidP="009B6D25">
            <w:pPr>
              <w:keepNext/>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105</w:t>
            </w:r>
          </w:p>
        </w:tc>
      </w:tr>
      <w:tr w:rsidR="00B17A8B" w:rsidRPr="00B17A8B" w14:paraId="27533437" w14:textId="77777777" w:rsidTr="00B17A8B">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2881DED6" w14:textId="77777777" w:rsidR="00B17A8B" w:rsidRPr="00B17A8B" w:rsidRDefault="00B17A8B" w:rsidP="009B6D25">
            <w:pPr>
              <w:keepNext/>
              <w:keepLines/>
              <w:jc w:val="left"/>
              <w:rPr>
                <w:rFonts w:asciiTheme="minorHAnsi" w:hAnsiTheme="minorHAnsi"/>
                <w:color w:val="000000"/>
                <w:sz w:val="20"/>
              </w:rPr>
            </w:pPr>
          </w:p>
        </w:tc>
        <w:tc>
          <w:tcPr>
            <w:tcW w:w="2120" w:type="pct"/>
          </w:tcPr>
          <w:p w14:paraId="194E7736" w14:textId="1793789A" w:rsidR="00B17A8B" w:rsidRPr="00B17A8B" w:rsidRDefault="00B17A8B" w:rsidP="009B6D25">
            <w:pPr>
              <w:keepNext/>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Faucet Aerator – Bathroom (IU)</w:t>
            </w:r>
          </w:p>
        </w:tc>
        <w:tc>
          <w:tcPr>
            <w:tcW w:w="1098" w:type="pct"/>
            <w:noWrap/>
          </w:tcPr>
          <w:p w14:paraId="72400052" w14:textId="5BADDC8D" w:rsidR="00B17A8B" w:rsidRPr="00B17A8B" w:rsidRDefault="000A4833" w:rsidP="006E1CD0">
            <w:pPr>
              <w:keepNext/>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1C59425A" w14:textId="24984A06" w:rsidR="00B17A8B" w:rsidRPr="00B17A8B" w:rsidRDefault="00B17A8B" w:rsidP="009B6D25">
            <w:pPr>
              <w:keepNext/>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72</w:t>
            </w:r>
          </w:p>
        </w:tc>
      </w:tr>
      <w:tr w:rsidR="00B17A8B" w:rsidRPr="00B17A8B" w14:paraId="7AEE7B3D" w14:textId="77777777" w:rsidTr="00B17A8B">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27F292C5" w14:textId="77777777" w:rsidR="00B17A8B" w:rsidRPr="00B17A8B" w:rsidRDefault="00B17A8B" w:rsidP="009B6D25">
            <w:pPr>
              <w:keepNext/>
              <w:keepLines/>
              <w:jc w:val="left"/>
              <w:rPr>
                <w:rFonts w:asciiTheme="minorHAnsi" w:hAnsiTheme="minorHAnsi"/>
                <w:color w:val="000000"/>
                <w:sz w:val="20"/>
              </w:rPr>
            </w:pPr>
          </w:p>
        </w:tc>
        <w:tc>
          <w:tcPr>
            <w:tcW w:w="2120" w:type="pct"/>
          </w:tcPr>
          <w:p w14:paraId="1FF569A2" w14:textId="119BC416" w:rsidR="00B17A8B" w:rsidRPr="00B17A8B" w:rsidRDefault="00B17A8B" w:rsidP="009B6D25">
            <w:pPr>
              <w:keepNext/>
              <w:keepLines/>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Faucet Aerator – Kitchen (IU)</w:t>
            </w:r>
          </w:p>
        </w:tc>
        <w:tc>
          <w:tcPr>
            <w:tcW w:w="1098" w:type="pct"/>
            <w:noWrap/>
          </w:tcPr>
          <w:p w14:paraId="24E22C11" w14:textId="37F2E677" w:rsidR="00B17A8B" w:rsidRPr="00B17A8B" w:rsidRDefault="000A4833" w:rsidP="006E1CD0">
            <w:pPr>
              <w:keepNext/>
              <w:keepLines/>
              <w:spacing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13C15535" w14:textId="7B91AA8E" w:rsidR="00B17A8B" w:rsidRPr="00B17A8B" w:rsidRDefault="00B17A8B" w:rsidP="009B6D25">
            <w:pPr>
              <w:keepNext/>
              <w:keepLines/>
              <w:spacing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rFonts w:asciiTheme="minorHAnsi" w:hAnsiTheme="minorHAnsi"/>
                <w:sz w:val="20"/>
              </w:rPr>
              <w:t>79</w:t>
            </w:r>
          </w:p>
        </w:tc>
      </w:tr>
      <w:tr w:rsidR="00B17A8B" w:rsidRPr="00B17A8B" w14:paraId="35D5A09F" w14:textId="77777777" w:rsidTr="00B17A8B">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978" w:type="pct"/>
            <w:vMerge/>
          </w:tcPr>
          <w:p w14:paraId="12D9B328" w14:textId="77777777" w:rsidR="00B17A8B" w:rsidRPr="00B17A8B" w:rsidRDefault="00B17A8B" w:rsidP="009B6D25">
            <w:pPr>
              <w:keepNext/>
              <w:keepLines/>
              <w:jc w:val="left"/>
              <w:rPr>
                <w:rFonts w:asciiTheme="minorHAnsi" w:hAnsiTheme="minorHAnsi"/>
                <w:color w:val="000000"/>
                <w:sz w:val="20"/>
              </w:rPr>
            </w:pPr>
          </w:p>
        </w:tc>
        <w:tc>
          <w:tcPr>
            <w:tcW w:w="2120" w:type="pct"/>
          </w:tcPr>
          <w:p w14:paraId="44BAD39B" w14:textId="1E48F3D6" w:rsidR="00B17A8B" w:rsidRPr="00B17A8B" w:rsidRDefault="00B17A8B" w:rsidP="009B6D25">
            <w:pPr>
              <w:keepNext/>
              <w:keepLines/>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Showerhead (IU)</w:t>
            </w:r>
          </w:p>
        </w:tc>
        <w:tc>
          <w:tcPr>
            <w:tcW w:w="1098" w:type="pct"/>
            <w:noWrap/>
          </w:tcPr>
          <w:p w14:paraId="4E54C57D" w14:textId="7C802384" w:rsidR="00B17A8B" w:rsidRPr="00B17A8B" w:rsidRDefault="000A4833" w:rsidP="006E1CD0">
            <w:pPr>
              <w:keepNext/>
              <w:keepLines/>
              <w:spacing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Pr>
                <w:rFonts w:asciiTheme="minorHAnsi" w:hAnsiTheme="minorHAnsi"/>
                <w:sz w:val="20"/>
              </w:rPr>
              <w:t>Unit</w:t>
            </w:r>
          </w:p>
        </w:tc>
        <w:tc>
          <w:tcPr>
            <w:tcW w:w="804" w:type="pct"/>
            <w:noWrap/>
          </w:tcPr>
          <w:p w14:paraId="252920A2" w14:textId="128BEC41" w:rsidR="00B17A8B" w:rsidRPr="00B17A8B" w:rsidRDefault="00B17A8B" w:rsidP="009B6D25">
            <w:pPr>
              <w:keepNext/>
              <w:keepLines/>
              <w:spacing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rFonts w:asciiTheme="minorHAnsi" w:hAnsiTheme="minorHAnsi"/>
                <w:sz w:val="20"/>
              </w:rPr>
              <w:t>93</w:t>
            </w:r>
          </w:p>
        </w:tc>
      </w:tr>
    </w:tbl>
    <w:p w14:paraId="539B12D4" w14:textId="124A26A0" w:rsidR="00B773EE" w:rsidRDefault="00B773EE" w:rsidP="00FF167E">
      <w:pPr>
        <w:pStyle w:val="TableFigureSourceorNote"/>
      </w:pPr>
      <w:r w:rsidRPr="00651E3A">
        <w:t xml:space="preserve">Source: </w:t>
      </w:r>
      <w:bookmarkStart w:id="15" w:name="_Hlk186754865"/>
      <w:r w:rsidR="00313B55">
        <w:t>Peoples</w:t>
      </w:r>
      <w:r>
        <w:t xml:space="preserve"> Gas tracking data and evaluation team </w:t>
      </w:r>
      <w:r w:rsidRPr="00651E3A">
        <w:t>analysis</w:t>
      </w:r>
      <w:bookmarkEnd w:id="15"/>
      <w:r w:rsidRPr="00651E3A">
        <w:t>.</w:t>
      </w:r>
    </w:p>
    <w:p w14:paraId="1D109BF3" w14:textId="77777777" w:rsidR="008F3DFF" w:rsidRDefault="008F3DFF" w:rsidP="008F3DFF"/>
    <w:p w14:paraId="3899011D" w14:textId="279FD86D" w:rsidR="008F3DFF" w:rsidRDefault="008F3DFF" w:rsidP="008F3DFF">
      <w:r>
        <w:t xml:space="preserve">The NSG program had </w:t>
      </w:r>
      <w:r w:rsidR="004153AC" w:rsidRPr="004153AC">
        <w:t>3</w:t>
      </w:r>
      <w:r>
        <w:t xml:space="preserve"> participants in 202</w:t>
      </w:r>
      <w:r w:rsidR="00123197">
        <w:t>5</w:t>
      </w:r>
      <w:r>
        <w:t xml:space="preserve"> and completed </w:t>
      </w:r>
      <w:r w:rsidR="00F25842">
        <w:t>4</w:t>
      </w:r>
      <w:r w:rsidRPr="004153AC">
        <w:t xml:space="preserve"> </w:t>
      </w:r>
      <w:r>
        <w:t xml:space="preserve">projects as shown in the following table. </w:t>
      </w:r>
    </w:p>
    <w:p w14:paraId="22492BB0" w14:textId="72817C3F" w:rsidR="008F3DFF" w:rsidRPr="00F671C0" w:rsidRDefault="008F3DFF" w:rsidP="00F671C0">
      <w:pPr>
        <w:pStyle w:val="Caption"/>
      </w:pPr>
      <w:bookmarkStart w:id="16" w:name="_Toc61360474"/>
      <w:bookmarkStart w:id="17" w:name="_Toc189750714"/>
      <w:bookmarkStart w:id="18" w:name="_Toc224230101"/>
      <w:r w:rsidRPr="00F671C0">
        <w:lastRenderedPageBreak/>
        <w:t xml:space="preserve">Table </w:t>
      </w:r>
      <w:r w:rsidRPr="00F671C0">
        <w:fldChar w:fldCharType="begin"/>
      </w:r>
      <w:r w:rsidRPr="00F671C0">
        <w:instrText>SEQ Table \* ARABIC</w:instrText>
      </w:r>
      <w:r w:rsidRPr="00F671C0">
        <w:fldChar w:fldCharType="separate"/>
      </w:r>
      <w:r w:rsidR="00803485" w:rsidRPr="00F671C0">
        <w:rPr>
          <w:noProof/>
        </w:rPr>
        <w:t>3</w:t>
      </w:r>
      <w:r w:rsidRPr="00F671C0">
        <w:fldChar w:fldCharType="end"/>
      </w:r>
      <w:r w:rsidRPr="00F671C0">
        <w:t>. 202</w:t>
      </w:r>
      <w:r w:rsidR="00123197" w:rsidRPr="00F671C0">
        <w:t>5</w:t>
      </w:r>
      <w:r w:rsidRPr="00F671C0">
        <w:t xml:space="preserve"> Volumetric Summary for NSG</w:t>
      </w:r>
      <w:bookmarkEnd w:id="16"/>
      <w:bookmarkEnd w:id="17"/>
      <w:r w:rsidR="00861A58" w:rsidRPr="00F671C0">
        <w:t xml:space="preserve"> – Income Eligible</w:t>
      </w:r>
      <w:bookmarkEnd w:id="18"/>
    </w:p>
    <w:tbl>
      <w:tblPr>
        <w:tblStyle w:val="EnergyTable"/>
        <w:tblW w:w="2933" w:type="pct"/>
        <w:tblLook w:val="04A0" w:firstRow="1" w:lastRow="0" w:firstColumn="1" w:lastColumn="0" w:noHBand="0" w:noVBand="1"/>
      </w:tblPr>
      <w:tblGrid>
        <w:gridCol w:w="3151"/>
        <w:gridCol w:w="2340"/>
      </w:tblGrid>
      <w:tr w:rsidR="0030095C" w:rsidRPr="00B17A8B" w14:paraId="6E9303AD" w14:textId="77777777" w:rsidTr="0030095C">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869" w:type="pct"/>
            <w:hideMark/>
          </w:tcPr>
          <w:p w14:paraId="6C1DC2BF" w14:textId="77777777" w:rsidR="0030095C" w:rsidRPr="00B17A8B" w:rsidRDefault="0030095C">
            <w:pPr>
              <w:keepNext/>
              <w:keepLines/>
              <w:jc w:val="left"/>
              <w:rPr>
                <w:rFonts w:asciiTheme="minorHAnsi" w:eastAsia="Calibri" w:hAnsiTheme="minorHAnsi"/>
                <w:b w:val="0"/>
                <w:bCs/>
                <w:sz w:val="20"/>
              </w:rPr>
            </w:pPr>
            <w:r w:rsidRPr="00B17A8B">
              <w:rPr>
                <w:rFonts w:asciiTheme="minorHAnsi" w:hAnsiTheme="minorHAnsi"/>
                <w:b w:val="0"/>
                <w:bCs/>
                <w:sz w:val="20"/>
              </w:rPr>
              <w:t>Participation</w:t>
            </w:r>
          </w:p>
        </w:tc>
        <w:tc>
          <w:tcPr>
            <w:tcW w:w="2131" w:type="pct"/>
            <w:hideMark/>
          </w:tcPr>
          <w:p w14:paraId="7A7ED3DF" w14:textId="0E3C0447" w:rsidR="0030095C" w:rsidRPr="00B17A8B" w:rsidRDefault="0030095C">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b w:val="0"/>
                <w:bCs/>
                <w:sz w:val="20"/>
              </w:rPr>
            </w:pPr>
            <w:r w:rsidRPr="00B17A8B">
              <w:rPr>
                <w:rFonts w:asciiTheme="minorHAnsi" w:hAnsiTheme="minorHAnsi"/>
                <w:b w:val="0"/>
                <w:bCs/>
                <w:sz w:val="20"/>
              </w:rPr>
              <w:t>Income Eligible</w:t>
            </w:r>
          </w:p>
        </w:tc>
      </w:tr>
      <w:tr w:rsidR="0030095C" w:rsidRPr="00B17A8B" w14:paraId="41B4A9B8" w14:textId="77777777" w:rsidTr="0030095C">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869" w:type="pct"/>
            <w:noWrap/>
          </w:tcPr>
          <w:p w14:paraId="1900F2D2" w14:textId="77777777" w:rsidR="0030095C" w:rsidRPr="00B17A8B" w:rsidRDefault="0030095C">
            <w:pPr>
              <w:keepNext/>
              <w:keepLines/>
              <w:jc w:val="left"/>
              <w:rPr>
                <w:rFonts w:asciiTheme="minorHAnsi" w:eastAsia="Calibri" w:hAnsiTheme="minorHAnsi"/>
                <w:color w:val="000000"/>
                <w:sz w:val="20"/>
              </w:rPr>
            </w:pPr>
            <w:r w:rsidRPr="00B17A8B">
              <w:rPr>
                <w:rFonts w:asciiTheme="minorHAnsi" w:eastAsia="Calibri" w:hAnsiTheme="minorHAnsi"/>
                <w:color w:val="000000"/>
                <w:sz w:val="20"/>
              </w:rPr>
              <w:t xml:space="preserve">Participants </w:t>
            </w:r>
            <w:r w:rsidRPr="00B17A8B">
              <w:rPr>
                <w:rFonts w:asciiTheme="minorHAnsi" w:hAnsiTheme="minorHAnsi"/>
                <w:sz w:val="20"/>
              </w:rPr>
              <w:t>*</w:t>
            </w:r>
          </w:p>
        </w:tc>
        <w:tc>
          <w:tcPr>
            <w:tcW w:w="2131" w:type="pct"/>
          </w:tcPr>
          <w:p w14:paraId="08C9D31D" w14:textId="2F7CD649" w:rsidR="0030095C" w:rsidRPr="00B17A8B" w:rsidRDefault="0030095C">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olor w:val="000000"/>
                <w:sz w:val="20"/>
              </w:rPr>
            </w:pPr>
            <w:r w:rsidRPr="00B17A8B">
              <w:rPr>
                <w:rFonts w:asciiTheme="minorHAnsi" w:eastAsia="Calibri" w:hAnsiTheme="minorHAnsi"/>
                <w:color w:val="000000"/>
                <w:sz w:val="20"/>
              </w:rPr>
              <w:t>3</w:t>
            </w:r>
          </w:p>
        </w:tc>
      </w:tr>
      <w:tr w:rsidR="0030095C" w:rsidRPr="00B17A8B" w14:paraId="429D7A62" w14:textId="77777777" w:rsidTr="0030095C">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69" w:type="pct"/>
            <w:noWrap/>
          </w:tcPr>
          <w:p w14:paraId="4ADFDBCC" w14:textId="77777777" w:rsidR="0030095C" w:rsidRPr="00B17A8B" w:rsidRDefault="0030095C">
            <w:pPr>
              <w:keepNext/>
              <w:keepLines/>
              <w:jc w:val="left"/>
              <w:rPr>
                <w:rFonts w:asciiTheme="minorHAnsi" w:eastAsia="Calibri" w:hAnsiTheme="minorHAnsi"/>
                <w:bCs/>
                <w:color w:val="000000"/>
                <w:sz w:val="20"/>
              </w:rPr>
            </w:pPr>
            <w:r w:rsidRPr="00B17A8B">
              <w:rPr>
                <w:rFonts w:asciiTheme="minorHAnsi" w:eastAsia="Calibri" w:hAnsiTheme="minorHAnsi"/>
                <w:bCs/>
                <w:color w:val="000000"/>
                <w:sz w:val="20"/>
              </w:rPr>
              <w:t xml:space="preserve">Installed Projects </w:t>
            </w:r>
            <w:r w:rsidRPr="00B17A8B">
              <w:rPr>
                <w:rFonts w:asciiTheme="minorHAnsi" w:hAnsiTheme="minorHAnsi"/>
                <w:sz w:val="20"/>
              </w:rPr>
              <w:t>†</w:t>
            </w:r>
          </w:p>
        </w:tc>
        <w:tc>
          <w:tcPr>
            <w:tcW w:w="2131" w:type="pct"/>
          </w:tcPr>
          <w:p w14:paraId="6CD85764" w14:textId="633574BA" w:rsidR="0030095C" w:rsidRPr="00B17A8B" w:rsidRDefault="0030095C">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s="Calibri"/>
                <w:color w:val="000000"/>
                <w:sz w:val="20"/>
              </w:rPr>
            </w:pPr>
            <w:r w:rsidRPr="00B17A8B">
              <w:rPr>
                <w:rFonts w:asciiTheme="minorHAnsi" w:hAnsiTheme="minorHAnsi" w:cs="Calibri"/>
                <w:color w:val="000000"/>
                <w:sz w:val="20"/>
              </w:rPr>
              <w:t>4</w:t>
            </w:r>
          </w:p>
        </w:tc>
      </w:tr>
      <w:tr w:rsidR="0030095C" w:rsidRPr="00B17A8B" w14:paraId="2D8DE32F" w14:textId="77777777" w:rsidTr="0030095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69" w:type="pct"/>
            <w:noWrap/>
          </w:tcPr>
          <w:p w14:paraId="5C41DE41" w14:textId="4CC67DF2" w:rsidR="0030095C" w:rsidRPr="00B17A8B" w:rsidRDefault="0030095C">
            <w:pPr>
              <w:keepNext/>
              <w:keepLines/>
              <w:jc w:val="left"/>
              <w:rPr>
                <w:rFonts w:asciiTheme="minorHAnsi" w:hAnsiTheme="minorHAnsi"/>
                <w:color w:val="000000"/>
                <w:sz w:val="20"/>
              </w:rPr>
            </w:pPr>
            <w:r w:rsidRPr="00B17A8B">
              <w:rPr>
                <w:rFonts w:asciiTheme="minorHAnsi" w:hAnsiTheme="minorHAnsi"/>
                <w:color w:val="000000"/>
                <w:sz w:val="20"/>
              </w:rPr>
              <w:t>Measure Types Installed ‡</w:t>
            </w:r>
          </w:p>
        </w:tc>
        <w:tc>
          <w:tcPr>
            <w:tcW w:w="2131" w:type="pct"/>
          </w:tcPr>
          <w:p w14:paraId="6B9E28BE" w14:textId="14CBE4FB" w:rsidR="0030095C" w:rsidRPr="00B17A8B" w:rsidRDefault="0030095C">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0"/>
              </w:rPr>
            </w:pPr>
            <w:r w:rsidRPr="00B17A8B">
              <w:rPr>
                <w:rFonts w:asciiTheme="minorHAnsi" w:hAnsiTheme="minorHAnsi" w:cs="Calibri"/>
                <w:color w:val="000000"/>
                <w:sz w:val="20"/>
              </w:rPr>
              <w:t>7</w:t>
            </w:r>
          </w:p>
        </w:tc>
      </w:tr>
    </w:tbl>
    <w:p w14:paraId="37514AAE" w14:textId="26A5410D" w:rsidR="008F3DFF" w:rsidRPr="00462B60" w:rsidRDefault="008F3DFF" w:rsidP="00A16477">
      <w:pPr>
        <w:pStyle w:val="FootnoteText"/>
        <w:ind w:left="2160"/>
        <w:rPr>
          <w:i/>
          <w:iCs/>
        </w:rPr>
      </w:pPr>
      <w:r w:rsidRPr="00462B60">
        <w:rPr>
          <w:i/>
        </w:rPr>
        <w:t>* Participants are defined as</w:t>
      </w:r>
      <w:r w:rsidR="0030095C" w:rsidRPr="00462B60">
        <w:rPr>
          <w:i/>
          <w:iCs/>
        </w:rPr>
        <w:t xml:space="preserve"> distinct count of </w:t>
      </w:r>
      <w:r w:rsidR="005133A4" w:rsidRPr="00462B60">
        <w:rPr>
          <w:i/>
          <w:iCs/>
        </w:rPr>
        <w:t>gas account numbers</w:t>
      </w:r>
      <w:r w:rsidR="0030095C" w:rsidRPr="00462B60">
        <w:rPr>
          <w:i/>
          <w:iCs/>
        </w:rPr>
        <w:t>.</w:t>
      </w:r>
    </w:p>
    <w:p w14:paraId="0300AC8A" w14:textId="066AFA49" w:rsidR="002749A3" w:rsidRPr="00462B60" w:rsidRDefault="008F3DFF" w:rsidP="00A16477">
      <w:pPr>
        <w:pStyle w:val="FootnoteText"/>
        <w:ind w:left="2160"/>
        <w:rPr>
          <w:i/>
          <w:iCs/>
          <w:szCs w:val="18"/>
        </w:rPr>
      </w:pPr>
      <w:r w:rsidRPr="00462B60">
        <w:rPr>
          <w:i/>
          <w:szCs w:val="18"/>
        </w:rPr>
        <w:t xml:space="preserve">† Installed Projects are defined as </w:t>
      </w:r>
      <w:r w:rsidR="0030095C" w:rsidRPr="00462B60">
        <w:rPr>
          <w:i/>
          <w:iCs/>
          <w:szCs w:val="18"/>
        </w:rPr>
        <w:t>distinct count of project ID.</w:t>
      </w:r>
    </w:p>
    <w:p w14:paraId="272CD247" w14:textId="723D0324" w:rsidR="002749A3" w:rsidRPr="00462B60" w:rsidRDefault="002749A3" w:rsidP="00A16477">
      <w:pPr>
        <w:pStyle w:val="FootnoteText"/>
        <w:ind w:left="2160"/>
        <w:rPr>
          <w:i/>
          <w:iCs/>
          <w:szCs w:val="18"/>
        </w:rPr>
      </w:pPr>
      <w:r w:rsidRPr="00462B60">
        <w:rPr>
          <w:i/>
          <w:szCs w:val="18"/>
        </w:rPr>
        <w:t>‡ Measure Types Installed are the distinct count of NSG measure names</w:t>
      </w:r>
    </w:p>
    <w:p w14:paraId="67E456BF" w14:textId="0E6A82E9" w:rsidR="008F3DFF" w:rsidRPr="00462B60" w:rsidRDefault="008F3DFF" w:rsidP="00E1525D">
      <w:pPr>
        <w:pStyle w:val="TableFigureSourceorNote"/>
        <w:ind w:left="1440" w:firstLine="720"/>
        <w:rPr>
          <w:iCs/>
        </w:rPr>
      </w:pPr>
      <w:r w:rsidRPr="00462B60">
        <w:rPr>
          <w:iCs/>
        </w:rPr>
        <w:t xml:space="preserve">Source: </w:t>
      </w:r>
      <w:bookmarkStart w:id="19" w:name="_Hlk29978029"/>
      <w:r w:rsidRPr="00462B60">
        <w:rPr>
          <w:iCs/>
        </w:rPr>
        <w:t>North Shore Gas tracking data and Guidehouse evaluation team analysis</w:t>
      </w:r>
      <w:bookmarkEnd w:id="19"/>
      <w:r w:rsidRPr="00462B60">
        <w:rPr>
          <w:iCs/>
        </w:rPr>
        <w:t>.</w:t>
      </w:r>
    </w:p>
    <w:p w14:paraId="1FCD275B" w14:textId="5423610A" w:rsidR="00F25842" w:rsidRDefault="001875AF" w:rsidP="008F3DFF">
      <w:r>
        <w:br/>
      </w:r>
      <w:r w:rsidR="008F3DFF">
        <w:fldChar w:fldCharType="begin"/>
      </w:r>
      <w:r w:rsidR="008F3DFF">
        <w:instrText xml:space="preserve"> REF _Ref189739451 \h </w:instrText>
      </w:r>
      <w:r w:rsidR="008F3DFF">
        <w:fldChar w:fldCharType="separate"/>
      </w:r>
      <w:r w:rsidR="00803485">
        <w:t xml:space="preserve">Table </w:t>
      </w:r>
      <w:r w:rsidR="00803485">
        <w:rPr>
          <w:noProof/>
        </w:rPr>
        <w:t>4</w:t>
      </w:r>
      <w:r w:rsidR="008F3DFF">
        <w:fldChar w:fldCharType="end"/>
      </w:r>
      <w:r w:rsidR="008F3DFF">
        <w:t xml:space="preserve"> </w:t>
      </w:r>
      <w:r w:rsidR="008F3DFF" w:rsidRPr="00A90B62">
        <w:t>summarize</w:t>
      </w:r>
      <w:r w:rsidR="008F3DFF">
        <w:t>s</w:t>
      </w:r>
      <w:r w:rsidR="008F3DFF" w:rsidRPr="00A90B62">
        <w:t xml:space="preserve"> the</w:t>
      </w:r>
      <w:r w:rsidR="008F3DFF">
        <w:t xml:space="preserve"> installed measure quantities that are the basis for verified energy savings.</w:t>
      </w:r>
    </w:p>
    <w:p w14:paraId="51607E92" w14:textId="7104E36A" w:rsidR="008F3DFF" w:rsidRDefault="008F3DFF" w:rsidP="00F671C0">
      <w:pPr>
        <w:pStyle w:val="Caption"/>
      </w:pPr>
      <w:bookmarkStart w:id="20" w:name="_Ref189739451"/>
      <w:bookmarkStart w:id="21" w:name="_Toc61360475"/>
      <w:bookmarkStart w:id="22" w:name="_Toc189750715"/>
      <w:bookmarkStart w:id="23" w:name="_Toc224230102"/>
      <w:r>
        <w:t xml:space="preserve">Table </w:t>
      </w:r>
      <w:r>
        <w:fldChar w:fldCharType="begin"/>
      </w:r>
      <w:r>
        <w:instrText>SEQ Table \* ARABIC</w:instrText>
      </w:r>
      <w:r>
        <w:fldChar w:fldCharType="separate"/>
      </w:r>
      <w:r w:rsidR="00803485">
        <w:rPr>
          <w:noProof/>
        </w:rPr>
        <w:t>4</w:t>
      </w:r>
      <w:r>
        <w:fldChar w:fldCharType="end"/>
      </w:r>
      <w:bookmarkEnd w:id="20"/>
      <w:r>
        <w:t>. 202</w:t>
      </w:r>
      <w:r w:rsidR="00123197">
        <w:t>5</w:t>
      </w:r>
      <w:r w:rsidR="00454508">
        <w:t xml:space="preserve"> </w:t>
      </w:r>
      <w:r>
        <w:t xml:space="preserve">Installed </w:t>
      </w:r>
      <w:r w:rsidRPr="0084176E">
        <w:t>Measure</w:t>
      </w:r>
      <w:r>
        <w:t xml:space="preserve"> Quantities for NSG</w:t>
      </w:r>
      <w:bookmarkEnd w:id="21"/>
      <w:bookmarkEnd w:id="22"/>
      <w:r w:rsidR="00861A58">
        <w:t xml:space="preserve"> – Income Eligible</w:t>
      </w:r>
      <w:bookmarkEnd w:id="23"/>
    </w:p>
    <w:tbl>
      <w:tblPr>
        <w:tblStyle w:val="EnergyTable"/>
        <w:tblpPr w:leftFromText="180" w:rightFromText="180" w:vertAnchor="text" w:tblpXSpec="center" w:tblpY="1"/>
        <w:tblOverlap w:val="never"/>
        <w:tblW w:w="5000" w:type="pct"/>
        <w:jc w:val="left"/>
        <w:tblLook w:val="04A0" w:firstRow="1" w:lastRow="0" w:firstColumn="1" w:lastColumn="0" w:noHBand="0" w:noVBand="1"/>
      </w:tblPr>
      <w:tblGrid>
        <w:gridCol w:w="2052"/>
        <w:gridCol w:w="3173"/>
        <w:gridCol w:w="1808"/>
        <w:gridCol w:w="2327"/>
      </w:tblGrid>
      <w:tr w:rsidR="00F63CD7" w:rsidRPr="00B17A8B" w14:paraId="65420E04" w14:textId="77777777" w:rsidTr="00F63CD7">
        <w:trPr>
          <w:cnfStyle w:val="100000000000" w:firstRow="1" w:lastRow="0" w:firstColumn="0" w:lastColumn="0" w:oddVBand="0" w:evenVBand="0" w:oddHBand="0" w:evenHBand="0" w:firstRowFirstColumn="0" w:firstRowLastColumn="0" w:lastRowFirstColumn="0" w:lastRowLastColumn="0"/>
          <w:trHeight w:val="576"/>
          <w:jc w:val="left"/>
        </w:trPr>
        <w:tc>
          <w:tcPr>
            <w:cnfStyle w:val="001000000000" w:firstRow="0" w:lastRow="0" w:firstColumn="1" w:lastColumn="0" w:oddVBand="0" w:evenVBand="0" w:oddHBand="0" w:evenHBand="0" w:firstRowFirstColumn="0" w:firstRowLastColumn="0" w:lastRowFirstColumn="0" w:lastRowLastColumn="0"/>
            <w:tcW w:w="1096" w:type="pct"/>
          </w:tcPr>
          <w:p w14:paraId="44A68D16" w14:textId="77777777" w:rsidR="00F63CD7" w:rsidRPr="00B17A8B" w:rsidRDefault="00F63CD7" w:rsidP="00E76487">
            <w:pPr>
              <w:keepNext/>
              <w:keepLines/>
              <w:jc w:val="left"/>
              <w:rPr>
                <w:rFonts w:asciiTheme="minorHAnsi" w:hAnsiTheme="minorHAnsi" w:cs="Arial"/>
                <w:b w:val="0"/>
                <w:bCs/>
                <w:color w:val="FFFFFF"/>
                <w:sz w:val="20"/>
              </w:rPr>
            </w:pPr>
            <w:r w:rsidRPr="00B17A8B">
              <w:rPr>
                <w:rFonts w:asciiTheme="minorHAnsi" w:hAnsiTheme="minorHAnsi" w:cs="Arial"/>
                <w:b w:val="0"/>
                <w:bCs/>
                <w:color w:val="FFFFFF"/>
                <w:sz w:val="20"/>
              </w:rPr>
              <w:t>Program Path</w:t>
            </w:r>
          </w:p>
        </w:tc>
        <w:tc>
          <w:tcPr>
            <w:tcW w:w="1695" w:type="pct"/>
            <w:hideMark/>
          </w:tcPr>
          <w:p w14:paraId="447F70AA" w14:textId="77777777" w:rsidR="00F63CD7" w:rsidRPr="00B17A8B" w:rsidRDefault="00F63CD7" w:rsidP="00E76487">
            <w:pPr>
              <w:keepNext/>
              <w:keepLine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color w:val="FFFFFF"/>
                <w:sz w:val="20"/>
              </w:rPr>
            </w:pPr>
            <w:r w:rsidRPr="00B17A8B">
              <w:rPr>
                <w:rFonts w:asciiTheme="minorHAnsi" w:hAnsiTheme="minorHAnsi" w:cs="Arial"/>
                <w:b w:val="0"/>
                <w:bCs/>
                <w:color w:val="FFFFFF"/>
                <w:sz w:val="20"/>
              </w:rPr>
              <w:t>Measure</w:t>
            </w:r>
          </w:p>
        </w:tc>
        <w:tc>
          <w:tcPr>
            <w:tcW w:w="966" w:type="pct"/>
          </w:tcPr>
          <w:p w14:paraId="68120445" w14:textId="77777777" w:rsidR="00F63CD7" w:rsidRPr="00B17A8B" w:rsidRDefault="00F63CD7" w:rsidP="00DF5C29">
            <w:pPr>
              <w:keepNext/>
              <w:keepLines/>
              <w:jc w:val="lef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color w:val="FFFFFF"/>
                <w:sz w:val="20"/>
              </w:rPr>
            </w:pPr>
            <w:r w:rsidRPr="00B17A8B">
              <w:rPr>
                <w:rFonts w:asciiTheme="minorHAnsi" w:hAnsiTheme="minorHAnsi"/>
                <w:b w:val="0"/>
                <w:sz w:val="20"/>
              </w:rPr>
              <w:t>Quantity Unit</w:t>
            </w:r>
          </w:p>
        </w:tc>
        <w:tc>
          <w:tcPr>
            <w:tcW w:w="1243" w:type="pct"/>
          </w:tcPr>
          <w:p w14:paraId="163AB518" w14:textId="77777777" w:rsidR="00F63CD7" w:rsidRPr="00B17A8B" w:rsidRDefault="00F63CD7" w:rsidP="00E76487">
            <w:pPr>
              <w:keepNext/>
              <w:keepLine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color w:val="FFFFFF"/>
                <w:sz w:val="20"/>
              </w:rPr>
            </w:pPr>
            <w:r w:rsidRPr="00B17A8B">
              <w:rPr>
                <w:rFonts w:asciiTheme="minorHAnsi" w:hAnsiTheme="minorHAnsi"/>
                <w:b w:val="0"/>
                <w:sz w:val="20"/>
              </w:rPr>
              <w:t>Installed Quantity</w:t>
            </w:r>
          </w:p>
        </w:tc>
      </w:tr>
      <w:tr w:rsidR="003B490A" w:rsidRPr="00B17A8B" w14:paraId="36DD33D4" w14:textId="77777777" w:rsidTr="00F63CD7">
        <w:trPr>
          <w:cnfStyle w:val="000000100000" w:firstRow="0" w:lastRow="0" w:firstColumn="0" w:lastColumn="0" w:oddVBand="0" w:evenVBand="0" w:oddHBand="1" w:evenHBand="0"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96" w:type="pct"/>
            <w:vMerge w:val="restart"/>
          </w:tcPr>
          <w:p w14:paraId="29C35FEE" w14:textId="19174A69" w:rsidR="003B490A" w:rsidRPr="00B17A8B" w:rsidRDefault="003B490A" w:rsidP="00E76487">
            <w:pPr>
              <w:keepNext/>
              <w:keepLines/>
              <w:jc w:val="left"/>
              <w:rPr>
                <w:rFonts w:asciiTheme="minorHAnsi" w:hAnsiTheme="minorHAnsi"/>
                <w:color w:val="000000"/>
                <w:sz w:val="20"/>
              </w:rPr>
            </w:pPr>
            <w:r w:rsidRPr="00B17A8B">
              <w:rPr>
                <w:rFonts w:asciiTheme="minorHAnsi" w:hAnsiTheme="minorHAnsi"/>
                <w:color w:val="000000"/>
                <w:sz w:val="20"/>
              </w:rPr>
              <w:t>Income Eligible</w:t>
            </w:r>
          </w:p>
        </w:tc>
        <w:tc>
          <w:tcPr>
            <w:tcW w:w="1695" w:type="pct"/>
          </w:tcPr>
          <w:p w14:paraId="4743FFCF" w14:textId="10D8F13F" w:rsidR="003B490A" w:rsidRPr="00B17A8B" w:rsidRDefault="003B490A" w:rsidP="00E76487">
            <w:pPr>
              <w:keepNext/>
              <w:keepLines/>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sz w:val="20"/>
              </w:rPr>
              <w:t>Assessments/No Savings</w:t>
            </w:r>
          </w:p>
        </w:tc>
        <w:tc>
          <w:tcPr>
            <w:tcW w:w="966" w:type="pct"/>
            <w:noWrap/>
          </w:tcPr>
          <w:p w14:paraId="16B97394" w14:textId="6DABA9B8" w:rsidR="003B490A" w:rsidRPr="00B17A8B" w:rsidRDefault="003B490A" w:rsidP="00DF5C29">
            <w:pPr>
              <w:keepNext/>
              <w:keepLines/>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sz w:val="20"/>
              </w:rPr>
              <w:t>Each</w:t>
            </w:r>
          </w:p>
        </w:tc>
        <w:tc>
          <w:tcPr>
            <w:tcW w:w="1243" w:type="pct"/>
            <w:noWrap/>
          </w:tcPr>
          <w:p w14:paraId="6393C443" w14:textId="05421156" w:rsidR="003B490A" w:rsidRPr="00B17A8B" w:rsidRDefault="003B490A" w:rsidP="00E76487">
            <w:pPr>
              <w:keepNext/>
              <w:keepLines/>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sz w:val="20"/>
              </w:rPr>
              <w:t>5,016</w:t>
            </w:r>
          </w:p>
        </w:tc>
      </w:tr>
      <w:tr w:rsidR="003B490A" w:rsidRPr="00B17A8B" w14:paraId="4BDEBDBB" w14:textId="77777777" w:rsidTr="00F63CD7">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96" w:type="pct"/>
            <w:vMerge/>
          </w:tcPr>
          <w:p w14:paraId="081720A6" w14:textId="67F72469" w:rsidR="003B490A" w:rsidRPr="00B17A8B" w:rsidRDefault="003B490A" w:rsidP="00E76487">
            <w:pPr>
              <w:keepNext/>
              <w:keepLines/>
              <w:jc w:val="left"/>
              <w:rPr>
                <w:rFonts w:asciiTheme="minorHAnsi" w:hAnsiTheme="minorHAnsi"/>
                <w:color w:val="000000"/>
                <w:sz w:val="20"/>
              </w:rPr>
            </w:pPr>
          </w:p>
        </w:tc>
        <w:tc>
          <w:tcPr>
            <w:tcW w:w="1695" w:type="pct"/>
          </w:tcPr>
          <w:p w14:paraId="7A4C3F51" w14:textId="68E9470B" w:rsidR="003B490A" w:rsidRPr="00B17A8B" w:rsidRDefault="003B490A" w:rsidP="00E76487">
            <w:pPr>
              <w:keepNext/>
              <w:keepLines/>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sz w:val="20"/>
              </w:rPr>
              <w:t>Attic Insulation</w:t>
            </w:r>
          </w:p>
        </w:tc>
        <w:tc>
          <w:tcPr>
            <w:tcW w:w="966" w:type="pct"/>
            <w:noWrap/>
          </w:tcPr>
          <w:p w14:paraId="5A25FD69" w14:textId="585765CF" w:rsidR="003B490A" w:rsidRPr="00B17A8B" w:rsidRDefault="003B490A" w:rsidP="00DF5C29">
            <w:pPr>
              <w:keepNext/>
              <w:keepLines/>
              <w:spacing w:before="0"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sz w:val="20"/>
              </w:rPr>
              <w:t>Square feet</w:t>
            </w:r>
          </w:p>
        </w:tc>
        <w:tc>
          <w:tcPr>
            <w:tcW w:w="1243" w:type="pct"/>
            <w:noWrap/>
          </w:tcPr>
          <w:p w14:paraId="7E779010" w14:textId="529FC750" w:rsidR="003B490A" w:rsidRPr="00B17A8B" w:rsidRDefault="003B490A" w:rsidP="00E76487">
            <w:pPr>
              <w:keepNext/>
              <w:keepLines/>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sz w:val="20"/>
              </w:rPr>
              <w:t>84,134</w:t>
            </w:r>
          </w:p>
        </w:tc>
      </w:tr>
      <w:tr w:rsidR="003B490A" w:rsidRPr="00B17A8B" w14:paraId="5EAFE45C" w14:textId="77777777" w:rsidTr="00F63CD7">
        <w:trPr>
          <w:cnfStyle w:val="000000100000" w:firstRow="0" w:lastRow="0" w:firstColumn="0" w:lastColumn="0" w:oddVBand="0" w:evenVBand="0" w:oddHBand="1" w:evenHBand="0" w:firstRowFirstColumn="0" w:firstRowLastColumn="0" w:lastRowFirstColumn="0" w:lastRowLastColumn="0"/>
          <w:trHeight w:val="152"/>
          <w:jc w:val="left"/>
        </w:trPr>
        <w:tc>
          <w:tcPr>
            <w:cnfStyle w:val="001000000000" w:firstRow="0" w:lastRow="0" w:firstColumn="1" w:lastColumn="0" w:oddVBand="0" w:evenVBand="0" w:oddHBand="0" w:evenHBand="0" w:firstRowFirstColumn="0" w:firstRowLastColumn="0" w:lastRowFirstColumn="0" w:lastRowLastColumn="0"/>
            <w:tcW w:w="1096" w:type="pct"/>
            <w:vMerge/>
          </w:tcPr>
          <w:p w14:paraId="1368C47F" w14:textId="77777777" w:rsidR="003B490A" w:rsidRPr="00B17A8B" w:rsidRDefault="003B490A" w:rsidP="00E76487">
            <w:pPr>
              <w:keepNext/>
              <w:keepLines/>
              <w:rPr>
                <w:rFonts w:asciiTheme="minorHAnsi" w:hAnsiTheme="minorHAnsi"/>
                <w:color w:val="000000"/>
                <w:sz w:val="20"/>
              </w:rPr>
            </w:pPr>
          </w:p>
        </w:tc>
        <w:tc>
          <w:tcPr>
            <w:tcW w:w="1695" w:type="pct"/>
          </w:tcPr>
          <w:p w14:paraId="35470258" w14:textId="3B4D3589" w:rsidR="003B490A" w:rsidRPr="00B17A8B" w:rsidRDefault="003B490A" w:rsidP="00E76487">
            <w:pPr>
              <w:keepNext/>
              <w:keepLines/>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sz w:val="20"/>
              </w:rPr>
              <w:t>Pipe Insulation</w:t>
            </w:r>
          </w:p>
        </w:tc>
        <w:tc>
          <w:tcPr>
            <w:tcW w:w="966" w:type="pct"/>
            <w:noWrap/>
          </w:tcPr>
          <w:p w14:paraId="0031CB61" w14:textId="1C0BAAC7" w:rsidR="003B490A" w:rsidRPr="00B17A8B" w:rsidRDefault="003B490A" w:rsidP="00DF5C29">
            <w:pPr>
              <w:keepNext/>
              <w:keepLines/>
              <w:spacing w:before="0" w:after="0"/>
              <w:ind w:right="72"/>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sz w:val="20"/>
              </w:rPr>
              <w:t>Linear feet</w:t>
            </w:r>
          </w:p>
        </w:tc>
        <w:tc>
          <w:tcPr>
            <w:tcW w:w="1243" w:type="pct"/>
            <w:noWrap/>
          </w:tcPr>
          <w:p w14:paraId="115400D0" w14:textId="06A35E40" w:rsidR="003B490A" w:rsidRPr="00B17A8B" w:rsidRDefault="003B490A" w:rsidP="00E76487">
            <w:pPr>
              <w:keepNext/>
              <w:keepLines/>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B17A8B">
              <w:rPr>
                <w:sz w:val="20"/>
              </w:rPr>
              <w:t>613</w:t>
            </w:r>
          </w:p>
        </w:tc>
      </w:tr>
      <w:tr w:rsidR="003B490A" w:rsidRPr="00B17A8B" w14:paraId="185B70C2" w14:textId="77777777" w:rsidTr="00F63CD7">
        <w:trPr>
          <w:cnfStyle w:val="000000010000" w:firstRow="0" w:lastRow="0" w:firstColumn="0" w:lastColumn="0" w:oddVBand="0" w:evenVBand="0" w:oddHBand="0" w:evenHBand="1" w:firstRowFirstColumn="0" w:firstRowLastColumn="0" w:lastRowFirstColumn="0" w:lastRowLastColumn="0"/>
          <w:trHeight w:val="20"/>
          <w:jc w:val="left"/>
        </w:trPr>
        <w:tc>
          <w:tcPr>
            <w:cnfStyle w:val="001000000000" w:firstRow="0" w:lastRow="0" w:firstColumn="1" w:lastColumn="0" w:oddVBand="0" w:evenVBand="0" w:oddHBand="0" w:evenHBand="0" w:firstRowFirstColumn="0" w:firstRowLastColumn="0" w:lastRowFirstColumn="0" w:lastRowLastColumn="0"/>
            <w:tcW w:w="1096" w:type="pct"/>
            <w:vMerge/>
          </w:tcPr>
          <w:p w14:paraId="12EAF4D7" w14:textId="77777777" w:rsidR="003B490A" w:rsidRPr="00B17A8B" w:rsidRDefault="003B490A" w:rsidP="00E76487">
            <w:pPr>
              <w:keepNext/>
              <w:keepLines/>
              <w:rPr>
                <w:rFonts w:asciiTheme="minorHAnsi" w:hAnsiTheme="minorHAnsi"/>
                <w:color w:val="000000"/>
                <w:sz w:val="20"/>
              </w:rPr>
            </w:pPr>
          </w:p>
        </w:tc>
        <w:tc>
          <w:tcPr>
            <w:tcW w:w="1695" w:type="pct"/>
          </w:tcPr>
          <w:p w14:paraId="5ABFA10A" w14:textId="44637B71" w:rsidR="003B490A" w:rsidRPr="00B17A8B" w:rsidRDefault="003B490A" w:rsidP="00E76487">
            <w:pPr>
              <w:keepNext/>
              <w:keepLines/>
              <w:spacing w:before="0"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sz w:val="20"/>
              </w:rPr>
              <w:t>Wall Insulation</w:t>
            </w:r>
          </w:p>
        </w:tc>
        <w:tc>
          <w:tcPr>
            <w:tcW w:w="966" w:type="pct"/>
            <w:noWrap/>
          </w:tcPr>
          <w:p w14:paraId="0491DAAC" w14:textId="37836EC0" w:rsidR="003B490A" w:rsidRPr="00B17A8B" w:rsidRDefault="003B490A" w:rsidP="00DF5C29">
            <w:pPr>
              <w:keepNext/>
              <w:keepLines/>
              <w:spacing w:before="0" w:after="0"/>
              <w:ind w:right="72"/>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sz w:val="20"/>
              </w:rPr>
              <w:t>Square feet</w:t>
            </w:r>
          </w:p>
        </w:tc>
        <w:tc>
          <w:tcPr>
            <w:tcW w:w="1243" w:type="pct"/>
            <w:noWrap/>
          </w:tcPr>
          <w:p w14:paraId="6A7EAA62" w14:textId="56AE354F" w:rsidR="003B490A" w:rsidRPr="00B17A8B" w:rsidRDefault="003B490A" w:rsidP="00E76487">
            <w:pPr>
              <w:keepNext/>
              <w:keepLines/>
              <w:spacing w:before="0" w:after="0"/>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B17A8B">
              <w:rPr>
                <w:sz w:val="20"/>
              </w:rPr>
              <w:t>7,560</w:t>
            </w:r>
          </w:p>
        </w:tc>
      </w:tr>
    </w:tbl>
    <w:p w14:paraId="070EDC16" w14:textId="5973A2A8" w:rsidR="00F25842" w:rsidRDefault="008F3DFF" w:rsidP="00FF167E">
      <w:pPr>
        <w:pStyle w:val="TableFigureSourceorNote"/>
      </w:pPr>
      <w:r w:rsidRPr="00F65903">
        <w:t>Source: North Shore Gas tracking data and Guidehouse evaluation team analysis</w:t>
      </w:r>
    </w:p>
    <w:p w14:paraId="7E396849" w14:textId="77777777" w:rsidR="00F25842" w:rsidRDefault="00F25842">
      <w:pPr>
        <w:rPr>
          <w:rFonts w:ascii="Arial" w:eastAsia="Times New Roman" w:hAnsi="Arial" w:cs="Arial"/>
          <w:i/>
          <w:color w:val="000000" w:themeColor="text1"/>
          <w:sz w:val="18"/>
          <w:szCs w:val="18"/>
          <w:lang w:eastAsia="en-US"/>
        </w:rPr>
      </w:pPr>
      <w:r>
        <w:rPr>
          <w:rFonts w:cs="Arial"/>
          <w:sz w:val="18"/>
          <w:szCs w:val="18"/>
        </w:rPr>
        <w:br w:type="page"/>
      </w:r>
    </w:p>
    <w:p w14:paraId="2CBD6F36" w14:textId="76625F34" w:rsidR="005A50AE" w:rsidRDefault="005A50AE" w:rsidP="00063E73">
      <w:pPr>
        <w:pStyle w:val="Heading2"/>
      </w:pPr>
      <w:bookmarkStart w:id="24" w:name="_Toc224332877"/>
      <w:r>
        <w:lastRenderedPageBreak/>
        <w:t>Program Savings Detail</w:t>
      </w:r>
      <w:bookmarkEnd w:id="24"/>
    </w:p>
    <w:p w14:paraId="0FD117C1" w14:textId="20640531" w:rsidR="00123197" w:rsidRDefault="00123197" w:rsidP="00123197">
      <w:r>
        <w:fldChar w:fldCharType="begin"/>
      </w:r>
      <w:r>
        <w:instrText xml:space="preserve"> REF _Ref189739479 \h </w:instrText>
      </w:r>
      <w:r>
        <w:fldChar w:fldCharType="separate"/>
      </w:r>
      <w:r w:rsidR="00803485">
        <w:t xml:space="preserve">Table </w:t>
      </w:r>
      <w:r w:rsidR="00803485">
        <w:rPr>
          <w:noProof/>
        </w:rPr>
        <w:t>5</w:t>
      </w:r>
      <w:r>
        <w:fldChar w:fldCharType="end"/>
      </w:r>
      <w:r>
        <w:t xml:space="preserve"> </w:t>
      </w:r>
      <w:r w:rsidRPr="00A90B62">
        <w:t>summarize</w:t>
      </w:r>
      <w:r>
        <w:t>s</w:t>
      </w:r>
      <w:r w:rsidRPr="00A90B62">
        <w:t xml:space="preserve"> the </w:t>
      </w:r>
      <w:r>
        <w:t xml:space="preserve">energy </w:t>
      </w:r>
      <w:r w:rsidRPr="00A90B62">
        <w:t xml:space="preserve">savings the </w:t>
      </w:r>
      <w:r>
        <w:t xml:space="preserve">PGL </w:t>
      </w:r>
      <w:r w:rsidR="00CC371C">
        <w:t>Multi-Family Income Eligible</w:t>
      </w:r>
      <w:r>
        <w:t xml:space="preserve"> P</w:t>
      </w:r>
      <w:r w:rsidRPr="00A90B62">
        <w:t>rogram</w:t>
      </w:r>
      <w:r>
        <w:t xml:space="preserve"> achieved by path in 202</w:t>
      </w:r>
      <w:r w:rsidR="00491AC6">
        <w:t>5</w:t>
      </w:r>
      <w:r>
        <w:t>.</w:t>
      </w:r>
    </w:p>
    <w:p w14:paraId="1C523E61" w14:textId="1627F443" w:rsidR="00123197" w:rsidRDefault="00123197" w:rsidP="00F671C0">
      <w:pPr>
        <w:pStyle w:val="Caption"/>
      </w:pPr>
      <w:bookmarkStart w:id="25" w:name="_Ref189739479"/>
      <w:bookmarkStart w:id="26" w:name="_Toc397011684"/>
      <w:bookmarkStart w:id="27" w:name="_Toc397011694"/>
      <w:bookmarkStart w:id="28" w:name="_Toc398541809"/>
      <w:bookmarkStart w:id="29" w:name="_Toc398541922"/>
      <w:bookmarkStart w:id="30" w:name="_Toc398546654"/>
      <w:bookmarkStart w:id="31" w:name="_Toc423009516"/>
      <w:bookmarkStart w:id="32" w:name="_Toc426278634"/>
      <w:bookmarkStart w:id="33" w:name="_Toc61360476"/>
      <w:bookmarkStart w:id="34" w:name="_Toc189750716"/>
      <w:bookmarkStart w:id="35" w:name="_Toc224230103"/>
      <w:r>
        <w:t xml:space="preserve">Table </w:t>
      </w:r>
      <w:r>
        <w:fldChar w:fldCharType="begin"/>
      </w:r>
      <w:r>
        <w:instrText>SEQ Table \* ARABIC</w:instrText>
      </w:r>
      <w:r>
        <w:fldChar w:fldCharType="separate"/>
      </w:r>
      <w:r w:rsidR="00803485">
        <w:rPr>
          <w:noProof/>
        </w:rPr>
        <w:t>5</w:t>
      </w:r>
      <w:r>
        <w:fldChar w:fldCharType="end"/>
      </w:r>
      <w:bookmarkEnd w:id="25"/>
      <w:r>
        <w:t>. 2025 Annual Energy Savings Summary</w:t>
      </w:r>
      <w:bookmarkEnd w:id="26"/>
      <w:bookmarkEnd w:id="27"/>
      <w:bookmarkEnd w:id="28"/>
      <w:bookmarkEnd w:id="29"/>
      <w:bookmarkEnd w:id="30"/>
      <w:bookmarkEnd w:id="31"/>
      <w:bookmarkEnd w:id="32"/>
      <w:r>
        <w:t xml:space="preserve"> for PGL</w:t>
      </w:r>
      <w:bookmarkEnd w:id="33"/>
      <w:bookmarkEnd w:id="34"/>
      <w:r w:rsidR="00861A58">
        <w:t xml:space="preserve"> – Income Eligible</w:t>
      </w:r>
      <w:bookmarkEnd w:id="35"/>
    </w:p>
    <w:tbl>
      <w:tblPr>
        <w:tblStyle w:val="EnergyTable"/>
        <w:tblW w:w="5000" w:type="pct"/>
        <w:tblLook w:val="06A0" w:firstRow="1" w:lastRow="0" w:firstColumn="1" w:lastColumn="0" w:noHBand="1" w:noVBand="1"/>
      </w:tblPr>
      <w:tblGrid>
        <w:gridCol w:w="1806"/>
        <w:gridCol w:w="1487"/>
        <w:gridCol w:w="1380"/>
        <w:gridCol w:w="1434"/>
        <w:gridCol w:w="919"/>
        <w:gridCol w:w="919"/>
        <w:gridCol w:w="1415"/>
      </w:tblGrid>
      <w:tr w:rsidR="00EC4ECD" w:rsidRPr="00BD0D15" w14:paraId="40AFFA77" w14:textId="77777777" w:rsidTr="007E1CF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64" w:type="pct"/>
          </w:tcPr>
          <w:p w14:paraId="397022D2" w14:textId="77777777" w:rsidR="00EC4ECD" w:rsidRPr="00C74D5B" w:rsidRDefault="00EC4ECD">
            <w:pPr>
              <w:jc w:val="left"/>
              <w:rPr>
                <w:rFonts w:ascii="Aptos Narrow" w:eastAsia="Arial Narrow" w:hAnsi="Aptos Narrow" w:cs="Arial Narrow"/>
                <w:b w:val="0"/>
                <w:bCs/>
                <w:sz w:val="20"/>
              </w:rPr>
            </w:pPr>
            <w:r w:rsidRPr="00C74D5B">
              <w:rPr>
                <w:rFonts w:ascii="Aptos Narrow" w:eastAsia="Arial Narrow" w:hAnsi="Aptos Narrow" w:cs="Arial Narrow"/>
                <w:b w:val="0"/>
                <w:bCs/>
                <w:sz w:val="20"/>
              </w:rPr>
              <w:t>Program Path</w:t>
            </w:r>
          </w:p>
        </w:tc>
        <w:tc>
          <w:tcPr>
            <w:tcW w:w="794" w:type="pct"/>
          </w:tcPr>
          <w:p w14:paraId="1DF4B559" w14:textId="77777777" w:rsidR="00EC4ECD" w:rsidRPr="00C74D5B" w:rsidRDefault="00EC4ECD">
            <w:pPr>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b w:val="0"/>
                <w:bCs/>
                <w:sz w:val="20"/>
              </w:rPr>
            </w:pPr>
            <w:r w:rsidRPr="00C74D5B">
              <w:rPr>
                <w:rFonts w:ascii="Aptos Narrow" w:eastAsia="Arial Narrow" w:hAnsi="Aptos Narrow" w:cs="Arial Narrow"/>
                <w:b w:val="0"/>
                <w:bCs/>
                <w:sz w:val="20"/>
              </w:rPr>
              <w:t>Ex Ante Gross Savings (Therms)</w:t>
            </w:r>
          </w:p>
        </w:tc>
        <w:tc>
          <w:tcPr>
            <w:tcW w:w="737" w:type="pct"/>
          </w:tcPr>
          <w:p w14:paraId="4FDDCFC1" w14:textId="77777777" w:rsidR="00EC4ECD" w:rsidRPr="00C74D5B" w:rsidRDefault="00EC4ECD">
            <w:pPr>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b w:val="0"/>
                <w:bCs/>
                <w:sz w:val="20"/>
              </w:rPr>
            </w:pPr>
            <w:r w:rsidRPr="00C74D5B">
              <w:rPr>
                <w:rFonts w:ascii="Aptos Narrow" w:eastAsia="Arial Narrow" w:hAnsi="Aptos Narrow" w:cs="Arial Narrow"/>
                <w:b w:val="0"/>
                <w:bCs/>
                <w:sz w:val="20"/>
              </w:rPr>
              <w:t>Verified Gross RR*</w:t>
            </w:r>
          </w:p>
        </w:tc>
        <w:tc>
          <w:tcPr>
            <w:tcW w:w="766" w:type="pct"/>
          </w:tcPr>
          <w:p w14:paraId="0B77F057" w14:textId="77777777" w:rsidR="00EC4ECD" w:rsidRPr="00C74D5B" w:rsidRDefault="00EC4ECD">
            <w:pPr>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b w:val="0"/>
                <w:bCs/>
                <w:sz w:val="20"/>
              </w:rPr>
            </w:pPr>
            <w:r w:rsidRPr="00C74D5B">
              <w:rPr>
                <w:rFonts w:ascii="Aptos Narrow" w:eastAsia="Arial Narrow" w:hAnsi="Aptos Narrow" w:cs="Arial Narrow"/>
                <w:b w:val="0"/>
                <w:bCs/>
                <w:sz w:val="20"/>
              </w:rPr>
              <w:t>Verified Gross Savings (Therms</w:t>
            </w:r>
          </w:p>
        </w:tc>
        <w:tc>
          <w:tcPr>
            <w:tcW w:w="491" w:type="pct"/>
          </w:tcPr>
          <w:p w14:paraId="134BE930" w14:textId="77777777" w:rsidR="00EC4ECD" w:rsidRPr="00C74D5B" w:rsidRDefault="00EC4ECD">
            <w:pPr>
              <w:jc w:val="right"/>
              <w:cnfStyle w:val="100000000000" w:firstRow="1" w:lastRow="0" w:firstColumn="0" w:lastColumn="0" w:oddVBand="0" w:evenVBand="0" w:oddHBand="0" w:evenHBand="0" w:firstRowFirstColumn="0" w:firstRowLastColumn="0" w:lastRowFirstColumn="0" w:lastRowLastColumn="0"/>
              <w:rPr>
                <w:rFonts w:ascii="Aptos Narrow" w:eastAsia="Calibri" w:hAnsi="Aptos Narrow" w:cs="Calibri"/>
                <w:b w:val="0"/>
                <w:bCs/>
                <w:sz w:val="20"/>
              </w:rPr>
            </w:pPr>
            <w:r w:rsidRPr="00C74D5B">
              <w:rPr>
                <w:rFonts w:ascii="Aptos Narrow" w:eastAsia="Arial Narrow" w:hAnsi="Aptos Narrow" w:cs="Arial Narrow"/>
                <w:b w:val="0"/>
                <w:bCs/>
                <w:sz w:val="20"/>
              </w:rPr>
              <w:t>NTG</w:t>
            </w:r>
            <w:r w:rsidRPr="00C74D5B">
              <w:rPr>
                <w:rFonts w:ascii="Aptos Narrow" w:eastAsia="Calibri" w:hAnsi="Aptos Narrow" w:cs="Calibri"/>
                <w:b w:val="0"/>
                <w:bCs/>
                <w:sz w:val="20"/>
              </w:rPr>
              <w:t>†</w:t>
            </w:r>
          </w:p>
        </w:tc>
        <w:tc>
          <w:tcPr>
            <w:tcW w:w="491" w:type="pct"/>
          </w:tcPr>
          <w:p w14:paraId="623D9706" w14:textId="51F4C60C" w:rsidR="00EC4ECD" w:rsidRPr="00C74D5B" w:rsidRDefault="00EC4ECD" w:rsidP="000A4833">
            <w:pPr>
              <w:jc w:val="lef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b w:val="0"/>
                <w:bCs/>
                <w:sz w:val="20"/>
              </w:rPr>
            </w:pPr>
            <w:r w:rsidRPr="00C74D5B">
              <w:rPr>
                <w:rFonts w:ascii="Aptos Narrow" w:eastAsia="Arial Narrow" w:hAnsi="Aptos Narrow" w:cs="Arial Narrow"/>
                <w:b w:val="0"/>
                <w:bCs/>
                <w:sz w:val="20"/>
              </w:rPr>
              <w:t>NSPO</w:t>
            </w:r>
          </w:p>
        </w:tc>
        <w:tc>
          <w:tcPr>
            <w:tcW w:w="756" w:type="pct"/>
          </w:tcPr>
          <w:p w14:paraId="6FD7B10C" w14:textId="77777777" w:rsidR="00EC4ECD" w:rsidRPr="00C74D5B" w:rsidRDefault="00EC4ECD">
            <w:pPr>
              <w:jc w:val="right"/>
              <w:cnfStyle w:val="100000000000" w:firstRow="1" w:lastRow="0" w:firstColumn="0" w:lastColumn="0" w:oddVBand="0" w:evenVBand="0" w:oddHBand="0" w:evenHBand="0" w:firstRowFirstColumn="0" w:firstRowLastColumn="0" w:lastRowFirstColumn="0" w:lastRowLastColumn="0"/>
              <w:rPr>
                <w:rFonts w:ascii="Aptos Narrow" w:eastAsia="Arial Narrow" w:hAnsi="Aptos Narrow" w:cs="Arial Narrow"/>
                <w:b w:val="0"/>
                <w:bCs/>
                <w:sz w:val="20"/>
              </w:rPr>
            </w:pPr>
            <w:r w:rsidRPr="00C74D5B">
              <w:rPr>
                <w:rFonts w:ascii="Aptos Narrow" w:eastAsia="Arial Narrow" w:hAnsi="Aptos Narrow" w:cs="Arial Narrow"/>
                <w:b w:val="0"/>
                <w:bCs/>
                <w:sz w:val="20"/>
              </w:rPr>
              <w:t>Verified Net Savings (Therms)</w:t>
            </w:r>
          </w:p>
        </w:tc>
      </w:tr>
      <w:tr w:rsidR="00EC4ECD" w:rsidRPr="00BD0D15" w14:paraId="0727D6B2" w14:textId="77777777" w:rsidTr="007E1CF9">
        <w:trPr>
          <w:trHeight w:val="300"/>
        </w:trPr>
        <w:tc>
          <w:tcPr>
            <w:cnfStyle w:val="001000000000" w:firstRow="0" w:lastRow="0" w:firstColumn="1" w:lastColumn="0" w:oddVBand="0" w:evenVBand="0" w:oddHBand="0" w:evenHBand="0" w:firstRowFirstColumn="0" w:firstRowLastColumn="0" w:lastRowFirstColumn="0" w:lastRowLastColumn="0"/>
            <w:tcW w:w="964" w:type="pct"/>
          </w:tcPr>
          <w:p w14:paraId="41424650" w14:textId="0FD01FE8" w:rsidR="00EC4ECD" w:rsidRPr="000A4833" w:rsidRDefault="00EC4ECD" w:rsidP="000A4833">
            <w:pPr>
              <w:keepNext/>
              <w:keepLines/>
              <w:jc w:val="left"/>
              <w:rPr>
                <w:rFonts w:asciiTheme="minorHAnsi" w:eastAsia="Arial Narrow" w:hAnsiTheme="minorHAnsi"/>
                <w:color w:val="000000"/>
                <w:sz w:val="20"/>
              </w:rPr>
            </w:pPr>
            <w:r w:rsidRPr="000A4833">
              <w:rPr>
                <w:rFonts w:asciiTheme="minorHAnsi" w:eastAsia="Arial Narrow" w:hAnsiTheme="minorHAnsi"/>
                <w:color w:val="000000"/>
                <w:sz w:val="20"/>
              </w:rPr>
              <w:t>Income Eligible</w:t>
            </w:r>
          </w:p>
        </w:tc>
        <w:tc>
          <w:tcPr>
            <w:tcW w:w="794" w:type="pct"/>
          </w:tcPr>
          <w:p w14:paraId="26903744" w14:textId="72DB12D3" w:rsidR="00EC4ECD" w:rsidRPr="000A4833" w:rsidRDefault="00EC4ECD" w:rsidP="000A4833">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olor w:val="000000"/>
                <w:sz w:val="20"/>
              </w:rPr>
            </w:pPr>
            <w:r w:rsidRPr="000A4833">
              <w:rPr>
                <w:rFonts w:asciiTheme="minorHAnsi" w:hAnsiTheme="minorHAnsi"/>
                <w:color w:val="000000"/>
                <w:sz w:val="20"/>
              </w:rPr>
              <w:t xml:space="preserve"> 1,600,826 </w:t>
            </w:r>
          </w:p>
        </w:tc>
        <w:tc>
          <w:tcPr>
            <w:tcW w:w="737" w:type="pct"/>
          </w:tcPr>
          <w:p w14:paraId="05A4FB22" w14:textId="596E15AC" w:rsidR="00EC4ECD" w:rsidRPr="000A4833" w:rsidRDefault="00EC4ECD" w:rsidP="000A4833">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olor w:val="000000"/>
                <w:sz w:val="20"/>
              </w:rPr>
            </w:pPr>
            <w:r w:rsidRPr="000A4833">
              <w:rPr>
                <w:rFonts w:asciiTheme="minorHAnsi" w:hAnsiTheme="minorHAnsi"/>
                <w:color w:val="000000"/>
                <w:sz w:val="20"/>
              </w:rPr>
              <w:t>102%</w:t>
            </w:r>
          </w:p>
        </w:tc>
        <w:tc>
          <w:tcPr>
            <w:tcW w:w="766" w:type="pct"/>
          </w:tcPr>
          <w:p w14:paraId="2542E925" w14:textId="6F424C69" w:rsidR="00EC4ECD" w:rsidRPr="000A4833" w:rsidRDefault="00EC4ECD" w:rsidP="000A4833">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olor w:val="000000"/>
                <w:sz w:val="20"/>
              </w:rPr>
            </w:pPr>
            <w:r w:rsidRPr="000A4833">
              <w:rPr>
                <w:rFonts w:asciiTheme="minorHAnsi" w:hAnsiTheme="minorHAnsi"/>
                <w:color w:val="000000"/>
                <w:sz w:val="20"/>
              </w:rPr>
              <w:t xml:space="preserve"> 1,626,361 </w:t>
            </w:r>
          </w:p>
        </w:tc>
        <w:tc>
          <w:tcPr>
            <w:tcW w:w="491" w:type="pct"/>
          </w:tcPr>
          <w:p w14:paraId="12F70736" w14:textId="5D7A4BAF" w:rsidR="00EC4ECD" w:rsidRPr="000A4833" w:rsidRDefault="00EC4ECD" w:rsidP="000A4833">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olor w:val="000000"/>
                <w:sz w:val="20"/>
              </w:rPr>
            </w:pPr>
            <w:r w:rsidRPr="000A4833">
              <w:rPr>
                <w:rFonts w:asciiTheme="minorHAnsi" w:hAnsiTheme="minorHAnsi"/>
                <w:color w:val="000000"/>
                <w:sz w:val="20"/>
              </w:rPr>
              <w:t xml:space="preserve"> 1.00 </w:t>
            </w:r>
          </w:p>
        </w:tc>
        <w:tc>
          <w:tcPr>
            <w:tcW w:w="491" w:type="pct"/>
          </w:tcPr>
          <w:p w14:paraId="29DC6322" w14:textId="4DA2F982" w:rsidR="00EC4ECD" w:rsidRPr="000A4833" w:rsidRDefault="00EC4ECD" w:rsidP="000A4833">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olor w:val="000000"/>
                <w:sz w:val="20"/>
              </w:rPr>
            </w:pPr>
            <w:r w:rsidRPr="000A4833">
              <w:rPr>
                <w:rFonts w:asciiTheme="minorHAnsi" w:eastAsia="Arial Narrow" w:hAnsiTheme="minorHAnsi"/>
                <w:color w:val="000000"/>
                <w:sz w:val="20"/>
              </w:rPr>
              <w:t>N/A</w:t>
            </w:r>
          </w:p>
        </w:tc>
        <w:tc>
          <w:tcPr>
            <w:tcW w:w="756" w:type="pct"/>
          </w:tcPr>
          <w:p w14:paraId="06D3D1E4" w14:textId="690E77F8" w:rsidR="00EC4ECD" w:rsidRPr="000A4833" w:rsidRDefault="00EC4ECD" w:rsidP="000A4833">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olor w:val="000000"/>
                <w:sz w:val="20"/>
              </w:rPr>
            </w:pPr>
            <w:r w:rsidRPr="000A4833">
              <w:rPr>
                <w:rFonts w:asciiTheme="minorHAnsi" w:hAnsiTheme="minorHAnsi"/>
                <w:color w:val="000000"/>
                <w:sz w:val="20"/>
              </w:rPr>
              <w:t xml:space="preserve"> 1,626,361 </w:t>
            </w:r>
          </w:p>
        </w:tc>
      </w:tr>
      <w:tr w:rsidR="00EC4ECD" w:rsidRPr="00BD0D15" w14:paraId="2C9E521A" w14:textId="77777777" w:rsidTr="007E1CF9">
        <w:trPr>
          <w:trHeight w:val="300"/>
        </w:trPr>
        <w:tc>
          <w:tcPr>
            <w:cnfStyle w:val="001000000000" w:firstRow="0" w:lastRow="0" w:firstColumn="1" w:lastColumn="0" w:oddVBand="0" w:evenVBand="0" w:oddHBand="0" w:evenHBand="0" w:firstRowFirstColumn="0" w:firstRowLastColumn="0" w:lastRowFirstColumn="0" w:lastRowLastColumn="0"/>
            <w:tcW w:w="964" w:type="pct"/>
          </w:tcPr>
          <w:p w14:paraId="042CA280" w14:textId="47782560" w:rsidR="00EC4ECD" w:rsidRPr="000A4833" w:rsidRDefault="00EC4ECD" w:rsidP="000A4833">
            <w:pPr>
              <w:keepNext/>
              <w:keepLines/>
              <w:jc w:val="left"/>
              <w:rPr>
                <w:rFonts w:asciiTheme="minorHAnsi" w:eastAsia="Arial Narrow" w:hAnsiTheme="minorHAnsi"/>
                <w:color w:val="000000"/>
                <w:sz w:val="20"/>
              </w:rPr>
            </w:pPr>
            <w:r w:rsidRPr="000A4833">
              <w:rPr>
                <w:rFonts w:asciiTheme="minorHAnsi" w:eastAsia="Arial Narrow" w:hAnsiTheme="minorHAnsi"/>
                <w:color w:val="000000"/>
                <w:sz w:val="20"/>
              </w:rPr>
              <w:t>IHWAP</w:t>
            </w:r>
          </w:p>
        </w:tc>
        <w:tc>
          <w:tcPr>
            <w:tcW w:w="794" w:type="pct"/>
          </w:tcPr>
          <w:p w14:paraId="3F62C2F2" w14:textId="6B1D5EDA" w:rsidR="00EC4ECD" w:rsidRPr="000A4833" w:rsidRDefault="00EC4ECD" w:rsidP="000A4833">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olor w:val="000000"/>
                <w:sz w:val="20"/>
              </w:rPr>
            </w:pPr>
            <w:r w:rsidRPr="000A4833">
              <w:rPr>
                <w:rFonts w:asciiTheme="minorHAnsi" w:hAnsiTheme="minorHAnsi"/>
                <w:color w:val="000000"/>
                <w:sz w:val="20"/>
              </w:rPr>
              <w:t xml:space="preserve"> 50,220 </w:t>
            </w:r>
          </w:p>
        </w:tc>
        <w:tc>
          <w:tcPr>
            <w:tcW w:w="737" w:type="pct"/>
          </w:tcPr>
          <w:p w14:paraId="4ADD8B77" w14:textId="60CCB167" w:rsidR="00EC4ECD" w:rsidRPr="000A4833" w:rsidRDefault="00EC4ECD" w:rsidP="000A4833">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olor w:val="000000"/>
                <w:sz w:val="20"/>
              </w:rPr>
            </w:pPr>
            <w:r w:rsidRPr="000A4833">
              <w:rPr>
                <w:rFonts w:asciiTheme="minorHAnsi" w:hAnsiTheme="minorHAnsi"/>
                <w:color w:val="000000"/>
                <w:sz w:val="20"/>
              </w:rPr>
              <w:t>58%</w:t>
            </w:r>
          </w:p>
        </w:tc>
        <w:tc>
          <w:tcPr>
            <w:tcW w:w="766" w:type="pct"/>
          </w:tcPr>
          <w:p w14:paraId="303C2DFF" w14:textId="27BE9EF3" w:rsidR="00EC4ECD" w:rsidRPr="000A4833" w:rsidRDefault="00EC4ECD" w:rsidP="000A4833">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olor w:val="000000"/>
                <w:sz w:val="20"/>
              </w:rPr>
            </w:pPr>
            <w:r w:rsidRPr="000A4833">
              <w:rPr>
                <w:rFonts w:asciiTheme="minorHAnsi" w:hAnsiTheme="minorHAnsi"/>
                <w:color w:val="000000"/>
                <w:sz w:val="20"/>
              </w:rPr>
              <w:t xml:space="preserve"> 29,282 </w:t>
            </w:r>
          </w:p>
        </w:tc>
        <w:tc>
          <w:tcPr>
            <w:tcW w:w="491" w:type="pct"/>
          </w:tcPr>
          <w:p w14:paraId="0FBD5A58" w14:textId="56E4A4A5" w:rsidR="00EC4ECD" w:rsidRPr="000A4833" w:rsidRDefault="00EC4ECD" w:rsidP="000A4833">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olor w:val="000000"/>
                <w:sz w:val="20"/>
              </w:rPr>
            </w:pPr>
            <w:r w:rsidRPr="000A4833">
              <w:rPr>
                <w:rFonts w:asciiTheme="minorHAnsi" w:hAnsiTheme="minorHAnsi"/>
                <w:color w:val="000000"/>
                <w:sz w:val="20"/>
              </w:rPr>
              <w:t xml:space="preserve"> 1.00 </w:t>
            </w:r>
          </w:p>
        </w:tc>
        <w:tc>
          <w:tcPr>
            <w:tcW w:w="491" w:type="pct"/>
          </w:tcPr>
          <w:p w14:paraId="6E3F991D" w14:textId="4B6CEFBB" w:rsidR="00EC4ECD" w:rsidRPr="000A4833" w:rsidRDefault="00EC4ECD" w:rsidP="000A4833">
            <w:pPr>
              <w:keepNext/>
              <w:keepLines/>
              <w:jc w:val="lef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olor w:val="000000"/>
                <w:sz w:val="20"/>
              </w:rPr>
            </w:pPr>
            <w:r w:rsidRPr="000A4833">
              <w:rPr>
                <w:rFonts w:asciiTheme="minorHAnsi" w:eastAsia="Arial" w:hAnsiTheme="minorHAnsi"/>
                <w:color w:val="000000"/>
                <w:sz w:val="20"/>
              </w:rPr>
              <w:t>N/A</w:t>
            </w:r>
          </w:p>
        </w:tc>
        <w:tc>
          <w:tcPr>
            <w:tcW w:w="756" w:type="pct"/>
          </w:tcPr>
          <w:p w14:paraId="18E1E1C0" w14:textId="71441268" w:rsidR="00EC4ECD" w:rsidRPr="000A4833" w:rsidRDefault="00EC4ECD" w:rsidP="000A4833">
            <w:pPr>
              <w:keepNext/>
              <w:keepLines/>
              <w:jc w:val="right"/>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olor w:val="000000"/>
                <w:sz w:val="20"/>
              </w:rPr>
            </w:pPr>
            <w:r w:rsidRPr="000A4833">
              <w:rPr>
                <w:rFonts w:asciiTheme="minorHAnsi" w:hAnsiTheme="minorHAnsi"/>
                <w:color w:val="000000"/>
                <w:sz w:val="20"/>
              </w:rPr>
              <w:t xml:space="preserve"> 29,282 </w:t>
            </w:r>
          </w:p>
        </w:tc>
      </w:tr>
      <w:tr w:rsidR="00EC4ECD" w:rsidRPr="00BD0D15" w14:paraId="4F060956" w14:textId="77777777" w:rsidTr="007E1CF9">
        <w:trPr>
          <w:trHeight w:val="300"/>
        </w:trPr>
        <w:tc>
          <w:tcPr>
            <w:cnfStyle w:val="001000000000" w:firstRow="0" w:lastRow="0" w:firstColumn="1" w:lastColumn="0" w:oddVBand="0" w:evenVBand="0" w:oddHBand="0" w:evenHBand="0" w:firstRowFirstColumn="0" w:firstRowLastColumn="0" w:lastRowFirstColumn="0" w:lastRowLastColumn="0"/>
            <w:tcW w:w="964" w:type="pct"/>
          </w:tcPr>
          <w:p w14:paraId="445C998C" w14:textId="2251FD9A" w:rsidR="00EC4ECD" w:rsidRPr="00BD0D15" w:rsidRDefault="00EC4ECD">
            <w:pPr>
              <w:jc w:val="left"/>
              <w:rPr>
                <w:rFonts w:ascii="Aptos Narrow" w:eastAsia="Arial Narrow" w:hAnsi="Aptos Narrow" w:cs="Arial Narrow"/>
                <w:color w:val="000000" w:themeColor="text1"/>
                <w:sz w:val="20"/>
              </w:rPr>
            </w:pPr>
            <w:r w:rsidRPr="00BD0D15">
              <w:rPr>
                <w:rFonts w:ascii="Aptos Narrow" w:eastAsia="Arial Narrow" w:hAnsi="Aptos Narrow" w:cs="Arial Narrow"/>
                <w:b/>
                <w:bCs/>
                <w:color w:val="000000" w:themeColor="text1"/>
                <w:sz w:val="20"/>
              </w:rPr>
              <w:t xml:space="preserve">Total </w:t>
            </w:r>
          </w:p>
        </w:tc>
        <w:tc>
          <w:tcPr>
            <w:tcW w:w="794" w:type="pct"/>
          </w:tcPr>
          <w:p w14:paraId="2F7B6906" w14:textId="23EC592B" w:rsidR="00EC4ECD" w:rsidRPr="00403F05" w:rsidRDefault="00EC4ECD">
            <w:pPr>
              <w:jc w:val="righ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r w:rsidRPr="00403F05">
              <w:rPr>
                <w:rFonts w:eastAsia="Arial" w:cs="Arial"/>
                <w:b/>
                <w:bCs/>
                <w:color w:val="000000" w:themeColor="text1"/>
                <w:sz w:val="20"/>
              </w:rPr>
              <w:t>1,651,046</w:t>
            </w:r>
          </w:p>
        </w:tc>
        <w:tc>
          <w:tcPr>
            <w:tcW w:w="737" w:type="pct"/>
          </w:tcPr>
          <w:p w14:paraId="2C78EADD" w14:textId="36B2C692" w:rsidR="00EC4ECD" w:rsidRPr="00403F05" w:rsidRDefault="00EC4ECD">
            <w:pPr>
              <w:jc w:val="righ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r w:rsidRPr="00403F05">
              <w:rPr>
                <w:rFonts w:eastAsia="Arial" w:cs="Arial"/>
                <w:b/>
                <w:bCs/>
                <w:color w:val="000000" w:themeColor="text1"/>
                <w:sz w:val="20"/>
              </w:rPr>
              <w:t>100%</w:t>
            </w:r>
          </w:p>
        </w:tc>
        <w:tc>
          <w:tcPr>
            <w:tcW w:w="766" w:type="pct"/>
          </w:tcPr>
          <w:p w14:paraId="35D6F867" w14:textId="28DB17C0" w:rsidR="00EC4ECD" w:rsidRPr="00403F05" w:rsidRDefault="00EC4ECD">
            <w:pPr>
              <w:jc w:val="righ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r w:rsidRPr="00403F05">
              <w:rPr>
                <w:rFonts w:eastAsia="Arial" w:cs="Arial"/>
                <w:b/>
                <w:bCs/>
                <w:color w:val="000000" w:themeColor="text1"/>
                <w:sz w:val="20"/>
              </w:rPr>
              <w:t>1,655,644</w:t>
            </w:r>
          </w:p>
        </w:tc>
        <w:tc>
          <w:tcPr>
            <w:tcW w:w="491" w:type="pct"/>
          </w:tcPr>
          <w:p w14:paraId="13045246" w14:textId="5C7722B7" w:rsidR="00EC4ECD" w:rsidRPr="00403F05" w:rsidRDefault="00EC4ECD">
            <w:pPr>
              <w:jc w:val="righ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r w:rsidRPr="00403F05">
              <w:rPr>
                <w:rFonts w:eastAsia="Arial" w:cs="Arial"/>
                <w:b/>
                <w:bCs/>
                <w:color w:val="000000" w:themeColor="text1"/>
                <w:sz w:val="20"/>
              </w:rPr>
              <w:t>1.00</w:t>
            </w:r>
          </w:p>
        </w:tc>
        <w:tc>
          <w:tcPr>
            <w:tcW w:w="491" w:type="pct"/>
          </w:tcPr>
          <w:p w14:paraId="27D50C84" w14:textId="51FC83AC" w:rsidR="00EC4ECD" w:rsidRPr="00403F05" w:rsidRDefault="00EC4ECD" w:rsidP="000A4833">
            <w:pPr>
              <w:jc w:val="lef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p>
        </w:tc>
        <w:tc>
          <w:tcPr>
            <w:tcW w:w="756" w:type="pct"/>
          </w:tcPr>
          <w:p w14:paraId="334DE990" w14:textId="01F03B04" w:rsidR="00EC4ECD" w:rsidRPr="00403F05" w:rsidRDefault="00EC4ECD">
            <w:pPr>
              <w:jc w:val="right"/>
              <w:cnfStyle w:val="000000000000" w:firstRow="0" w:lastRow="0" w:firstColumn="0" w:lastColumn="0" w:oddVBand="0" w:evenVBand="0" w:oddHBand="0" w:evenHBand="0" w:firstRowFirstColumn="0" w:firstRowLastColumn="0" w:lastRowFirstColumn="0" w:lastRowLastColumn="0"/>
              <w:rPr>
                <w:rFonts w:eastAsia="Arial" w:cs="Arial"/>
                <w:b/>
                <w:bCs/>
                <w:color w:val="000000" w:themeColor="text1"/>
                <w:sz w:val="20"/>
              </w:rPr>
            </w:pPr>
            <w:r w:rsidRPr="00403F05">
              <w:rPr>
                <w:rFonts w:eastAsia="Arial" w:cs="Arial"/>
                <w:b/>
                <w:bCs/>
                <w:color w:val="000000" w:themeColor="text1"/>
                <w:sz w:val="20"/>
              </w:rPr>
              <w:t>1,655,644</w:t>
            </w:r>
          </w:p>
        </w:tc>
      </w:tr>
    </w:tbl>
    <w:p w14:paraId="2AAC61AB" w14:textId="77777777" w:rsidR="00123197" w:rsidRPr="00117B5B" w:rsidRDefault="00123197" w:rsidP="00762D8D">
      <w:pPr>
        <w:pStyle w:val="TableFigureSourceorNote"/>
        <w:rPr>
          <w:rFonts w:eastAsia="Arial"/>
        </w:rPr>
      </w:pPr>
      <w:bookmarkStart w:id="36" w:name="_Hlk500574807"/>
      <w:r w:rsidRPr="00117B5B">
        <w:rPr>
          <w:rFonts w:eastAsia="Arial"/>
        </w:rPr>
        <w:t>* Realization Rate (RR) is the ratio of verified gross savings to ex ante gross savings, based on evaluation research findings.</w:t>
      </w:r>
    </w:p>
    <w:bookmarkEnd w:id="36"/>
    <w:p w14:paraId="322BAE92" w14:textId="6E3C3AEF" w:rsidR="00123197" w:rsidRPr="00117B5B" w:rsidRDefault="00123197" w:rsidP="00762D8D">
      <w:pPr>
        <w:pStyle w:val="TableFigureSourceorNote"/>
        <w:rPr>
          <w:rFonts w:eastAsia="Arial"/>
        </w:rPr>
      </w:pPr>
      <w:r w:rsidRPr="00117B5B">
        <w:rPr>
          <w:rFonts w:eastAsia="Arial"/>
        </w:rPr>
        <w:t xml:space="preserve">† NTG, Net to Gross is the deemed value available on the SAG website: </w:t>
      </w:r>
      <w:hyperlink r:id="rId23" w:history="1">
        <w:r w:rsidR="00BD0D15" w:rsidRPr="00117B5B">
          <w:rPr>
            <w:rStyle w:val="Hyperlink"/>
            <w:rFonts w:eastAsia="Arial" w:cs="Arial"/>
            <w:iCs/>
            <w:szCs w:val="16"/>
          </w:rPr>
          <w:t>https://www.ilsag.info/evaluator-ntg-recommendations-for-2025/</w:t>
        </w:r>
      </w:hyperlink>
    </w:p>
    <w:p w14:paraId="10F67E45" w14:textId="77777777" w:rsidR="00123197" w:rsidRPr="00117B5B" w:rsidRDefault="00123197" w:rsidP="00E1525D">
      <w:pPr>
        <w:pStyle w:val="TableFigureSourceorNote"/>
        <w:rPr>
          <w:rFonts w:eastAsia="Arial" w:cs="Arial"/>
          <w:iCs/>
          <w:szCs w:val="16"/>
        </w:rPr>
      </w:pPr>
      <w:r w:rsidRPr="00117B5B">
        <w:rPr>
          <w:rFonts w:eastAsia="Arial" w:cs="Arial"/>
          <w:iCs/>
          <w:szCs w:val="16"/>
        </w:rPr>
        <w:t>Source: Evaluation team analysis.</w:t>
      </w:r>
    </w:p>
    <w:p w14:paraId="5B56E7B2" w14:textId="77777777" w:rsidR="00123197" w:rsidRDefault="00123197" w:rsidP="00123197">
      <w:pPr>
        <w:pStyle w:val="Source"/>
        <w:keepNext/>
        <w:keepLines/>
        <w:rPr>
          <w:rFonts w:cs="Arial"/>
          <w:sz w:val="18"/>
          <w:szCs w:val="18"/>
        </w:rPr>
      </w:pPr>
    </w:p>
    <w:p w14:paraId="30036E35" w14:textId="21991FF2" w:rsidR="00123197" w:rsidRDefault="00123197" w:rsidP="00123197">
      <w:r>
        <w:fldChar w:fldCharType="begin"/>
      </w:r>
      <w:r>
        <w:instrText xml:space="preserve"> REF _Ref189739510 \h </w:instrText>
      </w:r>
      <w:r>
        <w:fldChar w:fldCharType="separate"/>
      </w:r>
      <w:r w:rsidR="00803485">
        <w:t xml:space="preserve">Table </w:t>
      </w:r>
      <w:r w:rsidR="00803485">
        <w:rPr>
          <w:noProof/>
        </w:rPr>
        <w:t>6</w:t>
      </w:r>
      <w:r>
        <w:fldChar w:fldCharType="end"/>
      </w:r>
      <w:r>
        <w:t xml:space="preserve"> </w:t>
      </w:r>
      <w:r w:rsidRPr="00A90B62">
        <w:t>summarize</w:t>
      </w:r>
      <w:r>
        <w:t>s</w:t>
      </w:r>
      <w:r w:rsidRPr="00A90B62">
        <w:t xml:space="preserve"> the </w:t>
      </w:r>
      <w:r>
        <w:t xml:space="preserve">energy </w:t>
      </w:r>
      <w:r w:rsidRPr="00A90B62">
        <w:t xml:space="preserve">savings the </w:t>
      </w:r>
      <w:r>
        <w:t xml:space="preserve">NSG </w:t>
      </w:r>
      <w:r w:rsidR="00CC371C">
        <w:t>Multi-Family Income Eligible</w:t>
      </w:r>
      <w:r>
        <w:t xml:space="preserve"> P</w:t>
      </w:r>
      <w:r w:rsidRPr="00A90B62">
        <w:t>rogram</w:t>
      </w:r>
      <w:r>
        <w:t xml:space="preserve"> achieved by path in 202</w:t>
      </w:r>
      <w:r w:rsidR="00491AC6">
        <w:t>5</w:t>
      </w:r>
      <w:r>
        <w:t>.</w:t>
      </w:r>
    </w:p>
    <w:p w14:paraId="5379B4F8" w14:textId="0A0CCC70" w:rsidR="00123197" w:rsidRDefault="00123197" w:rsidP="00F671C0">
      <w:pPr>
        <w:pStyle w:val="Caption"/>
      </w:pPr>
      <w:bookmarkStart w:id="37" w:name="_Ref189739510"/>
      <w:bookmarkStart w:id="38" w:name="_Toc61360477"/>
      <w:bookmarkStart w:id="39" w:name="_Toc189750717"/>
      <w:bookmarkStart w:id="40" w:name="_Toc224230104"/>
      <w:r>
        <w:t xml:space="preserve">Table </w:t>
      </w:r>
      <w:r>
        <w:fldChar w:fldCharType="begin"/>
      </w:r>
      <w:r>
        <w:instrText>SEQ Table \* ARABIC</w:instrText>
      </w:r>
      <w:r>
        <w:fldChar w:fldCharType="separate"/>
      </w:r>
      <w:r w:rsidR="00803485">
        <w:rPr>
          <w:noProof/>
        </w:rPr>
        <w:t>6</w:t>
      </w:r>
      <w:r>
        <w:fldChar w:fldCharType="end"/>
      </w:r>
      <w:bookmarkEnd w:id="37"/>
      <w:r>
        <w:t>. 20</w:t>
      </w:r>
      <w:r w:rsidR="00B278E0">
        <w:t>25</w:t>
      </w:r>
      <w:r>
        <w:t xml:space="preserve"> Annual Energy Savings Summary for NSG</w:t>
      </w:r>
      <w:bookmarkEnd w:id="38"/>
      <w:bookmarkEnd w:id="39"/>
      <w:r w:rsidR="00861A58">
        <w:t xml:space="preserve"> – Income Eligible</w:t>
      </w:r>
      <w:bookmarkEnd w:id="40"/>
    </w:p>
    <w:tbl>
      <w:tblPr>
        <w:tblStyle w:val="EnergyTable"/>
        <w:tblW w:w="5000" w:type="pct"/>
        <w:tblLook w:val="06A0" w:firstRow="1" w:lastRow="0" w:firstColumn="1" w:lastColumn="0" w:noHBand="1" w:noVBand="1"/>
      </w:tblPr>
      <w:tblGrid>
        <w:gridCol w:w="1930"/>
        <w:gridCol w:w="1625"/>
        <w:gridCol w:w="1118"/>
        <w:gridCol w:w="1574"/>
        <w:gridCol w:w="880"/>
        <w:gridCol w:w="880"/>
        <w:gridCol w:w="1353"/>
      </w:tblGrid>
      <w:tr w:rsidR="00807422" w:rsidRPr="00BD0D15" w14:paraId="5103640F" w14:textId="77777777" w:rsidTr="0080742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031" w:type="pct"/>
          </w:tcPr>
          <w:p w14:paraId="1AC9DBC8" w14:textId="77777777" w:rsidR="00807422" w:rsidRPr="00C74D5B" w:rsidRDefault="00807422" w:rsidP="00B278E0">
            <w:pPr>
              <w:jc w:val="left"/>
              <w:rPr>
                <w:rFonts w:asciiTheme="minorHAnsi" w:eastAsia="Arial Narrow" w:hAnsiTheme="minorHAnsi" w:cs="Arial Narrow"/>
                <w:b w:val="0"/>
                <w:bCs/>
                <w:sz w:val="20"/>
              </w:rPr>
            </w:pPr>
            <w:r w:rsidRPr="00C74D5B">
              <w:rPr>
                <w:rFonts w:asciiTheme="minorHAnsi" w:eastAsia="Arial Narrow" w:hAnsiTheme="minorHAnsi" w:cs="Arial Narrow"/>
                <w:b w:val="0"/>
                <w:bCs/>
                <w:sz w:val="20"/>
              </w:rPr>
              <w:t>Program Path</w:t>
            </w:r>
          </w:p>
        </w:tc>
        <w:tc>
          <w:tcPr>
            <w:tcW w:w="868" w:type="pct"/>
          </w:tcPr>
          <w:p w14:paraId="4D01459F" w14:textId="77777777" w:rsidR="00807422" w:rsidRPr="00C74D5B" w:rsidRDefault="00807422" w:rsidP="00B278E0">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b w:val="0"/>
                <w:bCs/>
                <w:sz w:val="20"/>
              </w:rPr>
            </w:pPr>
            <w:r w:rsidRPr="00C74D5B">
              <w:rPr>
                <w:rFonts w:asciiTheme="minorHAnsi" w:eastAsia="Arial Narrow" w:hAnsiTheme="minorHAnsi" w:cs="Arial Narrow"/>
                <w:b w:val="0"/>
                <w:bCs/>
                <w:sz w:val="20"/>
              </w:rPr>
              <w:t>Ex Ante Gross Savings (Therms)</w:t>
            </w:r>
          </w:p>
        </w:tc>
        <w:tc>
          <w:tcPr>
            <w:tcW w:w="597" w:type="pct"/>
          </w:tcPr>
          <w:p w14:paraId="44D8C6EB" w14:textId="77777777" w:rsidR="00807422" w:rsidRPr="00C74D5B" w:rsidRDefault="00807422" w:rsidP="00B278E0">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b w:val="0"/>
                <w:bCs/>
                <w:sz w:val="20"/>
              </w:rPr>
            </w:pPr>
            <w:r w:rsidRPr="00C74D5B">
              <w:rPr>
                <w:rFonts w:asciiTheme="minorHAnsi" w:eastAsia="Arial Narrow" w:hAnsiTheme="minorHAnsi" w:cs="Arial Narrow"/>
                <w:b w:val="0"/>
                <w:bCs/>
                <w:sz w:val="20"/>
              </w:rPr>
              <w:t>Verified Gross RR*</w:t>
            </w:r>
          </w:p>
        </w:tc>
        <w:tc>
          <w:tcPr>
            <w:tcW w:w="841" w:type="pct"/>
          </w:tcPr>
          <w:p w14:paraId="4B53FD43" w14:textId="77777777" w:rsidR="00807422" w:rsidRPr="00C74D5B" w:rsidRDefault="00807422" w:rsidP="00B278E0">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b w:val="0"/>
                <w:bCs/>
                <w:sz w:val="20"/>
              </w:rPr>
            </w:pPr>
            <w:r w:rsidRPr="00C74D5B">
              <w:rPr>
                <w:rFonts w:asciiTheme="minorHAnsi" w:eastAsia="Arial Narrow" w:hAnsiTheme="minorHAnsi" w:cs="Arial Narrow"/>
                <w:b w:val="0"/>
                <w:bCs/>
                <w:sz w:val="20"/>
              </w:rPr>
              <w:t>Verified Gross Savings (Therms</w:t>
            </w:r>
          </w:p>
        </w:tc>
        <w:tc>
          <w:tcPr>
            <w:tcW w:w="470" w:type="pct"/>
          </w:tcPr>
          <w:p w14:paraId="7027CFA6" w14:textId="77777777" w:rsidR="00807422" w:rsidRPr="00C74D5B" w:rsidRDefault="00807422" w:rsidP="00B278E0">
            <w:pPr>
              <w:jc w:val="righ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Calibri"/>
                <w:b w:val="0"/>
                <w:bCs/>
                <w:sz w:val="20"/>
              </w:rPr>
            </w:pPr>
            <w:r w:rsidRPr="00C74D5B">
              <w:rPr>
                <w:rFonts w:asciiTheme="minorHAnsi" w:eastAsia="Arial Narrow" w:hAnsiTheme="minorHAnsi" w:cs="Arial Narrow"/>
                <w:b w:val="0"/>
                <w:bCs/>
                <w:sz w:val="20"/>
              </w:rPr>
              <w:t>NTG</w:t>
            </w:r>
            <w:r w:rsidRPr="00C74D5B">
              <w:rPr>
                <w:rFonts w:asciiTheme="minorHAnsi" w:eastAsia="Calibri" w:hAnsiTheme="minorHAnsi" w:cs="Calibri"/>
                <w:b w:val="0"/>
                <w:bCs/>
                <w:sz w:val="20"/>
              </w:rPr>
              <w:t>†</w:t>
            </w:r>
          </w:p>
        </w:tc>
        <w:tc>
          <w:tcPr>
            <w:tcW w:w="470" w:type="pct"/>
          </w:tcPr>
          <w:p w14:paraId="42560B1D" w14:textId="58F4BE9F" w:rsidR="00807422" w:rsidRPr="00C74D5B" w:rsidRDefault="00807422" w:rsidP="000A4833">
            <w:pPr>
              <w:jc w:val="lef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b w:val="0"/>
                <w:bCs/>
                <w:sz w:val="20"/>
              </w:rPr>
            </w:pPr>
            <w:r w:rsidRPr="00C74D5B">
              <w:rPr>
                <w:rFonts w:asciiTheme="minorHAnsi" w:eastAsia="Arial Narrow" w:hAnsiTheme="minorHAnsi" w:cs="Arial Narrow"/>
                <w:b w:val="0"/>
                <w:bCs/>
                <w:sz w:val="20"/>
              </w:rPr>
              <w:t>NSPO</w:t>
            </w:r>
          </w:p>
        </w:tc>
        <w:tc>
          <w:tcPr>
            <w:tcW w:w="723" w:type="pct"/>
          </w:tcPr>
          <w:p w14:paraId="79F54274" w14:textId="77777777" w:rsidR="00807422" w:rsidRPr="00C74D5B" w:rsidRDefault="00807422" w:rsidP="00B278E0">
            <w:pPr>
              <w:jc w:val="right"/>
              <w:cnfStyle w:val="100000000000" w:firstRow="1" w:lastRow="0" w:firstColumn="0" w:lastColumn="0" w:oddVBand="0" w:evenVBand="0" w:oddHBand="0" w:evenHBand="0" w:firstRowFirstColumn="0" w:firstRowLastColumn="0" w:lastRowFirstColumn="0" w:lastRowLastColumn="0"/>
              <w:rPr>
                <w:rFonts w:asciiTheme="minorHAnsi" w:eastAsia="Arial Narrow" w:hAnsiTheme="minorHAnsi" w:cs="Arial Narrow"/>
                <w:b w:val="0"/>
                <w:bCs/>
                <w:sz w:val="20"/>
              </w:rPr>
            </w:pPr>
            <w:r w:rsidRPr="00C74D5B">
              <w:rPr>
                <w:rFonts w:asciiTheme="minorHAnsi" w:eastAsia="Arial Narrow" w:hAnsiTheme="minorHAnsi" w:cs="Arial Narrow"/>
                <w:b w:val="0"/>
                <w:bCs/>
                <w:sz w:val="20"/>
              </w:rPr>
              <w:t>Verified Net Savings (Therms)</w:t>
            </w:r>
          </w:p>
        </w:tc>
      </w:tr>
      <w:tr w:rsidR="00807422" w:rsidRPr="00BD0D15" w14:paraId="2B87C9FF" w14:textId="77777777" w:rsidTr="00807422">
        <w:trPr>
          <w:trHeight w:val="300"/>
        </w:trPr>
        <w:tc>
          <w:tcPr>
            <w:cnfStyle w:val="001000000000" w:firstRow="0" w:lastRow="0" w:firstColumn="1" w:lastColumn="0" w:oddVBand="0" w:evenVBand="0" w:oddHBand="0" w:evenHBand="0" w:firstRowFirstColumn="0" w:firstRowLastColumn="0" w:lastRowFirstColumn="0" w:lastRowLastColumn="0"/>
            <w:tcW w:w="1031" w:type="pct"/>
          </w:tcPr>
          <w:p w14:paraId="68A76072" w14:textId="497170C8" w:rsidR="00807422" w:rsidRPr="00BD0D15" w:rsidRDefault="00807422" w:rsidP="00B278E0">
            <w:pPr>
              <w:jc w:val="left"/>
              <w:rPr>
                <w:rFonts w:asciiTheme="minorHAnsi" w:eastAsia="Arial Narrow" w:hAnsiTheme="minorHAnsi" w:cs="Arial Narrow"/>
                <w:color w:val="000000" w:themeColor="text1"/>
                <w:sz w:val="20"/>
              </w:rPr>
            </w:pPr>
            <w:r>
              <w:rPr>
                <w:rFonts w:asciiTheme="minorHAnsi" w:eastAsia="Arial Narrow" w:hAnsiTheme="minorHAnsi" w:cs="Arial Narrow"/>
                <w:color w:val="000000" w:themeColor="text1"/>
                <w:sz w:val="20"/>
              </w:rPr>
              <w:t>Income Eligible</w:t>
            </w:r>
          </w:p>
        </w:tc>
        <w:tc>
          <w:tcPr>
            <w:tcW w:w="868" w:type="pct"/>
          </w:tcPr>
          <w:p w14:paraId="782BE1FB" w14:textId="6396A337" w:rsidR="00807422" w:rsidRPr="00BD0D15" w:rsidRDefault="00807422"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Pr>
                <w:rFonts w:asciiTheme="minorHAnsi" w:eastAsia="Arial Narrow" w:hAnsiTheme="minorHAnsi" w:cs="Arial Narrow"/>
                <w:color w:val="000000" w:themeColor="text1"/>
                <w:sz w:val="20"/>
              </w:rPr>
              <w:t>32,849</w:t>
            </w:r>
          </w:p>
        </w:tc>
        <w:tc>
          <w:tcPr>
            <w:tcW w:w="597" w:type="pct"/>
          </w:tcPr>
          <w:p w14:paraId="468961F4" w14:textId="7E59B0AC" w:rsidR="00807422" w:rsidRPr="00BD0D15" w:rsidRDefault="00807422"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Pr>
                <w:rFonts w:asciiTheme="minorHAnsi" w:eastAsia="Arial Narrow" w:hAnsiTheme="minorHAnsi" w:cs="Arial Narrow"/>
                <w:color w:val="000000" w:themeColor="text1"/>
                <w:sz w:val="20"/>
              </w:rPr>
              <w:t>100%</w:t>
            </w:r>
          </w:p>
        </w:tc>
        <w:tc>
          <w:tcPr>
            <w:tcW w:w="841" w:type="pct"/>
          </w:tcPr>
          <w:p w14:paraId="1F7FAC94" w14:textId="2708C176" w:rsidR="00807422" w:rsidRPr="00BD0D15" w:rsidRDefault="00807422"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Pr>
                <w:rFonts w:asciiTheme="minorHAnsi" w:eastAsia="Arial Narrow" w:hAnsiTheme="minorHAnsi" w:cs="Arial Narrow"/>
                <w:color w:val="000000" w:themeColor="text1"/>
                <w:sz w:val="20"/>
              </w:rPr>
              <w:t>32,982</w:t>
            </w:r>
          </w:p>
        </w:tc>
        <w:tc>
          <w:tcPr>
            <w:tcW w:w="470" w:type="pct"/>
          </w:tcPr>
          <w:p w14:paraId="000C6291" w14:textId="2A87ADD0" w:rsidR="00807422" w:rsidRPr="00BD0D15" w:rsidRDefault="00807422"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Pr>
                <w:rFonts w:asciiTheme="minorHAnsi" w:eastAsia="Arial Narrow" w:hAnsiTheme="minorHAnsi" w:cs="Arial Narrow"/>
                <w:color w:val="000000" w:themeColor="text1"/>
                <w:sz w:val="20"/>
              </w:rPr>
              <w:t>1.00</w:t>
            </w:r>
          </w:p>
        </w:tc>
        <w:tc>
          <w:tcPr>
            <w:tcW w:w="470" w:type="pct"/>
          </w:tcPr>
          <w:p w14:paraId="762DFC03" w14:textId="176663EC" w:rsidR="00807422" w:rsidRPr="00BD0D15" w:rsidRDefault="00807422" w:rsidP="000A4833">
            <w:pPr>
              <w:jc w:val="lef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Pr>
                <w:rFonts w:asciiTheme="minorHAnsi" w:eastAsia="Arial Narrow" w:hAnsiTheme="minorHAnsi" w:cs="Arial Narrow"/>
                <w:color w:val="000000" w:themeColor="text1"/>
                <w:sz w:val="20"/>
              </w:rPr>
              <w:t>N/A</w:t>
            </w:r>
          </w:p>
        </w:tc>
        <w:tc>
          <w:tcPr>
            <w:tcW w:w="723" w:type="pct"/>
          </w:tcPr>
          <w:p w14:paraId="5D29E6CA" w14:textId="0725BE27" w:rsidR="00807422" w:rsidRPr="00BD0D15" w:rsidRDefault="00807422" w:rsidP="00B278E0">
            <w:pPr>
              <w:jc w:val="right"/>
              <w:cnfStyle w:val="000000000000" w:firstRow="0" w:lastRow="0" w:firstColumn="0" w:lastColumn="0" w:oddVBand="0" w:evenVBand="0" w:oddHBand="0" w:evenHBand="0" w:firstRowFirstColumn="0" w:firstRowLastColumn="0" w:lastRowFirstColumn="0" w:lastRowLastColumn="0"/>
              <w:rPr>
                <w:rFonts w:asciiTheme="minorHAnsi" w:eastAsia="Arial Narrow" w:hAnsiTheme="minorHAnsi" w:cs="Arial Narrow"/>
                <w:color w:val="000000" w:themeColor="text1"/>
                <w:sz w:val="20"/>
              </w:rPr>
            </w:pPr>
            <w:r>
              <w:rPr>
                <w:rFonts w:asciiTheme="minorHAnsi" w:eastAsia="Arial Narrow" w:hAnsiTheme="minorHAnsi" w:cs="Arial Narrow"/>
                <w:color w:val="000000" w:themeColor="text1"/>
                <w:sz w:val="20"/>
              </w:rPr>
              <w:t>32,982</w:t>
            </w:r>
          </w:p>
        </w:tc>
      </w:tr>
    </w:tbl>
    <w:p w14:paraId="19583D8B" w14:textId="77777777" w:rsidR="00F13277" w:rsidRPr="00807422" w:rsidRDefault="00F13277" w:rsidP="00762D8D">
      <w:pPr>
        <w:pStyle w:val="TableFigureSourceorNote"/>
        <w:rPr>
          <w:rFonts w:eastAsia="Arial"/>
        </w:rPr>
      </w:pPr>
      <w:r w:rsidRPr="00807422">
        <w:rPr>
          <w:rFonts w:eastAsia="Arial"/>
        </w:rPr>
        <w:t>* Realization Rate (RR) is the ratio of verified gross savings to ex ante gross savings, based on evaluation research findings.</w:t>
      </w:r>
    </w:p>
    <w:p w14:paraId="693DAA60" w14:textId="051F12F7" w:rsidR="00F13277" w:rsidRPr="00807422" w:rsidRDefault="00F13277" w:rsidP="00762D8D">
      <w:pPr>
        <w:pStyle w:val="TableFigureSourceorNote"/>
        <w:rPr>
          <w:rFonts w:eastAsia="Arial"/>
        </w:rPr>
      </w:pPr>
      <w:r w:rsidRPr="00807422">
        <w:rPr>
          <w:rFonts w:eastAsia="Arial"/>
        </w:rPr>
        <w:t xml:space="preserve">† NTG, Net to Gross is the deemed value available on the SAG website: </w:t>
      </w:r>
      <w:hyperlink r:id="rId24" w:history="1">
        <w:r w:rsidRPr="00807422">
          <w:rPr>
            <w:rStyle w:val="Hyperlink"/>
            <w:rFonts w:eastAsia="Arial" w:cs="Arial"/>
            <w:iCs/>
            <w:szCs w:val="16"/>
          </w:rPr>
          <w:t>https://www.ilsag.info/evaluator-ntg-recommendations-for-2025/</w:t>
        </w:r>
      </w:hyperlink>
      <w:r w:rsidRPr="00807422">
        <w:rPr>
          <w:rFonts w:eastAsia="Arial"/>
        </w:rPr>
        <w:t>.</w:t>
      </w:r>
    </w:p>
    <w:p w14:paraId="2777D24C" w14:textId="4756682B" w:rsidR="00E008A3" w:rsidRPr="00807422" w:rsidRDefault="00123197" w:rsidP="00E1525D">
      <w:pPr>
        <w:pStyle w:val="TableFigureSourceorNote"/>
        <w:rPr>
          <w:iCs/>
        </w:rPr>
      </w:pPr>
      <w:r w:rsidRPr="00807422">
        <w:rPr>
          <w:iCs/>
        </w:rPr>
        <w:t>Source: Evaluation team analysis.</w:t>
      </w:r>
    </w:p>
    <w:p w14:paraId="492C45AC" w14:textId="01BC14D5" w:rsidR="00BF0C66" w:rsidRDefault="00D6080B" w:rsidP="00063E73">
      <w:pPr>
        <w:pStyle w:val="Heading2"/>
      </w:pPr>
      <w:bookmarkStart w:id="41" w:name="_Toc224332878"/>
      <w:r>
        <w:t>Program Savings by Measure</w:t>
      </w:r>
      <w:bookmarkEnd w:id="41"/>
    </w:p>
    <w:p w14:paraId="1F8DC23A" w14:textId="4075D5DE" w:rsidR="00F36BF3" w:rsidRDefault="00F36BF3" w:rsidP="00F36BF3">
      <w:r>
        <w:t xml:space="preserve">The program includes </w:t>
      </w:r>
      <w:r w:rsidR="00A07F5A" w:rsidRPr="00613AAD">
        <w:t>31</w:t>
      </w:r>
      <w:r>
        <w:t xml:space="preserve"> measures as shown in the following table. </w:t>
      </w:r>
      <w:r w:rsidR="00613AAD" w:rsidRPr="00613AAD">
        <w:t>Steam Traps and Attic Insulation measures</w:t>
      </w:r>
      <w:r w:rsidRPr="00C34677">
        <w:t xml:space="preserve"> </w:t>
      </w:r>
      <w:r>
        <w:t xml:space="preserve">contributed the most savings. </w:t>
      </w:r>
    </w:p>
    <w:p w14:paraId="361B4633" w14:textId="23A47DCC" w:rsidR="00F36BF3" w:rsidRPr="00A90B62" w:rsidRDefault="00F36BF3" w:rsidP="00F671C0">
      <w:pPr>
        <w:pStyle w:val="Caption"/>
      </w:pPr>
      <w:bookmarkStart w:id="42" w:name="_Toc398546655"/>
      <w:bookmarkStart w:id="43" w:name="_Toc423009517"/>
      <w:bookmarkStart w:id="44" w:name="_Toc426278635"/>
      <w:bookmarkStart w:id="45" w:name="_Toc61360848"/>
      <w:bookmarkStart w:id="46" w:name="_Toc189750769"/>
      <w:bookmarkStart w:id="47" w:name="_Toc224230105"/>
      <w:bookmarkStart w:id="48" w:name="_Hlk29910940"/>
      <w:r>
        <w:t xml:space="preserve">Table </w:t>
      </w:r>
      <w:r>
        <w:fldChar w:fldCharType="begin"/>
      </w:r>
      <w:r>
        <w:instrText>SEQ Table \* ARABIC</w:instrText>
      </w:r>
      <w:r>
        <w:fldChar w:fldCharType="separate"/>
      </w:r>
      <w:r w:rsidR="00803485">
        <w:rPr>
          <w:noProof/>
        </w:rPr>
        <w:t>7</w:t>
      </w:r>
      <w:r>
        <w:fldChar w:fldCharType="end"/>
      </w:r>
      <w:r>
        <w:t>. 202</w:t>
      </w:r>
      <w:r w:rsidR="00B46F80">
        <w:t>5</w:t>
      </w:r>
      <w:r>
        <w:t xml:space="preserve"> Annual Energy Savings by Measure</w:t>
      </w:r>
      <w:r w:rsidR="236CECAE">
        <w:t xml:space="preserve"> for PGL</w:t>
      </w:r>
      <w:bookmarkEnd w:id="42"/>
      <w:bookmarkEnd w:id="43"/>
      <w:bookmarkEnd w:id="44"/>
      <w:bookmarkEnd w:id="45"/>
      <w:bookmarkEnd w:id="46"/>
      <w:r w:rsidR="00861A58">
        <w:t xml:space="preserve"> – Income Eligible</w:t>
      </w:r>
      <w:bookmarkEnd w:id="47"/>
    </w:p>
    <w:tbl>
      <w:tblPr>
        <w:tblStyle w:val="EnergyTable"/>
        <w:tblW w:w="5000" w:type="pct"/>
        <w:tblLook w:val="06A0" w:firstRow="1" w:lastRow="0" w:firstColumn="1" w:lastColumn="0" w:noHBand="1" w:noVBand="1"/>
      </w:tblPr>
      <w:tblGrid>
        <w:gridCol w:w="996"/>
        <w:gridCol w:w="1061"/>
        <w:gridCol w:w="1528"/>
        <w:gridCol w:w="1095"/>
        <w:gridCol w:w="897"/>
        <w:gridCol w:w="1095"/>
        <w:gridCol w:w="696"/>
        <w:gridCol w:w="897"/>
        <w:gridCol w:w="1095"/>
      </w:tblGrid>
      <w:tr w:rsidR="007E1CF9" w:rsidRPr="00C63AEF" w14:paraId="57CF68DA" w14:textId="77777777" w:rsidTr="006A582F">
        <w:trPr>
          <w:cnfStyle w:val="100000000000" w:firstRow="1" w:lastRow="0" w:firstColumn="0" w:lastColumn="0" w:oddVBand="0" w:evenVBand="0" w:oddHBand="0" w:evenHBand="0" w:firstRowFirstColumn="0" w:firstRowLastColumn="0" w:lastRowFirstColumn="0" w:lastRowLastColumn="0"/>
          <w:trHeight w:val="1050"/>
          <w:tblHeader/>
        </w:trPr>
        <w:tc>
          <w:tcPr>
            <w:cnfStyle w:val="001000000000" w:firstRow="0" w:lastRow="0" w:firstColumn="1" w:lastColumn="0" w:oddVBand="0" w:evenVBand="0" w:oddHBand="0" w:evenHBand="0" w:firstRowFirstColumn="0" w:firstRowLastColumn="0" w:lastRowFirstColumn="0" w:lastRowLastColumn="0"/>
            <w:tcW w:w="532" w:type="pct"/>
          </w:tcPr>
          <w:p w14:paraId="505671FD" w14:textId="77777777" w:rsidR="007E1CF9" w:rsidRPr="00C63AEF" w:rsidRDefault="007E1CF9" w:rsidP="00F36BF3">
            <w:pPr>
              <w:jc w:val="left"/>
              <w:rPr>
                <w:rFonts w:asciiTheme="minorHAnsi" w:hAnsiTheme="minorHAnsi"/>
                <w:b w:val="0"/>
                <w:bCs/>
                <w:sz w:val="20"/>
              </w:rPr>
            </w:pPr>
            <w:r w:rsidRPr="00C63AEF">
              <w:rPr>
                <w:rFonts w:asciiTheme="minorHAnsi" w:eastAsia="Arial Narrow" w:hAnsiTheme="minorHAnsi" w:cs="Arial Narrow"/>
                <w:b w:val="0"/>
                <w:bCs/>
                <w:sz w:val="20"/>
              </w:rPr>
              <w:t>Program Path</w:t>
            </w:r>
          </w:p>
        </w:tc>
        <w:tc>
          <w:tcPr>
            <w:tcW w:w="1383" w:type="pct"/>
            <w:gridSpan w:val="2"/>
          </w:tcPr>
          <w:p w14:paraId="1F5FDDB7" w14:textId="77777777" w:rsidR="007E1CF9" w:rsidRPr="00C63AEF" w:rsidRDefault="007E1CF9" w:rsidP="00F36BF3">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C63AEF">
              <w:rPr>
                <w:rFonts w:asciiTheme="minorHAnsi" w:eastAsia="Arial Narrow" w:hAnsiTheme="minorHAnsi" w:cs="Arial Narrow"/>
                <w:b w:val="0"/>
                <w:bCs/>
                <w:sz w:val="20"/>
              </w:rPr>
              <w:t>Savings Category</w:t>
            </w:r>
          </w:p>
        </w:tc>
        <w:tc>
          <w:tcPr>
            <w:tcW w:w="585" w:type="pct"/>
          </w:tcPr>
          <w:p w14:paraId="3BC9710D" w14:textId="77777777" w:rsidR="007E1CF9" w:rsidRPr="00C63AEF" w:rsidRDefault="007E1CF9" w:rsidP="00F36BF3">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C63AEF">
              <w:rPr>
                <w:rFonts w:asciiTheme="minorHAnsi" w:eastAsia="Arial Narrow" w:hAnsiTheme="minorHAnsi" w:cs="Arial Narrow"/>
                <w:b w:val="0"/>
                <w:bCs/>
                <w:sz w:val="20"/>
              </w:rPr>
              <w:t>Ex Ante Gross Savings (Therms)</w:t>
            </w:r>
          </w:p>
        </w:tc>
        <w:tc>
          <w:tcPr>
            <w:tcW w:w="479" w:type="pct"/>
          </w:tcPr>
          <w:p w14:paraId="3A02C2B6" w14:textId="77777777" w:rsidR="007E1CF9" w:rsidRPr="00C63AEF" w:rsidRDefault="007E1CF9" w:rsidP="00F36BF3">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C63AEF">
              <w:rPr>
                <w:rFonts w:asciiTheme="minorHAnsi" w:eastAsia="Arial Narrow" w:hAnsiTheme="minorHAnsi" w:cs="Arial Narrow"/>
                <w:b w:val="0"/>
                <w:bCs/>
                <w:sz w:val="20"/>
              </w:rPr>
              <w:t>Verified Gross RR*</w:t>
            </w:r>
          </w:p>
        </w:tc>
        <w:tc>
          <w:tcPr>
            <w:tcW w:w="585" w:type="pct"/>
          </w:tcPr>
          <w:p w14:paraId="16F4826E" w14:textId="77777777" w:rsidR="007E1CF9" w:rsidRPr="00C63AEF" w:rsidRDefault="007E1CF9" w:rsidP="00F36BF3">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C63AEF">
              <w:rPr>
                <w:rFonts w:asciiTheme="minorHAnsi" w:eastAsia="Arial Narrow" w:hAnsiTheme="minorHAnsi" w:cs="Arial Narrow"/>
                <w:b w:val="0"/>
                <w:bCs/>
                <w:sz w:val="20"/>
              </w:rPr>
              <w:t>Verified Gross Savings (Therms)</w:t>
            </w:r>
          </w:p>
        </w:tc>
        <w:tc>
          <w:tcPr>
            <w:tcW w:w="372" w:type="pct"/>
          </w:tcPr>
          <w:p w14:paraId="3D3C8649" w14:textId="3AC2A9B1" w:rsidR="007E1CF9" w:rsidRPr="00C63AEF" w:rsidRDefault="007E1CF9" w:rsidP="00F36BF3">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C63AEF">
              <w:rPr>
                <w:rFonts w:asciiTheme="minorHAnsi" w:eastAsia="Arial Narrow" w:hAnsiTheme="minorHAnsi" w:cs="Arial Narrow"/>
                <w:b w:val="0"/>
                <w:bCs/>
                <w:sz w:val="20"/>
              </w:rPr>
              <w:t>NTG</w:t>
            </w:r>
          </w:p>
        </w:tc>
        <w:tc>
          <w:tcPr>
            <w:tcW w:w="479" w:type="pct"/>
          </w:tcPr>
          <w:p w14:paraId="55F86D91" w14:textId="77777777" w:rsidR="007E1CF9" w:rsidRPr="00C63AEF" w:rsidRDefault="007E1CF9" w:rsidP="000A4833">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C63AEF">
              <w:rPr>
                <w:rFonts w:asciiTheme="minorHAnsi" w:eastAsia="Arial Narrow" w:hAnsiTheme="minorHAnsi" w:cs="Arial Narrow"/>
                <w:b w:val="0"/>
                <w:bCs/>
                <w:sz w:val="20"/>
              </w:rPr>
              <w:t>NSPO‡</w:t>
            </w:r>
          </w:p>
        </w:tc>
        <w:tc>
          <w:tcPr>
            <w:tcW w:w="585" w:type="pct"/>
          </w:tcPr>
          <w:p w14:paraId="369045B8" w14:textId="77777777" w:rsidR="007E1CF9" w:rsidRPr="00C63AEF" w:rsidRDefault="007E1CF9" w:rsidP="00F36BF3">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C63AEF">
              <w:rPr>
                <w:rFonts w:asciiTheme="minorHAnsi" w:eastAsia="Arial Narrow" w:hAnsiTheme="minorHAnsi" w:cs="Arial Narrow"/>
                <w:b w:val="0"/>
                <w:bCs/>
                <w:sz w:val="20"/>
              </w:rPr>
              <w:t>Verified Net Savings (Therms)</w:t>
            </w:r>
          </w:p>
        </w:tc>
      </w:tr>
      <w:tr w:rsidR="006A582F" w:rsidRPr="00C63AEF" w14:paraId="58C0008F" w14:textId="77777777" w:rsidTr="006A582F">
        <w:trPr>
          <w:trHeight w:val="44"/>
        </w:trPr>
        <w:tc>
          <w:tcPr>
            <w:cnfStyle w:val="001000000000" w:firstRow="0" w:lastRow="0" w:firstColumn="1" w:lastColumn="0" w:oddVBand="0" w:evenVBand="0" w:oddHBand="0" w:evenHBand="0" w:firstRowFirstColumn="0" w:firstRowLastColumn="0" w:lastRowFirstColumn="0" w:lastRowLastColumn="0"/>
            <w:tcW w:w="532" w:type="pct"/>
            <w:vMerge w:val="restart"/>
          </w:tcPr>
          <w:p w14:paraId="67A270AB" w14:textId="39503443" w:rsidR="006A582F" w:rsidRPr="00C63AEF" w:rsidRDefault="006A582F" w:rsidP="003F054E">
            <w:pPr>
              <w:jc w:val="left"/>
              <w:rPr>
                <w:rFonts w:asciiTheme="minorHAnsi" w:hAnsiTheme="minorHAnsi"/>
                <w:sz w:val="20"/>
              </w:rPr>
            </w:pPr>
            <w:r w:rsidRPr="00C63AEF">
              <w:rPr>
                <w:rFonts w:asciiTheme="minorHAnsi" w:hAnsiTheme="minorHAnsi"/>
                <w:sz w:val="20"/>
              </w:rPr>
              <w:t>Income Eligible</w:t>
            </w:r>
          </w:p>
        </w:tc>
        <w:tc>
          <w:tcPr>
            <w:tcW w:w="1383" w:type="pct"/>
            <w:gridSpan w:val="2"/>
          </w:tcPr>
          <w:p w14:paraId="5DC94FA6" w14:textId="12FC2499" w:rsidR="006A582F" w:rsidRPr="00C63AEF" w:rsidRDefault="006A582F" w:rsidP="00F2584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Advanced Thermostat</w:t>
            </w:r>
          </w:p>
        </w:tc>
        <w:tc>
          <w:tcPr>
            <w:tcW w:w="585" w:type="pct"/>
          </w:tcPr>
          <w:p w14:paraId="0F0172FE" w14:textId="6E14BBB9"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565 </w:t>
            </w:r>
          </w:p>
        </w:tc>
        <w:tc>
          <w:tcPr>
            <w:tcW w:w="479" w:type="pct"/>
          </w:tcPr>
          <w:p w14:paraId="45A52C07" w14:textId="2C72A69D"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585" w:type="pct"/>
          </w:tcPr>
          <w:p w14:paraId="6C96D365" w14:textId="456E98FF"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565 </w:t>
            </w:r>
          </w:p>
        </w:tc>
        <w:tc>
          <w:tcPr>
            <w:tcW w:w="372" w:type="pct"/>
          </w:tcPr>
          <w:p w14:paraId="7138B523" w14:textId="3EF03ECF"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479" w:type="pct"/>
          </w:tcPr>
          <w:p w14:paraId="2789EBD7" w14:textId="49C8E7FB"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rFonts w:asciiTheme="minorHAnsi" w:hAnsiTheme="minorHAnsi"/>
                <w:sz w:val="20"/>
              </w:rPr>
              <w:t>N/A</w:t>
            </w:r>
          </w:p>
        </w:tc>
        <w:tc>
          <w:tcPr>
            <w:tcW w:w="585" w:type="pct"/>
          </w:tcPr>
          <w:p w14:paraId="71294EC6" w14:textId="098A2AC5"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565 </w:t>
            </w:r>
          </w:p>
        </w:tc>
      </w:tr>
      <w:tr w:rsidR="006A582F" w:rsidRPr="00C63AEF" w14:paraId="7FBD5089" w14:textId="77777777" w:rsidTr="006A582F">
        <w:trPr>
          <w:trHeight w:val="64"/>
        </w:trPr>
        <w:tc>
          <w:tcPr>
            <w:cnfStyle w:val="001000000000" w:firstRow="0" w:lastRow="0" w:firstColumn="1" w:lastColumn="0" w:oddVBand="0" w:evenVBand="0" w:oddHBand="0" w:evenHBand="0" w:firstRowFirstColumn="0" w:firstRowLastColumn="0" w:lastRowFirstColumn="0" w:lastRowLastColumn="0"/>
            <w:tcW w:w="532" w:type="pct"/>
            <w:vMerge/>
          </w:tcPr>
          <w:p w14:paraId="7BC6639A" w14:textId="59AC6EBC" w:rsidR="006A582F" w:rsidRPr="00C63AEF" w:rsidRDefault="006A582F" w:rsidP="003F054E">
            <w:pPr>
              <w:jc w:val="left"/>
              <w:rPr>
                <w:rFonts w:asciiTheme="minorHAnsi" w:hAnsiTheme="minorHAnsi"/>
                <w:sz w:val="20"/>
              </w:rPr>
            </w:pPr>
          </w:p>
        </w:tc>
        <w:tc>
          <w:tcPr>
            <w:tcW w:w="1383" w:type="pct"/>
            <w:gridSpan w:val="2"/>
          </w:tcPr>
          <w:p w14:paraId="04E815CB" w14:textId="14978BD4" w:rsidR="006A582F" w:rsidRPr="00C63AEF" w:rsidRDefault="006A582F" w:rsidP="00F2584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Air Sealing</w:t>
            </w:r>
          </w:p>
        </w:tc>
        <w:tc>
          <w:tcPr>
            <w:tcW w:w="585" w:type="pct"/>
          </w:tcPr>
          <w:p w14:paraId="5698B030" w14:textId="14DC09B4"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10,505 </w:t>
            </w:r>
          </w:p>
        </w:tc>
        <w:tc>
          <w:tcPr>
            <w:tcW w:w="479" w:type="pct"/>
          </w:tcPr>
          <w:p w14:paraId="3AABF80E" w14:textId="586CEF05"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585" w:type="pct"/>
          </w:tcPr>
          <w:p w14:paraId="72580A06" w14:textId="661A683C"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10,505 </w:t>
            </w:r>
          </w:p>
        </w:tc>
        <w:tc>
          <w:tcPr>
            <w:tcW w:w="372" w:type="pct"/>
          </w:tcPr>
          <w:p w14:paraId="36857953" w14:textId="1E1DA256"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479" w:type="pct"/>
          </w:tcPr>
          <w:p w14:paraId="398C236B" w14:textId="55A4068D"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rFonts w:asciiTheme="minorHAnsi" w:hAnsiTheme="minorHAnsi"/>
                <w:sz w:val="20"/>
              </w:rPr>
              <w:t>N/A</w:t>
            </w:r>
          </w:p>
        </w:tc>
        <w:tc>
          <w:tcPr>
            <w:tcW w:w="585" w:type="pct"/>
          </w:tcPr>
          <w:p w14:paraId="50379789" w14:textId="25761EEC"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10,505 </w:t>
            </w:r>
          </w:p>
        </w:tc>
      </w:tr>
      <w:tr w:rsidR="006A582F" w:rsidRPr="00C63AEF" w14:paraId="05986218" w14:textId="77777777" w:rsidTr="006A582F">
        <w:trPr>
          <w:trHeight w:val="64"/>
        </w:trPr>
        <w:tc>
          <w:tcPr>
            <w:cnfStyle w:val="001000000000" w:firstRow="0" w:lastRow="0" w:firstColumn="1" w:lastColumn="0" w:oddVBand="0" w:evenVBand="0" w:oddHBand="0" w:evenHBand="0" w:firstRowFirstColumn="0" w:firstRowLastColumn="0" w:lastRowFirstColumn="0" w:lastRowLastColumn="0"/>
            <w:tcW w:w="532" w:type="pct"/>
            <w:vMerge/>
          </w:tcPr>
          <w:p w14:paraId="58938754" w14:textId="0CF1E4A5" w:rsidR="006A582F" w:rsidRPr="00C63AEF" w:rsidRDefault="006A582F" w:rsidP="003F054E">
            <w:pPr>
              <w:jc w:val="left"/>
              <w:rPr>
                <w:rFonts w:asciiTheme="minorHAnsi" w:hAnsiTheme="minorHAnsi"/>
                <w:sz w:val="20"/>
              </w:rPr>
            </w:pPr>
          </w:p>
        </w:tc>
        <w:tc>
          <w:tcPr>
            <w:tcW w:w="1383" w:type="pct"/>
            <w:gridSpan w:val="2"/>
          </w:tcPr>
          <w:p w14:paraId="2EBB853F" w14:textId="5979D7FA" w:rsidR="006A582F" w:rsidRPr="00C63AEF" w:rsidRDefault="006A582F" w:rsidP="00F2584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Attic Insulation</w:t>
            </w:r>
          </w:p>
        </w:tc>
        <w:tc>
          <w:tcPr>
            <w:tcW w:w="585" w:type="pct"/>
          </w:tcPr>
          <w:p w14:paraId="6AF392A8" w14:textId="325F7D0B"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423,366 </w:t>
            </w:r>
          </w:p>
        </w:tc>
        <w:tc>
          <w:tcPr>
            <w:tcW w:w="479" w:type="pct"/>
          </w:tcPr>
          <w:p w14:paraId="1D4E2FE5" w14:textId="144CE611"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w:t>
            </w:r>
          </w:p>
        </w:tc>
        <w:tc>
          <w:tcPr>
            <w:tcW w:w="585" w:type="pct"/>
          </w:tcPr>
          <w:p w14:paraId="5B901737" w14:textId="6522D032"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423,369 </w:t>
            </w:r>
          </w:p>
        </w:tc>
        <w:tc>
          <w:tcPr>
            <w:tcW w:w="372" w:type="pct"/>
          </w:tcPr>
          <w:p w14:paraId="41D78D92" w14:textId="039A0CF2"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479" w:type="pct"/>
          </w:tcPr>
          <w:p w14:paraId="055EE5CC" w14:textId="109C2518"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rFonts w:asciiTheme="minorHAnsi" w:hAnsiTheme="minorHAnsi"/>
                <w:sz w:val="20"/>
              </w:rPr>
              <w:t>N/A</w:t>
            </w:r>
          </w:p>
        </w:tc>
        <w:tc>
          <w:tcPr>
            <w:tcW w:w="585" w:type="pct"/>
          </w:tcPr>
          <w:p w14:paraId="24A268BA" w14:textId="454D5EC2"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423,369 </w:t>
            </w:r>
          </w:p>
        </w:tc>
      </w:tr>
      <w:tr w:rsidR="006A582F" w:rsidRPr="00C63AEF" w14:paraId="51D4058A" w14:textId="77777777" w:rsidTr="006A582F">
        <w:trPr>
          <w:trHeight w:val="64"/>
        </w:trPr>
        <w:tc>
          <w:tcPr>
            <w:cnfStyle w:val="001000000000" w:firstRow="0" w:lastRow="0" w:firstColumn="1" w:lastColumn="0" w:oddVBand="0" w:evenVBand="0" w:oddHBand="0" w:evenHBand="0" w:firstRowFirstColumn="0" w:firstRowLastColumn="0" w:lastRowFirstColumn="0" w:lastRowLastColumn="0"/>
            <w:tcW w:w="532" w:type="pct"/>
            <w:vMerge/>
          </w:tcPr>
          <w:p w14:paraId="5D7AC704" w14:textId="69FEB23C" w:rsidR="006A582F" w:rsidRPr="00C63AEF" w:rsidRDefault="006A582F" w:rsidP="003F054E">
            <w:pPr>
              <w:jc w:val="left"/>
              <w:rPr>
                <w:rFonts w:asciiTheme="minorHAnsi" w:hAnsiTheme="minorHAnsi"/>
                <w:sz w:val="20"/>
              </w:rPr>
            </w:pPr>
          </w:p>
        </w:tc>
        <w:tc>
          <w:tcPr>
            <w:tcW w:w="1383" w:type="pct"/>
            <w:gridSpan w:val="2"/>
          </w:tcPr>
          <w:p w14:paraId="4A31D5E5" w14:textId="4438FF95" w:rsidR="006A582F" w:rsidRPr="00C63AEF" w:rsidRDefault="006A582F" w:rsidP="00F2584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Boiler Reset Controls</w:t>
            </w:r>
          </w:p>
        </w:tc>
        <w:tc>
          <w:tcPr>
            <w:tcW w:w="585" w:type="pct"/>
          </w:tcPr>
          <w:p w14:paraId="74E78C2D" w14:textId="59B1DF6E"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3,495 </w:t>
            </w:r>
          </w:p>
        </w:tc>
        <w:tc>
          <w:tcPr>
            <w:tcW w:w="479" w:type="pct"/>
          </w:tcPr>
          <w:p w14:paraId="71F9A051" w14:textId="17D552CF"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585" w:type="pct"/>
          </w:tcPr>
          <w:p w14:paraId="10883AF1" w14:textId="6DD68C7D"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3,495 </w:t>
            </w:r>
          </w:p>
        </w:tc>
        <w:tc>
          <w:tcPr>
            <w:tcW w:w="372" w:type="pct"/>
          </w:tcPr>
          <w:p w14:paraId="5549D83C" w14:textId="5AD88794"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479" w:type="pct"/>
          </w:tcPr>
          <w:p w14:paraId="0CF967D7" w14:textId="5147C356"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rFonts w:asciiTheme="minorHAnsi" w:hAnsiTheme="minorHAnsi"/>
                <w:sz w:val="20"/>
              </w:rPr>
              <w:t>N/A</w:t>
            </w:r>
          </w:p>
        </w:tc>
        <w:tc>
          <w:tcPr>
            <w:tcW w:w="585" w:type="pct"/>
          </w:tcPr>
          <w:p w14:paraId="5711681D" w14:textId="121BDB6A"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3,495 </w:t>
            </w:r>
          </w:p>
        </w:tc>
      </w:tr>
      <w:tr w:rsidR="006A582F" w:rsidRPr="00C63AEF" w14:paraId="3B81FA7C"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71B8A3F4" w14:textId="77777777" w:rsidR="006A582F" w:rsidRPr="00C63AEF" w:rsidRDefault="006A582F" w:rsidP="003F054E">
            <w:pPr>
              <w:jc w:val="left"/>
              <w:rPr>
                <w:rFonts w:asciiTheme="minorHAnsi" w:hAnsiTheme="minorHAnsi"/>
                <w:sz w:val="20"/>
              </w:rPr>
            </w:pPr>
          </w:p>
        </w:tc>
        <w:tc>
          <w:tcPr>
            <w:tcW w:w="1383" w:type="pct"/>
            <w:gridSpan w:val="2"/>
          </w:tcPr>
          <w:p w14:paraId="5376CDB0" w14:textId="51BD382A" w:rsidR="006A582F" w:rsidRPr="00C63AEF" w:rsidRDefault="006A582F" w:rsidP="00F2584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Boiler Tune Up</w:t>
            </w:r>
          </w:p>
        </w:tc>
        <w:tc>
          <w:tcPr>
            <w:tcW w:w="585" w:type="pct"/>
          </w:tcPr>
          <w:p w14:paraId="0FBDB122" w14:textId="6320881C"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111,689 </w:t>
            </w:r>
          </w:p>
        </w:tc>
        <w:tc>
          <w:tcPr>
            <w:tcW w:w="479" w:type="pct"/>
          </w:tcPr>
          <w:p w14:paraId="7B4110CF" w14:textId="721286BE"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585" w:type="pct"/>
          </w:tcPr>
          <w:p w14:paraId="0A2EBC87" w14:textId="4BC8086E"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111,689 </w:t>
            </w:r>
          </w:p>
        </w:tc>
        <w:tc>
          <w:tcPr>
            <w:tcW w:w="372" w:type="pct"/>
          </w:tcPr>
          <w:p w14:paraId="3E034D1A" w14:textId="53F842E5"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479" w:type="pct"/>
          </w:tcPr>
          <w:p w14:paraId="1FB1B1EB" w14:textId="491DAE3B"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rFonts w:asciiTheme="minorHAnsi" w:hAnsiTheme="minorHAnsi"/>
                <w:sz w:val="20"/>
              </w:rPr>
              <w:t>N/A</w:t>
            </w:r>
          </w:p>
        </w:tc>
        <w:tc>
          <w:tcPr>
            <w:tcW w:w="585" w:type="pct"/>
          </w:tcPr>
          <w:p w14:paraId="7F03452E" w14:textId="71048C65"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111,689 </w:t>
            </w:r>
          </w:p>
        </w:tc>
      </w:tr>
      <w:tr w:rsidR="006A582F" w:rsidRPr="00C63AEF" w14:paraId="418A7B30" w14:textId="77777777" w:rsidTr="006A582F">
        <w:trPr>
          <w:trHeight w:val="64"/>
        </w:trPr>
        <w:tc>
          <w:tcPr>
            <w:cnfStyle w:val="001000000000" w:firstRow="0" w:lastRow="0" w:firstColumn="1" w:lastColumn="0" w:oddVBand="0" w:evenVBand="0" w:oddHBand="0" w:evenHBand="0" w:firstRowFirstColumn="0" w:firstRowLastColumn="0" w:lastRowFirstColumn="0" w:lastRowLastColumn="0"/>
            <w:tcW w:w="532" w:type="pct"/>
            <w:vMerge/>
          </w:tcPr>
          <w:p w14:paraId="53C99EEE" w14:textId="77777777" w:rsidR="006A582F" w:rsidRPr="00C63AEF" w:rsidRDefault="006A582F" w:rsidP="003F054E">
            <w:pPr>
              <w:jc w:val="left"/>
              <w:rPr>
                <w:rFonts w:asciiTheme="minorHAnsi" w:hAnsiTheme="minorHAnsi"/>
                <w:sz w:val="20"/>
              </w:rPr>
            </w:pPr>
          </w:p>
        </w:tc>
        <w:tc>
          <w:tcPr>
            <w:tcW w:w="1383" w:type="pct"/>
            <w:gridSpan w:val="2"/>
          </w:tcPr>
          <w:p w14:paraId="78E2F589" w14:textId="568AE677" w:rsidR="006A582F" w:rsidRPr="00C63AEF" w:rsidRDefault="006A582F" w:rsidP="00F2584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Controls </w:t>
            </w:r>
            <w:proofErr w:type="gramStart"/>
            <w:r w:rsidRPr="00C63AEF">
              <w:rPr>
                <w:sz w:val="20"/>
              </w:rPr>
              <w:t>for</w:t>
            </w:r>
            <w:proofErr w:type="gramEnd"/>
            <w:r w:rsidRPr="00C63AEF">
              <w:rPr>
                <w:sz w:val="20"/>
              </w:rPr>
              <w:t xml:space="preserve"> Domestic Hot Water</w:t>
            </w:r>
          </w:p>
        </w:tc>
        <w:tc>
          <w:tcPr>
            <w:tcW w:w="585" w:type="pct"/>
          </w:tcPr>
          <w:p w14:paraId="35F28A3F" w14:textId="29B8531A"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16,741 </w:t>
            </w:r>
          </w:p>
        </w:tc>
        <w:tc>
          <w:tcPr>
            <w:tcW w:w="479" w:type="pct"/>
          </w:tcPr>
          <w:p w14:paraId="34AE67EE" w14:textId="1F58C731"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585" w:type="pct"/>
          </w:tcPr>
          <w:p w14:paraId="21D5F585" w14:textId="2BDE65DD"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16,741 </w:t>
            </w:r>
          </w:p>
        </w:tc>
        <w:tc>
          <w:tcPr>
            <w:tcW w:w="372" w:type="pct"/>
          </w:tcPr>
          <w:p w14:paraId="2838C3EA" w14:textId="0DF69892"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479" w:type="pct"/>
          </w:tcPr>
          <w:p w14:paraId="24C09E42" w14:textId="12B1EE2B"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rFonts w:asciiTheme="minorHAnsi" w:hAnsiTheme="minorHAnsi"/>
                <w:sz w:val="20"/>
              </w:rPr>
              <w:t>N/A</w:t>
            </w:r>
          </w:p>
        </w:tc>
        <w:tc>
          <w:tcPr>
            <w:tcW w:w="585" w:type="pct"/>
          </w:tcPr>
          <w:p w14:paraId="0C8410F0" w14:textId="03728D2B"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16,741 </w:t>
            </w:r>
          </w:p>
        </w:tc>
      </w:tr>
      <w:tr w:rsidR="006A582F" w:rsidRPr="00C63AEF" w14:paraId="2F02ED6C"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62E14395" w14:textId="77777777" w:rsidR="006A582F" w:rsidRPr="00C63AEF" w:rsidRDefault="006A582F" w:rsidP="003F054E">
            <w:pPr>
              <w:jc w:val="left"/>
              <w:rPr>
                <w:rFonts w:asciiTheme="minorHAnsi" w:hAnsiTheme="minorHAnsi"/>
                <w:sz w:val="20"/>
              </w:rPr>
            </w:pPr>
          </w:p>
        </w:tc>
        <w:tc>
          <w:tcPr>
            <w:tcW w:w="1383" w:type="pct"/>
            <w:gridSpan w:val="2"/>
          </w:tcPr>
          <w:p w14:paraId="76EAA256" w14:textId="5C9E4C6A" w:rsidR="006A582F" w:rsidRPr="00C63AEF" w:rsidRDefault="006A582F" w:rsidP="00F2584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Covers and Gap Sealers for Room AC </w:t>
            </w:r>
          </w:p>
        </w:tc>
        <w:tc>
          <w:tcPr>
            <w:tcW w:w="585" w:type="pct"/>
          </w:tcPr>
          <w:p w14:paraId="2262BD12" w14:textId="3FE65546"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12,262 </w:t>
            </w:r>
          </w:p>
        </w:tc>
        <w:tc>
          <w:tcPr>
            <w:tcW w:w="479" w:type="pct"/>
          </w:tcPr>
          <w:p w14:paraId="40FC30E2" w14:textId="0262454F"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585" w:type="pct"/>
          </w:tcPr>
          <w:p w14:paraId="25EC23AC" w14:textId="0F09AA3D"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12,262 </w:t>
            </w:r>
          </w:p>
        </w:tc>
        <w:tc>
          <w:tcPr>
            <w:tcW w:w="372" w:type="pct"/>
          </w:tcPr>
          <w:p w14:paraId="6F214197" w14:textId="00D4A508"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479" w:type="pct"/>
          </w:tcPr>
          <w:p w14:paraId="69DE4254" w14:textId="4F0AAE34"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rFonts w:asciiTheme="minorHAnsi" w:hAnsiTheme="minorHAnsi"/>
                <w:sz w:val="20"/>
              </w:rPr>
              <w:t>N/A</w:t>
            </w:r>
          </w:p>
        </w:tc>
        <w:tc>
          <w:tcPr>
            <w:tcW w:w="585" w:type="pct"/>
          </w:tcPr>
          <w:p w14:paraId="0EA36FC1" w14:textId="3F0CDC89"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12,262 </w:t>
            </w:r>
          </w:p>
        </w:tc>
      </w:tr>
      <w:tr w:rsidR="006A582F" w:rsidRPr="00C63AEF" w14:paraId="5AEF2258"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24ECF5FB" w14:textId="77777777" w:rsidR="006A582F" w:rsidRPr="00C63AEF" w:rsidRDefault="006A582F" w:rsidP="003F054E">
            <w:pPr>
              <w:jc w:val="left"/>
              <w:rPr>
                <w:rFonts w:asciiTheme="minorHAnsi" w:hAnsiTheme="minorHAnsi"/>
                <w:sz w:val="20"/>
              </w:rPr>
            </w:pPr>
          </w:p>
        </w:tc>
        <w:tc>
          <w:tcPr>
            <w:tcW w:w="1383" w:type="pct"/>
            <w:gridSpan w:val="2"/>
          </w:tcPr>
          <w:p w14:paraId="31A5528F" w14:textId="6B753A93" w:rsidR="006A582F" w:rsidRPr="00C63AEF" w:rsidRDefault="006A582F" w:rsidP="00F25842">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Duct Sealing</w:t>
            </w:r>
          </w:p>
        </w:tc>
        <w:tc>
          <w:tcPr>
            <w:tcW w:w="585" w:type="pct"/>
          </w:tcPr>
          <w:p w14:paraId="2E5D1084" w14:textId="0B550C32"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399 </w:t>
            </w:r>
          </w:p>
        </w:tc>
        <w:tc>
          <w:tcPr>
            <w:tcW w:w="479" w:type="pct"/>
          </w:tcPr>
          <w:p w14:paraId="434F6641" w14:textId="58C19821"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585" w:type="pct"/>
          </w:tcPr>
          <w:p w14:paraId="58129E55" w14:textId="15F60C26"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399 </w:t>
            </w:r>
          </w:p>
        </w:tc>
        <w:tc>
          <w:tcPr>
            <w:tcW w:w="372" w:type="pct"/>
          </w:tcPr>
          <w:p w14:paraId="5D511119" w14:textId="1B3CBF56"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479" w:type="pct"/>
          </w:tcPr>
          <w:p w14:paraId="0A09CD58" w14:textId="67C9DEC6"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rFonts w:asciiTheme="minorHAnsi" w:hAnsiTheme="minorHAnsi"/>
                <w:sz w:val="20"/>
              </w:rPr>
              <w:t>N/A</w:t>
            </w:r>
          </w:p>
        </w:tc>
        <w:tc>
          <w:tcPr>
            <w:tcW w:w="585" w:type="pct"/>
          </w:tcPr>
          <w:p w14:paraId="3517539B" w14:textId="7CCBB53F"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399 </w:t>
            </w:r>
          </w:p>
        </w:tc>
      </w:tr>
      <w:tr w:rsidR="006A582F" w:rsidRPr="00C63AEF" w14:paraId="67FF5103"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15022F50" w14:textId="77777777" w:rsidR="006A582F" w:rsidRPr="00C63AEF" w:rsidRDefault="006A582F" w:rsidP="003F054E">
            <w:pPr>
              <w:rPr>
                <w:sz w:val="20"/>
              </w:rPr>
            </w:pPr>
          </w:p>
        </w:tc>
        <w:tc>
          <w:tcPr>
            <w:tcW w:w="1383" w:type="pct"/>
            <w:gridSpan w:val="2"/>
          </w:tcPr>
          <w:p w14:paraId="0FDDDEBE" w14:textId="2DF51CBC" w:rsidR="006A582F" w:rsidRPr="00C63AEF" w:rsidRDefault="006A582F" w:rsidP="00F25842">
            <w:pPr>
              <w:jc w:val="left"/>
              <w:cnfStyle w:val="000000000000" w:firstRow="0" w:lastRow="0" w:firstColumn="0" w:lastColumn="0" w:oddVBand="0" w:evenVBand="0" w:oddHBand="0" w:evenHBand="0" w:firstRowFirstColumn="0" w:firstRowLastColumn="0" w:lastRowFirstColumn="0" w:lastRowLastColumn="0"/>
              <w:rPr>
                <w:sz w:val="20"/>
              </w:rPr>
            </w:pPr>
            <w:r w:rsidRPr="00C63AEF">
              <w:rPr>
                <w:sz w:val="20"/>
              </w:rPr>
              <w:t>Exhaust Damper</w:t>
            </w:r>
          </w:p>
        </w:tc>
        <w:tc>
          <w:tcPr>
            <w:tcW w:w="585" w:type="pct"/>
          </w:tcPr>
          <w:p w14:paraId="4DB6C7DC" w14:textId="2F5C3309"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1,230 </w:t>
            </w:r>
          </w:p>
        </w:tc>
        <w:tc>
          <w:tcPr>
            <w:tcW w:w="479" w:type="pct"/>
          </w:tcPr>
          <w:p w14:paraId="781E1C88" w14:textId="7F1EB8D5"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585" w:type="pct"/>
          </w:tcPr>
          <w:p w14:paraId="363996E7" w14:textId="58A5B80B"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1,230 </w:t>
            </w:r>
          </w:p>
        </w:tc>
        <w:tc>
          <w:tcPr>
            <w:tcW w:w="372" w:type="pct"/>
          </w:tcPr>
          <w:p w14:paraId="5A5EDB62" w14:textId="689250CA"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479" w:type="pct"/>
          </w:tcPr>
          <w:p w14:paraId="041312AD" w14:textId="4674429F"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sz w:val="20"/>
              </w:rPr>
            </w:pPr>
            <w:r w:rsidRPr="00C63AEF">
              <w:rPr>
                <w:rFonts w:asciiTheme="minorHAnsi" w:hAnsiTheme="minorHAnsi"/>
                <w:sz w:val="20"/>
              </w:rPr>
              <w:t>N/A</w:t>
            </w:r>
          </w:p>
        </w:tc>
        <w:tc>
          <w:tcPr>
            <w:tcW w:w="585" w:type="pct"/>
          </w:tcPr>
          <w:p w14:paraId="6AC022AE" w14:textId="3463A02D"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1,230 </w:t>
            </w:r>
          </w:p>
        </w:tc>
      </w:tr>
      <w:tr w:rsidR="006A582F" w:rsidRPr="00C63AEF" w14:paraId="7FD05743"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02FFF28B" w14:textId="77777777" w:rsidR="006A582F" w:rsidRPr="00C63AEF" w:rsidRDefault="006A582F" w:rsidP="003F054E">
            <w:pPr>
              <w:rPr>
                <w:sz w:val="20"/>
              </w:rPr>
            </w:pPr>
          </w:p>
        </w:tc>
        <w:tc>
          <w:tcPr>
            <w:tcW w:w="1383" w:type="pct"/>
            <w:gridSpan w:val="2"/>
          </w:tcPr>
          <w:p w14:paraId="300871D3" w14:textId="6D04AFB8" w:rsidR="006A582F" w:rsidRPr="00C63AEF" w:rsidRDefault="006A582F" w:rsidP="00F25842">
            <w:pPr>
              <w:jc w:val="left"/>
              <w:cnfStyle w:val="000000000000" w:firstRow="0" w:lastRow="0" w:firstColumn="0" w:lastColumn="0" w:oddVBand="0" w:evenVBand="0" w:oddHBand="0" w:evenHBand="0" w:firstRowFirstColumn="0" w:firstRowLastColumn="0" w:lastRowFirstColumn="0" w:lastRowLastColumn="0"/>
              <w:rPr>
                <w:sz w:val="20"/>
              </w:rPr>
            </w:pPr>
            <w:r w:rsidRPr="00C63AEF">
              <w:rPr>
                <w:sz w:val="20"/>
              </w:rPr>
              <w:t>Faucet Aerator - Bathroom (IU)</w:t>
            </w:r>
          </w:p>
        </w:tc>
        <w:tc>
          <w:tcPr>
            <w:tcW w:w="585" w:type="pct"/>
          </w:tcPr>
          <w:p w14:paraId="4F036F64" w14:textId="67D609B9"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3,599 </w:t>
            </w:r>
          </w:p>
        </w:tc>
        <w:tc>
          <w:tcPr>
            <w:tcW w:w="479" w:type="pct"/>
          </w:tcPr>
          <w:p w14:paraId="51D52199" w14:textId="193FDCFE"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585" w:type="pct"/>
          </w:tcPr>
          <w:p w14:paraId="7876D55A" w14:textId="420DCD7F"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3,599 </w:t>
            </w:r>
          </w:p>
        </w:tc>
        <w:tc>
          <w:tcPr>
            <w:tcW w:w="372" w:type="pct"/>
          </w:tcPr>
          <w:p w14:paraId="01E3D7AF" w14:textId="26915715"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479" w:type="pct"/>
          </w:tcPr>
          <w:p w14:paraId="1CD5FCF7" w14:textId="752CAECA"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sz w:val="20"/>
              </w:rPr>
            </w:pPr>
            <w:r w:rsidRPr="00C63AEF">
              <w:rPr>
                <w:rFonts w:asciiTheme="minorHAnsi" w:hAnsiTheme="minorHAnsi"/>
                <w:sz w:val="20"/>
              </w:rPr>
              <w:t>N/A</w:t>
            </w:r>
          </w:p>
        </w:tc>
        <w:tc>
          <w:tcPr>
            <w:tcW w:w="585" w:type="pct"/>
          </w:tcPr>
          <w:p w14:paraId="58563F89" w14:textId="4A580AD9"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3,599 </w:t>
            </w:r>
          </w:p>
        </w:tc>
      </w:tr>
      <w:tr w:rsidR="006A582F" w:rsidRPr="00C63AEF" w14:paraId="3A42683A"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71E29635" w14:textId="77777777" w:rsidR="006A582F" w:rsidRPr="00C63AEF" w:rsidRDefault="006A582F" w:rsidP="003F054E">
            <w:pPr>
              <w:rPr>
                <w:sz w:val="20"/>
              </w:rPr>
            </w:pPr>
          </w:p>
        </w:tc>
        <w:tc>
          <w:tcPr>
            <w:tcW w:w="1383" w:type="pct"/>
            <w:gridSpan w:val="2"/>
          </w:tcPr>
          <w:p w14:paraId="1CA95515" w14:textId="2EA507F1" w:rsidR="006A582F" w:rsidRPr="00C63AEF" w:rsidRDefault="006A582F" w:rsidP="00F25842">
            <w:pPr>
              <w:jc w:val="left"/>
              <w:cnfStyle w:val="000000000000" w:firstRow="0" w:lastRow="0" w:firstColumn="0" w:lastColumn="0" w:oddVBand="0" w:evenVBand="0" w:oddHBand="0" w:evenHBand="0" w:firstRowFirstColumn="0" w:firstRowLastColumn="0" w:lastRowFirstColumn="0" w:lastRowLastColumn="0"/>
              <w:rPr>
                <w:sz w:val="20"/>
              </w:rPr>
            </w:pPr>
            <w:r w:rsidRPr="00C63AEF">
              <w:rPr>
                <w:sz w:val="20"/>
              </w:rPr>
              <w:t>Faucet Aerator - Kitchen (CA)</w:t>
            </w:r>
          </w:p>
        </w:tc>
        <w:tc>
          <w:tcPr>
            <w:tcW w:w="585" w:type="pct"/>
          </w:tcPr>
          <w:p w14:paraId="2731DAC6" w14:textId="0C2E6B9D"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41 </w:t>
            </w:r>
          </w:p>
        </w:tc>
        <w:tc>
          <w:tcPr>
            <w:tcW w:w="479" w:type="pct"/>
          </w:tcPr>
          <w:p w14:paraId="3EA2B718" w14:textId="6BE32F50"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585" w:type="pct"/>
          </w:tcPr>
          <w:p w14:paraId="0356F368" w14:textId="059B02A2"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41 </w:t>
            </w:r>
          </w:p>
        </w:tc>
        <w:tc>
          <w:tcPr>
            <w:tcW w:w="372" w:type="pct"/>
          </w:tcPr>
          <w:p w14:paraId="39C48E89" w14:textId="26C0A9FD"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479" w:type="pct"/>
          </w:tcPr>
          <w:p w14:paraId="449CE89F" w14:textId="4E3A8434"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sz w:val="20"/>
              </w:rPr>
            </w:pPr>
            <w:r w:rsidRPr="00C63AEF">
              <w:rPr>
                <w:rFonts w:asciiTheme="minorHAnsi" w:hAnsiTheme="minorHAnsi"/>
                <w:sz w:val="20"/>
              </w:rPr>
              <w:t>N/A</w:t>
            </w:r>
          </w:p>
        </w:tc>
        <w:tc>
          <w:tcPr>
            <w:tcW w:w="585" w:type="pct"/>
          </w:tcPr>
          <w:p w14:paraId="52950735" w14:textId="44FB11EA"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41 </w:t>
            </w:r>
          </w:p>
        </w:tc>
      </w:tr>
      <w:tr w:rsidR="006A582F" w:rsidRPr="00C63AEF" w14:paraId="46D2F4AC"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7FF1F741" w14:textId="77777777" w:rsidR="006A582F" w:rsidRPr="00C63AEF" w:rsidRDefault="006A582F" w:rsidP="003F054E">
            <w:pPr>
              <w:rPr>
                <w:sz w:val="20"/>
              </w:rPr>
            </w:pPr>
          </w:p>
        </w:tc>
        <w:tc>
          <w:tcPr>
            <w:tcW w:w="1383" w:type="pct"/>
            <w:gridSpan w:val="2"/>
          </w:tcPr>
          <w:p w14:paraId="00A77B24" w14:textId="6EEB2542" w:rsidR="006A582F" w:rsidRPr="00C63AEF" w:rsidRDefault="006A582F" w:rsidP="00F25842">
            <w:pPr>
              <w:jc w:val="left"/>
              <w:cnfStyle w:val="000000000000" w:firstRow="0" w:lastRow="0" w:firstColumn="0" w:lastColumn="0" w:oddVBand="0" w:evenVBand="0" w:oddHBand="0" w:evenHBand="0" w:firstRowFirstColumn="0" w:firstRowLastColumn="0" w:lastRowFirstColumn="0" w:lastRowLastColumn="0"/>
              <w:rPr>
                <w:sz w:val="20"/>
              </w:rPr>
            </w:pPr>
            <w:r w:rsidRPr="00C63AEF">
              <w:rPr>
                <w:sz w:val="20"/>
              </w:rPr>
              <w:t>Faucet Aerator - Kitchen (IU)</w:t>
            </w:r>
          </w:p>
        </w:tc>
        <w:tc>
          <w:tcPr>
            <w:tcW w:w="585" w:type="pct"/>
          </w:tcPr>
          <w:p w14:paraId="342BD7BD" w14:textId="4E013A5B"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30,310 </w:t>
            </w:r>
          </w:p>
        </w:tc>
        <w:tc>
          <w:tcPr>
            <w:tcW w:w="479" w:type="pct"/>
          </w:tcPr>
          <w:p w14:paraId="11004854" w14:textId="202885C2"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585" w:type="pct"/>
          </w:tcPr>
          <w:p w14:paraId="52E37540" w14:textId="4DA02F01"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30,310 </w:t>
            </w:r>
          </w:p>
        </w:tc>
        <w:tc>
          <w:tcPr>
            <w:tcW w:w="372" w:type="pct"/>
          </w:tcPr>
          <w:p w14:paraId="7B15F951" w14:textId="153816CD"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479" w:type="pct"/>
          </w:tcPr>
          <w:p w14:paraId="150A9183" w14:textId="35EE8C71"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sz w:val="20"/>
              </w:rPr>
            </w:pPr>
            <w:r w:rsidRPr="00C63AEF">
              <w:rPr>
                <w:rFonts w:asciiTheme="minorHAnsi" w:hAnsiTheme="minorHAnsi"/>
                <w:sz w:val="20"/>
              </w:rPr>
              <w:t>N/A</w:t>
            </w:r>
          </w:p>
        </w:tc>
        <w:tc>
          <w:tcPr>
            <w:tcW w:w="585" w:type="pct"/>
          </w:tcPr>
          <w:p w14:paraId="517D1672" w14:textId="6A08DF74"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30,310 </w:t>
            </w:r>
          </w:p>
        </w:tc>
      </w:tr>
      <w:tr w:rsidR="006A582F" w:rsidRPr="00C63AEF" w14:paraId="1ECEB91B"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1853C516" w14:textId="77777777" w:rsidR="006A582F" w:rsidRPr="00C63AEF" w:rsidRDefault="006A582F" w:rsidP="003F054E">
            <w:pPr>
              <w:rPr>
                <w:sz w:val="20"/>
              </w:rPr>
            </w:pPr>
          </w:p>
        </w:tc>
        <w:tc>
          <w:tcPr>
            <w:tcW w:w="1383" w:type="pct"/>
            <w:gridSpan w:val="2"/>
          </w:tcPr>
          <w:p w14:paraId="60BCA9F1" w14:textId="71714559" w:rsidR="006A582F" w:rsidRPr="00C63AEF" w:rsidRDefault="006A582F" w:rsidP="00F25842">
            <w:pPr>
              <w:jc w:val="left"/>
              <w:cnfStyle w:val="000000000000" w:firstRow="0" w:lastRow="0" w:firstColumn="0" w:lastColumn="0" w:oddVBand="0" w:evenVBand="0" w:oddHBand="0" w:evenHBand="0" w:firstRowFirstColumn="0" w:firstRowLastColumn="0" w:lastRowFirstColumn="0" w:lastRowLastColumn="0"/>
              <w:rPr>
                <w:sz w:val="20"/>
              </w:rPr>
            </w:pPr>
            <w:r w:rsidRPr="00C63AEF">
              <w:rPr>
                <w:sz w:val="20"/>
              </w:rPr>
              <w:t>Furnace Filter</w:t>
            </w:r>
          </w:p>
        </w:tc>
        <w:tc>
          <w:tcPr>
            <w:tcW w:w="585" w:type="pct"/>
          </w:tcPr>
          <w:p w14:paraId="40D0714C" w14:textId="217E49DD"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4,362 </w:t>
            </w:r>
          </w:p>
        </w:tc>
        <w:tc>
          <w:tcPr>
            <w:tcW w:w="479" w:type="pct"/>
          </w:tcPr>
          <w:p w14:paraId="179735EC" w14:textId="04E477BC"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585" w:type="pct"/>
          </w:tcPr>
          <w:p w14:paraId="1EFC52E3" w14:textId="4BD20F9C"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4,362 </w:t>
            </w:r>
          </w:p>
        </w:tc>
        <w:tc>
          <w:tcPr>
            <w:tcW w:w="372" w:type="pct"/>
          </w:tcPr>
          <w:p w14:paraId="51049220" w14:textId="54ADA2DF"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479" w:type="pct"/>
          </w:tcPr>
          <w:p w14:paraId="3766B04A" w14:textId="1B8EA4D1"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sz w:val="20"/>
              </w:rPr>
            </w:pPr>
            <w:r w:rsidRPr="00C63AEF">
              <w:rPr>
                <w:rFonts w:asciiTheme="minorHAnsi" w:hAnsiTheme="minorHAnsi"/>
                <w:sz w:val="20"/>
              </w:rPr>
              <w:t>N/A</w:t>
            </w:r>
          </w:p>
        </w:tc>
        <w:tc>
          <w:tcPr>
            <w:tcW w:w="585" w:type="pct"/>
          </w:tcPr>
          <w:p w14:paraId="7985D87A" w14:textId="63F9C341"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4,362 </w:t>
            </w:r>
          </w:p>
        </w:tc>
      </w:tr>
      <w:tr w:rsidR="006A582F" w:rsidRPr="00C63AEF" w14:paraId="470921C7"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470BB0E9" w14:textId="77777777" w:rsidR="006A582F" w:rsidRPr="00C63AEF" w:rsidRDefault="006A582F" w:rsidP="00697FD4">
            <w:pPr>
              <w:rPr>
                <w:sz w:val="20"/>
              </w:rPr>
            </w:pPr>
          </w:p>
        </w:tc>
        <w:tc>
          <w:tcPr>
            <w:tcW w:w="1383" w:type="pct"/>
            <w:gridSpan w:val="2"/>
          </w:tcPr>
          <w:p w14:paraId="268EAA4C" w14:textId="7FC47A5D" w:rsidR="006A582F" w:rsidRPr="00C63AEF" w:rsidRDefault="006A582F" w:rsidP="00697FD4">
            <w:pPr>
              <w:jc w:val="left"/>
              <w:cnfStyle w:val="000000000000" w:firstRow="0" w:lastRow="0" w:firstColumn="0" w:lastColumn="0" w:oddVBand="0" w:evenVBand="0" w:oddHBand="0" w:evenHBand="0" w:firstRowFirstColumn="0" w:firstRowLastColumn="0" w:lastRowFirstColumn="0" w:lastRowLastColumn="0"/>
              <w:rPr>
                <w:sz w:val="20"/>
              </w:rPr>
            </w:pPr>
            <w:r w:rsidRPr="00C63AEF">
              <w:rPr>
                <w:sz w:val="20"/>
              </w:rPr>
              <w:t>High Efficiency Boiler</w:t>
            </w:r>
          </w:p>
        </w:tc>
        <w:tc>
          <w:tcPr>
            <w:tcW w:w="585" w:type="pct"/>
          </w:tcPr>
          <w:p w14:paraId="4A27DC4F" w14:textId="2F973540"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19,986 </w:t>
            </w:r>
          </w:p>
        </w:tc>
        <w:tc>
          <w:tcPr>
            <w:tcW w:w="479" w:type="pct"/>
          </w:tcPr>
          <w:p w14:paraId="763B8D1A" w14:textId="56E2AEA4"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585" w:type="pct"/>
          </w:tcPr>
          <w:p w14:paraId="65A10672" w14:textId="5152B3FA"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19,986 </w:t>
            </w:r>
          </w:p>
        </w:tc>
        <w:tc>
          <w:tcPr>
            <w:tcW w:w="372" w:type="pct"/>
          </w:tcPr>
          <w:p w14:paraId="6D8121BF" w14:textId="6CCF54F6"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479" w:type="pct"/>
          </w:tcPr>
          <w:p w14:paraId="0DF89087" w14:textId="767CCA3B"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b/>
                <w:bCs/>
                <w:sz w:val="20"/>
              </w:rPr>
            </w:pPr>
            <w:r w:rsidRPr="00C63AEF">
              <w:rPr>
                <w:rFonts w:asciiTheme="minorHAnsi" w:hAnsiTheme="minorHAnsi"/>
                <w:sz w:val="20"/>
              </w:rPr>
              <w:t>N/A</w:t>
            </w:r>
          </w:p>
        </w:tc>
        <w:tc>
          <w:tcPr>
            <w:tcW w:w="585" w:type="pct"/>
          </w:tcPr>
          <w:p w14:paraId="13CD5380" w14:textId="0A8841A8"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19,986 </w:t>
            </w:r>
          </w:p>
        </w:tc>
      </w:tr>
      <w:tr w:rsidR="006A582F" w:rsidRPr="00C63AEF" w14:paraId="4B126CC4"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711E14F8" w14:textId="77777777" w:rsidR="006A582F" w:rsidRPr="00C63AEF" w:rsidRDefault="006A582F" w:rsidP="00697FD4">
            <w:pPr>
              <w:rPr>
                <w:sz w:val="20"/>
              </w:rPr>
            </w:pPr>
          </w:p>
        </w:tc>
        <w:tc>
          <w:tcPr>
            <w:tcW w:w="1383" w:type="pct"/>
            <w:gridSpan w:val="2"/>
          </w:tcPr>
          <w:p w14:paraId="2A176B9A" w14:textId="284B7258" w:rsidR="006A582F" w:rsidRPr="00C63AEF" w:rsidRDefault="006A582F" w:rsidP="00697FD4">
            <w:pPr>
              <w:jc w:val="left"/>
              <w:cnfStyle w:val="000000000000" w:firstRow="0" w:lastRow="0" w:firstColumn="0" w:lastColumn="0" w:oddVBand="0" w:evenVBand="0" w:oddHBand="0" w:evenHBand="0" w:firstRowFirstColumn="0" w:firstRowLastColumn="0" w:lastRowFirstColumn="0" w:lastRowLastColumn="0"/>
              <w:rPr>
                <w:sz w:val="20"/>
              </w:rPr>
            </w:pPr>
            <w:r w:rsidRPr="00C63AEF">
              <w:rPr>
                <w:sz w:val="20"/>
              </w:rPr>
              <w:t>High Efficiency Furnace</w:t>
            </w:r>
          </w:p>
        </w:tc>
        <w:tc>
          <w:tcPr>
            <w:tcW w:w="585" w:type="pct"/>
          </w:tcPr>
          <w:p w14:paraId="5F87B003" w14:textId="716E692A"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2,781 </w:t>
            </w:r>
          </w:p>
        </w:tc>
        <w:tc>
          <w:tcPr>
            <w:tcW w:w="479" w:type="pct"/>
          </w:tcPr>
          <w:p w14:paraId="73783E5A" w14:textId="33C5703D"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107%</w:t>
            </w:r>
          </w:p>
        </w:tc>
        <w:tc>
          <w:tcPr>
            <w:tcW w:w="585" w:type="pct"/>
          </w:tcPr>
          <w:p w14:paraId="66FCE5AC" w14:textId="386F90EE"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2,966 </w:t>
            </w:r>
          </w:p>
        </w:tc>
        <w:tc>
          <w:tcPr>
            <w:tcW w:w="372" w:type="pct"/>
          </w:tcPr>
          <w:p w14:paraId="0F03F5BE" w14:textId="2B17B9DA"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479" w:type="pct"/>
          </w:tcPr>
          <w:p w14:paraId="25F72FF9" w14:textId="2C672FF9"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b/>
                <w:bCs/>
                <w:sz w:val="20"/>
              </w:rPr>
            </w:pPr>
            <w:r w:rsidRPr="00C63AEF">
              <w:rPr>
                <w:rFonts w:asciiTheme="minorHAnsi" w:hAnsiTheme="minorHAnsi"/>
                <w:sz w:val="20"/>
              </w:rPr>
              <w:t>N/A</w:t>
            </w:r>
          </w:p>
        </w:tc>
        <w:tc>
          <w:tcPr>
            <w:tcW w:w="585" w:type="pct"/>
          </w:tcPr>
          <w:p w14:paraId="16F834E8" w14:textId="1AA212EE"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2,966 </w:t>
            </w:r>
          </w:p>
        </w:tc>
      </w:tr>
      <w:tr w:rsidR="006A582F" w:rsidRPr="00C63AEF" w14:paraId="7FFBFFCC"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5D2AB760" w14:textId="77777777" w:rsidR="006A582F" w:rsidRPr="00C63AEF" w:rsidRDefault="006A582F" w:rsidP="00697FD4">
            <w:pPr>
              <w:rPr>
                <w:sz w:val="20"/>
              </w:rPr>
            </w:pPr>
          </w:p>
        </w:tc>
        <w:tc>
          <w:tcPr>
            <w:tcW w:w="1383" w:type="pct"/>
            <w:gridSpan w:val="2"/>
          </w:tcPr>
          <w:p w14:paraId="4AC9B46B" w14:textId="56BCF187" w:rsidR="006A582F" w:rsidRPr="00C63AEF" w:rsidRDefault="006A582F" w:rsidP="00697FD4">
            <w:pPr>
              <w:jc w:val="left"/>
              <w:cnfStyle w:val="000000000000" w:firstRow="0" w:lastRow="0" w:firstColumn="0" w:lastColumn="0" w:oddVBand="0" w:evenVBand="0" w:oddHBand="0" w:evenHBand="0" w:firstRowFirstColumn="0" w:firstRowLastColumn="0" w:lastRowFirstColumn="0" w:lastRowLastColumn="0"/>
              <w:rPr>
                <w:sz w:val="20"/>
              </w:rPr>
            </w:pPr>
            <w:r w:rsidRPr="00C63AEF">
              <w:rPr>
                <w:sz w:val="20"/>
              </w:rPr>
              <w:t>Low Flow Showerheads (CA)</w:t>
            </w:r>
          </w:p>
        </w:tc>
        <w:tc>
          <w:tcPr>
            <w:tcW w:w="585" w:type="pct"/>
          </w:tcPr>
          <w:p w14:paraId="371B3ED8" w14:textId="298AA34F"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130 </w:t>
            </w:r>
          </w:p>
        </w:tc>
        <w:tc>
          <w:tcPr>
            <w:tcW w:w="479" w:type="pct"/>
          </w:tcPr>
          <w:p w14:paraId="2B46B35F" w14:textId="46A7CA51"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585" w:type="pct"/>
          </w:tcPr>
          <w:p w14:paraId="525C0140" w14:textId="2E095D3E"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130 </w:t>
            </w:r>
          </w:p>
        </w:tc>
        <w:tc>
          <w:tcPr>
            <w:tcW w:w="372" w:type="pct"/>
          </w:tcPr>
          <w:p w14:paraId="2EA8E7DE" w14:textId="384AE8DE"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479" w:type="pct"/>
          </w:tcPr>
          <w:p w14:paraId="20D3ED8B" w14:textId="0DA824B9"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b/>
                <w:bCs/>
                <w:sz w:val="20"/>
              </w:rPr>
            </w:pPr>
            <w:r w:rsidRPr="00C63AEF">
              <w:rPr>
                <w:rFonts w:asciiTheme="minorHAnsi" w:hAnsiTheme="minorHAnsi"/>
                <w:sz w:val="20"/>
              </w:rPr>
              <w:t>N/A</w:t>
            </w:r>
          </w:p>
        </w:tc>
        <w:tc>
          <w:tcPr>
            <w:tcW w:w="585" w:type="pct"/>
          </w:tcPr>
          <w:p w14:paraId="7D4CA251" w14:textId="6AC8C274"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130 </w:t>
            </w:r>
          </w:p>
        </w:tc>
      </w:tr>
      <w:tr w:rsidR="006A582F" w:rsidRPr="00C63AEF" w14:paraId="53F0B738"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3B078C30" w14:textId="77777777" w:rsidR="006A582F" w:rsidRPr="00C63AEF" w:rsidRDefault="006A582F" w:rsidP="00697FD4">
            <w:pPr>
              <w:rPr>
                <w:sz w:val="20"/>
              </w:rPr>
            </w:pPr>
          </w:p>
        </w:tc>
        <w:tc>
          <w:tcPr>
            <w:tcW w:w="1383" w:type="pct"/>
            <w:gridSpan w:val="2"/>
          </w:tcPr>
          <w:p w14:paraId="2B99ED80" w14:textId="32D8BA40" w:rsidR="006A582F" w:rsidRPr="00C63AEF" w:rsidRDefault="006A582F" w:rsidP="00697FD4">
            <w:pPr>
              <w:jc w:val="left"/>
              <w:cnfStyle w:val="000000000000" w:firstRow="0" w:lastRow="0" w:firstColumn="0" w:lastColumn="0" w:oddVBand="0" w:evenVBand="0" w:oddHBand="0" w:evenHBand="0" w:firstRowFirstColumn="0" w:firstRowLastColumn="0" w:lastRowFirstColumn="0" w:lastRowLastColumn="0"/>
              <w:rPr>
                <w:sz w:val="20"/>
              </w:rPr>
            </w:pPr>
            <w:r w:rsidRPr="00C63AEF">
              <w:rPr>
                <w:sz w:val="20"/>
              </w:rPr>
              <w:t>Low Flow Showerheads (IU)</w:t>
            </w:r>
          </w:p>
        </w:tc>
        <w:tc>
          <w:tcPr>
            <w:tcW w:w="585" w:type="pct"/>
          </w:tcPr>
          <w:p w14:paraId="4B390132" w14:textId="3BCAE7A7"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46,993 </w:t>
            </w:r>
          </w:p>
        </w:tc>
        <w:tc>
          <w:tcPr>
            <w:tcW w:w="479" w:type="pct"/>
          </w:tcPr>
          <w:p w14:paraId="64EFAFC2" w14:textId="7B4851B6"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585" w:type="pct"/>
          </w:tcPr>
          <w:p w14:paraId="5A368216" w14:textId="28DC2195"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46,968</w:t>
            </w:r>
          </w:p>
        </w:tc>
        <w:tc>
          <w:tcPr>
            <w:tcW w:w="372" w:type="pct"/>
          </w:tcPr>
          <w:p w14:paraId="7829734F" w14:textId="1328D1BA"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479" w:type="pct"/>
          </w:tcPr>
          <w:p w14:paraId="69399E6D" w14:textId="069588B4"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b/>
                <w:bCs/>
                <w:sz w:val="20"/>
              </w:rPr>
            </w:pPr>
            <w:r w:rsidRPr="00C63AEF">
              <w:rPr>
                <w:rFonts w:asciiTheme="minorHAnsi" w:hAnsiTheme="minorHAnsi"/>
                <w:sz w:val="20"/>
              </w:rPr>
              <w:t>N/A</w:t>
            </w:r>
          </w:p>
        </w:tc>
        <w:tc>
          <w:tcPr>
            <w:tcW w:w="585" w:type="pct"/>
          </w:tcPr>
          <w:p w14:paraId="627F97D5" w14:textId="5F454A66"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46,968</w:t>
            </w:r>
          </w:p>
        </w:tc>
      </w:tr>
      <w:tr w:rsidR="006A582F" w:rsidRPr="00C63AEF" w14:paraId="5DAC2ACB" w14:textId="77777777" w:rsidTr="006A582F">
        <w:trPr>
          <w:trHeight w:val="64"/>
        </w:trPr>
        <w:tc>
          <w:tcPr>
            <w:cnfStyle w:val="001000000000" w:firstRow="0" w:lastRow="0" w:firstColumn="1" w:lastColumn="0" w:oddVBand="0" w:evenVBand="0" w:oddHBand="0" w:evenHBand="0" w:firstRowFirstColumn="0" w:firstRowLastColumn="0" w:lastRowFirstColumn="0" w:lastRowLastColumn="0"/>
            <w:tcW w:w="532" w:type="pct"/>
            <w:vMerge/>
          </w:tcPr>
          <w:p w14:paraId="24A421E7" w14:textId="77777777" w:rsidR="006A582F" w:rsidRPr="00C63AEF" w:rsidRDefault="006A582F" w:rsidP="00697FD4">
            <w:pPr>
              <w:jc w:val="left"/>
              <w:rPr>
                <w:rFonts w:asciiTheme="minorHAnsi" w:hAnsiTheme="minorHAnsi"/>
                <w:sz w:val="20"/>
              </w:rPr>
            </w:pPr>
          </w:p>
        </w:tc>
        <w:tc>
          <w:tcPr>
            <w:tcW w:w="1383" w:type="pct"/>
            <w:gridSpan w:val="2"/>
          </w:tcPr>
          <w:p w14:paraId="47B5603A" w14:textId="502960D1" w:rsidR="006A582F" w:rsidRPr="00C63AEF" w:rsidRDefault="006A582F" w:rsidP="00697FD4">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Pipe Insulation</w:t>
            </w:r>
          </w:p>
        </w:tc>
        <w:tc>
          <w:tcPr>
            <w:tcW w:w="585" w:type="pct"/>
          </w:tcPr>
          <w:p w14:paraId="14396B96" w14:textId="5E740120"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301,275 </w:t>
            </w:r>
          </w:p>
        </w:tc>
        <w:tc>
          <w:tcPr>
            <w:tcW w:w="479" w:type="pct"/>
          </w:tcPr>
          <w:p w14:paraId="79E11D26" w14:textId="235C023E"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585" w:type="pct"/>
          </w:tcPr>
          <w:p w14:paraId="4C283BD5" w14:textId="1BCEC14B"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301,265 </w:t>
            </w:r>
          </w:p>
        </w:tc>
        <w:tc>
          <w:tcPr>
            <w:tcW w:w="372" w:type="pct"/>
          </w:tcPr>
          <w:p w14:paraId="3E8C2C20" w14:textId="65DA19A2"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479" w:type="pct"/>
          </w:tcPr>
          <w:p w14:paraId="2285A7FC" w14:textId="31AA1D69"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C63AEF">
              <w:rPr>
                <w:rFonts w:asciiTheme="minorHAnsi" w:hAnsiTheme="minorHAnsi"/>
                <w:sz w:val="20"/>
              </w:rPr>
              <w:t>N/A</w:t>
            </w:r>
          </w:p>
        </w:tc>
        <w:tc>
          <w:tcPr>
            <w:tcW w:w="585" w:type="pct"/>
          </w:tcPr>
          <w:p w14:paraId="7C8A38A6" w14:textId="21EDACBF"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301,265 </w:t>
            </w:r>
          </w:p>
        </w:tc>
      </w:tr>
      <w:tr w:rsidR="006A582F" w:rsidRPr="00C63AEF" w14:paraId="37653E09"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666D32F3" w14:textId="77777777" w:rsidR="006A582F" w:rsidRPr="00C63AEF" w:rsidRDefault="006A582F" w:rsidP="00697FD4">
            <w:pPr>
              <w:jc w:val="left"/>
              <w:rPr>
                <w:rFonts w:asciiTheme="minorHAnsi" w:hAnsiTheme="minorHAnsi"/>
                <w:sz w:val="20"/>
              </w:rPr>
            </w:pPr>
          </w:p>
        </w:tc>
        <w:tc>
          <w:tcPr>
            <w:tcW w:w="1383" w:type="pct"/>
            <w:gridSpan w:val="2"/>
          </w:tcPr>
          <w:p w14:paraId="06489109" w14:textId="3608D874" w:rsidR="006A582F" w:rsidRPr="00C63AEF" w:rsidRDefault="006A582F" w:rsidP="00697FD4">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Programmable Thermostats</w:t>
            </w:r>
          </w:p>
        </w:tc>
        <w:tc>
          <w:tcPr>
            <w:tcW w:w="585" w:type="pct"/>
          </w:tcPr>
          <w:p w14:paraId="28F0CA4E" w14:textId="0C64B568"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18,388 </w:t>
            </w:r>
          </w:p>
        </w:tc>
        <w:tc>
          <w:tcPr>
            <w:tcW w:w="479" w:type="pct"/>
          </w:tcPr>
          <w:p w14:paraId="388DE97A" w14:textId="0E901367"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585" w:type="pct"/>
          </w:tcPr>
          <w:p w14:paraId="3742D0AD" w14:textId="484507DF"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18,388 </w:t>
            </w:r>
          </w:p>
        </w:tc>
        <w:tc>
          <w:tcPr>
            <w:tcW w:w="372" w:type="pct"/>
          </w:tcPr>
          <w:p w14:paraId="194C5125" w14:textId="1B4BCB5C"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479" w:type="pct"/>
          </w:tcPr>
          <w:p w14:paraId="1FD1B92F" w14:textId="66370B93"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C63AEF">
              <w:rPr>
                <w:rFonts w:asciiTheme="minorHAnsi" w:hAnsiTheme="minorHAnsi"/>
                <w:sz w:val="20"/>
              </w:rPr>
              <w:t>N/A</w:t>
            </w:r>
          </w:p>
        </w:tc>
        <w:tc>
          <w:tcPr>
            <w:tcW w:w="585" w:type="pct"/>
          </w:tcPr>
          <w:p w14:paraId="4BB9F127" w14:textId="39F3DF99"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18,388 </w:t>
            </w:r>
          </w:p>
        </w:tc>
      </w:tr>
      <w:tr w:rsidR="006A582F" w:rsidRPr="00C63AEF" w14:paraId="77D3ED77"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06C21EDF" w14:textId="77777777" w:rsidR="006A582F" w:rsidRPr="00C63AEF" w:rsidRDefault="006A582F" w:rsidP="00697FD4">
            <w:pPr>
              <w:jc w:val="left"/>
              <w:rPr>
                <w:rFonts w:asciiTheme="minorHAnsi" w:hAnsiTheme="minorHAnsi"/>
                <w:sz w:val="20"/>
              </w:rPr>
            </w:pPr>
          </w:p>
        </w:tc>
        <w:tc>
          <w:tcPr>
            <w:tcW w:w="1383" w:type="pct"/>
            <w:gridSpan w:val="2"/>
          </w:tcPr>
          <w:p w14:paraId="6026F400" w14:textId="5BD5CEB1" w:rsidR="006A582F" w:rsidRPr="00C63AEF" w:rsidRDefault="006A582F" w:rsidP="00697FD4">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Reprogrammable Thermostat</w:t>
            </w:r>
          </w:p>
        </w:tc>
        <w:tc>
          <w:tcPr>
            <w:tcW w:w="585" w:type="pct"/>
          </w:tcPr>
          <w:p w14:paraId="516B9D88" w14:textId="34673B89"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2,914 </w:t>
            </w:r>
          </w:p>
        </w:tc>
        <w:tc>
          <w:tcPr>
            <w:tcW w:w="479" w:type="pct"/>
          </w:tcPr>
          <w:p w14:paraId="28875C13" w14:textId="7763CB6F"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585" w:type="pct"/>
          </w:tcPr>
          <w:p w14:paraId="6BE40D6E" w14:textId="4A806B44"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2,914 </w:t>
            </w:r>
          </w:p>
        </w:tc>
        <w:tc>
          <w:tcPr>
            <w:tcW w:w="372" w:type="pct"/>
          </w:tcPr>
          <w:p w14:paraId="26E42E92" w14:textId="3B9FF8FA"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479" w:type="pct"/>
          </w:tcPr>
          <w:p w14:paraId="1ADB6963" w14:textId="68C3FCB6"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C63AEF">
              <w:rPr>
                <w:rFonts w:asciiTheme="minorHAnsi" w:hAnsiTheme="minorHAnsi"/>
                <w:sz w:val="20"/>
              </w:rPr>
              <w:t>N/A</w:t>
            </w:r>
          </w:p>
        </w:tc>
        <w:tc>
          <w:tcPr>
            <w:tcW w:w="585" w:type="pct"/>
          </w:tcPr>
          <w:p w14:paraId="6E66C657" w14:textId="682CBF7C"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 xml:space="preserve"> 2,914 </w:t>
            </w:r>
          </w:p>
        </w:tc>
      </w:tr>
      <w:tr w:rsidR="006A582F" w:rsidRPr="00C63AEF" w14:paraId="55FB8F6E"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6A397279" w14:textId="77777777" w:rsidR="006A582F" w:rsidRPr="00C63AEF" w:rsidRDefault="006A582F" w:rsidP="00697FD4">
            <w:pPr>
              <w:rPr>
                <w:sz w:val="20"/>
              </w:rPr>
            </w:pPr>
          </w:p>
        </w:tc>
        <w:tc>
          <w:tcPr>
            <w:tcW w:w="1383" w:type="pct"/>
            <w:gridSpan w:val="2"/>
          </w:tcPr>
          <w:p w14:paraId="38E98857" w14:textId="17BAED17" w:rsidR="006A582F" w:rsidRPr="00C63AEF" w:rsidRDefault="006A582F" w:rsidP="00697FD4">
            <w:pPr>
              <w:jc w:val="left"/>
              <w:cnfStyle w:val="000000000000" w:firstRow="0" w:lastRow="0" w:firstColumn="0" w:lastColumn="0" w:oddVBand="0" w:evenVBand="0" w:oddHBand="0" w:evenHBand="0" w:firstRowFirstColumn="0" w:firstRowLastColumn="0" w:lastRowFirstColumn="0" w:lastRowLastColumn="0"/>
              <w:rPr>
                <w:sz w:val="20"/>
              </w:rPr>
            </w:pPr>
            <w:r w:rsidRPr="00C63AEF">
              <w:rPr>
                <w:sz w:val="20"/>
              </w:rPr>
              <w:t>Shower Timer</w:t>
            </w:r>
          </w:p>
        </w:tc>
        <w:tc>
          <w:tcPr>
            <w:tcW w:w="585" w:type="pct"/>
          </w:tcPr>
          <w:p w14:paraId="72203929" w14:textId="79264B31"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19,736 </w:t>
            </w:r>
          </w:p>
        </w:tc>
        <w:tc>
          <w:tcPr>
            <w:tcW w:w="479" w:type="pct"/>
          </w:tcPr>
          <w:p w14:paraId="593DC5A4" w14:textId="4D1F8DB6"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585" w:type="pct"/>
          </w:tcPr>
          <w:p w14:paraId="31D40636" w14:textId="4E8C6325"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19,737 </w:t>
            </w:r>
          </w:p>
        </w:tc>
        <w:tc>
          <w:tcPr>
            <w:tcW w:w="372" w:type="pct"/>
          </w:tcPr>
          <w:p w14:paraId="2DFF1318" w14:textId="7AC46F16"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479" w:type="pct"/>
          </w:tcPr>
          <w:p w14:paraId="2D8C5284" w14:textId="41C2CB0D"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b/>
                <w:bCs/>
                <w:sz w:val="20"/>
              </w:rPr>
            </w:pPr>
            <w:r w:rsidRPr="00C63AEF">
              <w:rPr>
                <w:rFonts w:asciiTheme="minorHAnsi" w:hAnsiTheme="minorHAnsi"/>
                <w:sz w:val="20"/>
              </w:rPr>
              <w:t>N/A</w:t>
            </w:r>
          </w:p>
        </w:tc>
        <w:tc>
          <w:tcPr>
            <w:tcW w:w="585" w:type="pct"/>
          </w:tcPr>
          <w:p w14:paraId="7B4660C6" w14:textId="12E3FC0A"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19,737 </w:t>
            </w:r>
          </w:p>
        </w:tc>
      </w:tr>
      <w:tr w:rsidR="006A582F" w:rsidRPr="00C63AEF" w14:paraId="55A8059C"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07868691" w14:textId="77777777" w:rsidR="006A582F" w:rsidRPr="00C63AEF" w:rsidRDefault="006A582F" w:rsidP="00697FD4">
            <w:pPr>
              <w:rPr>
                <w:sz w:val="20"/>
              </w:rPr>
            </w:pPr>
          </w:p>
        </w:tc>
        <w:tc>
          <w:tcPr>
            <w:tcW w:w="1383" w:type="pct"/>
            <w:gridSpan w:val="2"/>
          </w:tcPr>
          <w:p w14:paraId="4EE52BBC" w14:textId="653AA6DB" w:rsidR="006A582F" w:rsidRPr="00C63AEF" w:rsidRDefault="006A582F" w:rsidP="00697FD4">
            <w:pPr>
              <w:jc w:val="left"/>
              <w:cnfStyle w:val="000000000000" w:firstRow="0" w:lastRow="0" w:firstColumn="0" w:lastColumn="0" w:oddVBand="0" w:evenVBand="0" w:oddHBand="0" w:evenHBand="0" w:firstRowFirstColumn="0" w:firstRowLastColumn="0" w:lastRowFirstColumn="0" w:lastRowLastColumn="0"/>
              <w:rPr>
                <w:sz w:val="20"/>
              </w:rPr>
            </w:pPr>
            <w:r w:rsidRPr="00C63AEF">
              <w:rPr>
                <w:sz w:val="20"/>
              </w:rPr>
              <w:t>Steam Boiler Average Controls</w:t>
            </w:r>
          </w:p>
        </w:tc>
        <w:tc>
          <w:tcPr>
            <w:tcW w:w="585" w:type="pct"/>
          </w:tcPr>
          <w:p w14:paraId="48CBBAF1" w14:textId="1620089C"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46,244 </w:t>
            </w:r>
          </w:p>
        </w:tc>
        <w:tc>
          <w:tcPr>
            <w:tcW w:w="479" w:type="pct"/>
          </w:tcPr>
          <w:p w14:paraId="4ACF7BC1" w14:textId="65F71579"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585" w:type="pct"/>
          </w:tcPr>
          <w:p w14:paraId="14CB6A8A" w14:textId="52FFA3C3"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46,244 </w:t>
            </w:r>
          </w:p>
        </w:tc>
        <w:tc>
          <w:tcPr>
            <w:tcW w:w="372" w:type="pct"/>
          </w:tcPr>
          <w:p w14:paraId="5AC2F84A" w14:textId="343A63C1"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479" w:type="pct"/>
          </w:tcPr>
          <w:p w14:paraId="04BC05A7" w14:textId="68F49201"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b/>
                <w:bCs/>
                <w:sz w:val="20"/>
              </w:rPr>
            </w:pPr>
            <w:r w:rsidRPr="00C63AEF">
              <w:rPr>
                <w:rFonts w:asciiTheme="minorHAnsi" w:hAnsiTheme="minorHAnsi"/>
                <w:sz w:val="20"/>
              </w:rPr>
              <w:t>N/A</w:t>
            </w:r>
          </w:p>
        </w:tc>
        <w:tc>
          <w:tcPr>
            <w:tcW w:w="585" w:type="pct"/>
          </w:tcPr>
          <w:p w14:paraId="3C31982F" w14:textId="2687CE72"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46,244 </w:t>
            </w:r>
          </w:p>
        </w:tc>
      </w:tr>
      <w:tr w:rsidR="006A582F" w:rsidRPr="00C63AEF" w14:paraId="63982F84"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61375E9A" w14:textId="77777777" w:rsidR="006A582F" w:rsidRPr="00C63AEF" w:rsidRDefault="006A582F" w:rsidP="00697FD4">
            <w:pPr>
              <w:rPr>
                <w:sz w:val="20"/>
              </w:rPr>
            </w:pPr>
          </w:p>
        </w:tc>
        <w:tc>
          <w:tcPr>
            <w:tcW w:w="1383" w:type="pct"/>
            <w:gridSpan w:val="2"/>
          </w:tcPr>
          <w:p w14:paraId="24352D1D" w14:textId="4307A290" w:rsidR="006A582F" w:rsidRPr="00C63AEF" w:rsidRDefault="006A582F" w:rsidP="00697FD4">
            <w:pPr>
              <w:jc w:val="left"/>
              <w:cnfStyle w:val="000000000000" w:firstRow="0" w:lastRow="0" w:firstColumn="0" w:lastColumn="0" w:oddVBand="0" w:evenVBand="0" w:oddHBand="0" w:evenHBand="0" w:firstRowFirstColumn="0" w:firstRowLastColumn="0" w:lastRowFirstColumn="0" w:lastRowLastColumn="0"/>
              <w:rPr>
                <w:sz w:val="20"/>
              </w:rPr>
            </w:pPr>
            <w:r w:rsidRPr="00C63AEF">
              <w:rPr>
                <w:sz w:val="20"/>
              </w:rPr>
              <w:t>Steam Traps</w:t>
            </w:r>
          </w:p>
        </w:tc>
        <w:tc>
          <w:tcPr>
            <w:tcW w:w="585" w:type="pct"/>
          </w:tcPr>
          <w:p w14:paraId="27106BFB" w14:textId="16F43C2A"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523,789 </w:t>
            </w:r>
          </w:p>
        </w:tc>
        <w:tc>
          <w:tcPr>
            <w:tcW w:w="479" w:type="pct"/>
          </w:tcPr>
          <w:p w14:paraId="3C0B49BC" w14:textId="32B4E688"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105%</w:t>
            </w:r>
          </w:p>
        </w:tc>
        <w:tc>
          <w:tcPr>
            <w:tcW w:w="585" w:type="pct"/>
          </w:tcPr>
          <w:p w14:paraId="18188B10" w14:textId="60FCCFFD"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549,166 </w:t>
            </w:r>
          </w:p>
        </w:tc>
        <w:tc>
          <w:tcPr>
            <w:tcW w:w="372" w:type="pct"/>
          </w:tcPr>
          <w:p w14:paraId="009BAF85" w14:textId="5DC3FBEB"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479" w:type="pct"/>
          </w:tcPr>
          <w:p w14:paraId="6FA93876" w14:textId="099219DE"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b/>
                <w:bCs/>
                <w:sz w:val="20"/>
              </w:rPr>
            </w:pPr>
            <w:r w:rsidRPr="00C63AEF">
              <w:rPr>
                <w:rFonts w:asciiTheme="minorHAnsi" w:hAnsiTheme="minorHAnsi"/>
                <w:sz w:val="20"/>
              </w:rPr>
              <w:t>N/A</w:t>
            </w:r>
          </w:p>
        </w:tc>
        <w:tc>
          <w:tcPr>
            <w:tcW w:w="585" w:type="pct"/>
          </w:tcPr>
          <w:p w14:paraId="49E7FB15" w14:textId="34179415"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549,166 </w:t>
            </w:r>
          </w:p>
        </w:tc>
      </w:tr>
      <w:tr w:rsidR="006A582F" w:rsidRPr="00C63AEF" w14:paraId="2462A074"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6E016B8F" w14:textId="77777777" w:rsidR="006A582F" w:rsidRPr="00C63AEF" w:rsidRDefault="006A582F" w:rsidP="00697FD4">
            <w:pPr>
              <w:rPr>
                <w:sz w:val="20"/>
              </w:rPr>
            </w:pPr>
          </w:p>
        </w:tc>
        <w:tc>
          <w:tcPr>
            <w:tcW w:w="1383" w:type="pct"/>
            <w:gridSpan w:val="2"/>
          </w:tcPr>
          <w:p w14:paraId="478846C8" w14:textId="0798AB58" w:rsidR="006A582F" w:rsidRPr="00C63AEF" w:rsidRDefault="006A582F" w:rsidP="00697FD4">
            <w:pPr>
              <w:jc w:val="left"/>
              <w:cnfStyle w:val="000000000000" w:firstRow="0" w:lastRow="0" w:firstColumn="0" w:lastColumn="0" w:oddVBand="0" w:evenVBand="0" w:oddHBand="0" w:evenHBand="0" w:firstRowFirstColumn="0" w:firstRowLastColumn="0" w:lastRowFirstColumn="0" w:lastRowLastColumn="0"/>
              <w:rPr>
                <w:sz w:val="20"/>
              </w:rPr>
            </w:pPr>
            <w:r w:rsidRPr="00C63AEF">
              <w:rPr>
                <w:sz w:val="20"/>
              </w:rPr>
              <w:t>Wall Insulation</w:t>
            </w:r>
          </w:p>
        </w:tc>
        <w:tc>
          <w:tcPr>
            <w:tcW w:w="585" w:type="pct"/>
          </w:tcPr>
          <w:p w14:paraId="52104DFB" w14:textId="06F20DEA"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27 </w:t>
            </w:r>
          </w:p>
        </w:tc>
        <w:tc>
          <w:tcPr>
            <w:tcW w:w="479" w:type="pct"/>
          </w:tcPr>
          <w:p w14:paraId="568C8287" w14:textId="0F0C6D4D"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118%</w:t>
            </w:r>
          </w:p>
        </w:tc>
        <w:tc>
          <w:tcPr>
            <w:tcW w:w="585" w:type="pct"/>
          </w:tcPr>
          <w:p w14:paraId="677867E8" w14:textId="6AC9EBA7"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32 </w:t>
            </w:r>
          </w:p>
        </w:tc>
        <w:tc>
          <w:tcPr>
            <w:tcW w:w="372" w:type="pct"/>
          </w:tcPr>
          <w:p w14:paraId="11371A95" w14:textId="5F6246D9"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1.00</w:t>
            </w:r>
          </w:p>
        </w:tc>
        <w:tc>
          <w:tcPr>
            <w:tcW w:w="479" w:type="pct"/>
          </w:tcPr>
          <w:p w14:paraId="0A037DCE" w14:textId="44F70389"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b/>
                <w:bCs/>
                <w:sz w:val="20"/>
              </w:rPr>
            </w:pPr>
            <w:r w:rsidRPr="00C63AEF">
              <w:rPr>
                <w:rFonts w:asciiTheme="minorHAnsi" w:hAnsiTheme="minorHAnsi"/>
                <w:sz w:val="20"/>
              </w:rPr>
              <w:t>N/A</w:t>
            </w:r>
          </w:p>
        </w:tc>
        <w:tc>
          <w:tcPr>
            <w:tcW w:w="585" w:type="pct"/>
          </w:tcPr>
          <w:p w14:paraId="42FDF9BD" w14:textId="65D0CD19" w:rsidR="006A582F" w:rsidRPr="00C63AEF" w:rsidRDefault="006A582F" w:rsidP="00697FD4">
            <w:pPr>
              <w:jc w:val="right"/>
              <w:cnfStyle w:val="000000000000" w:firstRow="0" w:lastRow="0" w:firstColumn="0" w:lastColumn="0" w:oddVBand="0" w:evenVBand="0" w:oddHBand="0" w:evenHBand="0" w:firstRowFirstColumn="0" w:firstRowLastColumn="0" w:lastRowFirstColumn="0" w:lastRowLastColumn="0"/>
              <w:rPr>
                <w:sz w:val="20"/>
              </w:rPr>
            </w:pPr>
            <w:r w:rsidRPr="00C63AEF">
              <w:rPr>
                <w:sz w:val="20"/>
              </w:rPr>
              <w:t xml:space="preserve"> 32 </w:t>
            </w:r>
          </w:p>
        </w:tc>
      </w:tr>
      <w:tr w:rsidR="006A582F" w:rsidRPr="00C63AEF" w14:paraId="72AA96EA"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Borders>
              <w:bottom w:val="single" w:sz="12" w:space="0" w:color="00BAD6" w:themeColor="accent5"/>
            </w:tcBorders>
          </w:tcPr>
          <w:p w14:paraId="2F270FE8" w14:textId="77777777" w:rsidR="006A582F" w:rsidRPr="00C63AEF" w:rsidRDefault="006A582F" w:rsidP="003F054E">
            <w:pPr>
              <w:rPr>
                <w:sz w:val="20"/>
              </w:rPr>
            </w:pPr>
          </w:p>
        </w:tc>
        <w:tc>
          <w:tcPr>
            <w:tcW w:w="1383" w:type="pct"/>
            <w:gridSpan w:val="2"/>
            <w:tcBorders>
              <w:bottom w:val="single" w:sz="12" w:space="0" w:color="00BAD6" w:themeColor="accent5"/>
            </w:tcBorders>
          </w:tcPr>
          <w:p w14:paraId="089A0057" w14:textId="165926E7" w:rsidR="006A582F" w:rsidRPr="00C63AEF" w:rsidRDefault="006A582F" w:rsidP="00F25842">
            <w:pPr>
              <w:jc w:val="left"/>
              <w:cnfStyle w:val="000000000000" w:firstRow="0" w:lastRow="0" w:firstColumn="0" w:lastColumn="0" w:oddVBand="0" w:evenVBand="0" w:oddHBand="0" w:evenHBand="0" w:firstRowFirstColumn="0" w:firstRowLastColumn="0" w:lastRowFirstColumn="0" w:lastRowLastColumn="0"/>
              <w:rPr>
                <w:b/>
                <w:bCs/>
                <w:i/>
                <w:iCs/>
                <w:sz w:val="20"/>
              </w:rPr>
            </w:pPr>
            <w:r w:rsidRPr="00C63AEF">
              <w:rPr>
                <w:b/>
                <w:bCs/>
                <w:i/>
                <w:iCs/>
                <w:sz w:val="20"/>
              </w:rPr>
              <w:t>Income Eligible Subtotal</w:t>
            </w:r>
          </w:p>
        </w:tc>
        <w:tc>
          <w:tcPr>
            <w:tcW w:w="585" w:type="pct"/>
            <w:tcBorders>
              <w:bottom w:val="single" w:sz="12" w:space="0" w:color="00BAD6" w:themeColor="accent5"/>
            </w:tcBorders>
          </w:tcPr>
          <w:p w14:paraId="170BC0E8" w14:textId="75363831"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b/>
                <w:bCs/>
                <w:i/>
                <w:iCs/>
                <w:sz w:val="20"/>
              </w:rPr>
            </w:pPr>
            <w:r w:rsidRPr="00C63AEF">
              <w:rPr>
                <w:b/>
                <w:bCs/>
                <w:i/>
                <w:iCs/>
                <w:sz w:val="20"/>
              </w:rPr>
              <w:t xml:space="preserve"> 1,600,826 </w:t>
            </w:r>
          </w:p>
        </w:tc>
        <w:tc>
          <w:tcPr>
            <w:tcW w:w="479" w:type="pct"/>
            <w:tcBorders>
              <w:bottom w:val="single" w:sz="12" w:space="0" w:color="00BAD6" w:themeColor="accent5"/>
            </w:tcBorders>
          </w:tcPr>
          <w:p w14:paraId="38F439B5" w14:textId="3C16AC8F"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b/>
                <w:bCs/>
                <w:i/>
                <w:iCs/>
                <w:sz w:val="20"/>
              </w:rPr>
            </w:pPr>
            <w:r w:rsidRPr="00C63AEF">
              <w:rPr>
                <w:b/>
                <w:bCs/>
                <w:i/>
                <w:iCs/>
                <w:sz w:val="20"/>
              </w:rPr>
              <w:t>102%</w:t>
            </w:r>
          </w:p>
        </w:tc>
        <w:tc>
          <w:tcPr>
            <w:tcW w:w="585" w:type="pct"/>
            <w:tcBorders>
              <w:bottom w:val="single" w:sz="12" w:space="0" w:color="00BAD6" w:themeColor="accent5"/>
            </w:tcBorders>
          </w:tcPr>
          <w:p w14:paraId="0C569BCA" w14:textId="4CE6AE0F"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b/>
                <w:bCs/>
                <w:i/>
                <w:iCs/>
                <w:sz w:val="20"/>
              </w:rPr>
            </w:pPr>
            <w:r w:rsidRPr="00C63AEF">
              <w:rPr>
                <w:b/>
                <w:bCs/>
                <w:i/>
                <w:iCs/>
                <w:sz w:val="20"/>
              </w:rPr>
              <w:t xml:space="preserve"> 1,626,361 </w:t>
            </w:r>
          </w:p>
        </w:tc>
        <w:tc>
          <w:tcPr>
            <w:tcW w:w="372" w:type="pct"/>
            <w:tcBorders>
              <w:bottom w:val="single" w:sz="12" w:space="0" w:color="00BAD6" w:themeColor="accent5"/>
            </w:tcBorders>
          </w:tcPr>
          <w:p w14:paraId="71A34F59" w14:textId="48B0538F"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b/>
                <w:bCs/>
                <w:i/>
                <w:iCs/>
                <w:sz w:val="20"/>
              </w:rPr>
            </w:pPr>
            <w:r w:rsidRPr="00C63AEF">
              <w:rPr>
                <w:b/>
                <w:bCs/>
                <w:i/>
                <w:iCs/>
                <w:sz w:val="20"/>
              </w:rPr>
              <w:t>1.00</w:t>
            </w:r>
          </w:p>
        </w:tc>
        <w:tc>
          <w:tcPr>
            <w:tcW w:w="479" w:type="pct"/>
            <w:tcBorders>
              <w:bottom w:val="single" w:sz="12" w:space="0" w:color="00BAD6" w:themeColor="accent5"/>
            </w:tcBorders>
          </w:tcPr>
          <w:p w14:paraId="212807AA" w14:textId="33DF5817"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b/>
                <w:bCs/>
                <w:i/>
                <w:iCs/>
                <w:sz w:val="20"/>
              </w:rPr>
            </w:pPr>
          </w:p>
        </w:tc>
        <w:tc>
          <w:tcPr>
            <w:tcW w:w="585" w:type="pct"/>
            <w:tcBorders>
              <w:bottom w:val="single" w:sz="12" w:space="0" w:color="00BAD6" w:themeColor="accent5"/>
            </w:tcBorders>
          </w:tcPr>
          <w:p w14:paraId="17BAC1D4" w14:textId="3AB003BE"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b/>
                <w:bCs/>
                <w:i/>
                <w:iCs/>
                <w:sz w:val="20"/>
              </w:rPr>
            </w:pPr>
            <w:r w:rsidRPr="00C63AEF">
              <w:rPr>
                <w:b/>
                <w:bCs/>
                <w:i/>
                <w:iCs/>
                <w:sz w:val="20"/>
              </w:rPr>
              <w:t xml:space="preserve"> 1,626,361 </w:t>
            </w:r>
          </w:p>
        </w:tc>
      </w:tr>
      <w:tr w:rsidR="006A582F" w:rsidRPr="00C63AEF" w14:paraId="267DB695"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val="restart"/>
            <w:tcBorders>
              <w:top w:val="single" w:sz="12" w:space="0" w:color="00BAD6" w:themeColor="accent5"/>
            </w:tcBorders>
          </w:tcPr>
          <w:p w14:paraId="7C5DCECC" w14:textId="681D5D43" w:rsidR="006A582F" w:rsidRPr="000A4833" w:rsidRDefault="006A582F" w:rsidP="00697FD4">
            <w:pPr>
              <w:jc w:val="left"/>
              <w:rPr>
                <w:rFonts w:asciiTheme="minorHAnsi" w:hAnsiTheme="minorHAnsi"/>
                <w:sz w:val="20"/>
              </w:rPr>
            </w:pPr>
            <w:r w:rsidRPr="000A4833">
              <w:rPr>
                <w:rFonts w:asciiTheme="minorHAnsi" w:hAnsiTheme="minorHAnsi"/>
                <w:sz w:val="20"/>
              </w:rPr>
              <w:t>IHWAP</w:t>
            </w:r>
          </w:p>
        </w:tc>
        <w:tc>
          <w:tcPr>
            <w:tcW w:w="1383" w:type="pct"/>
            <w:gridSpan w:val="2"/>
            <w:tcBorders>
              <w:top w:val="single" w:sz="12" w:space="0" w:color="00BAD6" w:themeColor="accent5"/>
            </w:tcBorders>
          </w:tcPr>
          <w:p w14:paraId="35D36AC9" w14:textId="0D8C739B" w:rsidR="006A582F" w:rsidRPr="000A4833" w:rsidRDefault="006A582F" w:rsidP="00697FD4">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Air Sealing</w:t>
            </w:r>
          </w:p>
        </w:tc>
        <w:tc>
          <w:tcPr>
            <w:tcW w:w="585" w:type="pct"/>
            <w:tcBorders>
              <w:top w:val="single" w:sz="12" w:space="0" w:color="00BAD6" w:themeColor="accent5"/>
            </w:tcBorders>
          </w:tcPr>
          <w:p w14:paraId="0AB47278" w14:textId="603BC425" w:rsidR="006A582F" w:rsidRPr="000A4833"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 xml:space="preserve"> 8,544 </w:t>
            </w:r>
          </w:p>
        </w:tc>
        <w:tc>
          <w:tcPr>
            <w:tcW w:w="479" w:type="pct"/>
            <w:tcBorders>
              <w:top w:val="single" w:sz="12" w:space="0" w:color="00BAD6" w:themeColor="accent5"/>
            </w:tcBorders>
          </w:tcPr>
          <w:p w14:paraId="47982A14" w14:textId="6FE09A2D" w:rsidR="006A582F" w:rsidRPr="000A4833"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100%</w:t>
            </w:r>
          </w:p>
        </w:tc>
        <w:tc>
          <w:tcPr>
            <w:tcW w:w="585" w:type="pct"/>
            <w:tcBorders>
              <w:top w:val="single" w:sz="12" w:space="0" w:color="00BAD6" w:themeColor="accent5"/>
            </w:tcBorders>
          </w:tcPr>
          <w:p w14:paraId="33931BDB" w14:textId="1687AF47" w:rsidR="006A582F" w:rsidRPr="000A4833"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 xml:space="preserve"> 8,544 </w:t>
            </w:r>
          </w:p>
        </w:tc>
        <w:tc>
          <w:tcPr>
            <w:tcW w:w="372" w:type="pct"/>
            <w:tcBorders>
              <w:top w:val="single" w:sz="12" w:space="0" w:color="00BAD6" w:themeColor="accent5"/>
            </w:tcBorders>
          </w:tcPr>
          <w:p w14:paraId="2DA06B30" w14:textId="6E5C053E" w:rsidR="006A582F" w:rsidRPr="000A4833"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1.00</w:t>
            </w:r>
          </w:p>
        </w:tc>
        <w:tc>
          <w:tcPr>
            <w:tcW w:w="479" w:type="pct"/>
            <w:tcBorders>
              <w:top w:val="single" w:sz="12" w:space="0" w:color="00BAD6" w:themeColor="accent5"/>
            </w:tcBorders>
          </w:tcPr>
          <w:p w14:paraId="7E3CE6FA" w14:textId="4FAE28C1"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rFonts w:asciiTheme="minorHAnsi" w:hAnsiTheme="minorHAnsi"/>
                <w:sz w:val="20"/>
              </w:rPr>
              <w:t>N/A</w:t>
            </w:r>
          </w:p>
        </w:tc>
        <w:tc>
          <w:tcPr>
            <w:tcW w:w="585" w:type="pct"/>
            <w:tcBorders>
              <w:top w:val="single" w:sz="12" w:space="0" w:color="00BAD6" w:themeColor="accent5"/>
            </w:tcBorders>
          </w:tcPr>
          <w:p w14:paraId="0175FD29" w14:textId="0D7456D7" w:rsidR="006A582F" w:rsidRPr="000A4833"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 xml:space="preserve"> 8,544 </w:t>
            </w:r>
          </w:p>
        </w:tc>
      </w:tr>
      <w:tr w:rsidR="006A582F" w:rsidRPr="00C63AEF" w14:paraId="32893738"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7F99FEB5" w14:textId="77777777" w:rsidR="006A582F" w:rsidRPr="000A4833" w:rsidRDefault="006A582F" w:rsidP="000A4833">
            <w:pPr>
              <w:jc w:val="left"/>
              <w:rPr>
                <w:rFonts w:asciiTheme="minorHAnsi" w:hAnsiTheme="minorHAnsi"/>
                <w:sz w:val="20"/>
              </w:rPr>
            </w:pPr>
          </w:p>
        </w:tc>
        <w:tc>
          <w:tcPr>
            <w:tcW w:w="1383" w:type="pct"/>
            <w:gridSpan w:val="2"/>
          </w:tcPr>
          <w:p w14:paraId="51CD5971" w14:textId="43343FAF" w:rsidR="006A582F" w:rsidRPr="000A4833" w:rsidRDefault="006A582F" w:rsidP="00697FD4">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Custom</w:t>
            </w:r>
          </w:p>
        </w:tc>
        <w:tc>
          <w:tcPr>
            <w:tcW w:w="585" w:type="pct"/>
          </w:tcPr>
          <w:p w14:paraId="4DED2F46" w14:textId="467C04A6"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 xml:space="preserve"> 20,462 </w:t>
            </w:r>
          </w:p>
        </w:tc>
        <w:tc>
          <w:tcPr>
            <w:tcW w:w="479" w:type="pct"/>
          </w:tcPr>
          <w:p w14:paraId="1F3B6780" w14:textId="1ECB399C"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95%</w:t>
            </w:r>
          </w:p>
        </w:tc>
        <w:tc>
          <w:tcPr>
            <w:tcW w:w="585" w:type="pct"/>
          </w:tcPr>
          <w:p w14:paraId="44FE4F86" w14:textId="756DDF53"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 xml:space="preserve"> 19,402 </w:t>
            </w:r>
          </w:p>
        </w:tc>
        <w:tc>
          <w:tcPr>
            <w:tcW w:w="372" w:type="pct"/>
          </w:tcPr>
          <w:p w14:paraId="6B3DA018" w14:textId="131D6233"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1.00</w:t>
            </w:r>
          </w:p>
        </w:tc>
        <w:tc>
          <w:tcPr>
            <w:tcW w:w="479" w:type="pct"/>
          </w:tcPr>
          <w:p w14:paraId="36339F72" w14:textId="675E47F5"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rFonts w:asciiTheme="minorHAnsi" w:hAnsiTheme="minorHAnsi"/>
                <w:sz w:val="20"/>
              </w:rPr>
              <w:t>N/A</w:t>
            </w:r>
          </w:p>
        </w:tc>
        <w:tc>
          <w:tcPr>
            <w:tcW w:w="585" w:type="pct"/>
          </w:tcPr>
          <w:p w14:paraId="7578B373" w14:textId="490C551A" w:rsidR="006A582F" w:rsidRPr="000A4833"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 xml:space="preserve"> 19,402 </w:t>
            </w:r>
          </w:p>
        </w:tc>
      </w:tr>
      <w:tr w:rsidR="006A582F" w:rsidRPr="00C63AEF" w14:paraId="5769BF03"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192941DC" w14:textId="77777777" w:rsidR="006A582F" w:rsidRPr="000A4833" w:rsidRDefault="006A582F" w:rsidP="000A4833">
            <w:pPr>
              <w:jc w:val="left"/>
              <w:rPr>
                <w:rFonts w:asciiTheme="minorHAnsi" w:hAnsiTheme="minorHAnsi"/>
                <w:sz w:val="20"/>
              </w:rPr>
            </w:pPr>
          </w:p>
        </w:tc>
        <w:tc>
          <w:tcPr>
            <w:tcW w:w="1383" w:type="pct"/>
            <w:gridSpan w:val="2"/>
          </w:tcPr>
          <w:p w14:paraId="5ED04673" w14:textId="7929A9B9" w:rsidR="006A582F" w:rsidRPr="000A4833" w:rsidRDefault="006A582F" w:rsidP="00697FD4">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Faucet Aerator - Bathroom (IU)</w:t>
            </w:r>
          </w:p>
        </w:tc>
        <w:tc>
          <w:tcPr>
            <w:tcW w:w="585" w:type="pct"/>
          </w:tcPr>
          <w:p w14:paraId="772B8616" w14:textId="4E6111E5"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 xml:space="preserve"> 5,884 </w:t>
            </w:r>
          </w:p>
        </w:tc>
        <w:tc>
          <w:tcPr>
            <w:tcW w:w="479" w:type="pct"/>
          </w:tcPr>
          <w:p w14:paraId="5BC3F1CD" w14:textId="7CF86969"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2%</w:t>
            </w:r>
          </w:p>
        </w:tc>
        <w:tc>
          <w:tcPr>
            <w:tcW w:w="585" w:type="pct"/>
          </w:tcPr>
          <w:p w14:paraId="07203066" w14:textId="60F0DE93"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 xml:space="preserve"> 144 </w:t>
            </w:r>
          </w:p>
        </w:tc>
        <w:tc>
          <w:tcPr>
            <w:tcW w:w="372" w:type="pct"/>
          </w:tcPr>
          <w:p w14:paraId="78ED743F" w14:textId="139789F1"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1.00</w:t>
            </w:r>
          </w:p>
        </w:tc>
        <w:tc>
          <w:tcPr>
            <w:tcW w:w="479" w:type="pct"/>
          </w:tcPr>
          <w:p w14:paraId="489181C2" w14:textId="26FB65A9"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rFonts w:asciiTheme="minorHAnsi" w:hAnsiTheme="minorHAnsi"/>
                <w:sz w:val="20"/>
              </w:rPr>
              <w:t>N/A</w:t>
            </w:r>
          </w:p>
        </w:tc>
        <w:tc>
          <w:tcPr>
            <w:tcW w:w="585" w:type="pct"/>
          </w:tcPr>
          <w:p w14:paraId="112BC679" w14:textId="35CF669E" w:rsidR="006A582F" w:rsidRPr="000A4833"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 xml:space="preserve"> 144 </w:t>
            </w:r>
          </w:p>
        </w:tc>
      </w:tr>
      <w:tr w:rsidR="006A582F" w:rsidRPr="00C63AEF" w14:paraId="75994D00"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1DBE8A7B" w14:textId="77777777" w:rsidR="006A582F" w:rsidRPr="000A4833" w:rsidRDefault="006A582F" w:rsidP="000A4833">
            <w:pPr>
              <w:jc w:val="left"/>
              <w:rPr>
                <w:rFonts w:asciiTheme="minorHAnsi" w:hAnsiTheme="minorHAnsi"/>
                <w:sz w:val="20"/>
              </w:rPr>
            </w:pPr>
          </w:p>
        </w:tc>
        <w:tc>
          <w:tcPr>
            <w:tcW w:w="1383" w:type="pct"/>
            <w:gridSpan w:val="2"/>
          </w:tcPr>
          <w:p w14:paraId="31D348CE" w14:textId="70A0971C" w:rsidR="006A582F" w:rsidRPr="000A4833" w:rsidRDefault="006A582F" w:rsidP="00697FD4">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Faucet Aerator - Kitchen (IU)</w:t>
            </w:r>
          </w:p>
        </w:tc>
        <w:tc>
          <w:tcPr>
            <w:tcW w:w="585" w:type="pct"/>
          </w:tcPr>
          <w:p w14:paraId="119CE28D" w14:textId="5BD1F399"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 xml:space="preserve"> 782 </w:t>
            </w:r>
          </w:p>
        </w:tc>
        <w:tc>
          <w:tcPr>
            <w:tcW w:w="479" w:type="pct"/>
          </w:tcPr>
          <w:p w14:paraId="4AABFB49" w14:textId="207B1A1D"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100%</w:t>
            </w:r>
          </w:p>
        </w:tc>
        <w:tc>
          <w:tcPr>
            <w:tcW w:w="585" w:type="pct"/>
          </w:tcPr>
          <w:p w14:paraId="42D404F9" w14:textId="2DA582BC"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 xml:space="preserve"> 782 </w:t>
            </w:r>
          </w:p>
        </w:tc>
        <w:tc>
          <w:tcPr>
            <w:tcW w:w="372" w:type="pct"/>
          </w:tcPr>
          <w:p w14:paraId="5ACF9C0C" w14:textId="4195229D"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1.00</w:t>
            </w:r>
          </w:p>
        </w:tc>
        <w:tc>
          <w:tcPr>
            <w:tcW w:w="479" w:type="pct"/>
          </w:tcPr>
          <w:p w14:paraId="69A25F29" w14:textId="1577CE34"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rFonts w:asciiTheme="minorHAnsi" w:hAnsiTheme="minorHAnsi"/>
                <w:sz w:val="20"/>
              </w:rPr>
              <w:t>N/A</w:t>
            </w:r>
          </w:p>
        </w:tc>
        <w:tc>
          <w:tcPr>
            <w:tcW w:w="585" w:type="pct"/>
          </w:tcPr>
          <w:p w14:paraId="152989D4" w14:textId="551BC66F" w:rsidR="006A582F" w:rsidRPr="000A4833"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 xml:space="preserve"> 782 </w:t>
            </w:r>
          </w:p>
        </w:tc>
      </w:tr>
      <w:tr w:rsidR="006A582F" w:rsidRPr="00C63AEF" w14:paraId="6D8DFB96"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4F7D7A3F" w14:textId="77777777" w:rsidR="006A582F" w:rsidRPr="000A4833" w:rsidRDefault="006A582F" w:rsidP="000A4833">
            <w:pPr>
              <w:jc w:val="left"/>
              <w:rPr>
                <w:rFonts w:asciiTheme="minorHAnsi" w:hAnsiTheme="minorHAnsi"/>
                <w:sz w:val="20"/>
              </w:rPr>
            </w:pPr>
          </w:p>
        </w:tc>
        <w:tc>
          <w:tcPr>
            <w:tcW w:w="1383" w:type="pct"/>
            <w:gridSpan w:val="2"/>
          </w:tcPr>
          <w:p w14:paraId="1BC798E8" w14:textId="25986465" w:rsidR="006A582F" w:rsidRPr="000A4833" w:rsidRDefault="006A582F" w:rsidP="00697FD4">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Showerhead (IU)</w:t>
            </w:r>
          </w:p>
        </w:tc>
        <w:tc>
          <w:tcPr>
            <w:tcW w:w="585" w:type="pct"/>
          </w:tcPr>
          <w:p w14:paraId="5341C3D6" w14:textId="625048E3"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 xml:space="preserve"> 14,548 </w:t>
            </w:r>
          </w:p>
        </w:tc>
        <w:tc>
          <w:tcPr>
            <w:tcW w:w="479" w:type="pct"/>
          </w:tcPr>
          <w:p w14:paraId="1D02D47E" w14:textId="3D091045"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3%</w:t>
            </w:r>
          </w:p>
        </w:tc>
        <w:tc>
          <w:tcPr>
            <w:tcW w:w="585" w:type="pct"/>
          </w:tcPr>
          <w:p w14:paraId="109EA0E5" w14:textId="1FC1FECF"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 xml:space="preserve"> 410 </w:t>
            </w:r>
          </w:p>
        </w:tc>
        <w:tc>
          <w:tcPr>
            <w:tcW w:w="372" w:type="pct"/>
          </w:tcPr>
          <w:p w14:paraId="308F30BB" w14:textId="70591992"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1.00</w:t>
            </w:r>
          </w:p>
        </w:tc>
        <w:tc>
          <w:tcPr>
            <w:tcW w:w="479" w:type="pct"/>
          </w:tcPr>
          <w:p w14:paraId="004D50FA" w14:textId="302E5125" w:rsidR="006A582F" w:rsidRPr="000A4833"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rFonts w:asciiTheme="minorHAnsi" w:hAnsiTheme="minorHAnsi"/>
                <w:sz w:val="20"/>
              </w:rPr>
              <w:t>N/A</w:t>
            </w:r>
          </w:p>
        </w:tc>
        <w:tc>
          <w:tcPr>
            <w:tcW w:w="585" w:type="pct"/>
          </w:tcPr>
          <w:p w14:paraId="31282E89" w14:textId="488BBA87" w:rsidR="006A582F" w:rsidRPr="000A4833" w:rsidRDefault="006A582F" w:rsidP="00697FD4">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0A4833">
              <w:rPr>
                <w:rFonts w:asciiTheme="minorHAnsi" w:hAnsiTheme="minorHAnsi"/>
                <w:sz w:val="20"/>
              </w:rPr>
              <w:t xml:space="preserve"> 410 </w:t>
            </w:r>
          </w:p>
        </w:tc>
      </w:tr>
      <w:tr w:rsidR="006A582F" w:rsidRPr="00C63AEF" w14:paraId="1FD90DBA"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532" w:type="pct"/>
            <w:vMerge/>
          </w:tcPr>
          <w:p w14:paraId="5280766B" w14:textId="77777777" w:rsidR="006A582F" w:rsidRPr="00C63AEF" w:rsidRDefault="006A582F" w:rsidP="003F054E">
            <w:pPr>
              <w:rPr>
                <w:sz w:val="20"/>
              </w:rPr>
            </w:pPr>
          </w:p>
        </w:tc>
        <w:tc>
          <w:tcPr>
            <w:tcW w:w="1383" w:type="pct"/>
            <w:gridSpan w:val="2"/>
          </w:tcPr>
          <w:p w14:paraId="254BD0E6" w14:textId="337FB5A5" w:rsidR="006A582F" w:rsidRPr="00C63AEF" w:rsidRDefault="006A582F" w:rsidP="00F25842">
            <w:pPr>
              <w:jc w:val="left"/>
              <w:cnfStyle w:val="000000000000" w:firstRow="0" w:lastRow="0" w:firstColumn="0" w:lastColumn="0" w:oddVBand="0" w:evenVBand="0" w:oddHBand="0" w:evenHBand="0" w:firstRowFirstColumn="0" w:firstRowLastColumn="0" w:lastRowFirstColumn="0" w:lastRowLastColumn="0"/>
              <w:rPr>
                <w:b/>
                <w:bCs/>
                <w:i/>
                <w:iCs/>
                <w:sz w:val="20"/>
              </w:rPr>
            </w:pPr>
            <w:r w:rsidRPr="00C63AEF">
              <w:rPr>
                <w:b/>
                <w:bCs/>
                <w:i/>
                <w:iCs/>
                <w:sz w:val="20"/>
              </w:rPr>
              <w:t>IHWAP Subtotal</w:t>
            </w:r>
          </w:p>
        </w:tc>
        <w:tc>
          <w:tcPr>
            <w:tcW w:w="585" w:type="pct"/>
          </w:tcPr>
          <w:p w14:paraId="6899BBDA" w14:textId="4568444C"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b/>
                <w:bCs/>
                <w:i/>
                <w:iCs/>
                <w:sz w:val="20"/>
              </w:rPr>
            </w:pPr>
            <w:r w:rsidRPr="00C63AEF">
              <w:rPr>
                <w:b/>
                <w:bCs/>
                <w:i/>
                <w:iCs/>
                <w:sz w:val="20"/>
              </w:rPr>
              <w:t xml:space="preserve"> 50,220 </w:t>
            </w:r>
          </w:p>
        </w:tc>
        <w:tc>
          <w:tcPr>
            <w:tcW w:w="479" w:type="pct"/>
          </w:tcPr>
          <w:p w14:paraId="6CC89227" w14:textId="4C10EAC8"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b/>
                <w:bCs/>
                <w:i/>
                <w:iCs/>
                <w:sz w:val="20"/>
              </w:rPr>
            </w:pPr>
            <w:r w:rsidRPr="00C63AEF">
              <w:rPr>
                <w:b/>
                <w:bCs/>
                <w:i/>
                <w:iCs/>
                <w:sz w:val="20"/>
              </w:rPr>
              <w:t>58%</w:t>
            </w:r>
          </w:p>
        </w:tc>
        <w:tc>
          <w:tcPr>
            <w:tcW w:w="585" w:type="pct"/>
          </w:tcPr>
          <w:p w14:paraId="659BDAF3" w14:textId="400BC5F6"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b/>
                <w:bCs/>
                <w:i/>
                <w:iCs/>
                <w:sz w:val="20"/>
              </w:rPr>
            </w:pPr>
            <w:r w:rsidRPr="00C63AEF">
              <w:rPr>
                <w:b/>
                <w:bCs/>
                <w:i/>
                <w:iCs/>
                <w:sz w:val="20"/>
              </w:rPr>
              <w:t xml:space="preserve"> 29,282 </w:t>
            </w:r>
          </w:p>
        </w:tc>
        <w:tc>
          <w:tcPr>
            <w:tcW w:w="372" w:type="pct"/>
          </w:tcPr>
          <w:p w14:paraId="272B94FD" w14:textId="1EB636E6"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b/>
                <w:bCs/>
                <w:i/>
                <w:iCs/>
                <w:sz w:val="20"/>
              </w:rPr>
            </w:pPr>
            <w:r w:rsidRPr="00C63AEF">
              <w:rPr>
                <w:b/>
                <w:bCs/>
                <w:i/>
                <w:iCs/>
                <w:sz w:val="20"/>
              </w:rPr>
              <w:t>1.00</w:t>
            </w:r>
          </w:p>
        </w:tc>
        <w:tc>
          <w:tcPr>
            <w:tcW w:w="479" w:type="pct"/>
          </w:tcPr>
          <w:p w14:paraId="4DFF794A" w14:textId="0F5D499E"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b/>
                <w:bCs/>
                <w:i/>
                <w:iCs/>
                <w:sz w:val="20"/>
              </w:rPr>
            </w:pPr>
          </w:p>
        </w:tc>
        <w:tc>
          <w:tcPr>
            <w:tcW w:w="585" w:type="pct"/>
          </w:tcPr>
          <w:p w14:paraId="5CDCDB61" w14:textId="6D43D2BE" w:rsidR="006A582F" w:rsidRPr="00C63AEF" w:rsidRDefault="006A582F" w:rsidP="00F25842">
            <w:pPr>
              <w:jc w:val="right"/>
              <w:cnfStyle w:val="000000000000" w:firstRow="0" w:lastRow="0" w:firstColumn="0" w:lastColumn="0" w:oddVBand="0" w:evenVBand="0" w:oddHBand="0" w:evenHBand="0" w:firstRowFirstColumn="0" w:firstRowLastColumn="0" w:lastRowFirstColumn="0" w:lastRowLastColumn="0"/>
              <w:rPr>
                <w:b/>
                <w:bCs/>
                <w:i/>
                <w:iCs/>
                <w:sz w:val="20"/>
              </w:rPr>
            </w:pPr>
            <w:r w:rsidRPr="00C63AEF">
              <w:rPr>
                <w:b/>
                <w:bCs/>
                <w:i/>
                <w:iCs/>
                <w:sz w:val="20"/>
              </w:rPr>
              <w:t xml:space="preserve"> 29,282 </w:t>
            </w:r>
          </w:p>
        </w:tc>
      </w:tr>
      <w:tr w:rsidR="007E1CF9" w:rsidRPr="00C63AEF" w14:paraId="7F7AB274"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1099" w:type="pct"/>
            <w:gridSpan w:val="2"/>
          </w:tcPr>
          <w:p w14:paraId="37DFEFA6" w14:textId="40C49893" w:rsidR="007E1CF9" w:rsidRPr="00C63AEF" w:rsidRDefault="007E1CF9" w:rsidP="006A582F">
            <w:pPr>
              <w:rPr>
                <w:rFonts w:eastAsia="Arial Narrow" w:cs="Arial Narrow"/>
                <w:b/>
                <w:color w:val="000000" w:themeColor="text1"/>
                <w:sz w:val="20"/>
              </w:rPr>
            </w:pPr>
            <w:r w:rsidRPr="00C63AEF">
              <w:rPr>
                <w:rFonts w:asciiTheme="minorHAnsi" w:eastAsia="Arial Narrow" w:hAnsiTheme="minorHAnsi" w:cs="Arial Narrow"/>
                <w:b/>
                <w:bCs/>
                <w:color w:val="000000" w:themeColor="text1"/>
                <w:sz w:val="20"/>
              </w:rPr>
              <w:t xml:space="preserve">Total </w:t>
            </w:r>
          </w:p>
        </w:tc>
        <w:tc>
          <w:tcPr>
            <w:tcW w:w="816" w:type="pct"/>
          </w:tcPr>
          <w:p w14:paraId="1849E3CC" w14:textId="55FD868F" w:rsidR="007E1CF9" w:rsidRPr="00C63AEF" w:rsidRDefault="007E1CF9" w:rsidP="000101D7">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585" w:type="pct"/>
            <w:vAlign w:val="top"/>
          </w:tcPr>
          <w:p w14:paraId="65B4BC6F" w14:textId="12467FA7" w:rsidR="007E1CF9" w:rsidRPr="00C63AEF" w:rsidRDefault="007E1CF9" w:rsidP="000101D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C63AEF">
              <w:rPr>
                <w:b/>
                <w:bCs/>
                <w:sz w:val="20"/>
              </w:rPr>
              <w:t>1,651,046</w:t>
            </w:r>
          </w:p>
        </w:tc>
        <w:tc>
          <w:tcPr>
            <w:tcW w:w="479" w:type="pct"/>
            <w:vAlign w:val="top"/>
          </w:tcPr>
          <w:p w14:paraId="61ADD86C" w14:textId="359BF040" w:rsidR="007E1CF9" w:rsidRPr="00C63AEF" w:rsidRDefault="007E1CF9" w:rsidP="000101D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C63AEF">
              <w:rPr>
                <w:b/>
                <w:bCs/>
                <w:sz w:val="20"/>
              </w:rPr>
              <w:t>100%</w:t>
            </w:r>
          </w:p>
        </w:tc>
        <w:tc>
          <w:tcPr>
            <w:tcW w:w="585" w:type="pct"/>
            <w:vAlign w:val="top"/>
          </w:tcPr>
          <w:p w14:paraId="655488DD" w14:textId="3A5CA523" w:rsidR="007E1CF9" w:rsidRPr="00C63AEF" w:rsidRDefault="007E1CF9" w:rsidP="000101D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C63AEF">
              <w:rPr>
                <w:b/>
                <w:bCs/>
                <w:sz w:val="20"/>
              </w:rPr>
              <w:t>1,655,644</w:t>
            </w:r>
          </w:p>
        </w:tc>
        <w:tc>
          <w:tcPr>
            <w:tcW w:w="372" w:type="pct"/>
            <w:vAlign w:val="top"/>
          </w:tcPr>
          <w:p w14:paraId="77137A1F" w14:textId="0F37FA0C" w:rsidR="007E1CF9" w:rsidRPr="00C63AEF" w:rsidRDefault="007E1CF9" w:rsidP="000101D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C63AEF">
              <w:rPr>
                <w:b/>
                <w:bCs/>
                <w:sz w:val="20"/>
              </w:rPr>
              <w:t>1.00</w:t>
            </w:r>
          </w:p>
        </w:tc>
        <w:tc>
          <w:tcPr>
            <w:tcW w:w="479" w:type="pct"/>
            <w:vAlign w:val="top"/>
          </w:tcPr>
          <w:p w14:paraId="4140F06C" w14:textId="08DDEB6C" w:rsidR="007E1CF9" w:rsidRPr="00C63AEF" w:rsidRDefault="007E1CF9" w:rsidP="000101D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tc>
        <w:tc>
          <w:tcPr>
            <w:tcW w:w="585" w:type="pct"/>
            <w:vAlign w:val="top"/>
          </w:tcPr>
          <w:p w14:paraId="73542E22" w14:textId="63E443FF" w:rsidR="007E1CF9" w:rsidRPr="00C63AEF" w:rsidRDefault="007E1CF9" w:rsidP="000101D7">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C63AEF">
              <w:rPr>
                <w:b/>
                <w:bCs/>
                <w:sz w:val="20"/>
              </w:rPr>
              <w:t>1,655,644</w:t>
            </w:r>
          </w:p>
        </w:tc>
      </w:tr>
    </w:tbl>
    <w:p w14:paraId="2CA05655" w14:textId="77777777" w:rsidR="00F07936" w:rsidRPr="00117B5B" w:rsidRDefault="00F07936" w:rsidP="00762D8D">
      <w:pPr>
        <w:pStyle w:val="TableFigureSourceorNote"/>
        <w:rPr>
          <w:rFonts w:eastAsia="Arial"/>
        </w:rPr>
      </w:pPr>
      <w:r w:rsidRPr="00117B5B">
        <w:rPr>
          <w:rFonts w:eastAsia="Arial"/>
        </w:rPr>
        <w:t>* Realization Rate (RR) is the ratio of verified gross savings to ex ante gross savings, based on evaluation research findings.</w:t>
      </w:r>
    </w:p>
    <w:p w14:paraId="1E1CD40C" w14:textId="337CEDA7" w:rsidR="00F07936" w:rsidRPr="00117B5B" w:rsidRDefault="00F07936" w:rsidP="00762D8D">
      <w:pPr>
        <w:pStyle w:val="TableFigureSourceorNote"/>
        <w:rPr>
          <w:rFonts w:eastAsia="Arial"/>
        </w:rPr>
      </w:pPr>
      <w:r w:rsidRPr="00117B5B">
        <w:rPr>
          <w:rFonts w:eastAsia="Arial"/>
        </w:rPr>
        <w:t xml:space="preserve">† NTG, Net to Gross is the deemed value available on the SAG website: </w:t>
      </w:r>
      <w:hyperlink r:id="rId25" w:history="1">
        <w:r w:rsidRPr="00117B5B">
          <w:rPr>
            <w:rStyle w:val="Hyperlink"/>
            <w:rFonts w:eastAsia="Arial" w:cs="Arial"/>
            <w:iCs/>
            <w:szCs w:val="16"/>
          </w:rPr>
          <w:t>https://www.ilsag.info/evaluator-ntg-recommendations-for-2025/</w:t>
        </w:r>
      </w:hyperlink>
      <w:r w:rsidRPr="00117B5B">
        <w:rPr>
          <w:rFonts w:eastAsia="Arial"/>
        </w:rPr>
        <w:t>.</w:t>
      </w:r>
    </w:p>
    <w:p w14:paraId="211CFFC2" w14:textId="77777777" w:rsidR="00F36BF3" w:rsidRPr="00117B5B" w:rsidRDefault="00F36BF3" w:rsidP="00E1525D">
      <w:pPr>
        <w:pStyle w:val="TableFigureSourceorNote"/>
        <w:rPr>
          <w:iCs/>
        </w:rPr>
      </w:pPr>
      <w:r w:rsidRPr="00117B5B">
        <w:rPr>
          <w:iCs/>
        </w:rPr>
        <w:t>Source: Evaluation team analysis.</w:t>
      </w:r>
    </w:p>
    <w:p w14:paraId="708C7371" w14:textId="77777777" w:rsidR="00F36BF3" w:rsidRDefault="00F36BF3" w:rsidP="00F36BF3">
      <w:pPr>
        <w:pStyle w:val="Source"/>
      </w:pPr>
    </w:p>
    <w:p w14:paraId="4887A37D" w14:textId="77777777" w:rsidR="00A346CF" w:rsidRDefault="00A346CF" w:rsidP="00F36BF3">
      <w:pPr>
        <w:pStyle w:val="Source"/>
      </w:pPr>
    </w:p>
    <w:p w14:paraId="7F5D8F7A" w14:textId="3FD5A075" w:rsidR="00A346CF" w:rsidRPr="00A90B62" w:rsidRDefault="00A346CF" w:rsidP="00F671C0">
      <w:pPr>
        <w:pStyle w:val="Caption"/>
      </w:pPr>
      <w:bookmarkStart w:id="49" w:name="_Toc224230106"/>
      <w:r>
        <w:lastRenderedPageBreak/>
        <w:t xml:space="preserve">Table </w:t>
      </w:r>
      <w:r>
        <w:fldChar w:fldCharType="begin"/>
      </w:r>
      <w:r>
        <w:instrText>SEQ Table \* ARABIC</w:instrText>
      </w:r>
      <w:r>
        <w:fldChar w:fldCharType="separate"/>
      </w:r>
      <w:r w:rsidR="00803485">
        <w:rPr>
          <w:noProof/>
        </w:rPr>
        <w:t>8</w:t>
      </w:r>
      <w:r>
        <w:fldChar w:fldCharType="end"/>
      </w:r>
      <w:r>
        <w:t xml:space="preserve">. 2025 Annual Energy Savings by Measure for </w:t>
      </w:r>
      <w:r w:rsidR="00B36538">
        <w:t>NSG</w:t>
      </w:r>
      <w:r w:rsidR="00025E39">
        <w:t xml:space="preserve"> – Income Eligible</w:t>
      </w:r>
      <w:bookmarkEnd w:id="49"/>
    </w:p>
    <w:tbl>
      <w:tblPr>
        <w:tblStyle w:val="EnergyTable"/>
        <w:tblW w:w="5000" w:type="pct"/>
        <w:tblLook w:val="06A0" w:firstRow="1" w:lastRow="0" w:firstColumn="1" w:lastColumn="0" w:noHBand="1" w:noVBand="1"/>
      </w:tblPr>
      <w:tblGrid>
        <w:gridCol w:w="1513"/>
        <w:gridCol w:w="670"/>
        <w:gridCol w:w="1645"/>
        <w:gridCol w:w="1007"/>
        <w:gridCol w:w="906"/>
        <w:gridCol w:w="1007"/>
        <w:gridCol w:w="704"/>
        <w:gridCol w:w="906"/>
        <w:gridCol w:w="1002"/>
      </w:tblGrid>
      <w:tr w:rsidR="006A582F" w:rsidRPr="00C63AEF" w14:paraId="1703E166" w14:textId="77777777" w:rsidTr="006A582F">
        <w:trPr>
          <w:cnfStyle w:val="100000000000" w:firstRow="1" w:lastRow="0" w:firstColumn="0" w:lastColumn="0" w:oddVBand="0" w:evenVBand="0" w:oddHBand="0" w:evenHBand="0" w:firstRowFirstColumn="0" w:firstRowLastColumn="0" w:lastRowFirstColumn="0" w:lastRowLastColumn="0"/>
          <w:trHeight w:val="1050"/>
          <w:tblHeader/>
        </w:trPr>
        <w:tc>
          <w:tcPr>
            <w:cnfStyle w:val="001000000000" w:firstRow="0" w:lastRow="0" w:firstColumn="1" w:lastColumn="0" w:oddVBand="0" w:evenVBand="0" w:oddHBand="0" w:evenHBand="0" w:firstRowFirstColumn="0" w:firstRowLastColumn="0" w:lastRowFirstColumn="0" w:lastRowLastColumn="0"/>
            <w:tcW w:w="808" w:type="pct"/>
          </w:tcPr>
          <w:p w14:paraId="5DFCD803" w14:textId="77777777" w:rsidR="006A582F" w:rsidRPr="00C63AEF" w:rsidRDefault="006A582F">
            <w:pPr>
              <w:jc w:val="left"/>
              <w:rPr>
                <w:rFonts w:asciiTheme="minorHAnsi" w:hAnsiTheme="minorHAnsi"/>
                <w:b w:val="0"/>
                <w:bCs/>
                <w:sz w:val="20"/>
              </w:rPr>
            </w:pPr>
            <w:r w:rsidRPr="00C63AEF">
              <w:rPr>
                <w:rFonts w:asciiTheme="minorHAnsi" w:eastAsia="Arial Narrow" w:hAnsiTheme="minorHAnsi" w:cs="Arial Narrow"/>
                <w:b w:val="0"/>
                <w:bCs/>
                <w:sz w:val="20"/>
              </w:rPr>
              <w:t>Program Path</w:t>
            </w:r>
          </w:p>
        </w:tc>
        <w:tc>
          <w:tcPr>
            <w:tcW w:w="1237" w:type="pct"/>
            <w:gridSpan w:val="2"/>
          </w:tcPr>
          <w:p w14:paraId="47F7D124" w14:textId="77777777" w:rsidR="006A582F" w:rsidRPr="00C63AEF" w:rsidRDefault="006A582F">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C63AEF">
              <w:rPr>
                <w:rFonts w:asciiTheme="minorHAnsi" w:eastAsia="Arial Narrow" w:hAnsiTheme="minorHAnsi" w:cs="Arial Narrow"/>
                <w:b w:val="0"/>
                <w:bCs/>
                <w:sz w:val="20"/>
              </w:rPr>
              <w:t>Savings Category</w:t>
            </w:r>
          </w:p>
        </w:tc>
        <w:tc>
          <w:tcPr>
            <w:tcW w:w="538" w:type="pct"/>
          </w:tcPr>
          <w:p w14:paraId="091F3B0E" w14:textId="77777777" w:rsidR="006A582F" w:rsidRPr="00C63AEF" w:rsidRDefault="006A582F">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C63AEF">
              <w:rPr>
                <w:rFonts w:asciiTheme="minorHAnsi" w:eastAsia="Arial Narrow" w:hAnsiTheme="minorHAnsi" w:cs="Arial Narrow"/>
                <w:b w:val="0"/>
                <w:bCs/>
                <w:sz w:val="20"/>
              </w:rPr>
              <w:t>Ex Ante Gross Savings (Therms)</w:t>
            </w:r>
          </w:p>
        </w:tc>
        <w:tc>
          <w:tcPr>
            <w:tcW w:w="484" w:type="pct"/>
          </w:tcPr>
          <w:p w14:paraId="0E294DEC" w14:textId="77777777" w:rsidR="006A582F" w:rsidRPr="00C63AEF" w:rsidRDefault="006A582F">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C63AEF">
              <w:rPr>
                <w:rFonts w:asciiTheme="minorHAnsi" w:eastAsia="Arial Narrow" w:hAnsiTheme="minorHAnsi" w:cs="Arial Narrow"/>
                <w:b w:val="0"/>
                <w:bCs/>
                <w:sz w:val="20"/>
              </w:rPr>
              <w:t>Verified Gross RR*</w:t>
            </w:r>
          </w:p>
        </w:tc>
        <w:tc>
          <w:tcPr>
            <w:tcW w:w="538" w:type="pct"/>
          </w:tcPr>
          <w:p w14:paraId="619F154C" w14:textId="77777777" w:rsidR="006A582F" w:rsidRPr="00C63AEF" w:rsidRDefault="006A582F">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C63AEF">
              <w:rPr>
                <w:rFonts w:asciiTheme="minorHAnsi" w:eastAsia="Arial Narrow" w:hAnsiTheme="minorHAnsi" w:cs="Arial Narrow"/>
                <w:b w:val="0"/>
                <w:bCs/>
                <w:sz w:val="20"/>
              </w:rPr>
              <w:t>Verified Gross Savings (Therms)</w:t>
            </w:r>
          </w:p>
        </w:tc>
        <w:tc>
          <w:tcPr>
            <w:tcW w:w="376" w:type="pct"/>
          </w:tcPr>
          <w:p w14:paraId="2F00F826" w14:textId="77777777" w:rsidR="006A582F" w:rsidRPr="00C63AEF" w:rsidRDefault="006A582F">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C63AEF">
              <w:rPr>
                <w:rFonts w:asciiTheme="minorHAnsi" w:eastAsia="Arial Narrow" w:hAnsiTheme="minorHAnsi" w:cs="Arial Narrow"/>
                <w:b w:val="0"/>
                <w:bCs/>
                <w:sz w:val="20"/>
              </w:rPr>
              <w:t>NTG</w:t>
            </w:r>
            <w:r w:rsidRPr="00C63AEF">
              <w:rPr>
                <w:rFonts w:asciiTheme="minorHAnsi" w:eastAsia="Calibri" w:hAnsiTheme="minorHAnsi" w:cs="Calibri"/>
                <w:b w:val="0"/>
                <w:bCs/>
                <w:sz w:val="20"/>
              </w:rPr>
              <w:t>†</w:t>
            </w:r>
          </w:p>
        </w:tc>
        <w:tc>
          <w:tcPr>
            <w:tcW w:w="484" w:type="pct"/>
          </w:tcPr>
          <w:p w14:paraId="533CA717" w14:textId="0286B10E" w:rsidR="006A582F" w:rsidRPr="00C63AEF" w:rsidRDefault="006A582F" w:rsidP="000A4833">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C63AEF">
              <w:rPr>
                <w:rFonts w:asciiTheme="minorHAnsi" w:eastAsia="Arial Narrow" w:hAnsiTheme="minorHAnsi" w:cs="Arial Narrow"/>
                <w:b w:val="0"/>
                <w:bCs/>
                <w:sz w:val="20"/>
              </w:rPr>
              <w:t>NSPO</w:t>
            </w:r>
          </w:p>
        </w:tc>
        <w:tc>
          <w:tcPr>
            <w:tcW w:w="536" w:type="pct"/>
          </w:tcPr>
          <w:p w14:paraId="58E2FCAA" w14:textId="77777777" w:rsidR="006A582F" w:rsidRPr="00C63AEF" w:rsidRDefault="006A582F">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sz w:val="20"/>
              </w:rPr>
            </w:pPr>
            <w:r w:rsidRPr="00C63AEF">
              <w:rPr>
                <w:rFonts w:asciiTheme="minorHAnsi" w:eastAsia="Arial Narrow" w:hAnsiTheme="minorHAnsi" w:cs="Arial Narrow"/>
                <w:b w:val="0"/>
                <w:bCs/>
                <w:sz w:val="20"/>
              </w:rPr>
              <w:t>Verified Net Savings (Therms)</w:t>
            </w:r>
          </w:p>
        </w:tc>
      </w:tr>
      <w:tr w:rsidR="006A582F" w:rsidRPr="00C63AEF" w14:paraId="59207605" w14:textId="77777777" w:rsidTr="006A582F">
        <w:trPr>
          <w:trHeight w:val="50"/>
        </w:trPr>
        <w:tc>
          <w:tcPr>
            <w:cnfStyle w:val="001000000000" w:firstRow="0" w:lastRow="0" w:firstColumn="1" w:lastColumn="0" w:oddVBand="0" w:evenVBand="0" w:oddHBand="0" w:evenHBand="0" w:firstRowFirstColumn="0" w:firstRowLastColumn="0" w:lastRowFirstColumn="0" w:lastRowLastColumn="0"/>
            <w:tcW w:w="808" w:type="pct"/>
            <w:vMerge w:val="restart"/>
          </w:tcPr>
          <w:p w14:paraId="3910AEAC" w14:textId="017BE49B" w:rsidR="006A582F" w:rsidRPr="00C63AEF" w:rsidRDefault="006A582F" w:rsidP="00047D46">
            <w:pPr>
              <w:jc w:val="left"/>
              <w:rPr>
                <w:rFonts w:asciiTheme="minorHAnsi" w:hAnsiTheme="minorHAnsi"/>
                <w:sz w:val="20"/>
              </w:rPr>
            </w:pPr>
            <w:r w:rsidRPr="00C63AEF">
              <w:rPr>
                <w:rFonts w:asciiTheme="minorHAnsi" w:hAnsiTheme="minorHAnsi"/>
                <w:sz w:val="20"/>
              </w:rPr>
              <w:t>Income Eligible</w:t>
            </w:r>
          </w:p>
        </w:tc>
        <w:tc>
          <w:tcPr>
            <w:tcW w:w="1237" w:type="pct"/>
            <w:gridSpan w:val="2"/>
            <w:vAlign w:val="top"/>
          </w:tcPr>
          <w:p w14:paraId="5009DEB8" w14:textId="29713132" w:rsidR="006A582F" w:rsidRPr="00C63AEF" w:rsidRDefault="006A582F" w:rsidP="00047D46">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Attic Insulation</w:t>
            </w:r>
          </w:p>
        </w:tc>
        <w:tc>
          <w:tcPr>
            <w:tcW w:w="538" w:type="pct"/>
            <w:vAlign w:val="top"/>
          </w:tcPr>
          <w:p w14:paraId="25B20858" w14:textId="76792141" w:rsidR="006A582F" w:rsidRPr="00C63AEF" w:rsidRDefault="006A582F" w:rsidP="00047D46">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28,743</w:t>
            </w:r>
          </w:p>
        </w:tc>
        <w:tc>
          <w:tcPr>
            <w:tcW w:w="484" w:type="pct"/>
            <w:vAlign w:val="top"/>
          </w:tcPr>
          <w:p w14:paraId="39F6E718" w14:textId="1FFDAF81" w:rsidR="006A582F" w:rsidRPr="00C63AEF" w:rsidRDefault="006A582F" w:rsidP="00047D46">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538" w:type="pct"/>
            <w:vAlign w:val="top"/>
          </w:tcPr>
          <w:p w14:paraId="500C565D" w14:textId="6242A920" w:rsidR="006A582F" w:rsidRPr="00C63AEF" w:rsidRDefault="006A582F" w:rsidP="00047D46">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28,743</w:t>
            </w:r>
          </w:p>
        </w:tc>
        <w:tc>
          <w:tcPr>
            <w:tcW w:w="376" w:type="pct"/>
            <w:vAlign w:val="top"/>
          </w:tcPr>
          <w:p w14:paraId="045A150A" w14:textId="325F127C" w:rsidR="006A582F" w:rsidRPr="00C63AEF" w:rsidRDefault="006A582F" w:rsidP="00047D46">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484" w:type="pct"/>
            <w:vAlign w:val="top"/>
          </w:tcPr>
          <w:p w14:paraId="0EE5DFA7" w14:textId="13A8A9F8"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rFonts w:asciiTheme="minorHAnsi" w:hAnsiTheme="minorHAnsi"/>
                <w:sz w:val="20"/>
              </w:rPr>
              <w:t>N/A</w:t>
            </w:r>
          </w:p>
        </w:tc>
        <w:tc>
          <w:tcPr>
            <w:tcW w:w="536" w:type="pct"/>
            <w:vAlign w:val="top"/>
          </w:tcPr>
          <w:p w14:paraId="23C1B3EE" w14:textId="4664E19C" w:rsidR="006A582F" w:rsidRPr="00C63AEF" w:rsidRDefault="006A582F" w:rsidP="00047D46">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28,743</w:t>
            </w:r>
          </w:p>
        </w:tc>
      </w:tr>
      <w:tr w:rsidR="006A582F" w:rsidRPr="00C63AEF" w14:paraId="14AF92E4" w14:textId="77777777" w:rsidTr="006A582F">
        <w:trPr>
          <w:trHeight w:val="315"/>
        </w:trPr>
        <w:tc>
          <w:tcPr>
            <w:cnfStyle w:val="001000000000" w:firstRow="0" w:lastRow="0" w:firstColumn="1" w:lastColumn="0" w:oddVBand="0" w:evenVBand="0" w:oddHBand="0" w:evenHBand="0" w:firstRowFirstColumn="0" w:firstRowLastColumn="0" w:lastRowFirstColumn="0" w:lastRowLastColumn="0"/>
            <w:tcW w:w="808" w:type="pct"/>
            <w:vMerge/>
          </w:tcPr>
          <w:p w14:paraId="708F4C61" w14:textId="77777777" w:rsidR="006A582F" w:rsidRPr="00C63AEF" w:rsidRDefault="006A582F" w:rsidP="002A173A">
            <w:pPr>
              <w:jc w:val="left"/>
              <w:rPr>
                <w:rFonts w:asciiTheme="minorHAnsi" w:hAnsiTheme="minorHAnsi"/>
                <w:sz w:val="20"/>
              </w:rPr>
            </w:pPr>
          </w:p>
        </w:tc>
        <w:tc>
          <w:tcPr>
            <w:tcW w:w="1237" w:type="pct"/>
            <w:gridSpan w:val="2"/>
            <w:vAlign w:val="top"/>
          </w:tcPr>
          <w:p w14:paraId="44722285" w14:textId="272FED9F" w:rsidR="006A582F" w:rsidRPr="00C63AEF" w:rsidRDefault="006A582F" w:rsidP="002A173A">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Pipe Insulation</w:t>
            </w:r>
          </w:p>
        </w:tc>
        <w:tc>
          <w:tcPr>
            <w:tcW w:w="538" w:type="pct"/>
            <w:vAlign w:val="top"/>
          </w:tcPr>
          <w:p w14:paraId="69A316C4" w14:textId="74BBBF54" w:rsidR="006A582F" w:rsidRPr="00C63AEF" w:rsidRDefault="006A582F" w:rsidP="002A173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3,347</w:t>
            </w:r>
          </w:p>
        </w:tc>
        <w:tc>
          <w:tcPr>
            <w:tcW w:w="484" w:type="pct"/>
            <w:vAlign w:val="top"/>
          </w:tcPr>
          <w:p w14:paraId="30AD3DDD" w14:textId="61A80029" w:rsidR="006A582F" w:rsidRPr="00C63AEF" w:rsidRDefault="006A582F" w:rsidP="002A173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538" w:type="pct"/>
            <w:vAlign w:val="top"/>
          </w:tcPr>
          <w:p w14:paraId="012B06E7" w14:textId="051B0E79" w:rsidR="006A582F" w:rsidRPr="00C63AEF" w:rsidRDefault="006A582F" w:rsidP="002A173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3,347</w:t>
            </w:r>
          </w:p>
        </w:tc>
        <w:tc>
          <w:tcPr>
            <w:tcW w:w="376" w:type="pct"/>
            <w:vAlign w:val="top"/>
          </w:tcPr>
          <w:p w14:paraId="6AB4878F" w14:textId="7A06E8CF" w:rsidR="006A582F" w:rsidRPr="00C63AEF" w:rsidRDefault="006A582F" w:rsidP="002A173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484" w:type="pct"/>
            <w:vAlign w:val="top"/>
          </w:tcPr>
          <w:p w14:paraId="2AC16945" w14:textId="6D5C96ED"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rFonts w:asciiTheme="minorHAnsi" w:hAnsiTheme="minorHAnsi"/>
                <w:sz w:val="20"/>
              </w:rPr>
              <w:t>N/A</w:t>
            </w:r>
          </w:p>
        </w:tc>
        <w:tc>
          <w:tcPr>
            <w:tcW w:w="536" w:type="pct"/>
            <w:vAlign w:val="top"/>
          </w:tcPr>
          <w:p w14:paraId="58F045B8" w14:textId="0044DFEF" w:rsidR="006A582F" w:rsidRPr="00C63AEF" w:rsidRDefault="006A582F" w:rsidP="002A173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3,347</w:t>
            </w:r>
          </w:p>
        </w:tc>
      </w:tr>
      <w:tr w:rsidR="006A582F" w:rsidRPr="00C63AEF" w14:paraId="7B965959" w14:textId="77777777" w:rsidTr="006A582F">
        <w:trPr>
          <w:trHeight w:val="50"/>
        </w:trPr>
        <w:tc>
          <w:tcPr>
            <w:cnfStyle w:val="001000000000" w:firstRow="0" w:lastRow="0" w:firstColumn="1" w:lastColumn="0" w:oddVBand="0" w:evenVBand="0" w:oddHBand="0" w:evenHBand="0" w:firstRowFirstColumn="0" w:firstRowLastColumn="0" w:lastRowFirstColumn="0" w:lastRowLastColumn="0"/>
            <w:tcW w:w="808" w:type="pct"/>
            <w:vMerge/>
          </w:tcPr>
          <w:p w14:paraId="3BD07D56" w14:textId="7B712FE9" w:rsidR="006A582F" w:rsidRPr="00C63AEF" w:rsidRDefault="006A582F" w:rsidP="002A173A">
            <w:pPr>
              <w:jc w:val="left"/>
              <w:rPr>
                <w:rFonts w:asciiTheme="minorHAnsi" w:hAnsiTheme="minorHAnsi"/>
                <w:sz w:val="20"/>
              </w:rPr>
            </w:pPr>
          </w:p>
        </w:tc>
        <w:tc>
          <w:tcPr>
            <w:tcW w:w="1237" w:type="pct"/>
            <w:gridSpan w:val="2"/>
            <w:vAlign w:val="top"/>
          </w:tcPr>
          <w:p w14:paraId="48651167" w14:textId="6D4F759D" w:rsidR="006A582F" w:rsidRPr="00C63AEF" w:rsidRDefault="006A582F" w:rsidP="002A173A">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Wall Insulation</w:t>
            </w:r>
          </w:p>
        </w:tc>
        <w:tc>
          <w:tcPr>
            <w:tcW w:w="538" w:type="pct"/>
            <w:vAlign w:val="top"/>
          </w:tcPr>
          <w:p w14:paraId="685968FE" w14:textId="1C60052B" w:rsidR="006A582F" w:rsidRPr="00C63AEF" w:rsidRDefault="006A582F" w:rsidP="002A173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758</w:t>
            </w:r>
          </w:p>
        </w:tc>
        <w:tc>
          <w:tcPr>
            <w:tcW w:w="484" w:type="pct"/>
            <w:vAlign w:val="top"/>
          </w:tcPr>
          <w:p w14:paraId="491DCA8A" w14:textId="2AB31186" w:rsidR="006A582F" w:rsidRPr="00C63AEF" w:rsidRDefault="006A582F" w:rsidP="002A173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118%</w:t>
            </w:r>
          </w:p>
        </w:tc>
        <w:tc>
          <w:tcPr>
            <w:tcW w:w="538" w:type="pct"/>
            <w:vAlign w:val="top"/>
          </w:tcPr>
          <w:p w14:paraId="16EFEA0D" w14:textId="32B3FF6C" w:rsidR="006A582F" w:rsidRPr="00C63AEF" w:rsidRDefault="006A582F" w:rsidP="002A173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891</w:t>
            </w:r>
          </w:p>
        </w:tc>
        <w:tc>
          <w:tcPr>
            <w:tcW w:w="376" w:type="pct"/>
            <w:vAlign w:val="top"/>
          </w:tcPr>
          <w:p w14:paraId="0CF2A701" w14:textId="3E5A9F7C" w:rsidR="006A582F" w:rsidRPr="00C63AEF" w:rsidRDefault="006A582F" w:rsidP="002A173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1.00</w:t>
            </w:r>
          </w:p>
        </w:tc>
        <w:tc>
          <w:tcPr>
            <w:tcW w:w="484" w:type="pct"/>
            <w:vAlign w:val="top"/>
          </w:tcPr>
          <w:p w14:paraId="53FD8044" w14:textId="1416EE26" w:rsidR="006A582F" w:rsidRPr="00C63AEF" w:rsidRDefault="006A582F" w:rsidP="000A4833">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rFonts w:asciiTheme="minorHAnsi" w:hAnsiTheme="minorHAnsi"/>
                <w:sz w:val="20"/>
              </w:rPr>
              <w:t>N/A</w:t>
            </w:r>
          </w:p>
        </w:tc>
        <w:tc>
          <w:tcPr>
            <w:tcW w:w="536" w:type="pct"/>
            <w:vAlign w:val="top"/>
          </w:tcPr>
          <w:p w14:paraId="3F2EA5AB" w14:textId="1F07312A" w:rsidR="006A582F" w:rsidRPr="00C63AEF" w:rsidRDefault="006A582F" w:rsidP="002A173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C63AEF">
              <w:rPr>
                <w:sz w:val="20"/>
              </w:rPr>
              <w:t>891</w:t>
            </w:r>
          </w:p>
        </w:tc>
      </w:tr>
      <w:tr w:rsidR="006A582F" w:rsidRPr="00C63AEF" w14:paraId="7306CFE8" w14:textId="77777777" w:rsidTr="006A582F">
        <w:trPr>
          <w:trHeight w:val="300"/>
        </w:trPr>
        <w:tc>
          <w:tcPr>
            <w:cnfStyle w:val="001000000000" w:firstRow="0" w:lastRow="0" w:firstColumn="1" w:lastColumn="0" w:oddVBand="0" w:evenVBand="0" w:oddHBand="0" w:evenHBand="0" w:firstRowFirstColumn="0" w:firstRowLastColumn="0" w:lastRowFirstColumn="0" w:lastRowLastColumn="0"/>
            <w:tcW w:w="1166" w:type="pct"/>
            <w:gridSpan w:val="2"/>
          </w:tcPr>
          <w:p w14:paraId="7DDE22EA" w14:textId="1102AFCB" w:rsidR="006A582F" w:rsidRPr="00C63AEF" w:rsidRDefault="006A582F" w:rsidP="002A173A">
            <w:pPr>
              <w:rPr>
                <w:rFonts w:eastAsia="Arial Narrow" w:cs="Arial Narrow"/>
                <w:b/>
                <w:color w:val="000000" w:themeColor="text1"/>
                <w:sz w:val="20"/>
              </w:rPr>
            </w:pPr>
            <w:r w:rsidRPr="00C63AEF">
              <w:rPr>
                <w:rFonts w:asciiTheme="minorHAnsi" w:eastAsia="Arial Narrow" w:hAnsiTheme="minorHAnsi" w:cs="Arial Narrow"/>
                <w:b/>
                <w:bCs/>
                <w:color w:val="000000" w:themeColor="text1"/>
                <w:sz w:val="20"/>
              </w:rPr>
              <w:t xml:space="preserve">Total </w:t>
            </w:r>
          </w:p>
        </w:tc>
        <w:tc>
          <w:tcPr>
            <w:tcW w:w="879" w:type="pct"/>
          </w:tcPr>
          <w:p w14:paraId="6BC0728F" w14:textId="51BE85E2" w:rsidR="006A582F" w:rsidRPr="00C63AEF" w:rsidRDefault="006A582F" w:rsidP="002A173A">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p>
        </w:tc>
        <w:tc>
          <w:tcPr>
            <w:tcW w:w="538" w:type="pct"/>
            <w:vAlign w:val="top"/>
          </w:tcPr>
          <w:p w14:paraId="50F7B5AF" w14:textId="56E50FF6" w:rsidR="006A582F" w:rsidRPr="00C63AEF" w:rsidRDefault="006A582F" w:rsidP="002A173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C63AEF">
              <w:rPr>
                <w:b/>
                <w:bCs/>
                <w:sz w:val="20"/>
              </w:rPr>
              <w:t>32,849</w:t>
            </w:r>
          </w:p>
        </w:tc>
        <w:tc>
          <w:tcPr>
            <w:tcW w:w="484" w:type="pct"/>
            <w:vAlign w:val="top"/>
          </w:tcPr>
          <w:p w14:paraId="4A01DD68" w14:textId="2CA2294F" w:rsidR="006A582F" w:rsidRPr="00C63AEF" w:rsidRDefault="006A582F" w:rsidP="002A173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C63AEF">
              <w:rPr>
                <w:b/>
                <w:bCs/>
                <w:sz w:val="20"/>
              </w:rPr>
              <w:t>100%</w:t>
            </w:r>
          </w:p>
        </w:tc>
        <w:tc>
          <w:tcPr>
            <w:tcW w:w="538" w:type="pct"/>
            <w:vAlign w:val="top"/>
          </w:tcPr>
          <w:p w14:paraId="4497A8A9" w14:textId="6417867A" w:rsidR="006A582F" w:rsidRPr="00C63AEF" w:rsidRDefault="006A582F" w:rsidP="002A173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C63AEF">
              <w:rPr>
                <w:b/>
                <w:bCs/>
                <w:sz w:val="20"/>
              </w:rPr>
              <w:t>32,982</w:t>
            </w:r>
          </w:p>
        </w:tc>
        <w:tc>
          <w:tcPr>
            <w:tcW w:w="376" w:type="pct"/>
            <w:vAlign w:val="top"/>
          </w:tcPr>
          <w:p w14:paraId="092E38FC" w14:textId="758EDACC" w:rsidR="006A582F" w:rsidRPr="00C63AEF" w:rsidRDefault="006A582F" w:rsidP="002A173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C63AEF">
              <w:rPr>
                <w:b/>
                <w:bCs/>
                <w:sz w:val="20"/>
              </w:rPr>
              <w:t>1.00</w:t>
            </w:r>
          </w:p>
        </w:tc>
        <w:tc>
          <w:tcPr>
            <w:tcW w:w="484" w:type="pct"/>
            <w:vAlign w:val="top"/>
          </w:tcPr>
          <w:p w14:paraId="4D4CCA00" w14:textId="4C5794DE" w:rsidR="006A582F" w:rsidRPr="00C63AEF" w:rsidRDefault="006A582F" w:rsidP="002A173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p>
        </w:tc>
        <w:tc>
          <w:tcPr>
            <w:tcW w:w="536" w:type="pct"/>
            <w:vAlign w:val="top"/>
          </w:tcPr>
          <w:p w14:paraId="15EE5385" w14:textId="5949FE8A" w:rsidR="006A582F" w:rsidRPr="00C63AEF" w:rsidRDefault="006A582F" w:rsidP="002A173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rPr>
            </w:pPr>
            <w:r w:rsidRPr="00C63AEF">
              <w:rPr>
                <w:b/>
                <w:bCs/>
                <w:sz w:val="20"/>
              </w:rPr>
              <w:t>32,982</w:t>
            </w:r>
          </w:p>
        </w:tc>
      </w:tr>
    </w:tbl>
    <w:p w14:paraId="7D6C085C" w14:textId="77777777" w:rsidR="00F07936" w:rsidRPr="00117B5B" w:rsidRDefault="00F07936" w:rsidP="00762D8D">
      <w:pPr>
        <w:pStyle w:val="TableFigureSourceorNote"/>
        <w:rPr>
          <w:rFonts w:eastAsia="Arial"/>
        </w:rPr>
      </w:pPr>
      <w:r w:rsidRPr="00117B5B">
        <w:rPr>
          <w:rFonts w:eastAsia="Arial"/>
        </w:rPr>
        <w:t>* Realization Rate (RR) is the ratio of verified gross savings to ex ante gross savings, based on evaluation research findings.</w:t>
      </w:r>
    </w:p>
    <w:p w14:paraId="3489A82F" w14:textId="038E3B54" w:rsidR="00F07936" w:rsidRPr="00117B5B" w:rsidRDefault="00F07936" w:rsidP="00762D8D">
      <w:pPr>
        <w:pStyle w:val="TableFigureSourceorNote"/>
        <w:rPr>
          <w:rFonts w:eastAsia="Arial"/>
        </w:rPr>
      </w:pPr>
      <w:r w:rsidRPr="00117B5B">
        <w:rPr>
          <w:rFonts w:eastAsia="Arial"/>
        </w:rPr>
        <w:t xml:space="preserve">† NTG, Net to Gross is the deemed value available on the SAG website: </w:t>
      </w:r>
      <w:hyperlink r:id="rId26" w:history="1">
        <w:r w:rsidRPr="00117B5B">
          <w:rPr>
            <w:rStyle w:val="Hyperlink"/>
            <w:rFonts w:eastAsia="Arial" w:cs="Arial"/>
            <w:iCs/>
            <w:szCs w:val="16"/>
          </w:rPr>
          <w:t>https://www.ilsag.info/evaluator-ntg-recommendations-for-2025/</w:t>
        </w:r>
      </w:hyperlink>
      <w:r w:rsidRPr="00117B5B">
        <w:rPr>
          <w:rFonts w:eastAsia="Arial"/>
        </w:rPr>
        <w:t>.</w:t>
      </w:r>
    </w:p>
    <w:p w14:paraId="5AFC5EF2" w14:textId="2F2571A0" w:rsidR="00A346CF" w:rsidRPr="00117B5B" w:rsidRDefault="00A346CF" w:rsidP="0050083F">
      <w:pPr>
        <w:pStyle w:val="TableFigureSourceorNote"/>
        <w:rPr>
          <w:iCs/>
        </w:rPr>
      </w:pPr>
      <w:r w:rsidRPr="00117B5B">
        <w:rPr>
          <w:iCs/>
        </w:rPr>
        <w:t>Source: Evaluation team analysis.</w:t>
      </w:r>
    </w:p>
    <w:p w14:paraId="5CFA31C9" w14:textId="0265D9D9" w:rsidR="00F36BF3" w:rsidRDefault="007C32B5" w:rsidP="00215EE2">
      <w:pPr>
        <w:pStyle w:val="Heading2"/>
        <w:keepNext w:val="0"/>
        <w:keepLines w:val="0"/>
      </w:pPr>
      <w:bookmarkStart w:id="50" w:name="_Toc224332879"/>
      <w:bookmarkEnd w:id="48"/>
      <w:r>
        <w:t>Impact Analysis Findings and Recommendations</w:t>
      </w:r>
      <w:bookmarkEnd w:id="50"/>
    </w:p>
    <w:p w14:paraId="742A0594" w14:textId="53BE7978" w:rsidR="001B064A" w:rsidRDefault="001B064A" w:rsidP="00575E2C">
      <w:pPr>
        <w:pStyle w:val="Heading3"/>
      </w:pPr>
      <w:bookmarkStart w:id="51" w:name="_Toc224332880"/>
      <w:r>
        <w:t>Impact Parameter Estimates</w:t>
      </w:r>
      <w:bookmarkEnd w:id="51"/>
    </w:p>
    <w:bookmarkStart w:id="52" w:name="_Toc381633053"/>
    <w:p w14:paraId="6BE846CB" w14:textId="4B50BAF5" w:rsidR="00711F89" w:rsidRDefault="00E67B85" w:rsidP="00215EE2">
      <w:r>
        <w:fldChar w:fldCharType="begin"/>
      </w:r>
      <w:r>
        <w:instrText xml:space="preserve"> REF _Ref503449693 \h </w:instrText>
      </w:r>
      <w:r>
        <w:fldChar w:fldCharType="separate"/>
      </w:r>
      <w:r w:rsidR="00803485">
        <w:t xml:space="preserve">Table </w:t>
      </w:r>
      <w:r w:rsidR="00803485">
        <w:rPr>
          <w:noProof/>
        </w:rPr>
        <w:t>9</w:t>
      </w:r>
      <w:r>
        <w:fldChar w:fldCharType="end"/>
      </w:r>
      <w:r>
        <w:t xml:space="preserve"> </w:t>
      </w:r>
      <w:r w:rsidRPr="007367D2">
        <w:t xml:space="preserve">shows the unit </w:t>
      </w:r>
      <w:r w:rsidR="00131585">
        <w:t>T</w:t>
      </w:r>
      <w:r>
        <w:t xml:space="preserve">herm </w:t>
      </w:r>
      <w:r w:rsidRPr="007367D2">
        <w:t xml:space="preserve">savings and realization rate </w:t>
      </w:r>
      <w:r>
        <w:t xml:space="preserve">findings </w:t>
      </w:r>
      <w:r w:rsidRPr="007367D2">
        <w:t xml:space="preserve">by measure from our review. </w:t>
      </w:r>
      <w:r>
        <w:t xml:space="preserve">The realization rate is the ratio of the verified savings to the </w:t>
      </w:r>
      <w:proofErr w:type="spellStart"/>
      <w:proofErr w:type="gramStart"/>
      <w:r>
        <w:t>ex ante</w:t>
      </w:r>
      <w:proofErr w:type="spellEnd"/>
      <w:proofErr w:type="gramEnd"/>
      <w:r>
        <w:t xml:space="preserve"> savings. Following the table, we provide findings and recommendations, including </w:t>
      </w:r>
      <w:r w:rsidR="00392FF5">
        <w:t xml:space="preserve">a </w:t>
      </w:r>
      <w:r>
        <w:t>discussion of all measures with realization rates above or below 100%</w:t>
      </w:r>
      <w:r w:rsidRPr="007367D2">
        <w:t>.</w:t>
      </w:r>
      <w:r>
        <w:t xml:space="preserve"> </w:t>
      </w:r>
      <w:r w:rsidRPr="00F30437">
        <w:t xml:space="preserve">Appendix </w:t>
      </w:r>
      <w:r>
        <w:t>A</w:t>
      </w:r>
      <w:r w:rsidRPr="00F30437">
        <w:t xml:space="preserve"> pr</w:t>
      </w:r>
      <w:r>
        <w:t>ovides a description of the i</w:t>
      </w:r>
      <w:r w:rsidRPr="000475D3">
        <w:t xml:space="preserve">mpact </w:t>
      </w:r>
      <w:r>
        <w:t>a</w:t>
      </w:r>
      <w:r w:rsidRPr="000475D3">
        <w:t xml:space="preserve">nalysis </w:t>
      </w:r>
      <w:r>
        <w:t>m</w:t>
      </w:r>
      <w:r w:rsidRPr="000475D3">
        <w:t>ethodology</w:t>
      </w:r>
      <w:r>
        <w:t>.</w:t>
      </w:r>
    </w:p>
    <w:p w14:paraId="20A1ADD6" w14:textId="625D8FFD" w:rsidR="00E67B85" w:rsidRPr="00E8651B" w:rsidRDefault="00E67B85" w:rsidP="00F671C0">
      <w:pPr>
        <w:pStyle w:val="Caption"/>
      </w:pPr>
      <w:bookmarkStart w:id="53" w:name="_Ref503449693"/>
      <w:bookmarkStart w:id="54" w:name="_Toc61360849"/>
      <w:bookmarkStart w:id="55" w:name="_Toc189750770"/>
      <w:bookmarkStart w:id="56" w:name="_Toc224230107"/>
      <w:bookmarkEnd w:id="52"/>
      <w:r>
        <w:t xml:space="preserve">Table </w:t>
      </w:r>
      <w:r>
        <w:fldChar w:fldCharType="begin"/>
      </w:r>
      <w:r>
        <w:instrText>SEQ Table \* ARABIC</w:instrText>
      </w:r>
      <w:r>
        <w:fldChar w:fldCharType="separate"/>
      </w:r>
      <w:r w:rsidR="00803485">
        <w:rPr>
          <w:noProof/>
        </w:rPr>
        <w:t>9</w:t>
      </w:r>
      <w:r>
        <w:fldChar w:fldCharType="end"/>
      </w:r>
      <w:bookmarkEnd w:id="53"/>
      <w:r>
        <w:t xml:space="preserve">. </w:t>
      </w:r>
      <w:r w:rsidRPr="00E8651B">
        <w:t>Verified Gross Savings Parameters</w:t>
      </w:r>
      <w:bookmarkEnd w:id="54"/>
      <w:bookmarkEnd w:id="55"/>
      <w:r w:rsidR="00025E39">
        <w:t xml:space="preserve"> – Income Eligible</w:t>
      </w:r>
      <w:bookmarkEnd w:id="56"/>
    </w:p>
    <w:tbl>
      <w:tblPr>
        <w:tblStyle w:val="EnergyTable"/>
        <w:tblpPr w:leftFromText="180" w:rightFromText="180" w:vertAnchor="text" w:tblpXSpec="center" w:tblpY="1"/>
        <w:tblOverlap w:val="never"/>
        <w:tblW w:w="5000" w:type="pct"/>
        <w:jc w:val="left"/>
        <w:tblLook w:val="04A0" w:firstRow="1" w:lastRow="0" w:firstColumn="1" w:lastColumn="0" w:noHBand="0" w:noVBand="1"/>
      </w:tblPr>
      <w:tblGrid>
        <w:gridCol w:w="2171"/>
        <w:gridCol w:w="1363"/>
        <w:gridCol w:w="1696"/>
        <w:gridCol w:w="1704"/>
        <w:gridCol w:w="1299"/>
        <w:gridCol w:w="1127"/>
      </w:tblGrid>
      <w:tr w:rsidR="00E67B85" w:rsidRPr="00747C17" w14:paraId="653E634E" w14:textId="77777777" w:rsidTr="00C63AEF">
        <w:trPr>
          <w:cnfStyle w:val="100000000000" w:firstRow="1" w:lastRow="0" w:firstColumn="0" w:lastColumn="0" w:oddVBand="0" w:evenVBand="0" w:oddHBand="0" w:evenHBand="0" w:firstRowFirstColumn="0" w:firstRowLastColumn="0" w:lastRowFirstColumn="0" w:lastRowLastColumn="0"/>
          <w:trHeight w:val="783"/>
          <w:tblHeader/>
          <w:jc w:val="left"/>
        </w:trPr>
        <w:tc>
          <w:tcPr>
            <w:cnfStyle w:val="001000000000" w:firstRow="0" w:lastRow="0" w:firstColumn="1" w:lastColumn="0" w:oddVBand="0" w:evenVBand="0" w:oddHBand="0" w:evenHBand="0" w:firstRowFirstColumn="0" w:firstRowLastColumn="0" w:lastRowFirstColumn="0" w:lastRowLastColumn="0"/>
            <w:tcW w:w="1160" w:type="pct"/>
          </w:tcPr>
          <w:p w14:paraId="7596A1F6" w14:textId="77777777" w:rsidR="00E67B85" w:rsidRPr="00747C17" w:rsidRDefault="00E67B85" w:rsidP="00711F89">
            <w:pPr>
              <w:keepNext/>
              <w:keepLines/>
              <w:spacing w:before="60" w:after="60"/>
              <w:jc w:val="left"/>
              <w:rPr>
                <w:rFonts w:asciiTheme="minorHAnsi" w:hAnsiTheme="minorHAnsi"/>
                <w:b w:val="0"/>
                <w:bCs/>
                <w:color w:val="FFFFFF"/>
                <w:sz w:val="20"/>
              </w:rPr>
            </w:pPr>
            <w:r w:rsidRPr="00747C17">
              <w:rPr>
                <w:rFonts w:asciiTheme="minorHAnsi" w:hAnsiTheme="minorHAnsi"/>
                <w:b w:val="0"/>
                <w:bCs/>
                <w:color w:val="FFFFFF"/>
                <w:sz w:val="20"/>
              </w:rPr>
              <w:t>Measure</w:t>
            </w:r>
          </w:p>
        </w:tc>
        <w:tc>
          <w:tcPr>
            <w:tcW w:w="728" w:type="pct"/>
          </w:tcPr>
          <w:p w14:paraId="2ED0558D" w14:textId="77777777" w:rsidR="00E67B85" w:rsidRPr="00747C17" w:rsidRDefault="00E67B85" w:rsidP="00711F89">
            <w:pPr>
              <w:keepNext/>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val="0"/>
                <w:bCs/>
                <w:color w:val="FFFFFF"/>
                <w:sz w:val="20"/>
              </w:rPr>
            </w:pPr>
            <w:r w:rsidRPr="00747C17">
              <w:rPr>
                <w:rFonts w:asciiTheme="minorHAnsi" w:hAnsiTheme="minorHAnsi"/>
                <w:b w:val="0"/>
                <w:bCs/>
                <w:color w:val="FFFFFF"/>
                <w:sz w:val="20"/>
              </w:rPr>
              <w:t>Unit Basis</w:t>
            </w:r>
          </w:p>
        </w:tc>
        <w:tc>
          <w:tcPr>
            <w:tcW w:w="906" w:type="pct"/>
          </w:tcPr>
          <w:p w14:paraId="096ECD61" w14:textId="77777777" w:rsidR="00E67B85" w:rsidRPr="00747C17" w:rsidRDefault="00E67B85" w:rsidP="00711F89">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color w:val="FFFFFF"/>
                <w:sz w:val="20"/>
              </w:rPr>
            </w:pPr>
            <w:r w:rsidRPr="00747C17">
              <w:rPr>
                <w:rFonts w:asciiTheme="minorHAnsi" w:hAnsiTheme="minorHAnsi"/>
                <w:b w:val="0"/>
                <w:bCs/>
                <w:color w:val="FFFFFF"/>
                <w:sz w:val="20"/>
              </w:rPr>
              <w:t>Ex Ante Gross (therms/unit)</w:t>
            </w:r>
          </w:p>
        </w:tc>
        <w:tc>
          <w:tcPr>
            <w:tcW w:w="910" w:type="pct"/>
          </w:tcPr>
          <w:p w14:paraId="7AC9BCD4" w14:textId="77777777" w:rsidR="00E67B85" w:rsidRPr="00747C17" w:rsidRDefault="00E67B85" w:rsidP="00711F89">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color w:val="FFFFFF"/>
                <w:sz w:val="20"/>
              </w:rPr>
            </w:pPr>
            <w:r w:rsidRPr="00747C17">
              <w:rPr>
                <w:rFonts w:asciiTheme="minorHAnsi" w:hAnsiTheme="minorHAnsi"/>
                <w:b w:val="0"/>
                <w:bCs/>
                <w:color w:val="FFFFFF"/>
                <w:sz w:val="20"/>
              </w:rPr>
              <w:t>Verified Gross (therms/unit)</w:t>
            </w:r>
          </w:p>
        </w:tc>
        <w:tc>
          <w:tcPr>
            <w:tcW w:w="694" w:type="pct"/>
          </w:tcPr>
          <w:p w14:paraId="285E12DE" w14:textId="77777777" w:rsidR="00E67B85" w:rsidRPr="00747C17" w:rsidRDefault="00E67B85" w:rsidP="00711F89">
            <w:pPr>
              <w:keepNext/>
              <w:keepLines/>
              <w:spacing w:before="60" w:after="60"/>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color w:val="FFFFFF"/>
                <w:sz w:val="20"/>
              </w:rPr>
            </w:pPr>
            <w:r w:rsidRPr="00747C17">
              <w:rPr>
                <w:rFonts w:asciiTheme="minorHAnsi" w:hAnsiTheme="minorHAnsi"/>
                <w:b w:val="0"/>
                <w:bCs/>
                <w:color w:val="FFFFFF"/>
                <w:sz w:val="20"/>
              </w:rPr>
              <w:t>Realization Rate</w:t>
            </w:r>
          </w:p>
        </w:tc>
        <w:tc>
          <w:tcPr>
            <w:tcW w:w="602" w:type="pct"/>
          </w:tcPr>
          <w:p w14:paraId="3C06A03F" w14:textId="6941622D" w:rsidR="00E67B85" w:rsidRPr="00747C17" w:rsidRDefault="00FF167E" w:rsidP="005F4135">
            <w:pPr>
              <w:keepNext/>
              <w:keepLines/>
              <w:spacing w:before="60" w:after="60"/>
              <w:jc w:val="left"/>
              <w:cnfStyle w:val="100000000000" w:firstRow="1" w:lastRow="0" w:firstColumn="0" w:lastColumn="0" w:oddVBand="0" w:evenVBand="0" w:oddHBand="0" w:evenHBand="0" w:firstRowFirstColumn="0" w:firstRowLastColumn="0" w:lastRowFirstColumn="0" w:lastRowLastColumn="0"/>
              <w:rPr>
                <w:rFonts w:asciiTheme="minorHAnsi" w:hAnsiTheme="minorHAnsi"/>
                <w:b w:val="0"/>
                <w:bCs/>
                <w:color w:val="FFFFFF"/>
                <w:sz w:val="20"/>
              </w:rPr>
            </w:pPr>
            <w:r w:rsidRPr="00747C17">
              <w:rPr>
                <w:rFonts w:asciiTheme="minorHAnsi" w:hAnsiTheme="minorHAnsi"/>
                <w:b w:val="0"/>
                <w:bCs/>
                <w:color w:val="FFFFFF"/>
                <w:sz w:val="20"/>
              </w:rPr>
              <w:t>Illinois TRM, v13.0†,</w:t>
            </w:r>
          </w:p>
        </w:tc>
      </w:tr>
      <w:tr w:rsidR="00FD6C2B" w:rsidRPr="00747C17" w14:paraId="0AF15527" w14:textId="77777777" w:rsidTr="00FF167E">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2574A00C" w14:textId="589C0977"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Advanced Thermostat</w:t>
            </w:r>
          </w:p>
        </w:tc>
        <w:tc>
          <w:tcPr>
            <w:tcW w:w="728" w:type="pct"/>
          </w:tcPr>
          <w:p w14:paraId="062CB7BE" w14:textId="75240287" w:rsidR="00FD6C2B" w:rsidRPr="00747C17" w:rsidRDefault="00FD6C2B" w:rsidP="00711F89">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Each</w:t>
            </w:r>
          </w:p>
        </w:tc>
        <w:tc>
          <w:tcPr>
            <w:tcW w:w="906" w:type="pct"/>
          </w:tcPr>
          <w:p w14:paraId="7C919D28" w14:textId="0181EF41"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910" w:type="pct"/>
          </w:tcPr>
          <w:p w14:paraId="7946FD04" w14:textId="70C44DFA"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694" w:type="pct"/>
          </w:tcPr>
          <w:p w14:paraId="33657B77" w14:textId="35F066F5"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100%</w:t>
            </w:r>
          </w:p>
        </w:tc>
        <w:tc>
          <w:tcPr>
            <w:tcW w:w="602" w:type="pct"/>
          </w:tcPr>
          <w:p w14:paraId="573E4531" w14:textId="1AA92B5B" w:rsidR="00FD6C2B" w:rsidRPr="00747C17" w:rsidRDefault="00FD6C2B" w:rsidP="005F4135">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5.3.16</w:t>
            </w:r>
          </w:p>
        </w:tc>
      </w:tr>
      <w:tr w:rsidR="00FD6C2B" w:rsidRPr="00747C17" w14:paraId="356B18DE" w14:textId="77777777" w:rsidTr="00FF167E">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675C5F4E" w14:textId="473D8EE6" w:rsidR="00FD6C2B" w:rsidRPr="00747C17" w:rsidRDefault="00FD6C2B" w:rsidP="00711F89">
            <w:pPr>
              <w:keepNext/>
              <w:keepLines/>
              <w:jc w:val="left"/>
              <w:rPr>
                <w:rFonts w:asciiTheme="minorHAnsi" w:hAnsiTheme="minorHAnsi"/>
                <w:color w:val="000000"/>
                <w:sz w:val="20"/>
              </w:rPr>
            </w:pPr>
            <w:r w:rsidRPr="00747C17">
              <w:rPr>
                <w:rFonts w:asciiTheme="minorHAnsi" w:hAnsiTheme="minorHAnsi"/>
                <w:sz w:val="20"/>
              </w:rPr>
              <w:t>Air Sealing</w:t>
            </w:r>
          </w:p>
        </w:tc>
        <w:tc>
          <w:tcPr>
            <w:tcW w:w="728" w:type="pct"/>
          </w:tcPr>
          <w:p w14:paraId="5DC11EA2" w14:textId="1F9FE659" w:rsidR="00FD6C2B" w:rsidRPr="00747C17" w:rsidRDefault="00FD6C2B" w:rsidP="00711F89">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Each/Linear feet</w:t>
            </w:r>
          </w:p>
        </w:tc>
        <w:tc>
          <w:tcPr>
            <w:tcW w:w="906" w:type="pct"/>
          </w:tcPr>
          <w:p w14:paraId="54C10AE3" w14:textId="5454A12C"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Varies</w:t>
            </w:r>
          </w:p>
        </w:tc>
        <w:tc>
          <w:tcPr>
            <w:tcW w:w="910" w:type="pct"/>
          </w:tcPr>
          <w:p w14:paraId="0CCB7EBC" w14:textId="4DB801B4"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Varies</w:t>
            </w:r>
          </w:p>
        </w:tc>
        <w:tc>
          <w:tcPr>
            <w:tcW w:w="694" w:type="pct"/>
          </w:tcPr>
          <w:p w14:paraId="75C9A4B8" w14:textId="272645BC"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100%</w:t>
            </w:r>
          </w:p>
        </w:tc>
        <w:tc>
          <w:tcPr>
            <w:tcW w:w="602" w:type="pct"/>
          </w:tcPr>
          <w:p w14:paraId="53C13069" w14:textId="66F0FF33" w:rsidR="00FD6C2B" w:rsidRPr="00747C17" w:rsidRDefault="00FD6C2B" w:rsidP="005F4135">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5.6.1</w:t>
            </w:r>
          </w:p>
        </w:tc>
      </w:tr>
      <w:tr w:rsidR="00FD6C2B" w:rsidRPr="00747C17" w14:paraId="74C3D6F6" w14:textId="77777777" w:rsidTr="00FF167E">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6AC0AD3D" w14:textId="41EAA5A3"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Attic Insulation</w:t>
            </w:r>
          </w:p>
        </w:tc>
        <w:tc>
          <w:tcPr>
            <w:tcW w:w="728" w:type="pct"/>
          </w:tcPr>
          <w:p w14:paraId="7CC2DFD6" w14:textId="61E136EE" w:rsidR="00FD6C2B" w:rsidRPr="00747C17" w:rsidRDefault="00FD6C2B" w:rsidP="00711F89">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Square feet</w:t>
            </w:r>
          </w:p>
        </w:tc>
        <w:tc>
          <w:tcPr>
            <w:tcW w:w="906" w:type="pct"/>
          </w:tcPr>
          <w:p w14:paraId="5B121D69" w14:textId="180524B3"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910" w:type="pct"/>
          </w:tcPr>
          <w:p w14:paraId="60FF2AF8" w14:textId="185DB182"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694" w:type="pct"/>
          </w:tcPr>
          <w:p w14:paraId="38206687" w14:textId="5D6F90D5"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100%</w:t>
            </w:r>
          </w:p>
        </w:tc>
        <w:tc>
          <w:tcPr>
            <w:tcW w:w="602" w:type="pct"/>
          </w:tcPr>
          <w:p w14:paraId="4E0A1B3D" w14:textId="467B29C2" w:rsidR="00FD6C2B" w:rsidRPr="00747C17" w:rsidRDefault="00FD6C2B" w:rsidP="005F4135">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5.6.5</w:t>
            </w:r>
          </w:p>
        </w:tc>
      </w:tr>
      <w:tr w:rsidR="00FD6C2B" w:rsidRPr="00747C17" w14:paraId="21CE1816" w14:textId="77777777" w:rsidTr="00FF167E">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181A9979" w14:textId="498D365E"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Boiler Reset Controls</w:t>
            </w:r>
          </w:p>
        </w:tc>
        <w:tc>
          <w:tcPr>
            <w:tcW w:w="728" w:type="pct"/>
          </w:tcPr>
          <w:p w14:paraId="4F7E8568" w14:textId="496B9F4C" w:rsidR="00FD6C2B" w:rsidRPr="00747C17" w:rsidRDefault="00FD6C2B" w:rsidP="00711F89">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MBH Input</w:t>
            </w:r>
          </w:p>
        </w:tc>
        <w:tc>
          <w:tcPr>
            <w:tcW w:w="906" w:type="pct"/>
          </w:tcPr>
          <w:p w14:paraId="43D0C770" w14:textId="40CAF6B5"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910" w:type="pct"/>
          </w:tcPr>
          <w:p w14:paraId="3B7FF9AA" w14:textId="45675E43"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694" w:type="pct"/>
          </w:tcPr>
          <w:p w14:paraId="3799D0C4" w14:textId="29980862"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100%</w:t>
            </w:r>
          </w:p>
        </w:tc>
        <w:tc>
          <w:tcPr>
            <w:tcW w:w="602" w:type="pct"/>
          </w:tcPr>
          <w:p w14:paraId="22EAB929" w14:textId="7DFDD655" w:rsidR="00FD6C2B" w:rsidRPr="00747C17" w:rsidRDefault="00FD6C2B" w:rsidP="005F4135">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4.4.4</w:t>
            </w:r>
          </w:p>
        </w:tc>
      </w:tr>
      <w:tr w:rsidR="00FD6C2B" w:rsidRPr="00747C17" w14:paraId="0D857F69" w14:textId="77777777" w:rsidTr="00FF167E">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7A7ED4B0" w14:textId="6570939D"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Boiler Tune Up</w:t>
            </w:r>
          </w:p>
        </w:tc>
        <w:tc>
          <w:tcPr>
            <w:tcW w:w="728" w:type="pct"/>
          </w:tcPr>
          <w:p w14:paraId="6EB255D3" w14:textId="2ADBD9A2" w:rsidR="00FD6C2B" w:rsidRPr="00747C17" w:rsidRDefault="00FD6C2B" w:rsidP="00711F89">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MBH Input</w:t>
            </w:r>
          </w:p>
        </w:tc>
        <w:tc>
          <w:tcPr>
            <w:tcW w:w="906" w:type="pct"/>
          </w:tcPr>
          <w:p w14:paraId="4A938373" w14:textId="4F38EF65"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910" w:type="pct"/>
          </w:tcPr>
          <w:p w14:paraId="1826C01A" w14:textId="5644E3D6"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694" w:type="pct"/>
          </w:tcPr>
          <w:p w14:paraId="21A45973" w14:textId="2BE56308"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100%</w:t>
            </w:r>
          </w:p>
        </w:tc>
        <w:tc>
          <w:tcPr>
            <w:tcW w:w="602" w:type="pct"/>
          </w:tcPr>
          <w:p w14:paraId="39084680" w14:textId="0E147970" w:rsidR="00FD6C2B" w:rsidRPr="00747C17" w:rsidRDefault="00FD6C2B" w:rsidP="005F4135">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4.4.2</w:t>
            </w:r>
          </w:p>
        </w:tc>
      </w:tr>
      <w:tr w:rsidR="00FD6C2B" w:rsidRPr="00747C17" w14:paraId="3A50773D" w14:textId="77777777" w:rsidTr="00FF167E">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557589A1" w14:textId="32887035"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 xml:space="preserve">Controls </w:t>
            </w:r>
            <w:proofErr w:type="gramStart"/>
            <w:r w:rsidRPr="00747C17">
              <w:rPr>
                <w:rFonts w:asciiTheme="minorHAnsi" w:hAnsiTheme="minorHAnsi"/>
                <w:sz w:val="20"/>
              </w:rPr>
              <w:t>for</w:t>
            </w:r>
            <w:proofErr w:type="gramEnd"/>
            <w:r w:rsidRPr="00747C17">
              <w:rPr>
                <w:rFonts w:asciiTheme="minorHAnsi" w:hAnsiTheme="minorHAnsi"/>
                <w:sz w:val="20"/>
              </w:rPr>
              <w:t xml:space="preserve"> Domestic Hot Water</w:t>
            </w:r>
          </w:p>
        </w:tc>
        <w:tc>
          <w:tcPr>
            <w:tcW w:w="728" w:type="pct"/>
          </w:tcPr>
          <w:p w14:paraId="192DBEF5" w14:textId="374571BA" w:rsidR="00FD6C2B" w:rsidRPr="00747C17" w:rsidRDefault="00FD6C2B" w:rsidP="00711F89">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Living Units</w:t>
            </w:r>
          </w:p>
        </w:tc>
        <w:tc>
          <w:tcPr>
            <w:tcW w:w="906" w:type="pct"/>
          </w:tcPr>
          <w:p w14:paraId="0B036BD6" w14:textId="7E28C98E"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62.7</w:t>
            </w:r>
          </w:p>
        </w:tc>
        <w:tc>
          <w:tcPr>
            <w:tcW w:w="910" w:type="pct"/>
          </w:tcPr>
          <w:p w14:paraId="1D4CB860" w14:textId="7DC93662"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62.7</w:t>
            </w:r>
          </w:p>
        </w:tc>
        <w:tc>
          <w:tcPr>
            <w:tcW w:w="694" w:type="pct"/>
          </w:tcPr>
          <w:p w14:paraId="234A073B" w14:textId="2B3839BA"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100%</w:t>
            </w:r>
          </w:p>
        </w:tc>
        <w:tc>
          <w:tcPr>
            <w:tcW w:w="602" w:type="pct"/>
          </w:tcPr>
          <w:p w14:paraId="6A04196E" w14:textId="42836939" w:rsidR="00FD6C2B" w:rsidRPr="00747C17" w:rsidRDefault="00FD6C2B" w:rsidP="005F4135">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4.3.8</w:t>
            </w:r>
          </w:p>
        </w:tc>
      </w:tr>
      <w:tr w:rsidR="00FD6C2B" w:rsidRPr="00747C17" w14:paraId="5EEDF3EF" w14:textId="77777777" w:rsidTr="00FF167E">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07BB19A3" w14:textId="7778BEC9"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 xml:space="preserve">Covers and Gap Sealers for Room AC </w:t>
            </w:r>
          </w:p>
        </w:tc>
        <w:tc>
          <w:tcPr>
            <w:tcW w:w="728" w:type="pct"/>
          </w:tcPr>
          <w:p w14:paraId="2FD34341" w14:textId="6E3C242C" w:rsidR="00FD6C2B" w:rsidRPr="00747C17" w:rsidRDefault="00FD6C2B" w:rsidP="00711F89">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Each</w:t>
            </w:r>
          </w:p>
        </w:tc>
        <w:tc>
          <w:tcPr>
            <w:tcW w:w="906" w:type="pct"/>
          </w:tcPr>
          <w:p w14:paraId="56C7E190" w14:textId="14448F44"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910" w:type="pct"/>
          </w:tcPr>
          <w:p w14:paraId="4D25400E" w14:textId="2538F11B"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694" w:type="pct"/>
          </w:tcPr>
          <w:p w14:paraId="291744C2" w14:textId="148664A4"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100%</w:t>
            </w:r>
          </w:p>
        </w:tc>
        <w:tc>
          <w:tcPr>
            <w:tcW w:w="602" w:type="pct"/>
          </w:tcPr>
          <w:p w14:paraId="7CB5A0FD" w14:textId="466877A3" w:rsidR="00FD6C2B" w:rsidRPr="00747C17" w:rsidRDefault="00FD6C2B" w:rsidP="005F4135">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4.4.38</w:t>
            </w:r>
          </w:p>
        </w:tc>
      </w:tr>
      <w:tr w:rsidR="00FD6C2B" w:rsidRPr="00747C17" w14:paraId="7D0AC3B2" w14:textId="77777777" w:rsidTr="00FF167E">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69B3F28F" w14:textId="7073C5A7"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Custom</w:t>
            </w:r>
          </w:p>
        </w:tc>
        <w:tc>
          <w:tcPr>
            <w:tcW w:w="728" w:type="pct"/>
          </w:tcPr>
          <w:p w14:paraId="376D56E1" w14:textId="247292EE" w:rsidR="00FD6C2B" w:rsidRPr="00747C17" w:rsidRDefault="00FD6C2B" w:rsidP="00711F89">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Each</w:t>
            </w:r>
          </w:p>
        </w:tc>
        <w:tc>
          <w:tcPr>
            <w:tcW w:w="906" w:type="pct"/>
          </w:tcPr>
          <w:p w14:paraId="78AAC409" w14:textId="5A7B7739"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910" w:type="pct"/>
          </w:tcPr>
          <w:p w14:paraId="4A2F865A" w14:textId="4D99997A"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694" w:type="pct"/>
          </w:tcPr>
          <w:p w14:paraId="1C4218EB" w14:textId="18A1BA02"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95%</w:t>
            </w:r>
          </w:p>
        </w:tc>
        <w:tc>
          <w:tcPr>
            <w:tcW w:w="602" w:type="pct"/>
          </w:tcPr>
          <w:p w14:paraId="2EC2AA44" w14:textId="48C04D1B" w:rsidR="00FD6C2B" w:rsidRPr="00747C17" w:rsidRDefault="00FD6C2B" w:rsidP="005F4135">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5.3.4</w:t>
            </w:r>
          </w:p>
        </w:tc>
      </w:tr>
      <w:tr w:rsidR="00FD6C2B" w:rsidRPr="00747C17" w14:paraId="66D0C549" w14:textId="77777777" w:rsidTr="00FF167E">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2102916E" w14:textId="641158E9"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Duct Sealing</w:t>
            </w:r>
          </w:p>
        </w:tc>
        <w:tc>
          <w:tcPr>
            <w:tcW w:w="728" w:type="pct"/>
          </w:tcPr>
          <w:p w14:paraId="7A91F5E9" w14:textId="088CBF1C" w:rsidR="00FD6C2B" w:rsidRPr="00747C17" w:rsidRDefault="00FD6C2B" w:rsidP="00711F89">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Linear feet</w:t>
            </w:r>
          </w:p>
        </w:tc>
        <w:tc>
          <w:tcPr>
            <w:tcW w:w="906" w:type="pct"/>
          </w:tcPr>
          <w:p w14:paraId="4C93DA63" w14:textId="1A8C4E32"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1.0067</w:t>
            </w:r>
          </w:p>
        </w:tc>
        <w:tc>
          <w:tcPr>
            <w:tcW w:w="910" w:type="pct"/>
          </w:tcPr>
          <w:p w14:paraId="5F2DF3C9" w14:textId="13A09069"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1.0067</w:t>
            </w:r>
          </w:p>
        </w:tc>
        <w:tc>
          <w:tcPr>
            <w:tcW w:w="694" w:type="pct"/>
          </w:tcPr>
          <w:p w14:paraId="00EE4E79" w14:textId="11D0C11F"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100%</w:t>
            </w:r>
          </w:p>
        </w:tc>
        <w:tc>
          <w:tcPr>
            <w:tcW w:w="602" w:type="pct"/>
          </w:tcPr>
          <w:p w14:paraId="51453360" w14:textId="145AEF82" w:rsidR="00FD6C2B" w:rsidRPr="00747C17" w:rsidRDefault="00FD6C2B" w:rsidP="005F4135">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4.4.23</w:t>
            </w:r>
          </w:p>
        </w:tc>
      </w:tr>
      <w:tr w:rsidR="00FD6C2B" w:rsidRPr="00747C17" w14:paraId="6AC779D7" w14:textId="77777777" w:rsidTr="00FF167E">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1432A05C" w14:textId="2054A987"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Exhaust Damper</w:t>
            </w:r>
          </w:p>
        </w:tc>
        <w:tc>
          <w:tcPr>
            <w:tcW w:w="728" w:type="pct"/>
          </w:tcPr>
          <w:p w14:paraId="753E9866" w14:textId="6AF875C2" w:rsidR="00FD6C2B" w:rsidRPr="00747C17" w:rsidRDefault="00FD6C2B" w:rsidP="00711F89">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MBH Input</w:t>
            </w:r>
          </w:p>
        </w:tc>
        <w:tc>
          <w:tcPr>
            <w:tcW w:w="906" w:type="pct"/>
          </w:tcPr>
          <w:p w14:paraId="7D697CFC" w14:textId="58CA8BE3"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910" w:type="pct"/>
          </w:tcPr>
          <w:p w14:paraId="52ECBA2B" w14:textId="6D655968"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694" w:type="pct"/>
          </w:tcPr>
          <w:p w14:paraId="5EAEEFBE" w14:textId="6423D1BB"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100%</w:t>
            </w:r>
          </w:p>
        </w:tc>
        <w:tc>
          <w:tcPr>
            <w:tcW w:w="602" w:type="pct"/>
          </w:tcPr>
          <w:p w14:paraId="783029FB" w14:textId="7FA31AE0" w:rsidR="00FD6C2B" w:rsidRPr="00747C17" w:rsidRDefault="00FD6C2B" w:rsidP="005F4135">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5.4.4</w:t>
            </w:r>
          </w:p>
        </w:tc>
      </w:tr>
      <w:tr w:rsidR="00FD6C2B" w:rsidRPr="00747C17" w14:paraId="01EFBA6E" w14:textId="77777777" w:rsidTr="00FF167E">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019A3075" w14:textId="4D014EEE"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 xml:space="preserve">Faucet Aerator </w:t>
            </w:r>
            <w:r w:rsidR="00D7583B" w:rsidRPr="00747C17">
              <w:rPr>
                <w:rFonts w:asciiTheme="minorHAnsi" w:hAnsiTheme="minorHAnsi"/>
                <w:sz w:val="20"/>
              </w:rPr>
              <w:t>–</w:t>
            </w:r>
            <w:r w:rsidRPr="00747C17">
              <w:rPr>
                <w:rFonts w:asciiTheme="minorHAnsi" w:hAnsiTheme="minorHAnsi"/>
                <w:sz w:val="20"/>
              </w:rPr>
              <w:t xml:space="preserve"> Bathroom (IU)</w:t>
            </w:r>
          </w:p>
        </w:tc>
        <w:tc>
          <w:tcPr>
            <w:tcW w:w="728" w:type="pct"/>
          </w:tcPr>
          <w:p w14:paraId="1341BC04" w14:textId="5D40F1F8" w:rsidR="00FD6C2B" w:rsidRPr="00747C17" w:rsidRDefault="00FD6C2B" w:rsidP="00711F89">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Each</w:t>
            </w:r>
          </w:p>
        </w:tc>
        <w:tc>
          <w:tcPr>
            <w:tcW w:w="906" w:type="pct"/>
          </w:tcPr>
          <w:p w14:paraId="5BD6B22E" w14:textId="1F8FA77D"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910" w:type="pct"/>
          </w:tcPr>
          <w:p w14:paraId="567E740D" w14:textId="65192B91"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694" w:type="pct"/>
          </w:tcPr>
          <w:p w14:paraId="4C36F714" w14:textId="11A94C9E"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39%</w:t>
            </w:r>
          </w:p>
        </w:tc>
        <w:tc>
          <w:tcPr>
            <w:tcW w:w="602" w:type="pct"/>
          </w:tcPr>
          <w:p w14:paraId="73B1AABB" w14:textId="2F4AFC9C" w:rsidR="00FD6C2B" w:rsidRPr="00747C17" w:rsidRDefault="00FD6C2B" w:rsidP="005F4135">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4.3.2</w:t>
            </w:r>
          </w:p>
        </w:tc>
      </w:tr>
      <w:tr w:rsidR="00FD6C2B" w:rsidRPr="00747C17" w14:paraId="66D27885" w14:textId="77777777" w:rsidTr="00FF167E">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64CFB00D" w14:textId="1DCB7759"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 xml:space="preserve">Faucet Aerator </w:t>
            </w:r>
            <w:r w:rsidR="00D7583B" w:rsidRPr="00747C17">
              <w:rPr>
                <w:rFonts w:asciiTheme="minorHAnsi" w:hAnsiTheme="minorHAnsi"/>
                <w:sz w:val="20"/>
              </w:rPr>
              <w:t>–</w:t>
            </w:r>
            <w:r w:rsidRPr="00747C17">
              <w:rPr>
                <w:rFonts w:asciiTheme="minorHAnsi" w:hAnsiTheme="minorHAnsi"/>
                <w:sz w:val="20"/>
              </w:rPr>
              <w:t xml:space="preserve"> Kitchen (CA)</w:t>
            </w:r>
          </w:p>
        </w:tc>
        <w:tc>
          <w:tcPr>
            <w:tcW w:w="728" w:type="pct"/>
          </w:tcPr>
          <w:p w14:paraId="0EA1D55E" w14:textId="5563511B" w:rsidR="00FD6C2B" w:rsidRPr="00747C17" w:rsidRDefault="00FD6C2B" w:rsidP="00711F89">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Each</w:t>
            </w:r>
          </w:p>
        </w:tc>
        <w:tc>
          <w:tcPr>
            <w:tcW w:w="906" w:type="pct"/>
          </w:tcPr>
          <w:p w14:paraId="71833E2E" w14:textId="5E2B4E27"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8.150</w:t>
            </w:r>
          </w:p>
        </w:tc>
        <w:tc>
          <w:tcPr>
            <w:tcW w:w="910" w:type="pct"/>
          </w:tcPr>
          <w:p w14:paraId="52F54C0B" w14:textId="3E6203BD"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8.150</w:t>
            </w:r>
          </w:p>
        </w:tc>
        <w:tc>
          <w:tcPr>
            <w:tcW w:w="694" w:type="pct"/>
          </w:tcPr>
          <w:p w14:paraId="27731A0A" w14:textId="51362DC5"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100%</w:t>
            </w:r>
          </w:p>
        </w:tc>
        <w:tc>
          <w:tcPr>
            <w:tcW w:w="602" w:type="pct"/>
          </w:tcPr>
          <w:p w14:paraId="05BAB586" w14:textId="6A3F9E90" w:rsidR="00FD6C2B" w:rsidRPr="00747C17" w:rsidRDefault="00FD6C2B" w:rsidP="005F4135">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5.4.4</w:t>
            </w:r>
          </w:p>
        </w:tc>
      </w:tr>
      <w:tr w:rsidR="00FD6C2B" w:rsidRPr="00747C17" w14:paraId="2C897CA1" w14:textId="77777777" w:rsidTr="00FF167E">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336671EA" w14:textId="4D9D3F7F"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lastRenderedPageBreak/>
              <w:t xml:space="preserve">Faucet Aerator </w:t>
            </w:r>
            <w:r w:rsidR="00D7583B" w:rsidRPr="00747C17">
              <w:rPr>
                <w:rFonts w:asciiTheme="minorHAnsi" w:hAnsiTheme="minorHAnsi"/>
                <w:sz w:val="20"/>
              </w:rPr>
              <w:t>–</w:t>
            </w:r>
            <w:r w:rsidRPr="00747C17">
              <w:rPr>
                <w:rFonts w:asciiTheme="minorHAnsi" w:hAnsiTheme="minorHAnsi"/>
                <w:sz w:val="20"/>
              </w:rPr>
              <w:t xml:space="preserve"> Kitchen (IU)</w:t>
            </w:r>
          </w:p>
        </w:tc>
        <w:tc>
          <w:tcPr>
            <w:tcW w:w="728" w:type="pct"/>
          </w:tcPr>
          <w:p w14:paraId="7C2CF18D" w14:textId="3705B24C" w:rsidR="00FD6C2B" w:rsidRPr="00747C17" w:rsidRDefault="00FD6C2B" w:rsidP="00711F89">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Each</w:t>
            </w:r>
          </w:p>
        </w:tc>
        <w:tc>
          <w:tcPr>
            <w:tcW w:w="906" w:type="pct"/>
          </w:tcPr>
          <w:p w14:paraId="633B9C5E" w14:textId="7095F130"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9.9</w:t>
            </w:r>
          </w:p>
        </w:tc>
        <w:tc>
          <w:tcPr>
            <w:tcW w:w="910" w:type="pct"/>
          </w:tcPr>
          <w:p w14:paraId="00EA9C97" w14:textId="4352A7A3"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9.9</w:t>
            </w:r>
          </w:p>
        </w:tc>
        <w:tc>
          <w:tcPr>
            <w:tcW w:w="694" w:type="pct"/>
          </w:tcPr>
          <w:p w14:paraId="4386098C" w14:textId="54F5F2F4"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100%</w:t>
            </w:r>
          </w:p>
        </w:tc>
        <w:tc>
          <w:tcPr>
            <w:tcW w:w="602" w:type="pct"/>
          </w:tcPr>
          <w:p w14:paraId="08291EA6" w14:textId="25B2E95C" w:rsidR="00FD6C2B" w:rsidRPr="00747C17" w:rsidRDefault="00FD6C2B" w:rsidP="005F4135">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5.3.21</w:t>
            </w:r>
          </w:p>
        </w:tc>
      </w:tr>
      <w:tr w:rsidR="00FD6C2B" w:rsidRPr="00747C17" w14:paraId="04B82E4D" w14:textId="77777777" w:rsidTr="00FF167E">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317EFA6A" w14:textId="2862E68E"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Furnace Filter</w:t>
            </w:r>
          </w:p>
        </w:tc>
        <w:tc>
          <w:tcPr>
            <w:tcW w:w="728" w:type="pct"/>
          </w:tcPr>
          <w:p w14:paraId="6F598ABF" w14:textId="7533A861" w:rsidR="00FD6C2B" w:rsidRPr="00747C17" w:rsidRDefault="00FD6C2B" w:rsidP="00711F89">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Each</w:t>
            </w:r>
          </w:p>
        </w:tc>
        <w:tc>
          <w:tcPr>
            <w:tcW w:w="906" w:type="pct"/>
          </w:tcPr>
          <w:p w14:paraId="592CC436" w14:textId="59CF866D"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10.05</w:t>
            </w:r>
          </w:p>
        </w:tc>
        <w:tc>
          <w:tcPr>
            <w:tcW w:w="910" w:type="pct"/>
          </w:tcPr>
          <w:p w14:paraId="25702B27" w14:textId="0964E0BD"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10.05</w:t>
            </w:r>
          </w:p>
        </w:tc>
        <w:tc>
          <w:tcPr>
            <w:tcW w:w="694" w:type="pct"/>
          </w:tcPr>
          <w:p w14:paraId="5B344158" w14:textId="7E0E5DAA"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100%</w:t>
            </w:r>
          </w:p>
        </w:tc>
        <w:tc>
          <w:tcPr>
            <w:tcW w:w="602" w:type="pct"/>
          </w:tcPr>
          <w:p w14:paraId="7EBBC66D" w14:textId="5BAF293D" w:rsidR="00FD6C2B" w:rsidRPr="00747C17" w:rsidRDefault="00FD6C2B" w:rsidP="005F4135">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4.4.10</w:t>
            </w:r>
          </w:p>
        </w:tc>
      </w:tr>
      <w:tr w:rsidR="00FD6C2B" w:rsidRPr="00747C17" w14:paraId="2EE7234B" w14:textId="77777777" w:rsidTr="00FF167E">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28D4E643" w14:textId="2692D7C9"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High Efficiency Boiler</w:t>
            </w:r>
          </w:p>
        </w:tc>
        <w:tc>
          <w:tcPr>
            <w:tcW w:w="728" w:type="pct"/>
          </w:tcPr>
          <w:p w14:paraId="0A926B37" w14:textId="6A6D0B3D" w:rsidR="00FD6C2B" w:rsidRPr="00747C17" w:rsidRDefault="00FD6C2B" w:rsidP="00711F89">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MBH Input</w:t>
            </w:r>
          </w:p>
        </w:tc>
        <w:tc>
          <w:tcPr>
            <w:tcW w:w="906" w:type="pct"/>
          </w:tcPr>
          <w:p w14:paraId="2E27CC69" w14:textId="74551F77"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910" w:type="pct"/>
          </w:tcPr>
          <w:p w14:paraId="47D9B129" w14:textId="00A4FF30"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694" w:type="pct"/>
          </w:tcPr>
          <w:p w14:paraId="056E43A5" w14:textId="54DE77BA"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100%</w:t>
            </w:r>
          </w:p>
        </w:tc>
        <w:tc>
          <w:tcPr>
            <w:tcW w:w="602" w:type="pct"/>
          </w:tcPr>
          <w:p w14:paraId="7225CAEF" w14:textId="69CDF98D" w:rsidR="00FD6C2B" w:rsidRPr="00747C17" w:rsidRDefault="00FD6C2B" w:rsidP="005F4135">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5.3.7</w:t>
            </w:r>
          </w:p>
        </w:tc>
      </w:tr>
      <w:tr w:rsidR="00FD6C2B" w:rsidRPr="00747C17" w14:paraId="21B90B1A" w14:textId="77777777" w:rsidTr="00FF167E">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722D7DE6" w14:textId="3111B8AF"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High Efficiency Furnace</w:t>
            </w:r>
          </w:p>
        </w:tc>
        <w:tc>
          <w:tcPr>
            <w:tcW w:w="728" w:type="pct"/>
          </w:tcPr>
          <w:p w14:paraId="5643CE79" w14:textId="0FE6D3BD" w:rsidR="00FD6C2B" w:rsidRPr="00747C17" w:rsidRDefault="00FD6C2B" w:rsidP="00711F89">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MBH Input</w:t>
            </w:r>
          </w:p>
        </w:tc>
        <w:tc>
          <w:tcPr>
            <w:tcW w:w="906" w:type="pct"/>
          </w:tcPr>
          <w:p w14:paraId="0254E3C8" w14:textId="2555BC0C"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2.154</w:t>
            </w:r>
          </w:p>
        </w:tc>
        <w:tc>
          <w:tcPr>
            <w:tcW w:w="910" w:type="pct"/>
          </w:tcPr>
          <w:p w14:paraId="0DB331BF" w14:textId="651BEFA6"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2.298</w:t>
            </w:r>
          </w:p>
        </w:tc>
        <w:tc>
          <w:tcPr>
            <w:tcW w:w="694" w:type="pct"/>
          </w:tcPr>
          <w:p w14:paraId="2E8827CF" w14:textId="7BC5A498"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107%</w:t>
            </w:r>
          </w:p>
        </w:tc>
        <w:tc>
          <w:tcPr>
            <w:tcW w:w="602" w:type="pct"/>
          </w:tcPr>
          <w:p w14:paraId="386BFC41" w14:textId="1DEB81BF" w:rsidR="00FD6C2B" w:rsidRPr="00747C17" w:rsidRDefault="00FD6C2B" w:rsidP="005F4135">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4.3.3</w:t>
            </w:r>
          </w:p>
        </w:tc>
      </w:tr>
      <w:tr w:rsidR="00FD6C2B" w:rsidRPr="00747C17" w14:paraId="432A59EA" w14:textId="77777777" w:rsidTr="00FF167E">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52EBB4D8" w14:textId="38D727C7"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Low Flow Showerheads (CA)</w:t>
            </w:r>
          </w:p>
        </w:tc>
        <w:tc>
          <w:tcPr>
            <w:tcW w:w="728" w:type="pct"/>
          </w:tcPr>
          <w:p w14:paraId="3785987D" w14:textId="311DD4A9" w:rsidR="00FD6C2B" w:rsidRPr="00747C17" w:rsidRDefault="00FD6C2B" w:rsidP="00711F89">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Each</w:t>
            </w:r>
          </w:p>
        </w:tc>
        <w:tc>
          <w:tcPr>
            <w:tcW w:w="906" w:type="pct"/>
          </w:tcPr>
          <w:p w14:paraId="1B37BAF8" w14:textId="6074294A"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21.63</w:t>
            </w:r>
          </w:p>
        </w:tc>
        <w:tc>
          <w:tcPr>
            <w:tcW w:w="910" w:type="pct"/>
          </w:tcPr>
          <w:p w14:paraId="440C817A" w14:textId="6360EA2D"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21.63</w:t>
            </w:r>
          </w:p>
        </w:tc>
        <w:tc>
          <w:tcPr>
            <w:tcW w:w="694" w:type="pct"/>
          </w:tcPr>
          <w:p w14:paraId="2ED006CE" w14:textId="1804A893"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100%</w:t>
            </w:r>
          </w:p>
        </w:tc>
        <w:tc>
          <w:tcPr>
            <w:tcW w:w="602" w:type="pct"/>
          </w:tcPr>
          <w:p w14:paraId="7DA1CC5F" w14:textId="6EDD48F6" w:rsidR="00FD6C2B" w:rsidRPr="00747C17" w:rsidRDefault="00FD6C2B" w:rsidP="005F4135">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5.4.5</w:t>
            </w:r>
          </w:p>
        </w:tc>
      </w:tr>
      <w:tr w:rsidR="00FD6C2B" w:rsidRPr="00747C17" w14:paraId="47A5CC9F" w14:textId="77777777" w:rsidTr="00FF167E">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4AC83428" w14:textId="45E67792"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Low Flow Showerheads (IU)</w:t>
            </w:r>
          </w:p>
        </w:tc>
        <w:tc>
          <w:tcPr>
            <w:tcW w:w="728" w:type="pct"/>
          </w:tcPr>
          <w:p w14:paraId="7D85CDAD" w14:textId="3585E578" w:rsidR="00FD6C2B" w:rsidRPr="00747C17" w:rsidRDefault="00FD6C2B" w:rsidP="00711F89">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Each</w:t>
            </w:r>
          </w:p>
        </w:tc>
        <w:tc>
          <w:tcPr>
            <w:tcW w:w="906" w:type="pct"/>
          </w:tcPr>
          <w:p w14:paraId="11305C50" w14:textId="6CC106BB"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13.605</w:t>
            </w:r>
          </w:p>
        </w:tc>
        <w:tc>
          <w:tcPr>
            <w:tcW w:w="910" w:type="pct"/>
          </w:tcPr>
          <w:p w14:paraId="07522349" w14:textId="442C217B"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694" w:type="pct"/>
          </w:tcPr>
          <w:p w14:paraId="7520602A" w14:textId="6C0D34BC"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100%</w:t>
            </w:r>
          </w:p>
        </w:tc>
        <w:tc>
          <w:tcPr>
            <w:tcW w:w="602" w:type="pct"/>
          </w:tcPr>
          <w:p w14:paraId="76161162" w14:textId="3A44F7A2" w:rsidR="00FD6C2B" w:rsidRPr="00747C17" w:rsidRDefault="00FD6C2B" w:rsidP="005F4135">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4.4.14</w:t>
            </w:r>
          </w:p>
        </w:tc>
      </w:tr>
      <w:tr w:rsidR="00FD6C2B" w:rsidRPr="00747C17" w14:paraId="7489B511" w14:textId="77777777" w:rsidTr="00FF167E">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3EA7B884" w14:textId="77F169B9"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Pipe Insulation</w:t>
            </w:r>
          </w:p>
        </w:tc>
        <w:tc>
          <w:tcPr>
            <w:tcW w:w="728" w:type="pct"/>
          </w:tcPr>
          <w:p w14:paraId="435E881B" w14:textId="0371D98B" w:rsidR="00FD6C2B" w:rsidRPr="00747C17" w:rsidRDefault="00FD6C2B" w:rsidP="00711F89">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Each/Linear feet</w:t>
            </w:r>
          </w:p>
        </w:tc>
        <w:tc>
          <w:tcPr>
            <w:tcW w:w="906" w:type="pct"/>
          </w:tcPr>
          <w:p w14:paraId="1C9839B8" w14:textId="41B35C5F"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910" w:type="pct"/>
          </w:tcPr>
          <w:p w14:paraId="16EB0D61" w14:textId="18EB8F2B"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694" w:type="pct"/>
          </w:tcPr>
          <w:p w14:paraId="526D0B4B" w14:textId="1FE01241"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100%</w:t>
            </w:r>
          </w:p>
        </w:tc>
        <w:tc>
          <w:tcPr>
            <w:tcW w:w="602" w:type="pct"/>
          </w:tcPr>
          <w:p w14:paraId="3C5719E8" w14:textId="02DCDBD8" w:rsidR="00FD6C2B" w:rsidRPr="00747C17" w:rsidRDefault="00FD6C2B" w:rsidP="005F4135">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5.3.11</w:t>
            </w:r>
          </w:p>
        </w:tc>
      </w:tr>
      <w:tr w:rsidR="00FD6C2B" w:rsidRPr="00747C17" w14:paraId="5F69B3DC" w14:textId="77777777" w:rsidTr="00FF167E">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0CE0318C" w14:textId="2CC4AA08"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Programmable Thermostats</w:t>
            </w:r>
          </w:p>
        </w:tc>
        <w:tc>
          <w:tcPr>
            <w:tcW w:w="728" w:type="pct"/>
          </w:tcPr>
          <w:p w14:paraId="0FD98B39" w14:textId="0FBBCC5A" w:rsidR="00FD6C2B" w:rsidRPr="00747C17" w:rsidRDefault="00FD6C2B" w:rsidP="00711F89">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Each</w:t>
            </w:r>
          </w:p>
        </w:tc>
        <w:tc>
          <w:tcPr>
            <w:tcW w:w="906" w:type="pct"/>
          </w:tcPr>
          <w:p w14:paraId="27BEC880" w14:textId="329B4B33"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40.502</w:t>
            </w:r>
          </w:p>
        </w:tc>
        <w:tc>
          <w:tcPr>
            <w:tcW w:w="910" w:type="pct"/>
          </w:tcPr>
          <w:p w14:paraId="5D1E9237" w14:textId="0AA0A757"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40.502</w:t>
            </w:r>
          </w:p>
        </w:tc>
        <w:tc>
          <w:tcPr>
            <w:tcW w:w="694" w:type="pct"/>
          </w:tcPr>
          <w:p w14:paraId="78DC3F43" w14:textId="504076D7"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100%</w:t>
            </w:r>
          </w:p>
        </w:tc>
        <w:tc>
          <w:tcPr>
            <w:tcW w:w="602" w:type="pct"/>
          </w:tcPr>
          <w:p w14:paraId="3473F423" w14:textId="6DEAA6B6" w:rsidR="00FD6C2B" w:rsidRPr="00747C17" w:rsidRDefault="00FD6C2B" w:rsidP="005F4135">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5.4.4</w:t>
            </w:r>
          </w:p>
        </w:tc>
      </w:tr>
      <w:tr w:rsidR="00FD6C2B" w:rsidRPr="00747C17" w14:paraId="5752F358" w14:textId="77777777" w:rsidTr="00FF167E">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7525F442" w14:textId="521842D2"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Reprogrammable Thermostat</w:t>
            </w:r>
          </w:p>
        </w:tc>
        <w:tc>
          <w:tcPr>
            <w:tcW w:w="728" w:type="pct"/>
          </w:tcPr>
          <w:p w14:paraId="4C18730C" w14:textId="07C863F6" w:rsidR="00FD6C2B" w:rsidRPr="00747C17" w:rsidRDefault="00FD6C2B" w:rsidP="00711F89">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Each</w:t>
            </w:r>
          </w:p>
        </w:tc>
        <w:tc>
          <w:tcPr>
            <w:tcW w:w="906" w:type="pct"/>
          </w:tcPr>
          <w:p w14:paraId="610282ED" w14:textId="2DAF7689"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910" w:type="pct"/>
          </w:tcPr>
          <w:p w14:paraId="3865A9B2" w14:textId="3F633904"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694" w:type="pct"/>
          </w:tcPr>
          <w:p w14:paraId="2F2BE536" w14:textId="5C8F20B9"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100%</w:t>
            </w:r>
          </w:p>
        </w:tc>
        <w:tc>
          <w:tcPr>
            <w:tcW w:w="602" w:type="pct"/>
          </w:tcPr>
          <w:p w14:paraId="42051066" w14:textId="5E0A8BA1" w:rsidR="00FD6C2B" w:rsidRPr="00747C17" w:rsidRDefault="00FD6C2B" w:rsidP="005F4135">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5.4.9</w:t>
            </w:r>
          </w:p>
        </w:tc>
      </w:tr>
      <w:tr w:rsidR="00FD6C2B" w:rsidRPr="00747C17" w14:paraId="05297324" w14:textId="77777777" w:rsidTr="00FF167E">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244E4C17" w14:textId="3827C7CE"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Shower Timer</w:t>
            </w:r>
          </w:p>
        </w:tc>
        <w:tc>
          <w:tcPr>
            <w:tcW w:w="728" w:type="pct"/>
          </w:tcPr>
          <w:p w14:paraId="6AC9CF04" w14:textId="6928F895" w:rsidR="00FD6C2B" w:rsidRPr="00747C17" w:rsidRDefault="00FD6C2B" w:rsidP="00711F89">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Each</w:t>
            </w:r>
          </w:p>
        </w:tc>
        <w:tc>
          <w:tcPr>
            <w:tcW w:w="906" w:type="pct"/>
          </w:tcPr>
          <w:p w14:paraId="5B17C34A" w14:textId="63D568A8"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910" w:type="pct"/>
          </w:tcPr>
          <w:p w14:paraId="39ABCB05" w14:textId="0D1CF0E4"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694" w:type="pct"/>
          </w:tcPr>
          <w:p w14:paraId="0E985031" w14:textId="2A5217F9"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100%</w:t>
            </w:r>
          </w:p>
        </w:tc>
        <w:tc>
          <w:tcPr>
            <w:tcW w:w="602" w:type="pct"/>
          </w:tcPr>
          <w:p w14:paraId="04492552" w14:textId="559B8577" w:rsidR="00FD6C2B" w:rsidRPr="00747C17" w:rsidRDefault="00FD6C2B" w:rsidP="005F4135">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5.4.9</w:t>
            </w:r>
          </w:p>
        </w:tc>
      </w:tr>
      <w:tr w:rsidR="00FD6C2B" w:rsidRPr="00747C17" w14:paraId="244E3305" w14:textId="77777777" w:rsidTr="00FF167E">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51A33FF0" w14:textId="79A55F65"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Steam Boiler Average Controls</w:t>
            </w:r>
          </w:p>
        </w:tc>
        <w:tc>
          <w:tcPr>
            <w:tcW w:w="728" w:type="pct"/>
          </w:tcPr>
          <w:p w14:paraId="7ED8C6FB" w14:textId="5849AA17" w:rsidR="00FD6C2B" w:rsidRPr="00747C17" w:rsidRDefault="00FD6C2B" w:rsidP="00711F89">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Living Units</w:t>
            </w:r>
          </w:p>
        </w:tc>
        <w:tc>
          <w:tcPr>
            <w:tcW w:w="906" w:type="pct"/>
          </w:tcPr>
          <w:p w14:paraId="5D56817E" w14:textId="1D0F0CB3"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61.08</w:t>
            </w:r>
          </w:p>
        </w:tc>
        <w:tc>
          <w:tcPr>
            <w:tcW w:w="910" w:type="pct"/>
          </w:tcPr>
          <w:p w14:paraId="5AB2B7C8" w14:textId="6566E86C"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61.08</w:t>
            </w:r>
          </w:p>
        </w:tc>
        <w:tc>
          <w:tcPr>
            <w:tcW w:w="694" w:type="pct"/>
          </w:tcPr>
          <w:p w14:paraId="15415AE9" w14:textId="37EF5652"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100%</w:t>
            </w:r>
          </w:p>
        </w:tc>
        <w:tc>
          <w:tcPr>
            <w:tcW w:w="602" w:type="pct"/>
          </w:tcPr>
          <w:p w14:paraId="07495BAA" w14:textId="4A5C083D" w:rsidR="00FD6C2B" w:rsidRPr="00747C17" w:rsidRDefault="00FD6C2B" w:rsidP="005F4135">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4.4.36</w:t>
            </w:r>
          </w:p>
        </w:tc>
      </w:tr>
      <w:tr w:rsidR="00FD6C2B" w:rsidRPr="00747C17" w14:paraId="22698CCA" w14:textId="77777777" w:rsidTr="00FF167E">
        <w:trPr>
          <w:cnfStyle w:val="000000010000" w:firstRow="0" w:lastRow="0" w:firstColumn="0" w:lastColumn="0" w:oddVBand="0" w:evenVBand="0" w:oddHBand="0" w:evenHBand="1"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67080B60" w14:textId="73043023"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Steam Traps</w:t>
            </w:r>
          </w:p>
        </w:tc>
        <w:tc>
          <w:tcPr>
            <w:tcW w:w="728" w:type="pct"/>
          </w:tcPr>
          <w:p w14:paraId="3AA9436F" w14:textId="02B7973E" w:rsidR="00FD6C2B" w:rsidRPr="00747C17" w:rsidRDefault="00FD6C2B" w:rsidP="00711F89">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Each</w:t>
            </w:r>
          </w:p>
        </w:tc>
        <w:tc>
          <w:tcPr>
            <w:tcW w:w="906" w:type="pct"/>
          </w:tcPr>
          <w:p w14:paraId="0A8CBFD6" w14:textId="5831E7FC"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910" w:type="pct"/>
          </w:tcPr>
          <w:p w14:paraId="54A8254B" w14:textId="0D9D8CD0"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694" w:type="pct"/>
          </w:tcPr>
          <w:p w14:paraId="51ABA30F" w14:textId="702FBF02" w:rsidR="00FD6C2B" w:rsidRPr="00747C17" w:rsidRDefault="00FD6C2B" w:rsidP="00711F89">
            <w:pPr>
              <w:keepNext/>
              <w:keepLines/>
              <w:jc w:val="righ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105%</w:t>
            </w:r>
          </w:p>
        </w:tc>
        <w:tc>
          <w:tcPr>
            <w:tcW w:w="602" w:type="pct"/>
          </w:tcPr>
          <w:p w14:paraId="409B571B" w14:textId="47B4D61D" w:rsidR="00FD6C2B" w:rsidRPr="00747C17" w:rsidRDefault="00FD6C2B" w:rsidP="005F4135">
            <w:pPr>
              <w:keepNext/>
              <w:keepLines/>
              <w:jc w:val="left"/>
              <w:cnfStyle w:val="000000010000" w:firstRow="0" w:lastRow="0" w:firstColumn="0" w:lastColumn="0" w:oddVBand="0" w:evenVBand="0" w:oddHBand="0" w:evenHBand="1" w:firstRowFirstColumn="0" w:firstRowLastColumn="0" w:lastRowFirstColumn="0" w:lastRowLastColumn="0"/>
              <w:rPr>
                <w:rFonts w:asciiTheme="minorHAnsi" w:hAnsiTheme="minorHAnsi"/>
                <w:color w:val="000000"/>
                <w:sz w:val="20"/>
              </w:rPr>
            </w:pPr>
            <w:r w:rsidRPr="00747C17">
              <w:rPr>
                <w:rFonts w:asciiTheme="minorHAnsi" w:hAnsiTheme="minorHAnsi"/>
                <w:sz w:val="20"/>
              </w:rPr>
              <w:t>4.4.36</w:t>
            </w:r>
          </w:p>
        </w:tc>
      </w:tr>
      <w:tr w:rsidR="00FD6C2B" w:rsidRPr="00747C17" w14:paraId="24366291" w14:textId="77777777" w:rsidTr="00FF167E">
        <w:trPr>
          <w:cnfStyle w:val="000000100000" w:firstRow="0" w:lastRow="0" w:firstColumn="0" w:lastColumn="0" w:oddVBand="0" w:evenVBand="0" w:oddHBand="1" w:evenHBand="0" w:firstRowFirstColumn="0" w:firstRowLastColumn="0" w:lastRowFirstColumn="0" w:lastRowLastColumn="0"/>
          <w:trHeight w:val="288"/>
          <w:jc w:val="left"/>
        </w:trPr>
        <w:tc>
          <w:tcPr>
            <w:cnfStyle w:val="001000000000" w:firstRow="0" w:lastRow="0" w:firstColumn="1" w:lastColumn="0" w:oddVBand="0" w:evenVBand="0" w:oddHBand="0" w:evenHBand="0" w:firstRowFirstColumn="0" w:firstRowLastColumn="0" w:lastRowFirstColumn="0" w:lastRowLastColumn="0"/>
            <w:tcW w:w="1160" w:type="pct"/>
          </w:tcPr>
          <w:p w14:paraId="464ADD07" w14:textId="3B6EB602" w:rsidR="00FD6C2B" w:rsidRPr="00747C17" w:rsidRDefault="00FD6C2B" w:rsidP="00711F89">
            <w:pPr>
              <w:keepNext/>
              <w:keepLines/>
              <w:jc w:val="left"/>
              <w:rPr>
                <w:rFonts w:asciiTheme="minorHAnsi" w:hAnsiTheme="minorHAnsi"/>
                <w:sz w:val="20"/>
              </w:rPr>
            </w:pPr>
            <w:r w:rsidRPr="00747C17">
              <w:rPr>
                <w:rFonts w:asciiTheme="minorHAnsi" w:hAnsiTheme="minorHAnsi"/>
                <w:sz w:val="20"/>
              </w:rPr>
              <w:t>Wall Insulation</w:t>
            </w:r>
          </w:p>
        </w:tc>
        <w:tc>
          <w:tcPr>
            <w:tcW w:w="728" w:type="pct"/>
          </w:tcPr>
          <w:p w14:paraId="410E1F7F" w14:textId="21492D7D" w:rsidR="00FD6C2B" w:rsidRPr="00747C17" w:rsidRDefault="00FD6C2B" w:rsidP="00711F89">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Square feet</w:t>
            </w:r>
          </w:p>
        </w:tc>
        <w:tc>
          <w:tcPr>
            <w:tcW w:w="906" w:type="pct"/>
          </w:tcPr>
          <w:p w14:paraId="55DB2FB1" w14:textId="0F62E82F"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910" w:type="pct"/>
          </w:tcPr>
          <w:p w14:paraId="54C169FF" w14:textId="60720965"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sidRPr="00747C17">
              <w:rPr>
                <w:rFonts w:asciiTheme="minorHAnsi" w:hAnsiTheme="minorHAnsi"/>
                <w:sz w:val="20"/>
              </w:rPr>
              <w:t>Varies</w:t>
            </w:r>
          </w:p>
        </w:tc>
        <w:tc>
          <w:tcPr>
            <w:tcW w:w="694" w:type="pct"/>
          </w:tcPr>
          <w:p w14:paraId="1B0C4D88" w14:textId="11DF5BFC" w:rsidR="00FD6C2B" w:rsidRPr="00747C17" w:rsidRDefault="00FD6C2B" w:rsidP="00711F89">
            <w:pPr>
              <w:keepNext/>
              <w:keepLines/>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118%</w:t>
            </w:r>
          </w:p>
        </w:tc>
        <w:tc>
          <w:tcPr>
            <w:tcW w:w="602" w:type="pct"/>
          </w:tcPr>
          <w:p w14:paraId="4207117B" w14:textId="7F86FB16" w:rsidR="00FD6C2B" w:rsidRPr="00747C17" w:rsidRDefault="00FD6C2B" w:rsidP="005F4135">
            <w:pPr>
              <w:keepNext/>
              <w:keepLines/>
              <w:jc w:val="lef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rPr>
            </w:pPr>
            <w:r w:rsidRPr="00747C17">
              <w:rPr>
                <w:rFonts w:asciiTheme="minorHAnsi" w:hAnsiTheme="minorHAnsi"/>
                <w:sz w:val="20"/>
              </w:rPr>
              <w:t>4.4.16</w:t>
            </w:r>
          </w:p>
        </w:tc>
      </w:tr>
    </w:tbl>
    <w:p w14:paraId="2F46DC34" w14:textId="476417D4" w:rsidR="001B064A" w:rsidRDefault="00E67B85" w:rsidP="00737861">
      <w:pPr>
        <w:pStyle w:val="TableFigureSourceorNote"/>
      </w:pPr>
      <w:r w:rsidRPr="00300579">
        <w:rPr>
          <w:rStyle w:val="FootnoteTextChar"/>
        </w:rPr>
        <w:t>† State of Illinois Technical Reference Manual version 1</w:t>
      </w:r>
      <w:r w:rsidR="009724FB" w:rsidRPr="00300579">
        <w:rPr>
          <w:rStyle w:val="FootnoteTextChar"/>
        </w:rPr>
        <w:t>3</w:t>
      </w:r>
      <w:r w:rsidRPr="00300579">
        <w:rPr>
          <w:rStyle w:val="FootnoteTextChar"/>
        </w:rPr>
        <w:t xml:space="preserve">.0 from </w:t>
      </w:r>
      <w:hyperlink r:id="rId27" w:history="1">
        <w:r w:rsidRPr="00300579">
          <w:rPr>
            <w:rStyle w:val="FootnoteTextChar"/>
          </w:rPr>
          <w:t>http://www.ilsag.info/technical-reference-manual.html</w:t>
        </w:r>
      </w:hyperlink>
      <w:r w:rsidRPr="00300579">
        <w:rPr>
          <w:rStyle w:val="FootnoteTextChar"/>
        </w:rPr>
        <w:t>.</w:t>
      </w:r>
      <w:r w:rsidR="00737861" w:rsidRPr="00300579">
        <w:rPr>
          <w:rStyle w:val="FootnoteTextChar"/>
        </w:rPr>
        <w:br/>
      </w:r>
      <w:r w:rsidR="00737861">
        <w:t>Source: Program tracking data and evaluation team analysis</w:t>
      </w:r>
      <w:r w:rsidR="00762D8D">
        <w:t>.</w:t>
      </w:r>
    </w:p>
    <w:p w14:paraId="510486EF" w14:textId="216AC557" w:rsidR="00E67B85" w:rsidRDefault="00E67B85" w:rsidP="00575E2C">
      <w:pPr>
        <w:pStyle w:val="Heading3"/>
      </w:pPr>
      <w:bookmarkStart w:id="57" w:name="_Toc224332881"/>
      <w:r>
        <w:t>Findings and Recommendations</w:t>
      </w:r>
      <w:bookmarkEnd w:id="57"/>
    </w:p>
    <w:p w14:paraId="3E9F97AA" w14:textId="61EEEC03" w:rsidR="00C856BC" w:rsidRPr="00C856BC" w:rsidRDefault="0045057D" w:rsidP="0045057D">
      <w:r>
        <w:t>The evaluation team developed findings and recommendations based on the 2025 evaluation, organized by path type in the following sections.</w:t>
      </w:r>
    </w:p>
    <w:p w14:paraId="40837F47" w14:textId="38245F5B" w:rsidR="00575E2C" w:rsidRPr="00575E2C" w:rsidRDefault="00575E2C" w:rsidP="00575E2C">
      <w:pPr>
        <w:pStyle w:val="Heading4"/>
      </w:pPr>
      <w:r>
        <w:t>Income Eligible</w:t>
      </w:r>
    </w:p>
    <w:p w14:paraId="26E86663" w14:textId="5DFBF07E" w:rsidR="002B6C12" w:rsidRPr="00A60D07" w:rsidRDefault="002B6C12" w:rsidP="00A83A8A">
      <w:pPr>
        <w:spacing w:before="240" w:line="264" w:lineRule="auto"/>
        <w:rPr>
          <w:bCs/>
        </w:rPr>
      </w:pPr>
      <w:r w:rsidRPr="00915A79">
        <w:rPr>
          <w:b/>
        </w:rPr>
        <w:t>Finding 1.</w:t>
      </w:r>
      <w:r w:rsidR="00513F4C">
        <w:rPr>
          <w:b/>
        </w:rPr>
        <w:t xml:space="preserve"> </w:t>
      </w:r>
      <w:r w:rsidR="009911DD">
        <w:rPr>
          <w:bCs/>
        </w:rPr>
        <w:t xml:space="preserve">For all instances of </w:t>
      </w:r>
      <w:r w:rsidR="004B423E" w:rsidRPr="004B423E">
        <w:rPr>
          <w:bCs/>
          <w:i/>
          <w:iCs/>
        </w:rPr>
        <w:t>Furnace &gt;95 AFUE-Joint MF</w:t>
      </w:r>
      <w:r w:rsidR="004B423E">
        <w:rPr>
          <w:bCs/>
        </w:rPr>
        <w:t xml:space="preserve"> measure, ex ante calculations used </w:t>
      </w:r>
      <w:r w:rsidR="00026914" w:rsidRPr="00026914">
        <w:rPr>
          <w:bCs/>
        </w:rPr>
        <w:t>Baseline Furnace Annual Fuel Utilization Efficiency Rating</w:t>
      </w:r>
      <w:r w:rsidR="00A60D07">
        <w:rPr>
          <w:bCs/>
        </w:rPr>
        <w:t xml:space="preserve"> (</w:t>
      </w:r>
      <w:proofErr w:type="spellStart"/>
      <w:r w:rsidR="00A60D07">
        <w:rPr>
          <w:bCs/>
        </w:rPr>
        <w:t>AFUE</w:t>
      </w:r>
      <w:r w:rsidR="00A60D07">
        <w:rPr>
          <w:bCs/>
          <w:vertAlign w:val="subscript"/>
        </w:rPr>
        <w:t>base</w:t>
      </w:r>
      <w:proofErr w:type="spellEnd"/>
      <w:r w:rsidR="00A60D07">
        <w:rPr>
          <w:bCs/>
        </w:rPr>
        <w:t>)</w:t>
      </w:r>
      <w:r w:rsidR="00026914">
        <w:rPr>
          <w:bCs/>
        </w:rPr>
        <w:t xml:space="preserve"> as 8</w:t>
      </w:r>
      <w:r w:rsidR="007D34F9">
        <w:rPr>
          <w:bCs/>
        </w:rPr>
        <w:t>1</w:t>
      </w:r>
      <w:r w:rsidR="00026914">
        <w:rPr>
          <w:bCs/>
        </w:rPr>
        <w:t>%</w:t>
      </w:r>
      <w:r w:rsidR="00A60D07">
        <w:rPr>
          <w:bCs/>
        </w:rPr>
        <w:t xml:space="preserve">. The evaluation team updated </w:t>
      </w:r>
      <w:proofErr w:type="spellStart"/>
      <w:r w:rsidR="00A60D07">
        <w:rPr>
          <w:bCs/>
        </w:rPr>
        <w:t>AFUE</w:t>
      </w:r>
      <w:r w:rsidR="00A60D07">
        <w:rPr>
          <w:bCs/>
          <w:vertAlign w:val="subscript"/>
        </w:rPr>
        <w:t>base</w:t>
      </w:r>
      <w:proofErr w:type="spellEnd"/>
      <w:r w:rsidR="00A60D07">
        <w:rPr>
          <w:bCs/>
        </w:rPr>
        <w:t xml:space="preserve"> to </w:t>
      </w:r>
      <w:r w:rsidR="007D34F9">
        <w:rPr>
          <w:bCs/>
        </w:rPr>
        <w:t xml:space="preserve">80%, consistent with </w:t>
      </w:r>
      <w:r w:rsidR="00AE43A5">
        <w:rPr>
          <w:bCs/>
        </w:rPr>
        <w:t>section 5.3.7</w:t>
      </w:r>
      <w:r w:rsidR="008D01D6">
        <w:rPr>
          <w:bCs/>
        </w:rPr>
        <w:t xml:space="preserve"> of</w:t>
      </w:r>
      <w:r w:rsidR="00AE43A5">
        <w:rPr>
          <w:bCs/>
        </w:rPr>
        <w:t xml:space="preserve"> IL</w:t>
      </w:r>
      <w:r w:rsidR="008104E5">
        <w:rPr>
          <w:bCs/>
        </w:rPr>
        <w:t>-</w:t>
      </w:r>
      <w:r w:rsidR="00AE43A5">
        <w:rPr>
          <w:bCs/>
        </w:rPr>
        <w:t>TRM v13</w:t>
      </w:r>
      <w:r w:rsidR="008104E5">
        <w:rPr>
          <w:bCs/>
        </w:rPr>
        <w:t>.0</w:t>
      </w:r>
      <w:r w:rsidR="00AE43A5">
        <w:rPr>
          <w:bCs/>
        </w:rPr>
        <w:t>.</w:t>
      </w:r>
      <w:r w:rsidR="001318A8">
        <w:rPr>
          <w:bCs/>
        </w:rPr>
        <w:t xml:space="preserve"> </w:t>
      </w:r>
      <w:r w:rsidR="00C44708" w:rsidRPr="00C44708">
        <w:rPr>
          <w:bCs/>
        </w:rPr>
        <w:t>This measure accounts for 0.1</w:t>
      </w:r>
      <w:r w:rsidR="00FD5F6F">
        <w:rPr>
          <w:bCs/>
        </w:rPr>
        <w:t>7</w:t>
      </w:r>
      <w:r w:rsidR="00C44708" w:rsidRPr="00C44708">
        <w:rPr>
          <w:bCs/>
        </w:rPr>
        <w:t xml:space="preserve">% of </w:t>
      </w:r>
      <w:r w:rsidR="00072F1B">
        <w:rPr>
          <w:bCs/>
        </w:rPr>
        <w:t>Income Eligible</w:t>
      </w:r>
      <w:r w:rsidR="00C44708" w:rsidRPr="00C44708">
        <w:rPr>
          <w:bCs/>
        </w:rPr>
        <w:t xml:space="preserve"> component’s </w:t>
      </w:r>
      <w:r w:rsidR="00FD5F6F">
        <w:rPr>
          <w:bCs/>
        </w:rPr>
        <w:t>reported</w:t>
      </w:r>
      <w:r w:rsidR="00C44708" w:rsidRPr="00C44708">
        <w:rPr>
          <w:bCs/>
        </w:rPr>
        <w:t xml:space="preserve"> gross Therms savings and the </w:t>
      </w:r>
      <w:r w:rsidR="008B00EA">
        <w:rPr>
          <w:bCs/>
        </w:rPr>
        <w:t>evaluation</w:t>
      </w:r>
      <w:r w:rsidR="00C44708" w:rsidRPr="00C44708">
        <w:rPr>
          <w:bCs/>
        </w:rPr>
        <w:t xml:space="preserve"> adjustment resulted in a realization rate of 10</w:t>
      </w:r>
      <w:r w:rsidR="00373102">
        <w:rPr>
          <w:bCs/>
        </w:rPr>
        <w:t>7</w:t>
      </w:r>
      <w:r w:rsidR="00C44708" w:rsidRPr="00C44708">
        <w:rPr>
          <w:bCs/>
        </w:rPr>
        <w:t>%.</w:t>
      </w:r>
    </w:p>
    <w:p w14:paraId="3CAC9A4A" w14:textId="1BECE6D6" w:rsidR="002B6C12" w:rsidRPr="00AE43A5" w:rsidRDefault="002B6C12" w:rsidP="002B6C12">
      <w:pPr>
        <w:tabs>
          <w:tab w:val="left" w:pos="720"/>
        </w:tabs>
        <w:spacing w:line="264" w:lineRule="auto"/>
        <w:ind w:left="900" w:hanging="360"/>
      </w:pPr>
      <w:r w:rsidRPr="00BB5CF7">
        <w:rPr>
          <w:b/>
        </w:rPr>
        <w:t>Recommendation</w:t>
      </w:r>
      <w:r w:rsidRPr="00BB5CF7">
        <w:rPr>
          <w:b/>
          <w:bCs/>
        </w:rPr>
        <w:t xml:space="preserve"> 1.</w:t>
      </w:r>
      <w:r>
        <w:rPr>
          <w:b/>
          <w:bCs/>
        </w:rPr>
        <w:t xml:space="preserve">  </w:t>
      </w:r>
      <w:r w:rsidR="00AE43A5">
        <w:t xml:space="preserve">Use </w:t>
      </w:r>
      <w:r w:rsidR="0020348B">
        <w:t xml:space="preserve">the </w:t>
      </w:r>
      <w:r w:rsidR="008227D4">
        <w:t>baseline furnace AFUE</w:t>
      </w:r>
      <w:r w:rsidR="0020348B">
        <w:t xml:space="preserve"> from Section 5.3.7 of </w:t>
      </w:r>
      <w:r w:rsidR="008227D4">
        <w:t>IL</w:t>
      </w:r>
      <w:r w:rsidR="008104E5">
        <w:t>-</w:t>
      </w:r>
      <w:r w:rsidR="008227D4">
        <w:t>TRM v13</w:t>
      </w:r>
      <w:r w:rsidR="008104E5">
        <w:t>.0</w:t>
      </w:r>
      <w:r w:rsidR="008227D4">
        <w:t>.</w:t>
      </w:r>
    </w:p>
    <w:p w14:paraId="75E89970" w14:textId="5AE43EB9" w:rsidR="002B6C12" w:rsidRPr="00A8754C" w:rsidRDefault="002B6C12" w:rsidP="00A8754C">
      <w:pPr>
        <w:spacing w:before="240"/>
        <w:rPr>
          <w:bCs/>
        </w:rPr>
      </w:pPr>
      <w:r w:rsidRPr="00915A79">
        <w:rPr>
          <w:b/>
        </w:rPr>
        <w:t>Finding 2.</w:t>
      </w:r>
      <w:r w:rsidR="00A8754C">
        <w:rPr>
          <w:b/>
        </w:rPr>
        <w:t xml:space="preserve"> </w:t>
      </w:r>
      <w:r w:rsidR="0013787A">
        <w:rPr>
          <w:bCs/>
        </w:rPr>
        <w:t xml:space="preserve">For one measure instance of </w:t>
      </w:r>
      <w:r w:rsidR="007827BA" w:rsidRPr="00FC58F0">
        <w:rPr>
          <w:bCs/>
          <w:i/>
          <w:iCs/>
        </w:rPr>
        <w:t>High-Rise - F&amp;T/Inverted Bucket Steam Traps - HVAC - Audit-Joint MF</w:t>
      </w:r>
      <w:r w:rsidR="00F65C68">
        <w:rPr>
          <w:bCs/>
        </w:rPr>
        <w:t xml:space="preserve"> (</w:t>
      </w:r>
      <w:r w:rsidR="005B71E5" w:rsidRPr="005B71E5">
        <w:rPr>
          <w:bCs/>
        </w:rPr>
        <w:t>WO-7402555</w:t>
      </w:r>
      <w:r w:rsidR="005B71E5">
        <w:rPr>
          <w:bCs/>
        </w:rPr>
        <w:t xml:space="preserve">), ex ante calculations </w:t>
      </w:r>
      <w:r w:rsidR="00763AC1">
        <w:rPr>
          <w:bCs/>
        </w:rPr>
        <w:t xml:space="preserve">applied an 80% </w:t>
      </w:r>
      <w:r w:rsidR="004065CF">
        <w:rPr>
          <w:bCs/>
        </w:rPr>
        <w:t>Boiler Efficiency</w:t>
      </w:r>
      <w:r w:rsidR="00A3668B">
        <w:rPr>
          <w:bCs/>
        </w:rPr>
        <w:t xml:space="preserve"> applicable to boilers in commercial and industrial buildings</w:t>
      </w:r>
      <w:r w:rsidR="0058389F">
        <w:rPr>
          <w:bCs/>
        </w:rPr>
        <w:t xml:space="preserve">. The evaluation team updated the Boiler Efficiency to 64.8%, </w:t>
      </w:r>
      <w:r w:rsidR="00A3668B">
        <w:rPr>
          <w:bCs/>
        </w:rPr>
        <w:t xml:space="preserve">applicable to boilers in </w:t>
      </w:r>
      <w:r w:rsidR="008D01D6" w:rsidRPr="008D01D6">
        <w:rPr>
          <w:bCs/>
        </w:rPr>
        <w:t xml:space="preserve">multifamily </w:t>
      </w:r>
      <w:r w:rsidR="00A3668B">
        <w:rPr>
          <w:bCs/>
        </w:rPr>
        <w:t>buildings</w:t>
      </w:r>
      <w:r w:rsidR="008D01D6">
        <w:rPr>
          <w:bCs/>
        </w:rPr>
        <w:t>, consistent with section 4.4.16 of IL</w:t>
      </w:r>
      <w:r w:rsidR="008104E5">
        <w:rPr>
          <w:bCs/>
        </w:rPr>
        <w:t>-</w:t>
      </w:r>
      <w:r w:rsidR="008D01D6">
        <w:rPr>
          <w:bCs/>
        </w:rPr>
        <w:t>TRM v13</w:t>
      </w:r>
      <w:r w:rsidR="008104E5">
        <w:rPr>
          <w:bCs/>
        </w:rPr>
        <w:t>.0</w:t>
      </w:r>
      <w:r w:rsidR="008D01D6">
        <w:rPr>
          <w:bCs/>
        </w:rPr>
        <w:t xml:space="preserve">. </w:t>
      </w:r>
      <w:r w:rsidR="008D01D6" w:rsidRPr="00C44708">
        <w:rPr>
          <w:bCs/>
        </w:rPr>
        <w:t xml:space="preserve">This measure </w:t>
      </w:r>
      <w:r w:rsidR="008D01D6" w:rsidRPr="00C44708">
        <w:rPr>
          <w:bCs/>
        </w:rPr>
        <w:lastRenderedPageBreak/>
        <w:t xml:space="preserve">accounts for </w:t>
      </w:r>
      <w:r w:rsidR="008653E2">
        <w:rPr>
          <w:bCs/>
        </w:rPr>
        <w:t>3</w:t>
      </w:r>
      <w:r w:rsidR="003E061B">
        <w:rPr>
          <w:bCs/>
        </w:rPr>
        <w:t>3</w:t>
      </w:r>
      <w:r w:rsidR="008D01D6" w:rsidRPr="00C44708">
        <w:rPr>
          <w:bCs/>
        </w:rPr>
        <w:t xml:space="preserve">% of </w:t>
      </w:r>
      <w:r w:rsidR="008D01D6">
        <w:rPr>
          <w:bCs/>
        </w:rPr>
        <w:t>Income Eligible</w:t>
      </w:r>
      <w:r w:rsidR="008D01D6" w:rsidRPr="00C44708">
        <w:rPr>
          <w:bCs/>
        </w:rPr>
        <w:t xml:space="preserve"> component’s </w:t>
      </w:r>
      <w:r w:rsidR="003E061B">
        <w:rPr>
          <w:bCs/>
        </w:rPr>
        <w:t>reported</w:t>
      </w:r>
      <w:r w:rsidR="008D01D6" w:rsidRPr="00C44708">
        <w:rPr>
          <w:bCs/>
        </w:rPr>
        <w:t xml:space="preserve"> gross Therms savings and the </w:t>
      </w:r>
      <w:r w:rsidR="00102CDB">
        <w:rPr>
          <w:bCs/>
        </w:rPr>
        <w:t xml:space="preserve">evaluation </w:t>
      </w:r>
      <w:r w:rsidR="008D01D6" w:rsidRPr="00C44708">
        <w:rPr>
          <w:bCs/>
        </w:rPr>
        <w:t>adjustment</w:t>
      </w:r>
      <w:r w:rsidR="007B6A74">
        <w:rPr>
          <w:bCs/>
        </w:rPr>
        <w:t>s from Findings 2 and 3</w:t>
      </w:r>
      <w:r w:rsidR="008D01D6" w:rsidRPr="00C44708">
        <w:rPr>
          <w:bCs/>
        </w:rPr>
        <w:t xml:space="preserve"> resulted in a realization rate of 1</w:t>
      </w:r>
      <w:r w:rsidR="000B75AF">
        <w:rPr>
          <w:bCs/>
        </w:rPr>
        <w:t>05</w:t>
      </w:r>
      <w:r w:rsidR="008D01D6" w:rsidRPr="00C44708">
        <w:rPr>
          <w:bCs/>
        </w:rPr>
        <w:t>%.</w:t>
      </w:r>
    </w:p>
    <w:p w14:paraId="7EC8CF5A" w14:textId="1DBEDA21" w:rsidR="00212F0F" w:rsidRDefault="002B6C12" w:rsidP="002B6C12">
      <w:pPr>
        <w:tabs>
          <w:tab w:val="left" w:pos="720"/>
        </w:tabs>
        <w:spacing w:line="264" w:lineRule="auto"/>
        <w:ind w:left="900" w:hanging="360"/>
      </w:pPr>
      <w:r w:rsidRPr="00BE1CA5">
        <w:rPr>
          <w:b/>
        </w:rPr>
        <w:t>Recommendation</w:t>
      </w:r>
      <w:r>
        <w:rPr>
          <w:b/>
          <w:bCs/>
        </w:rPr>
        <w:t xml:space="preserve"> 2.  </w:t>
      </w:r>
      <w:r w:rsidR="009902B0" w:rsidRPr="009902B0">
        <w:t xml:space="preserve"> </w:t>
      </w:r>
      <w:r w:rsidR="00BB1700" w:rsidRPr="00BB1700">
        <w:t>Use the 64.8% boiler efficiency, rather than 80%, to ensure alignment with IL</w:t>
      </w:r>
      <w:r w:rsidR="00BB1700" w:rsidRPr="00BB1700">
        <w:rPr>
          <w:rFonts w:ascii="Cambria Math" w:hAnsi="Cambria Math" w:cs="Cambria Math"/>
        </w:rPr>
        <w:t>‑</w:t>
      </w:r>
      <w:r w:rsidR="00BB1700" w:rsidRPr="00BB1700">
        <w:t>TRM v13.0, where 64.8% is specified for multifamily low</w:t>
      </w:r>
      <w:r w:rsidR="00BB1700" w:rsidRPr="00BB1700">
        <w:rPr>
          <w:rFonts w:ascii="Cambria Math" w:hAnsi="Cambria Math" w:cs="Cambria Math"/>
        </w:rPr>
        <w:t>‑</w:t>
      </w:r>
      <w:r w:rsidR="00BB1700" w:rsidRPr="00BB1700">
        <w:t>pressure steam boilers</w:t>
      </w:r>
    </w:p>
    <w:p w14:paraId="5987492D" w14:textId="5ADF794F" w:rsidR="00436FAB" w:rsidRPr="008653E2" w:rsidRDefault="00F90907" w:rsidP="005D5081">
      <w:pPr>
        <w:tabs>
          <w:tab w:val="left" w:pos="720"/>
        </w:tabs>
        <w:spacing w:line="264" w:lineRule="auto"/>
        <w:rPr>
          <w:bCs/>
        </w:rPr>
      </w:pPr>
      <w:r>
        <w:rPr>
          <w:b/>
          <w:bCs/>
        </w:rPr>
        <w:t>Finding 3.</w:t>
      </w:r>
      <w:r>
        <w:t xml:space="preserve"> </w:t>
      </w:r>
      <w:r w:rsidR="00DC3DD5">
        <w:t xml:space="preserve">For </w:t>
      </w:r>
      <w:r w:rsidR="00B95819">
        <w:t xml:space="preserve">both </w:t>
      </w:r>
      <w:r w:rsidR="00761E60">
        <w:t>instances</w:t>
      </w:r>
      <w:r w:rsidR="00B95819">
        <w:t xml:space="preserve"> of </w:t>
      </w:r>
      <w:r w:rsidR="00B95819" w:rsidRPr="00B95819">
        <w:rPr>
          <w:i/>
          <w:iCs/>
        </w:rPr>
        <w:t>Wall Insulation-Joint MF</w:t>
      </w:r>
      <w:r w:rsidR="00B95819">
        <w:t xml:space="preserve"> and one instance of </w:t>
      </w:r>
      <w:r w:rsidR="00761E60" w:rsidRPr="00761E60">
        <w:rPr>
          <w:i/>
          <w:iCs/>
        </w:rPr>
        <w:t xml:space="preserve">High-Rise </w:t>
      </w:r>
      <w:r w:rsidR="00761E60">
        <w:rPr>
          <w:i/>
          <w:iCs/>
        </w:rPr>
        <w:t>–</w:t>
      </w:r>
      <w:r w:rsidR="00761E60" w:rsidRPr="00761E60">
        <w:rPr>
          <w:i/>
          <w:iCs/>
        </w:rPr>
        <w:t xml:space="preserve"> Radiator</w:t>
      </w:r>
      <w:r w:rsidR="00761E60">
        <w:rPr>
          <w:i/>
          <w:iCs/>
        </w:rPr>
        <w:t xml:space="preserve"> </w:t>
      </w:r>
      <w:r w:rsidR="00761E60" w:rsidRPr="00761E60">
        <w:rPr>
          <w:i/>
          <w:iCs/>
        </w:rPr>
        <w:t xml:space="preserve">Steam Traps </w:t>
      </w:r>
      <w:r w:rsidR="00761E60">
        <w:rPr>
          <w:i/>
          <w:iCs/>
        </w:rPr>
        <w:t>–</w:t>
      </w:r>
      <w:r w:rsidR="00761E60" w:rsidRPr="00761E60">
        <w:rPr>
          <w:i/>
          <w:iCs/>
        </w:rPr>
        <w:t xml:space="preserve"> HVAC</w:t>
      </w:r>
      <w:r w:rsidR="00761E60">
        <w:rPr>
          <w:i/>
          <w:iCs/>
        </w:rPr>
        <w:t xml:space="preserve"> –</w:t>
      </w:r>
      <w:r w:rsidR="00761E60" w:rsidRPr="00761E60">
        <w:rPr>
          <w:i/>
          <w:iCs/>
        </w:rPr>
        <w:t xml:space="preserve"> Audit-Joint MF</w:t>
      </w:r>
      <w:r w:rsidR="00761E60">
        <w:t xml:space="preserve"> </w:t>
      </w:r>
      <w:r w:rsidR="00B95819">
        <w:t>measure</w:t>
      </w:r>
      <w:r w:rsidR="00761E60">
        <w:t>s, the evaluation could not replicate ex ante savings</w:t>
      </w:r>
      <w:r w:rsidR="004A4747">
        <w:t xml:space="preserve">. The evaluation team calculated verified savings using </w:t>
      </w:r>
      <w:r w:rsidR="00637464">
        <w:t>inputs reported in tracking data and default values from IL</w:t>
      </w:r>
      <w:r w:rsidR="008104E5">
        <w:t>-</w:t>
      </w:r>
      <w:r w:rsidR="00637464">
        <w:t>TRM v13</w:t>
      </w:r>
      <w:r w:rsidR="008104E5">
        <w:t>.0</w:t>
      </w:r>
      <w:r w:rsidR="00637464">
        <w:t xml:space="preserve">. </w:t>
      </w:r>
      <w:r w:rsidR="00436FAB">
        <w:rPr>
          <w:bCs/>
        </w:rPr>
        <w:t>Steam Trap</w:t>
      </w:r>
      <w:r w:rsidR="008C549D">
        <w:rPr>
          <w:bCs/>
        </w:rPr>
        <w:t xml:space="preserve"> and </w:t>
      </w:r>
      <w:r w:rsidR="008C549D" w:rsidRPr="008C549D">
        <w:rPr>
          <w:bCs/>
        </w:rPr>
        <w:t>Wall Insulation</w:t>
      </w:r>
      <w:r w:rsidR="00436FAB" w:rsidRPr="00C44708">
        <w:rPr>
          <w:bCs/>
        </w:rPr>
        <w:t xml:space="preserve"> measure</w:t>
      </w:r>
      <w:r w:rsidR="00436FAB">
        <w:rPr>
          <w:bCs/>
        </w:rPr>
        <w:t>s</w:t>
      </w:r>
      <w:r w:rsidR="00436FAB" w:rsidRPr="00C44708">
        <w:rPr>
          <w:bCs/>
        </w:rPr>
        <w:t xml:space="preserve"> account for </w:t>
      </w:r>
      <w:r w:rsidR="00BB7857">
        <w:rPr>
          <w:bCs/>
        </w:rPr>
        <w:t>33</w:t>
      </w:r>
      <w:r w:rsidR="00436FAB" w:rsidRPr="00C44708">
        <w:rPr>
          <w:bCs/>
        </w:rPr>
        <w:t>%</w:t>
      </w:r>
      <w:r w:rsidR="00436FAB">
        <w:rPr>
          <w:bCs/>
        </w:rPr>
        <w:t xml:space="preserve"> and </w:t>
      </w:r>
      <w:r w:rsidR="00BB7857">
        <w:rPr>
          <w:bCs/>
        </w:rPr>
        <w:t>0.002</w:t>
      </w:r>
      <w:r w:rsidR="00436FAB">
        <w:rPr>
          <w:bCs/>
        </w:rPr>
        <w:t>%</w:t>
      </w:r>
      <w:r w:rsidR="00436FAB" w:rsidRPr="00C44708">
        <w:rPr>
          <w:bCs/>
        </w:rPr>
        <w:t xml:space="preserve"> of </w:t>
      </w:r>
      <w:r w:rsidR="00436FAB">
        <w:rPr>
          <w:bCs/>
        </w:rPr>
        <w:t>Income Eligible</w:t>
      </w:r>
      <w:r w:rsidR="00436FAB" w:rsidRPr="00C44708">
        <w:rPr>
          <w:bCs/>
        </w:rPr>
        <w:t xml:space="preserve"> component’s </w:t>
      </w:r>
      <w:r w:rsidR="00436FAB">
        <w:rPr>
          <w:bCs/>
        </w:rPr>
        <w:t>reported</w:t>
      </w:r>
      <w:r w:rsidR="00436FAB" w:rsidRPr="00C44708">
        <w:rPr>
          <w:bCs/>
        </w:rPr>
        <w:t xml:space="preserve"> gross Therms savings and the </w:t>
      </w:r>
      <w:r w:rsidR="008B00EA">
        <w:rPr>
          <w:bCs/>
        </w:rPr>
        <w:t xml:space="preserve">evaluation </w:t>
      </w:r>
      <w:r w:rsidR="00436FAB" w:rsidRPr="00C44708">
        <w:rPr>
          <w:bCs/>
        </w:rPr>
        <w:t>adjustment</w:t>
      </w:r>
      <w:r w:rsidR="00A8706D">
        <w:rPr>
          <w:bCs/>
        </w:rPr>
        <w:t>s from Findings 2 and 3</w:t>
      </w:r>
      <w:r w:rsidR="00436FAB" w:rsidRPr="00C44708">
        <w:rPr>
          <w:bCs/>
        </w:rPr>
        <w:t xml:space="preserve"> resulted in a realization rate of</w:t>
      </w:r>
      <w:r w:rsidR="006455B2">
        <w:rPr>
          <w:bCs/>
        </w:rPr>
        <w:t xml:space="preserve"> </w:t>
      </w:r>
      <w:r w:rsidR="007B6A74">
        <w:rPr>
          <w:bCs/>
        </w:rPr>
        <w:t>105% and 118%, respectively</w:t>
      </w:r>
      <w:r w:rsidR="00436FAB" w:rsidRPr="00C44708">
        <w:rPr>
          <w:bCs/>
        </w:rPr>
        <w:t>.</w:t>
      </w:r>
    </w:p>
    <w:p w14:paraId="7494852F" w14:textId="65CDB7B3" w:rsidR="008F2A13" w:rsidRPr="00763C6E" w:rsidRDefault="008F2A13" w:rsidP="008F2A13">
      <w:pPr>
        <w:tabs>
          <w:tab w:val="left" w:pos="720"/>
        </w:tabs>
        <w:spacing w:line="264" w:lineRule="auto"/>
        <w:ind w:left="900" w:hanging="360"/>
      </w:pPr>
      <w:r w:rsidRPr="00BE1CA5">
        <w:rPr>
          <w:b/>
        </w:rPr>
        <w:t>Recommendation</w:t>
      </w:r>
      <w:r>
        <w:rPr>
          <w:b/>
          <w:bCs/>
        </w:rPr>
        <w:t xml:space="preserve"> 3.</w:t>
      </w:r>
      <w:r>
        <w:t xml:space="preserve"> </w:t>
      </w:r>
      <w:r w:rsidR="004C78AD">
        <w:t>Ensure that</w:t>
      </w:r>
      <w:r w:rsidR="00A8706D">
        <w:t xml:space="preserve"> inputs used in </w:t>
      </w:r>
      <w:r w:rsidR="004C78AD">
        <w:t xml:space="preserve">savings </w:t>
      </w:r>
      <w:r w:rsidR="00A8706D">
        <w:t xml:space="preserve">calculations </w:t>
      </w:r>
      <w:r w:rsidR="008002C2">
        <w:t>align with</w:t>
      </w:r>
      <w:r w:rsidR="00A8706D">
        <w:t xml:space="preserve"> </w:t>
      </w:r>
      <w:r w:rsidR="004C78AD">
        <w:t>inputs reported in the tracking data.</w:t>
      </w:r>
    </w:p>
    <w:p w14:paraId="12A7A635" w14:textId="2F18193E" w:rsidR="00575E2C" w:rsidRPr="008653E2" w:rsidRDefault="00575E2C" w:rsidP="00575E2C">
      <w:pPr>
        <w:pStyle w:val="Heading4"/>
      </w:pPr>
      <w:r>
        <w:t>Illinois Home Weatherization Assistance Program (IHWAP)</w:t>
      </w:r>
    </w:p>
    <w:p w14:paraId="275CD2E1" w14:textId="4A3DBD5D" w:rsidR="002B6C12" w:rsidRPr="008653E2" w:rsidRDefault="002B6C12" w:rsidP="00A8754C">
      <w:pPr>
        <w:spacing w:before="240"/>
        <w:rPr>
          <w:bCs/>
        </w:rPr>
      </w:pPr>
      <w:r w:rsidRPr="00915A79">
        <w:rPr>
          <w:b/>
        </w:rPr>
        <w:t xml:space="preserve">Finding </w:t>
      </w:r>
      <w:r w:rsidR="008F2A13">
        <w:rPr>
          <w:b/>
        </w:rPr>
        <w:t>4</w:t>
      </w:r>
      <w:r w:rsidRPr="00915A79">
        <w:rPr>
          <w:b/>
        </w:rPr>
        <w:t>.</w:t>
      </w:r>
      <w:r w:rsidR="008653E2">
        <w:rPr>
          <w:b/>
        </w:rPr>
        <w:t xml:space="preserve"> </w:t>
      </w:r>
      <w:r w:rsidR="00D9154E">
        <w:rPr>
          <w:bCs/>
        </w:rPr>
        <w:t xml:space="preserve">For one instance of </w:t>
      </w:r>
      <w:r w:rsidR="008820A0" w:rsidRPr="00FC58F0">
        <w:rPr>
          <w:bCs/>
          <w:i/>
          <w:iCs/>
        </w:rPr>
        <w:t>Bathroom Aerator-IHWAP-Joint MF</w:t>
      </w:r>
      <w:r w:rsidR="008820A0">
        <w:rPr>
          <w:bCs/>
        </w:rPr>
        <w:t xml:space="preserve"> and </w:t>
      </w:r>
      <w:r w:rsidR="008820A0" w:rsidRPr="00FC58F0">
        <w:rPr>
          <w:bCs/>
          <w:i/>
          <w:iCs/>
        </w:rPr>
        <w:t>Showerhead-IHWAP-Joint MF</w:t>
      </w:r>
      <w:r w:rsidR="008820A0">
        <w:rPr>
          <w:bCs/>
        </w:rPr>
        <w:t xml:space="preserve"> measures (</w:t>
      </w:r>
      <w:r w:rsidR="00266593" w:rsidRPr="00266593">
        <w:rPr>
          <w:bCs/>
        </w:rPr>
        <w:t>WO-7080492</w:t>
      </w:r>
      <w:r w:rsidR="00266593">
        <w:rPr>
          <w:bCs/>
        </w:rPr>
        <w:t>)</w:t>
      </w:r>
      <w:r w:rsidR="00D61752">
        <w:rPr>
          <w:bCs/>
        </w:rPr>
        <w:t xml:space="preserve">, </w:t>
      </w:r>
      <w:r w:rsidR="00FD1737">
        <w:rPr>
          <w:bCs/>
        </w:rPr>
        <w:t xml:space="preserve">the </w:t>
      </w:r>
      <w:r w:rsidR="00D61752">
        <w:rPr>
          <w:bCs/>
        </w:rPr>
        <w:t>tracking data reported quantit</w:t>
      </w:r>
      <w:r w:rsidR="00FD1737">
        <w:rPr>
          <w:bCs/>
        </w:rPr>
        <w:t>ies</w:t>
      </w:r>
      <w:r w:rsidR="00B22D82">
        <w:rPr>
          <w:bCs/>
        </w:rPr>
        <w:t xml:space="preserve"> </w:t>
      </w:r>
      <w:r w:rsidR="00FD1737">
        <w:rPr>
          <w:bCs/>
        </w:rPr>
        <w:t>of</w:t>
      </w:r>
      <w:r w:rsidR="00B22D82">
        <w:rPr>
          <w:bCs/>
        </w:rPr>
        <w:t xml:space="preserve"> 77 and 69, respecti</w:t>
      </w:r>
      <w:r w:rsidR="007B2AD9">
        <w:rPr>
          <w:bCs/>
        </w:rPr>
        <w:t xml:space="preserve">vely. </w:t>
      </w:r>
      <w:r w:rsidR="008B00EA">
        <w:rPr>
          <w:bCs/>
        </w:rPr>
        <w:t>However, the</w:t>
      </w:r>
      <w:r w:rsidR="00E14D82">
        <w:rPr>
          <w:bCs/>
        </w:rPr>
        <w:t xml:space="preserve"> reported total savings in the</w:t>
      </w:r>
      <w:r w:rsidR="00CB33BC">
        <w:rPr>
          <w:bCs/>
        </w:rPr>
        <w:t xml:space="preserve"> tracking data </w:t>
      </w:r>
      <w:r w:rsidR="00E14D82">
        <w:rPr>
          <w:bCs/>
        </w:rPr>
        <w:t>correspond to</w:t>
      </w:r>
      <w:r w:rsidR="002B40F8">
        <w:rPr>
          <w:bCs/>
        </w:rPr>
        <w:t xml:space="preserve"> </w:t>
      </w:r>
      <w:r w:rsidR="00CB33BC">
        <w:rPr>
          <w:bCs/>
        </w:rPr>
        <w:t xml:space="preserve">a </w:t>
      </w:r>
      <w:r w:rsidR="0018669F">
        <w:rPr>
          <w:bCs/>
        </w:rPr>
        <w:t xml:space="preserve">quantity </w:t>
      </w:r>
      <w:r w:rsidR="00CB33BC">
        <w:rPr>
          <w:bCs/>
        </w:rPr>
        <w:t>of</w:t>
      </w:r>
      <w:r w:rsidR="0018669F">
        <w:rPr>
          <w:bCs/>
        </w:rPr>
        <w:t xml:space="preserve"> 2,940 for the Bathroom Aerator</w:t>
      </w:r>
      <w:r w:rsidR="00E14D82">
        <w:rPr>
          <w:bCs/>
        </w:rPr>
        <w:t xml:space="preserve"> and </w:t>
      </w:r>
      <w:r w:rsidR="00E36ECB">
        <w:rPr>
          <w:bCs/>
        </w:rPr>
        <w:t>3,281 for the Showerhead</w:t>
      </w:r>
      <w:r w:rsidR="0018669F">
        <w:rPr>
          <w:bCs/>
        </w:rPr>
        <w:t xml:space="preserve">. </w:t>
      </w:r>
      <w:r w:rsidR="00E14349">
        <w:rPr>
          <w:bCs/>
        </w:rPr>
        <w:t xml:space="preserve">The evaluation team used </w:t>
      </w:r>
      <w:r w:rsidR="00677275">
        <w:rPr>
          <w:bCs/>
        </w:rPr>
        <w:t>the</w:t>
      </w:r>
      <w:r w:rsidR="00F93B54">
        <w:rPr>
          <w:bCs/>
        </w:rPr>
        <w:t xml:space="preserve"> </w:t>
      </w:r>
      <w:r w:rsidR="00677275">
        <w:rPr>
          <w:bCs/>
        </w:rPr>
        <w:t>qu</w:t>
      </w:r>
      <w:r w:rsidR="00575E2C">
        <w:rPr>
          <w:bCs/>
        </w:rPr>
        <w:t>antit</w:t>
      </w:r>
      <w:r w:rsidR="00F93B54">
        <w:rPr>
          <w:bCs/>
        </w:rPr>
        <w:t>ies reported</w:t>
      </w:r>
      <w:r w:rsidR="00575E2C">
        <w:rPr>
          <w:bCs/>
        </w:rPr>
        <w:t xml:space="preserve"> in the tracking data to calculate total verified savings.</w:t>
      </w:r>
      <w:r w:rsidR="005D5081">
        <w:rPr>
          <w:bCs/>
        </w:rPr>
        <w:t xml:space="preserve"> </w:t>
      </w:r>
      <w:r w:rsidR="005307F5">
        <w:rPr>
          <w:bCs/>
        </w:rPr>
        <w:t>Bathroom Aerator</w:t>
      </w:r>
      <w:r w:rsidR="0055650A">
        <w:rPr>
          <w:bCs/>
        </w:rPr>
        <w:t xml:space="preserve"> and Showerhead</w:t>
      </w:r>
      <w:r w:rsidR="00575E2C" w:rsidRPr="00C44708">
        <w:rPr>
          <w:bCs/>
        </w:rPr>
        <w:t xml:space="preserve"> measure</w:t>
      </w:r>
      <w:r w:rsidR="0055650A">
        <w:rPr>
          <w:bCs/>
        </w:rPr>
        <w:t>s</w:t>
      </w:r>
      <w:r w:rsidR="00575E2C" w:rsidRPr="00C44708">
        <w:rPr>
          <w:bCs/>
        </w:rPr>
        <w:t xml:space="preserve"> </w:t>
      </w:r>
      <w:r w:rsidR="00763C6E" w:rsidRPr="00C44708">
        <w:rPr>
          <w:bCs/>
        </w:rPr>
        <w:t>account</w:t>
      </w:r>
      <w:r w:rsidR="00575E2C" w:rsidRPr="00C44708">
        <w:rPr>
          <w:bCs/>
        </w:rPr>
        <w:t xml:space="preserve"> for </w:t>
      </w:r>
      <w:r w:rsidR="005F1D67">
        <w:rPr>
          <w:bCs/>
        </w:rPr>
        <w:t>12</w:t>
      </w:r>
      <w:r w:rsidR="00575E2C" w:rsidRPr="00C44708">
        <w:rPr>
          <w:bCs/>
        </w:rPr>
        <w:t>%</w:t>
      </w:r>
      <w:r w:rsidR="0055650A">
        <w:rPr>
          <w:bCs/>
        </w:rPr>
        <w:t xml:space="preserve"> and 29%</w:t>
      </w:r>
      <w:r w:rsidR="00575E2C" w:rsidRPr="00C44708">
        <w:rPr>
          <w:bCs/>
        </w:rPr>
        <w:t xml:space="preserve"> of </w:t>
      </w:r>
      <w:r w:rsidR="00085106">
        <w:rPr>
          <w:bCs/>
        </w:rPr>
        <w:t>IHWAP</w:t>
      </w:r>
      <w:r w:rsidR="00575E2C" w:rsidRPr="00C44708">
        <w:rPr>
          <w:bCs/>
        </w:rPr>
        <w:t xml:space="preserve"> component’s </w:t>
      </w:r>
      <w:r w:rsidR="005F1D67">
        <w:rPr>
          <w:bCs/>
        </w:rPr>
        <w:t>reported</w:t>
      </w:r>
      <w:r w:rsidR="00575E2C" w:rsidRPr="00C44708">
        <w:rPr>
          <w:bCs/>
        </w:rPr>
        <w:t xml:space="preserve"> gross Therms savings</w:t>
      </w:r>
      <w:r w:rsidR="00436FAB">
        <w:rPr>
          <w:bCs/>
        </w:rPr>
        <w:t>, respectively</w:t>
      </w:r>
      <w:r w:rsidR="00575E2C" w:rsidRPr="00C44708">
        <w:rPr>
          <w:bCs/>
        </w:rPr>
        <w:t xml:space="preserve"> and the </w:t>
      </w:r>
      <w:r w:rsidR="00B42C68">
        <w:rPr>
          <w:bCs/>
        </w:rPr>
        <w:t xml:space="preserve">evaluation </w:t>
      </w:r>
      <w:r w:rsidR="00575E2C" w:rsidRPr="00C44708">
        <w:rPr>
          <w:bCs/>
        </w:rPr>
        <w:t xml:space="preserve">adjustment resulted in a realization rate of </w:t>
      </w:r>
      <w:r w:rsidR="0055650A">
        <w:rPr>
          <w:bCs/>
        </w:rPr>
        <w:t>2</w:t>
      </w:r>
      <w:r w:rsidR="00575E2C" w:rsidRPr="00C44708">
        <w:rPr>
          <w:bCs/>
        </w:rPr>
        <w:t>%.</w:t>
      </w:r>
    </w:p>
    <w:p w14:paraId="02C471B3" w14:textId="10760BDA" w:rsidR="0094027E" w:rsidRPr="00763C6E" w:rsidRDefault="002B6C12" w:rsidP="002B6C12">
      <w:pPr>
        <w:tabs>
          <w:tab w:val="left" w:pos="720"/>
        </w:tabs>
        <w:spacing w:line="264" w:lineRule="auto"/>
        <w:ind w:left="900" w:hanging="360"/>
      </w:pPr>
      <w:r w:rsidRPr="00BE1CA5">
        <w:rPr>
          <w:b/>
        </w:rPr>
        <w:t>Recommendation</w:t>
      </w:r>
      <w:r>
        <w:rPr>
          <w:b/>
          <w:bCs/>
        </w:rPr>
        <w:t xml:space="preserve"> </w:t>
      </w:r>
      <w:r w:rsidR="008F2A13">
        <w:rPr>
          <w:b/>
          <w:bCs/>
        </w:rPr>
        <w:t>4</w:t>
      </w:r>
      <w:r>
        <w:rPr>
          <w:b/>
          <w:bCs/>
        </w:rPr>
        <w:t>.</w:t>
      </w:r>
      <w:r w:rsidR="00763C6E">
        <w:t xml:space="preserve"> </w:t>
      </w:r>
      <w:r w:rsidR="00E76417">
        <w:t xml:space="preserve">Ensure </w:t>
      </w:r>
      <w:r w:rsidR="003F45F5">
        <w:t xml:space="preserve">that </w:t>
      </w:r>
      <w:r w:rsidR="007A48E0">
        <w:t>measure quantities</w:t>
      </w:r>
      <w:r w:rsidR="00763C6E">
        <w:t xml:space="preserve"> reported </w:t>
      </w:r>
      <w:r w:rsidR="00027922">
        <w:t>in the tracking data</w:t>
      </w:r>
      <w:r w:rsidR="00E76417">
        <w:t xml:space="preserve"> are used</w:t>
      </w:r>
      <w:r w:rsidR="007A48E0">
        <w:t xml:space="preserve"> to calculate total savings</w:t>
      </w:r>
      <w:r w:rsidR="00C856BC">
        <w:t>.</w:t>
      </w:r>
    </w:p>
    <w:p w14:paraId="6F17A1D7" w14:textId="037DDD09" w:rsidR="002F793E" w:rsidRPr="00A8754C" w:rsidRDefault="002F793E" w:rsidP="00A53293">
      <w:pPr>
        <w:spacing w:before="240"/>
        <w:rPr>
          <w:bCs/>
        </w:rPr>
      </w:pPr>
      <w:r w:rsidRPr="00915A79">
        <w:rPr>
          <w:b/>
        </w:rPr>
        <w:t xml:space="preserve">Finding </w:t>
      </w:r>
      <w:r w:rsidR="00995185">
        <w:rPr>
          <w:b/>
        </w:rPr>
        <w:t>5</w:t>
      </w:r>
      <w:r w:rsidRPr="00915A79">
        <w:rPr>
          <w:b/>
        </w:rPr>
        <w:t>.</w:t>
      </w:r>
      <w:r>
        <w:rPr>
          <w:b/>
        </w:rPr>
        <w:t xml:space="preserve"> </w:t>
      </w:r>
      <w:r>
        <w:rPr>
          <w:bCs/>
        </w:rPr>
        <w:t xml:space="preserve">For </w:t>
      </w:r>
      <w:r w:rsidR="00A53293">
        <w:rPr>
          <w:bCs/>
        </w:rPr>
        <w:t>two</w:t>
      </w:r>
      <w:r>
        <w:rPr>
          <w:bCs/>
        </w:rPr>
        <w:t xml:space="preserve"> measure instance</w:t>
      </w:r>
      <w:r w:rsidR="00A53293">
        <w:rPr>
          <w:bCs/>
        </w:rPr>
        <w:t>s</w:t>
      </w:r>
      <w:r>
        <w:rPr>
          <w:bCs/>
        </w:rPr>
        <w:t xml:space="preserve"> of </w:t>
      </w:r>
      <w:r w:rsidR="00D04DAB" w:rsidRPr="00FC58F0">
        <w:rPr>
          <w:bCs/>
          <w:i/>
          <w:iCs/>
        </w:rPr>
        <w:t>Custom Measure-IHWAP-Joint MF</w:t>
      </w:r>
      <w:r>
        <w:rPr>
          <w:bCs/>
        </w:rPr>
        <w:t xml:space="preserve"> (</w:t>
      </w:r>
      <w:r w:rsidR="00A53293" w:rsidRPr="00A53293">
        <w:rPr>
          <w:bCs/>
        </w:rPr>
        <w:t>WO-7077355</w:t>
      </w:r>
      <w:r w:rsidR="00A53293">
        <w:rPr>
          <w:bCs/>
        </w:rPr>
        <w:t xml:space="preserve"> and </w:t>
      </w:r>
      <w:r w:rsidR="00A53293" w:rsidRPr="00A53293">
        <w:rPr>
          <w:bCs/>
        </w:rPr>
        <w:t>WO-7521699</w:t>
      </w:r>
      <w:r>
        <w:rPr>
          <w:bCs/>
        </w:rPr>
        <w:t xml:space="preserve">), </w:t>
      </w:r>
      <w:r w:rsidR="00943C81">
        <w:rPr>
          <w:bCs/>
        </w:rPr>
        <w:t>e</w:t>
      </w:r>
      <w:r w:rsidR="00943C81" w:rsidRPr="00943C81">
        <w:rPr>
          <w:bCs/>
        </w:rPr>
        <w:t xml:space="preserve">x ante </w:t>
      </w:r>
      <w:r w:rsidR="00943C81">
        <w:rPr>
          <w:bCs/>
        </w:rPr>
        <w:t xml:space="preserve">calculations </w:t>
      </w:r>
      <w:r w:rsidR="00943C81" w:rsidRPr="00943C81">
        <w:rPr>
          <w:bCs/>
        </w:rPr>
        <w:t xml:space="preserve">used </w:t>
      </w:r>
      <w:r w:rsidR="00943C81">
        <w:rPr>
          <w:bCs/>
        </w:rPr>
        <w:t>Equivalent Full Load Hours (</w:t>
      </w:r>
      <w:r w:rsidR="00943C81" w:rsidRPr="00943C81">
        <w:rPr>
          <w:bCs/>
        </w:rPr>
        <w:t>EFLH</w:t>
      </w:r>
      <w:r w:rsidR="00943C81">
        <w:rPr>
          <w:bCs/>
        </w:rPr>
        <w:t>)</w:t>
      </w:r>
      <w:r w:rsidR="00943C81" w:rsidRPr="00943C81">
        <w:rPr>
          <w:bCs/>
        </w:rPr>
        <w:t xml:space="preserve"> as 1,661 hours, which is </w:t>
      </w:r>
      <w:r w:rsidR="006761B3">
        <w:rPr>
          <w:bCs/>
        </w:rPr>
        <w:t>an av</w:t>
      </w:r>
      <w:r w:rsidR="00943C81" w:rsidRPr="00943C81">
        <w:rPr>
          <w:bCs/>
        </w:rPr>
        <w:t>erage value for MF Mid</w:t>
      </w:r>
      <w:r w:rsidR="009F5F56">
        <w:rPr>
          <w:bCs/>
        </w:rPr>
        <w:t>-</w:t>
      </w:r>
      <w:r w:rsidR="00943C81" w:rsidRPr="00943C81">
        <w:rPr>
          <w:bCs/>
        </w:rPr>
        <w:t>Rise and MF High</w:t>
      </w:r>
      <w:r w:rsidR="009F5F56">
        <w:rPr>
          <w:bCs/>
        </w:rPr>
        <w:t>-</w:t>
      </w:r>
      <w:r w:rsidR="00943C81" w:rsidRPr="00943C81">
        <w:rPr>
          <w:bCs/>
        </w:rPr>
        <w:t xml:space="preserve">Rise </w:t>
      </w:r>
      <w:r w:rsidR="006761B3">
        <w:rPr>
          <w:bCs/>
        </w:rPr>
        <w:t>building type</w:t>
      </w:r>
      <w:r w:rsidR="009F5F56">
        <w:rPr>
          <w:bCs/>
        </w:rPr>
        <w:t>s</w:t>
      </w:r>
      <w:r>
        <w:rPr>
          <w:bCs/>
        </w:rPr>
        <w:t>.</w:t>
      </w:r>
      <w:r w:rsidR="009F5F56">
        <w:rPr>
          <w:bCs/>
        </w:rPr>
        <w:t xml:space="preserve"> The evaluation team determined that the building is a High-Rise building based on the project location.</w:t>
      </w:r>
      <w:r w:rsidR="00C91A85">
        <w:rPr>
          <w:bCs/>
        </w:rPr>
        <w:t xml:space="preserve"> Hence, the team updated</w:t>
      </w:r>
      <w:r w:rsidR="007A48E0">
        <w:rPr>
          <w:bCs/>
        </w:rPr>
        <w:t xml:space="preserve"> </w:t>
      </w:r>
      <w:r w:rsidR="00C91A85">
        <w:rPr>
          <w:bCs/>
        </w:rPr>
        <w:t>EFLH to 1,540 hours, corresponding to MF High-Rise building type.</w:t>
      </w:r>
      <w:r>
        <w:rPr>
          <w:bCs/>
        </w:rPr>
        <w:t xml:space="preserve"> </w:t>
      </w:r>
      <w:r w:rsidRPr="00C44708">
        <w:rPr>
          <w:bCs/>
        </w:rPr>
        <w:t xml:space="preserve">This measure accounts for </w:t>
      </w:r>
      <w:r w:rsidR="00085106">
        <w:rPr>
          <w:bCs/>
        </w:rPr>
        <w:t>41</w:t>
      </w:r>
      <w:r w:rsidRPr="00C44708">
        <w:rPr>
          <w:bCs/>
        </w:rPr>
        <w:t xml:space="preserve">% of </w:t>
      </w:r>
      <w:r w:rsidR="00085106">
        <w:rPr>
          <w:bCs/>
        </w:rPr>
        <w:t>IHWAP</w:t>
      </w:r>
      <w:r w:rsidRPr="00C44708">
        <w:rPr>
          <w:bCs/>
        </w:rPr>
        <w:t xml:space="preserve"> component’s </w:t>
      </w:r>
      <w:r>
        <w:rPr>
          <w:bCs/>
        </w:rPr>
        <w:t>reported</w:t>
      </w:r>
      <w:r w:rsidRPr="00C44708">
        <w:rPr>
          <w:bCs/>
        </w:rPr>
        <w:t xml:space="preserve"> gross Therms savings and the </w:t>
      </w:r>
      <w:r w:rsidR="00B42C68">
        <w:rPr>
          <w:bCs/>
        </w:rPr>
        <w:t>evaluation adjustments</w:t>
      </w:r>
      <w:r w:rsidRPr="00C44708">
        <w:rPr>
          <w:bCs/>
        </w:rPr>
        <w:t xml:space="preserve"> resulted in a realization rate of </w:t>
      </w:r>
      <w:r w:rsidR="00085106">
        <w:rPr>
          <w:bCs/>
        </w:rPr>
        <w:t>9</w:t>
      </w:r>
      <w:r w:rsidR="001E7178">
        <w:rPr>
          <w:bCs/>
        </w:rPr>
        <w:t>5</w:t>
      </w:r>
      <w:r w:rsidRPr="00C44708">
        <w:rPr>
          <w:bCs/>
        </w:rPr>
        <w:t>%.</w:t>
      </w:r>
    </w:p>
    <w:p w14:paraId="78A8B441" w14:textId="0F7A0662" w:rsidR="002F793E" w:rsidRDefault="002F793E" w:rsidP="002F793E">
      <w:pPr>
        <w:tabs>
          <w:tab w:val="left" w:pos="720"/>
        </w:tabs>
        <w:spacing w:line="264" w:lineRule="auto"/>
        <w:ind w:left="900" w:hanging="360"/>
      </w:pPr>
      <w:r w:rsidRPr="00BE1CA5">
        <w:rPr>
          <w:b/>
        </w:rPr>
        <w:t>Recommendation</w:t>
      </w:r>
      <w:r>
        <w:rPr>
          <w:b/>
          <w:bCs/>
        </w:rPr>
        <w:t xml:space="preserve"> </w:t>
      </w:r>
      <w:r w:rsidR="00995185">
        <w:rPr>
          <w:b/>
          <w:bCs/>
        </w:rPr>
        <w:t>5</w:t>
      </w:r>
      <w:r>
        <w:rPr>
          <w:b/>
          <w:bCs/>
        </w:rPr>
        <w:t xml:space="preserve">.  </w:t>
      </w:r>
      <w:r>
        <w:t xml:space="preserve">Use </w:t>
      </w:r>
      <w:r w:rsidR="00085106">
        <w:t>EFLH</w:t>
      </w:r>
      <w:r w:rsidR="007A48E0">
        <w:t xml:space="preserve"> values</w:t>
      </w:r>
      <w:r w:rsidR="00085106">
        <w:t xml:space="preserve"> consistent with the actual building type</w:t>
      </w:r>
      <w:r w:rsidR="003F45F5">
        <w:t xml:space="preserve"> as provided in the tracking data</w:t>
      </w:r>
      <w:r>
        <w:t>.</w:t>
      </w:r>
    </w:p>
    <w:p w14:paraId="5848F633" w14:textId="77777777" w:rsidR="0094027E" w:rsidRDefault="0094027E">
      <w:pPr>
        <w:rPr>
          <w:b/>
          <w:bCs/>
        </w:rPr>
      </w:pPr>
      <w:r>
        <w:rPr>
          <w:b/>
          <w:bCs/>
        </w:rPr>
        <w:br w:type="page"/>
      </w:r>
    </w:p>
    <w:p w14:paraId="2B424914" w14:textId="6F5A994A" w:rsidR="004F0461" w:rsidRPr="004F0461" w:rsidRDefault="002B6C12">
      <w:pPr>
        <w:pStyle w:val="Heading1"/>
      </w:pPr>
      <w:r>
        <w:lastRenderedPageBreak/>
        <w:t xml:space="preserve">  </w:t>
      </w:r>
      <w:bookmarkStart w:id="58" w:name="_Toc224332882"/>
      <w:r w:rsidR="00AD338E">
        <w:t xml:space="preserve">Public Housing Energy Savings </w:t>
      </w:r>
      <w:r w:rsidR="004F0461">
        <w:t>Program</w:t>
      </w:r>
      <w:bookmarkEnd w:id="58"/>
    </w:p>
    <w:p w14:paraId="6F88C205" w14:textId="77777777" w:rsidR="002B6C12" w:rsidRDefault="004F0461" w:rsidP="004F0461">
      <w:pPr>
        <w:pStyle w:val="Heading2"/>
      </w:pPr>
      <w:bookmarkStart w:id="59" w:name="_Toc224332883"/>
      <w:r>
        <w:t>Program Description</w:t>
      </w:r>
      <w:bookmarkEnd w:id="59"/>
    </w:p>
    <w:p w14:paraId="29C589A2" w14:textId="5562CA82" w:rsidR="00DE15E5" w:rsidRDefault="005A7886" w:rsidP="00F84AA9">
      <w:r w:rsidRPr="005A7886">
        <w:t xml:space="preserve">The Public Housing Energy Savings Program (PHES) works with Public Housing Authorities (PHAs) in ComEd, Nicor Gas, PGL, and NSG territories to achieve electricity and natural gas savings. The PHA is the program participant, though the residents of the properties are directly affected by the program through in-unit and common area upgrades. </w:t>
      </w:r>
      <w:r w:rsidRPr="00022039">
        <w:t xml:space="preserve">Gas savings opportunities for NSG included </w:t>
      </w:r>
      <w:r w:rsidR="00022039" w:rsidRPr="00022039">
        <w:t>Boiler Tune Up</w:t>
      </w:r>
      <w:r w:rsidRPr="00022039">
        <w:t xml:space="preserve">. Gas savings opportunities for PGL included </w:t>
      </w:r>
      <w:r w:rsidR="00022039" w:rsidRPr="00022039">
        <w:t>Covers and Gap Sealers for Room AC</w:t>
      </w:r>
      <w:r w:rsidRPr="00022039">
        <w:t>.</w:t>
      </w:r>
      <w:r w:rsidR="00DE15E5" w:rsidRPr="00DE15E5">
        <w:t xml:space="preserve"> </w:t>
      </w:r>
    </w:p>
    <w:p w14:paraId="015DA589" w14:textId="27A5E862" w:rsidR="00F84AA9" w:rsidRDefault="00DE15E5" w:rsidP="00F84AA9">
      <w:r w:rsidRPr="00DE15E5">
        <w:t xml:space="preserve">The PGL PHES program had </w:t>
      </w:r>
      <w:r w:rsidR="00976C2A">
        <w:t>3</w:t>
      </w:r>
      <w:r w:rsidRPr="00DE15E5">
        <w:t xml:space="preserve"> participants in 202</w:t>
      </w:r>
      <w:r w:rsidR="007B3BDB">
        <w:t>5</w:t>
      </w:r>
      <w:r w:rsidRPr="00DE15E5">
        <w:t xml:space="preserve">, completed </w:t>
      </w:r>
      <w:r w:rsidR="007B3BDB">
        <w:t>3</w:t>
      </w:r>
      <w:r w:rsidRPr="00DE15E5">
        <w:t xml:space="preserve"> projects, and installed </w:t>
      </w:r>
      <w:r w:rsidR="0045679C">
        <w:t>one</w:t>
      </w:r>
      <w:r w:rsidRPr="00DE15E5">
        <w:t xml:space="preserve"> measure </w:t>
      </w:r>
      <w:r w:rsidR="00A12B9A" w:rsidRPr="00DE15E5">
        <w:t>type</w:t>
      </w:r>
      <w:r w:rsidRPr="00DE15E5">
        <w:t xml:space="preserve">, as shown in </w:t>
      </w:r>
      <w:r w:rsidR="00153504">
        <w:rPr>
          <w:highlight w:val="yellow"/>
        </w:rPr>
        <w:fldChar w:fldCharType="begin"/>
      </w:r>
      <w:r w:rsidR="00153504">
        <w:instrText xml:space="preserve"> REF _Ref224068232 \h </w:instrText>
      </w:r>
      <w:r w:rsidR="00153504">
        <w:rPr>
          <w:highlight w:val="yellow"/>
        </w:rPr>
      </w:r>
      <w:r w:rsidR="00153504">
        <w:rPr>
          <w:highlight w:val="yellow"/>
        </w:rPr>
        <w:fldChar w:fldCharType="separate"/>
      </w:r>
      <w:r w:rsidR="00803485">
        <w:t xml:space="preserve">Table </w:t>
      </w:r>
      <w:r w:rsidR="00803485">
        <w:rPr>
          <w:noProof/>
        </w:rPr>
        <w:t>10</w:t>
      </w:r>
      <w:r w:rsidR="00153504">
        <w:rPr>
          <w:highlight w:val="yellow"/>
        </w:rPr>
        <w:fldChar w:fldCharType="end"/>
      </w:r>
      <w:r w:rsidRPr="00DE15E5">
        <w:t>.</w:t>
      </w:r>
    </w:p>
    <w:p w14:paraId="654F81DF" w14:textId="4D0FD147" w:rsidR="00574A32" w:rsidRDefault="00BF3AFC" w:rsidP="00F671C0">
      <w:pPr>
        <w:pStyle w:val="Caption"/>
      </w:pPr>
      <w:bookmarkStart w:id="60" w:name="_Ref224068232"/>
      <w:bookmarkStart w:id="61" w:name="_Toc224230108"/>
      <w:r>
        <w:t xml:space="preserve">Table </w:t>
      </w:r>
      <w:r>
        <w:fldChar w:fldCharType="begin"/>
      </w:r>
      <w:r>
        <w:instrText>SEQ Table \* ARABIC</w:instrText>
      </w:r>
      <w:r>
        <w:fldChar w:fldCharType="separate"/>
      </w:r>
      <w:r w:rsidR="00803485">
        <w:rPr>
          <w:noProof/>
        </w:rPr>
        <w:t>10</w:t>
      </w:r>
      <w:r>
        <w:fldChar w:fldCharType="end"/>
      </w:r>
      <w:bookmarkEnd w:id="60"/>
      <w:r>
        <w:t>.</w:t>
      </w:r>
      <w:r w:rsidR="001611DC" w:rsidRPr="001611DC">
        <w:t xml:space="preserve"> Volumetric Summary for PGL</w:t>
      </w:r>
      <w:r w:rsidR="00A12B9A">
        <w:t xml:space="preserve"> </w:t>
      </w:r>
      <w:r w:rsidR="001611DC" w:rsidRPr="001611DC">
        <w:t>–</w:t>
      </w:r>
      <w:r w:rsidR="00A12B9A">
        <w:t xml:space="preserve"> </w:t>
      </w:r>
      <w:r w:rsidR="00A12B9A" w:rsidRPr="000A37E4">
        <w:t>Public Housing</w:t>
      </w:r>
      <w:bookmarkEnd w:id="61"/>
    </w:p>
    <w:tbl>
      <w:tblPr>
        <w:tblW w:w="2981" w:type="pct"/>
        <w:jc w:val="center"/>
        <w:tblLook w:val="04A0" w:firstRow="1" w:lastRow="0" w:firstColumn="1" w:lastColumn="0" w:noHBand="0" w:noVBand="1"/>
      </w:tblPr>
      <w:tblGrid>
        <w:gridCol w:w="3150"/>
        <w:gridCol w:w="2430"/>
      </w:tblGrid>
      <w:tr w:rsidR="00334FA3" w:rsidRPr="00747C17" w14:paraId="0C08B50D" w14:textId="77777777" w:rsidTr="00334FA3">
        <w:trPr>
          <w:trHeight w:val="570"/>
          <w:jc w:val="center"/>
        </w:trPr>
        <w:tc>
          <w:tcPr>
            <w:tcW w:w="2823" w:type="pct"/>
            <w:tcBorders>
              <w:top w:val="nil"/>
              <w:left w:val="nil"/>
              <w:bottom w:val="single" w:sz="12" w:space="0" w:color="95D600"/>
              <w:right w:val="nil"/>
            </w:tcBorders>
            <w:shd w:val="clear" w:color="000000" w:fill="036479"/>
            <w:vAlign w:val="center"/>
            <w:hideMark/>
          </w:tcPr>
          <w:p w14:paraId="787522C2" w14:textId="77777777" w:rsidR="00334FA3" w:rsidRPr="00747C17" w:rsidRDefault="00334FA3" w:rsidP="001F7018">
            <w:pPr>
              <w:spacing w:after="0" w:line="240" w:lineRule="auto"/>
              <w:rPr>
                <w:rFonts w:eastAsia="Times New Roman" w:cs="Calibri"/>
                <w:color w:val="FFFFFF"/>
                <w:sz w:val="20"/>
                <w:szCs w:val="20"/>
                <w:lang w:val="en-IN" w:eastAsia="en-IN"/>
              </w:rPr>
            </w:pPr>
            <w:r w:rsidRPr="00747C17">
              <w:rPr>
                <w:rFonts w:eastAsia="Times New Roman" w:cs="Calibri"/>
                <w:color w:val="FFFFFF"/>
                <w:sz w:val="20"/>
                <w:szCs w:val="20"/>
                <w:lang w:val="en-IN" w:eastAsia="en-IN"/>
              </w:rPr>
              <w:t>Participation</w:t>
            </w:r>
          </w:p>
        </w:tc>
        <w:tc>
          <w:tcPr>
            <w:tcW w:w="2177" w:type="pct"/>
            <w:tcBorders>
              <w:top w:val="nil"/>
              <w:left w:val="nil"/>
              <w:bottom w:val="single" w:sz="12" w:space="0" w:color="95D600"/>
              <w:right w:val="nil"/>
            </w:tcBorders>
            <w:shd w:val="clear" w:color="000000" w:fill="036479"/>
            <w:vAlign w:val="center"/>
            <w:hideMark/>
          </w:tcPr>
          <w:p w14:paraId="40C368C8" w14:textId="77777777" w:rsidR="00334FA3" w:rsidRPr="00747C17" w:rsidRDefault="00334FA3" w:rsidP="001F7018">
            <w:pPr>
              <w:spacing w:after="0" w:line="240" w:lineRule="auto"/>
              <w:jc w:val="right"/>
              <w:rPr>
                <w:rFonts w:eastAsia="Times New Roman" w:cs="Calibri"/>
                <w:color w:val="FFFFFF"/>
                <w:sz w:val="20"/>
                <w:szCs w:val="20"/>
                <w:lang w:val="en-IN" w:eastAsia="en-IN"/>
              </w:rPr>
            </w:pPr>
            <w:r w:rsidRPr="00747C17">
              <w:rPr>
                <w:rFonts w:eastAsia="Times New Roman" w:cs="Calibri"/>
                <w:color w:val="FFFFFF"/>
                <w:sz w:val="20"/>
                <w:szCs w:val="20"/>
                <w:lang w:val="en-IN" w:eastAsia="en-IN"/>
              </w:rPr>
              <w:t>Public Housing</w:t>
            </w:r>
          </w:p>
        </w:tc>
      </w:tr>
      <w:tr w:rsidR="00334FA3" w:rsidRPr="00747C17" w14:paraId="03B1C05D" w14:textId="77777777" w:rsidTr="00334FA3">
        <w:trPr>
          <w:trHeight w:val="300"/>
          <w:jc w:val="center"/>
        </w:trPr>
        <w:tc>
          <w:tcPr>
            <w:tcW w:w="2823" w:type="pct"/>
            <w:tcBorders>
              <w:top w:val="nil"/>
              <w:left w:val="nil"/>
              <w:bottom w:val="single" w:sz="8" w:space="0" w:color="B3EFFD"/>
              <w:right w:val="nil"/>
            </w:tcBorders>
            <w:shd w:val="clear" w:color="000000" w:fill="FFFFFF"/>
            <w:vAlign w:val="center"/>
            <w:hideMark/>
          </w:tcPr>
          <w:p w14:paraId="696769D5" w14:textId="77777777" w:rsidR="00334FA3" w:rsidRPr="00747C17" w:rsidRDefault="00334FA3" w:rsidP="001F7018">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Participants *</w:t>
            </w:r>
          </w:p>
        </w:tc>
        <w:tc>
          <w:tcPr>
            <w:tcW w:w="2177" w:type="pct"/>
            <w:tcBorders>
              <w:top w:val="nil"/>
              <w:left w:val="nil"/>
              <w:bottom w:val="single" w:sz="8" w:space="0" w:color="B3EFFD"/>
              <w:right w:val="nil"/>
            </w:tcBorders>
            <w:shd w:val="clear" w:color="000000" w:fill="FFFFFF"/>
            <w:vAlign w:val="center"/>
            <w:hideMark/>
          </w:tcPr>
          <w:p w14:paraId="3F53ED4A" w14:textId="77777777" w:rsidR="00334FA3" w:rsidRPr="00747C17" w:rsidRDefault="00334FA3" w:rsidP="001F7018">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3</w:t>
            </w:r>
          </w:p>
        </w:tc>
      </w:tr>
      <w:tr w:rsidR="00334FA3" w:rsidRPr="00747C17" w14:paraId="0EBD2E0D" w14:textId="77777777" w:rsidTr="00334FA3">
        <w:trPr>
          <w:trHeight w:val="300"/>
          <w:jc w:val="center"/>
        </w:trPr>
        <w:tc>
          <w:tcPr>
            <w:tcW w:w="2823" w:type="pct"/>
            <w:tcBorders>
              <w:top w:val="nil"/>
              <w:left w:val="nil"/>
              <w:bottom w:val="single" w:sz="8" w:space="0" w:color="B3EFFD"/>
              <w:right w:val="nil"/>
            </w:tcBorders>
            <w:shd w:val="clear" w:color="000000" w:fill="FFFFFF"/>
            <w:vAlign w:val="center"/>
            <w:hideMark/>
          </w:tcPr>
          <w:p w14:paraId="552D6702" w14:textId="77777777" w:rsidR="00334FA3" w:rsidRPr="00747C17" w:rsidRDefault="00334FA3" w:rsidP="001F7018">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Installed Projects †</w:t>
            </w:r>
          </w:p>
        </w:tc>
        <w:tc>
          <w:tcPr>
            <w:tcW w:w="2177" w:type="pct"/>
            <w:tcBorders>
              <w:top w:val="nil"/>
              <w:left w:val="nil"/>
              <w:bottom w:val="single" w:sz="8" w:space="0" w:color="B3EFFD"/>
              <w:right w:val="nil"/>
            </w:tcBorders>
            <w:shd w:val="clear" w:color="000000" w:fill="FFFFFF"/>
            <w:vAlign w:val="center"/>
            <w:hideMark/>
          </w:tcPr>
          <w:p w14:paraId="49D58C8C" w14:textId="77777777" w:rsidR="00334FA3" w:rsidRPr="00747C17" w:rsidRDefault="00334FA3" w:rsidP="001F7018">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3</w:t>
            </w:r>
          </w:p>
        </w:tc>
      </w:tr>
      <w:tr w:rsidR="00334FA3" w:rsidRPr="00747C17" w14:paraId="5DDAC50E" w14:textId="77777777" w:rsidTr="00334FA3">
        <w:trPr>
          <w:trHeight w:val="300"/>
          <w:jc w:val="center"/>
        </w:trPr>
        <w:tc>
          <w:tcPr>
            <w:tcW w:w="2823" w:type="pct"/>
            <w:tcBorders>
              <w:top w:val="nil"/>
              <w:left w:val="nil"/>
              <w:bottom w:val="single" w:sz="8" w:space="0" w:color="036479"/>
              <w:right w:val="nil"/>
            </w:tcBorders>
            <w:vAlign w:val="center"/>
            <w:hideMark/>
          </w:tcPr>
          <w:p w14:paraId="0A9C5DDA" w14:textId="77777777" w:rsidR="00334FA3" w:rsidRPr="00747C17" w:rsidRDefault="00334FA3" w:rsidP="001F7018">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Measure Types Installed ‡</w:t>
            </w:r>
          </w:p>
        </w:tc>
        <w:tc>
          <w:tcPr>
            <w:tcW w:w="2177" w:type="pct"/>
            <w:tcBorders>
              <w:top w:val="nil"/>
              <w:left w:val="nil"/>
              <w:bottom w:val="single" w:sz="8" w:space="0" w:color="036479"/>
              <w:right w:val="nil"/>
            </w:tcBorders>
            <w:vAlign w:val="center"/>
            <w:hideMark/>
          </w:tcPr>
          <w:p w14:paraId="2BC91F5B" w14:textId="77777777" w:rsidR="00334FA3" w:rsidRPr="00747C17" w:rsidRDefault="00334FA3" w:rsidP="001F7018">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1</w:t>
            </w:r>
          </w:p>
        </w:tc>
      </w:tr>
    </w:tbl>
    <w:p w14:paraId="6B7E0B8A" w14:textId="65F97B05" w:rsidR="007C76D9" w:rsidRPr="00747F81" w:rsidRDefault="007C76D9" w:rsidP="00737861">
      <w:pPr>
        <w:pStyle w:val="FootnoteText"/>
        <w:ind w:left="2160"/>
        <w:rPr>
          <w:i/>
          <w:iCs/>
        </w:rPr>
      </w:pPr>
      <w:r w:rsidRPr="00747F81">
        <w:rPr>
          <w:i/>
          <w:iCs/>
        </w:rPr>
        <w:t xml:space="preserve">* Participants are defined as distinct count of </w:t>
      </w:r>
      <w:r w:rsidR="00DD202D" w:rsidRPr="00747F81">
        <w:rPr>
          <w:i/>
          <w:iCs/>
        </w:rPr>
        <w:t>account numbers</w:t>
      </w:r>
      <w:r w:rsidRPr="00747F81">
        <w:rPr>
          <w:i/>
          <w:iCs/>
        </w:rPr>
        <w:t>.</w:t>
      </w:r>
    </w:p>
    <w:p w14:paraId="5D8DA53E" w14:textId="2F7A0495" w:rsidR="007C76D9" w:rsidRPr="00747F81" w:rsidRDefault="007C76D9" w:rsidP="00737861">
      <w:pPr>
        <w:pStyle w:val="FootnoteText"/>
        <w:ind w:left="2160"/>
        <w:rPr>
          <w:i/>
          <w:iCs/>
        </w:rPr>
      </w:pPr>
      <w:r w:rsidRPr="00747F81">
        <w:rPr>
          <w:i/>
          <w:iCs/>
        </w:rPr>
        <w:t>† Installed Projects are defined as distinct count of project ID</w:t>
      </w:r>
      <w:r w:rsidR="00DD202D" w:rsidRPr="00747F81">
        <w:rPr>
          <w:i/>
          <w:iCs/>
        </w:rPr>
        <w:t>s</w:t>
      </w:r>
      <w:r w:rsidRPr="00747F81">
        <w:rPr>
          <w:i/>
          <w:iCs/>
        </w:rPr>
        <w:t>.</w:t>
      </w:r>
    </w:p>
    <w:p w14:paraId="1E091BF5" w14:textId="77777777" w:rsidR="007C76D9" w:rsidRPr="00747F81" w:rsidRDefault="007C76D9" w:rsidP="00737861">
      <w:pPr>
        <w:pStyle w:val="FootnoteText"/>
        <w:ind w:left="2160"/>
        <w:rPr>
          <w:i/>
          <w:iCs/>
        </w:rPr>
      </w:pPr>
      <w:r w:rsidRPr="00747F81">
        <w:rPr>
          <w:i/>
          <w:iCs/>
        </w:rPr>
        <w:t>‡ Measure Types Installed are the distinct count of PGL measure names.</w:t>
      </w:r>
    </w:p>
    <w:p w14:paraId="5E825713" w14:textId="77777777" w:rsidR="007C76D9" w:rsidRPr="00747F81" w:rsidRDefault="007C76D9" w:rsidP="00737861">
      <w:pPr>
        <w:pStyle w:val="TableFigureSourceorNote"/>
        <w:ind w:left="1440" w:firstLine="720"/>
        <w:rPr>
          <w:iCs/>
        </w:rPr>
      </w:pPr>
      <w:r w:rsidRPr="00747F81">
        <w:rPr>
          <w:iCs/>
        </w:rPr>
        <w:t>Source: Peoples Gas tracking data and evaluation team analysis.</w:t>
      </w:r>
    </w:p>
    <w:p w14:paraId="7FF152F4" w14:textId="77777777" w:rsidR="00E23B80" w:rsidRDefault="00E23B80" w:rsidP="00D57B5A"/>
    <w:p w14:paraId="390EB072" w14:textId="10C4A7F0" w:rsidR="00D57B5A" w:rsidRDefault="00B50B05" w:rsidP="00D57B5A">
      <w:r>
        <w:fldChar w:fldCharType="begin"/>
      </w:r>
      <w:r>
        <w:instrText xml:space="preserve"> REF _Ref224068739 \h </w:instrText>
      </w:r>
      <w:r>
        <w:fldChar w:fldCharType="separate"/>
      </w:r>
      <w:r w:rsidR="00803485">
        <w:t xml:space="preserve">Table </w:t>
      </w:r>
      <w:r w:rsidR="00803485">
        <w:rPr>
          <w:noProof/>
        </w:rPr>
        <w:t>11</w:t>
      </w:r>
      <w:r>
        <w:fldChar w:fldCharType="end"/>
      </w:r>
      <w:r>
        <w:t xml:space="preserve"> </w:t>
      </w:r>
      <w:r w:rsidR="00D57B5A">
        <w:t>summarizes the installed measure quantities that are the basis for verified energy savings for PGL.</w:t>
      </w:r>
    </w:p>
    <w:p w14:paraId="5B0F9300" w14:textId="5E2A6069" w:rsidR="001423D9" w:rsidRDefault="00B672A5" w:rsidP="00F671C0">
      <w:pPr>
        <w:pStyle w:val="Caption"/>
      </w:pPr>
      <w:bookmarkStart w:id="62" w:name="_Ref224068739"/>
      <w:bookmarkStart w:id="63" w:name="_Toc224230109"/>
      <w:r>
        <w:t xml:space="preserve">Table </w:t>
      </w:r>
      <w:r>
        <w:fldChar w:fldCharType="begin"/>
      </w:r>
      <w:r>
        <w:instrText>SEQ Table \* ARABIC</w:instrText>
      </w:r>
      <w:r>
        <w:fldChar w:fldCharType="separate"/>
      </w:r>
      <w:r w:rsidR="00803485">
        <w:rPr>
          <w:noProof/>
        </w:rPr>
        <w:t>11</w:t>
      </w:r>
      <w:r>
        <w:fldChar w:fldCharType="end"/>
      </w:r>
      <w:bookmarkEnd w:id="62"/>
      <w:r>
        <w:t>.</w:t>
      </w:r>
      <w:r w:rsidR="00B50B05" w:rsidRPr="00B50B05">
        <w:t xml:space="preserve"> Installed Measure Quantities for PGL</w:t>
      </w:r>
      <w:r w:rsidR="00377C68">
        <w:t xml:space="preserve"> </w:t>
      </w:r>
      <w:r w:rsidR="00B50B05" w:rsidRPr="00B50B05">
        <w:t>–</w:t>
      </w:r>
      <w:r w:rsidR="00377C68">
        <w:t xml:space="preserve"> </w:t>
      </w:r>
      <w:r w:rsidR="00A12B9A">
        <w:t>Public Housing</w:t>
      </w:r>
      <w:bookmarkEnd w:id="63"/>
    </w:p>
    <w:tbl>
      <w:tblPr>
        <w:tblW w:w="5000" w:type="pct"/>
        <w:tblLook w:val="04A0" w:firstRow="1" w:lastRow="0" w:firstColumn="1" w:lastColumn="0" w:noHBand="0" w:noVBand="1"/>
      </w:tblPr>
      <w:tblGrid>
        <w:gridCol w:w="1891"/>
        <w:gridCol w:w="1799"/>
        <w:gridCol w:w="3656"/>
        <w:gridCol w:w="996"/>
        <w:gridCol w:w="1018"/>
      </w:tblGrid>
      <w:tr w:rsidR="00A41155" w:rsidRPr="00747C17" w14:paraId="5432FC03" w14:textId="77777777" w:rsidTr="008A1B40">
        <w:trPr>
          <w:trHeight w:val="530"/>
        </w:trPr>
        <w:tc>
          <w:tcPr>
            <w:tcW w:w="1010" w:type="pct"/>
            <w:tcBorders>
              <w:top w:val="nil"/>
              <w:left w:val="nil"/>
              <w:bottom w:val="single" w:sz="12" w:space="0" w:color="95D600"/>
              <w:right w:val="nil"/>
            </w:tcBorders>
            <w:shd w:val="clear" w:color="000000" w:fill="036479"/>
            <w:vAlign w:val="center"/>
            <w:hideMark/>
          </w:tcPr>
          <w:p w14:paraId="527BE1FA" w14:textId="77777777" w:rsidR="00A41155" w:rsidRPr="00747C17" w:rsidRDefault="00A41155" w:rsidP="00A41155">
            <w:pPr>
              <w:spacing w:after="0" w:line="240" w:lineRule="auto"/>
              <w:rPr>
                <w:rFonts w:eastAsia="Times New Roman" w:cs="Calibri"/>
                <w:color w:val="FFFFFF"/>
                <w:sz w:val="20"/>
                <w:szCs w:val="20"/>
                <w:lang w:val="en-IN" w:eastAsia="en-IN"/>
              </w:rPr>
            </w:pPr>
            <w:r w:rsidRPr="00747C17">
              <w:rPr>
                <w:rFonts w:eastAsia="Times New Roman" w:cs="Calibri"/>
                <w:color w:val="FFFFFF"/>
                <w:sz w:val="20"/>
                <w:szCs w:val="20"/>
                <w:lang w:val="en-IN" w:eastAsia="en-IN"/>
              </w:rPr>
              <w:t>Program Category</w:t>
            </w:r>
          </w:p>
        </w:tc>
        <w:tc>
          <w:tcPr>
            <w:tcW w:w="961" w:type="pct"/>
            <w:tcBorders>
              <w:top w:val="nil"/>
              <w:left w:val="nil"/>
              <w:bottom w:val="single" w:sz="12" w:space="0" w:color="95D600"/>
              <w:right w:val="nil"/>
            </w:tcBorders>
            <w:shd w:val="clear" w:color="000000" w:fill="036479"/>
            <w:vAlign w:val="center"/>
            <w:hideMark/>
          </w:tcPr>
          <w:p w14:paraId="7599257C" w14:textId="77777777" w:rsidR="00A41155" w:rsidRPr="00747C17" w:rsidRDefault="00A41155" w:rsidP="00A41155">
            <w:pPr>
              <w:spacing w:after="0" w:line="240" w:lineRule="auto"/>
              <w:rPr>
                <w:rFonts w:eastAsia="Times New Roman" w:cs="Calibri"/>
                <w:color w:val="FFFFFF"/>
                <w:sz w:val="20"/>
                <w:szCs w:val="20"/>
                <w:lang w:val="en-IN" w:eastAsia="en-IN"/>
              </w:rPr>
            </w:pPr>
            <w:r w:rsidRPr="00747C17">
              <w:rPr>
                <w:rFonts w:eastAsia="Times New Roman" w:cs="Calibri"/>
                <w:color w:val="FFFFFF"/>
                <w:sz w:val="20"/>
                <w:szCs w:val="20"/>
                <w:lang w:val="en-IN" w:eastAsia="en-IN"/>
              </w:rPr>
              <w:t>Program Path</w:t>
            </w:r>
          </w:p>
        </w:tc>
        <w:tc>
          <w:tcPr>
            <w:tcW w:w="1953" w:type="pct"/>
            <w:tcBorders>
              <w:top w:val="nil"/>
              <w:left w:val="nil"/>
              <w:bottom w:val="single" w:sz="12" w:space="0" w:color="95D600"/>
              <w:right w:val="nil"/>
            </w:tcBorders>
            <w:shd w:val="clear" w:color="000000" w:fill="036479"/>
            <w:vAlign w:val="center"/>
            <w:hideMark/>
          </w:tcPr>
          <w:p w14:paraId="0F3FF4F2" w14:textId="77777777" w:rsidR="00A41155" w:rsidRPr="00747C17" w:rsidRDefault="00A41155" w:rsidP="00A41155">
            <w:pPr>
              <w:spacing w:after="0" w:line="240" w:lineRule="auto"/>
              <w:rPr>
                <w:rFonts w:eastAsia="Times New Roman" w:cs="Calibri"/>
                <w:color w:val="FFFFFF"/>
                <w:sz w:val="20"/>
                <w:szCs w:val="20"/>
                <w:lang w:val="en-IN" w:eastAsia="en-IN"/>
              </w:rPr>
            </w:pPr>
            <w:r w:rsidRPr="00747C17">
              <w:rPr>
                <w:rFonts w:eastAsia="Times New Roman" w:cs="Calibri"/>
                <w:color w:val="FFFFFF"/>
                <w:sz w:val="20"/>
                <w:szCs w:val="20"/>
                <w:lang w:val="en-IN" w:eastAsia="en-IN"/>
              </w:rPr>
              <w:t>Measure</w:t>
            </w:r>
          </w:p>
        </w:tc>
        <w:tc>
          <w:tcPr>
            <w:tcW w:w="532" w:type="pct"/>
            <w:tcBorders>
              <w:top w:val="nil"/>
              <w:left w:val="nil"/>
              <w:bottom w:val="single" w:sz="12" w:space="0" w:color="95D600"/>
              <w:right w:val="nil"/>
            </w:tcBorders>
            <w:shd w:val="clear" w:color="000000" w:fill="036479"/>
            <w:vAlign w:val="center"/>
            <w:hideMark/>
          </w:tcPr>
          <w:p w14:paraId="23A494CC" w14:textId="77777777" w:rsidR="00A41155" w:rsidRPr="00747C17" w:rsidRDefault="00A41155" w:rsidP="005F4135">
            <w:pPr>
              <w:spacing w:after="0" w:line="240" w:lineRule="auto"/>
              <w:rPr>
                <w:rFonts w:eastAsia="Times New Roman" w:cs="Calibri"/>
                <w:color w:val="FFFFFF"/>
                <w:sz w:val="20"/>
                <w:szCs w:val="20"/>
                <w:lang w:val="en-IN" w:eastAsia="en-IN"/>
              </w:rPr>
            </w:pPr>
            <w:r w:rsidRPr="00747C17">
              <w:rPr>
                <w:rFonts w:eastAsia="Times New Roman" w:cs="Calibri"/>
                <w:color w:val="FFFFFF"/>
                <w:sz w:val="20"/>
                <w:szCs w:val="20"/>
                <w:lang w:val="en-IN" w:eastAsia="en-IN"/>
              </w:rPr>
              <w:t>Quantity Unit</w:t>
            </w:r>
          </w:p>
        </w:tc>
        <w:tc>
          <w:tcPr>
            <w:tcW w:w="544" w:type="pct"/>
            <w:tcBorders>
              <w:top w:val="nil"/>
              <w:left w:val="nil"/>
              <w:bottom w:val="single" w:sz="12" w:space="0" w:color="95D600"/>
              <w:right w:val="nil"/>
            </w:tcBorders>
            <w:shd w:val="clear" w:color="000000" w:fill="036479"/>
            <w:vAlign w:val="center"/>
            <w:hideMark/>
          </w:tcPr>
          <w:p w14:paraId="7BED2861" w14:textId="77777777" w:rsidR="00A41155" w:rsidRPr="00747C17" w:rsidRDefault="00A41155" w:rsidP="00A41155">
            <w:pPr>
              <w:spacing w:after="0" w:line="240" w:lineRule="auto"/>
              <w:jc w:val="right"/>
              <w:rPr>
                <w:rFonts w:eastAsia="Times New Roman" w:cs="Calibri"/>
                <w:color w:val="FFFFFF"/>
                <w:sz w:val="20"/>
                <w:szCs w:val="20"/>
                <w:lang w:val="en-IN" w:eastAsia="en-IN"/>
              </w:rPr>
            </w:pPr>
            <w:r w:rsidRPr="00747C17">
              <w:rPr>
                <w:rFonts w:eastAsia="Times New Roman" w:cs="Calibri"/>
                <w:color w:val="FFFFFF"/>
                <w:sz w:val="20"/>
                <w:szCs w:val="20"/>
                <w:lang w:val="en-IN" w:eastAsia="en-IN"/>
              </w:rPr>
              <w:t>Installed Quantity</w:t>
            </w:r>
          </w:p>
        </w:tc>
      </w:tr>
      <w:tr w:rsidR="00A41155" w:rsidRPr="00747C17" w14:paraId="45E82303" w14:textId="77777777" w:rsidTr="008A1B40">
        <w:trPr>
          <w:trHeight w:val="231"/>
        </w:trPr>
        <w:tc>
          <w:tcPr>
            <w:tcW w:w="1010" w:type="pct"/>
            <w:tcBorders>
              <w:top w:val="single" w:sz="8" w:space="0" w:color="B3EFFD"/>
              <w:left w:val="nil"/>
              <w:bottom w:val="single" w:sz="8" w:space="0" w:color="036479"/>
              <w:right w:val="nil"/>
            </w:tcBorders>
            <w:noWrap/>
            <w:vAlign w:val="center"/>
            <w:hideMark/>
          </w:tcPr>
          <w:p w14:paraId="42FAD2C9" w14:textId="77777777" w:rsidR="00A41155" w:rsidRPr="00747C17" w:rsidRDefault="00A41155" w:rsidP="00A41155">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Private</w:t>
            </w:r>
          </w:p>
        </w:tc>
        <w:tc>
          <w:tcPr>
            <w:tcW w:w="961" w:type="pct"/>
            <w:tcBorders>
              <w:top w:val="single" w:sz="8" w:space="0" w:color="B3EFFD"/>
              <w:left w:val="nil"/>
              <w:bottom w:val="single" w:sz="8" w:space="0" w:color="036479"/>
              <w:right w:val="nil"/>
            </w:tcBorders>
            <w:vAlign w:val="center"/>
            <w:hideMark/>
          </w:tcPr>
          <w:p w14:paraId="2B753EBD" w14:textId="77777777" w:rsidR="00A41155" w:rsidRPr="00747C17" w:rsidRDefault="00A41155" w:rsidP="00A41155">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Public Housing</w:t>
            </w:r>
          </w:p>
        </w:tc>
        <w:tc>
          <w:tcPr>
            <w:tcW w:w="1953" w:type="pct"/>
            <w:tcBorders>
              <w:top w:val="single" w:sz="8" w:space="0" w:color="B3EFFD"/>
              <w:left w:val="nil"/>
              <w:bottom w:val="single" w:sz="8" w:space="0" w:color="036479"/>
              <w:right w:val="nil"/>
            </w:tcBorders>
            <w:vAlign w:val="center"/>
            <w:hideMark/>
          </w:tcPr>
          <w:p w14:paraId="4BF4AAB5" w14:textId="77777777" w:rsidR="00A41155" w:rsidRPr="00747C17" w:rsidRDefault="00A41155" w:rsidP="00A41155">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 xml:space="preserve">Covers and Gap Sealers for Room AC </w:t>
            </w:r>
          </w:p>
        </w:tc>
        <w:tc>
          <w:tcPr>
            <w:tcW w:w="532" w:type="pct"/>
            <w:tcBorders>
              <w:top w:val="single" w:sz="8" w:space="0" w:color="B3EFFD"/>
              <w:left w:val="nil"/>
              <w:bottom w:val="single" w:sz="8" w:space="0" w:color="036479"/>
              <w:right w:val="nil"/>
            </w:tcBorders>
            <w:vAlign w:val="center"/>
            <w:hideMark/>
          </w:tcPr>
          <w:p w14:paraId="0445B7A0" w14:textId="77777777" w:rsidR="00A41155" w:rsidRPr="00747C17" w:rsidRDefault="00A41155" w:rsidP="005F4135">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Each</w:t>
            </w:r>
          </w:p>
        </w:tc>
        <w:tc>
          <w:tcPr>
            <w:tcW w:w="544" w:type="pct"/>
            <w:tcBorders>
              <w:top w:val="single" w:sz="8" w:space="0" w:color="B3EFFD"/>
              <w:left w:val="nil"/>
              <w:bottom w:val="single" w:sz="8" w:space="0" w:color="036479"/>
              <w:right w:val="nil"/>
            </w:tcBorders>
            <w:noWrap/>
            <w:vAlign w:val="center"/>
            <w:hideMark/>
          </w:tcPr>
          <w:p w14:paraId="01A22EC0" w14:textId="73B7D854" w:rsidR="00A41155" w:rsidRPr="00747C17" w:rsidRDefault="00A41155" w:rsidP="00A41155">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1</w:t>
            </w:r>
            <w:r w:rsidR="00B77D7A" w:rsidRPr="00747C17">
              <w:rPr>
                <w:rFonts w:eastAsia="Times New Roman" w:cs="Calibri"/>
                <w:color w:val="000000"/>
                <w:sz w:val="20"/>
                <w:szCs w:val="20"/>
                <w:lang w:val="en-IN" w:eastAsia="en-IN"/>
              </w:rPr>
              <w:t>,</w:t>
            </w:r>
            <w:r w:rsidRPr="00747C17">
              <w:rPr>
                <w:rFonts w:eastAsia="Times New Roman" w:cs="Calibri"/>
                <w:color w:val="000000"/>
                <w:sz w:val="20"/>
                <w:szCs w:val="20"/>
                <w:lang w:val="en-IN" w:eastAsia="en-IN"/>
              </w:rPr>
              <w:t>514</w:t>
            </w:r>
          </w:p>
        </w:tc>
      </w:tr>
    </w:tbl>
    <w:p w14:paraId="549D125F" w14:textId="77777777" w:rsidR="00795F73" w:rsidRDefault="00795F73" w:rsidP="0053168E">
      <w:pPr>
        <w:pStyle w:val="TableFigureSourceorNote"/>
      </w:pPr>
      <w:r w:rsidRPr="00651E3A">
        <w:t xml:space="preserve">Source: </w:t>
      </w:r>
      <w:r>
        <w:t xml:space="preserve">Peoples Gas tracking data and evaluation team </w:t>
      </w:r>
      <w:r w:rsidRPr="00651E3A">
        <w:t>analysis.</w:t>
      </w:r>
    </w:p>
    <w:p w14:paraId="7D58219E" w14:textId="77777777" w:rsidR="00D57B5A" w:rsidRDefault="00D57B5A" w:rsidP="007C76D9"/>
    <w:p w14:paraId="0844C9B4" w14:textId="193CB6B3" w:rsidR="006D22B3" w:rsidRDefault="006D22B3" w:rsidP="006D22B3">
      <w:r>
        <w:t xml:space="preserve">The NSG PHES program had </w:t>
      </w:r>
      <w:r w:rsidR="00473582">
        <w:t>1</w:t>
      </w:r>
      <w:r>
        <w:t xml:space="preserve"> </w:t>
      </w:r>
      <w:r w:rsidR="00882C00">
        <w:t>participant</w:t>
      </w:r>
      <w:r>
        <w:t xml:space="preserve"> in 202</w:t>
      </w:r>
      <w:r w:rsidR="00473582">
        <w:t>5</w:t>
      </w:r>
      <w:r>
        <w:t xml:space="preserve">, completed </w:t>
      </w:r>
      <w:r w:rsidR="00473582">
        <w:t>1</w:t>
      </w:r>
      <w:r>
        <w:t xml:space="preserve"> project, and installed </w:t>
      </w:r>
      <w:r w:rsidR="00473582">
        <w:t>1</w:t>
      </w:r>
      <w:r>
        <w:t xml:space="preserve"> measure type, as shown in </w:t>
      </w:r>
      <w:r w:rsidR="00A05164">
        <w:fldChar w:fldCharType="begin"/>
      </w:r>
      <w:r w:rsidR="00A05164">
        <w:instrText xml:space="preserve"> REF _Ref224069100 \h </w:instrText>
      </w:r>
      <w:r w:rsidR="00A05164">
        <w:fldChar w:fldCharType="separate"/>
      </w:r>
      <w:r w:rsidR="00803485">
        <w:t xml:space="preserve">Table </w:t>
      </w:r>
      <w:r w:rsidR="00803485">
        <w:rPr>
          <w:noProof/>
        </w:rPr>
        <w:t>12</w:t>
      </w:r>
      <w:r w:rsidR="00A05164">
        <w:fldChar w:fldCharType="end"/>
      </w:r>
      <w:r w:rsidR="00377C68">
        <w:t>.</w:t>
      </w:r>
    </w:p>
    <w:p w14:paraId="34409C5A" w14:textId="525F51D6" w:rsidR="00CA6B53" w:rsidRDefault="00A05164" w:rsidP="00F671C0">
      <w:pPr>
        <w:pStyle w:val="Caption"/>
      </w:pPr>
      <w:bookmarkStart w:id="64" w:name="_Ref224069100"/>
      <w:bookmarkStart w:id="65" w:name="_Toc224230110"/>
      <w:r>
        <w:t xml:space="preserve">Table </w:t>
      </w:r>
      <w:r>
        <w:fldChar w:fldCharType="begin"/>
      </w:r>
      <w:r>
        <w:instrText>SEQ Table \* ARABIC</w:instrText>
      </w:r>
      <w:r>
        <w:fldChar w:fldCharType="separate"/>
      </w:r>
      <w:r w:rsidR="00803485">
        <w:rPr>
          <w:noProof/>
        </w:rPr>
        <w:t>12</w:t>
      </w:r>
      <w:r>
        <w:fldChar w:fldCharType="end"/>
      </w:r>
      <w:bookmarkEnd w:id="64"/>
      <w:r>
        <w:t>.</w:t>
      </w:r>
      <w:r w:rsidRPr="00A05164">
        <w:t xml:space="preserve"> Volumetric Summary for N</w:t>
      </w:r>
      <w:r w:rsidR="00377C68">
        <w:t>S</w:t>
      </w:r>
      <w:r w:rsidRPr="00A05164">
        <w:t>G</w:t>
      </w:r>
      <w:r w:rsidR="00377C68">
        <w:t xml:space="preserve"> </w:t>
      </w:r>
      <w:r w:rsidRPr="00B50B05">
        <w:t>–</w:t>
      </w:r>
      <w:r w:rsidR="00377C68">
        <w:t xml:space="preserve"> </w:t>
      </w:r>
      <w:r w:rsidR="00C1453C">
        <w:t>Public Housing</w:t>
      </w:r>
      <w:bookmarkEnd w:id="65"/>
    </w:p>
    <w:tbl>
      <w:tblPr>
        <w:tblW w:w="3029" w:type="pct"/>
        <w:jc w:val="center"/>
        <w:tblLook w:val="04A0" w:firstRow="1" w:lastRow="0" w:firstColumn="1" w:lastColumn="0" w:noHBand="0" w:noVBand="1"/>
      </w:tblPr>
      <w:tblGrid>
        <w:gridCol w:w="3960"/>
        <w:gridCol w:w="1710"/>
      </w:tblGrid>
      <w:tr w:rsidR="00377C68" w:rsidRPr="00747C17" w14:paraId="4F86ECD6" w14:textId="77777777" w:rsidTr="00377C68">
        <w:trPr>
          <w:trHeight w:val="583"/>
          <w:jc w:val="center"/>
        </w:trPr>
        <w:tc>
          <w:tcPr>
            <w:tcW w:w="3492" w:type="pct"/>
            <w:tcBorders>
              <w:top w:val="nil"/>
              <w:left w:val="nil"/>
              <w:bottom w:val="single" w:sz="12" w:space="0" w:color="95D600"/>
              <w:right w:val="nil"/>
            </w:tcBorders>
            <w:shd w:val="clear" w:color="000000" w:fill="036479"/>
            <w:vAlign w:val="center"/>
            <w:hideMark/>
          </w:tcPr>
          <w:p w14:paraId="133C0EF9" w14:textId="77777777" w:rsidR="00377C68" w:rsidRPr="00747C17" w:rsidRDefault="00377C68" w:rsidP="00656625">
            <w:pPr>
              <w:spacing w:after="0" w:line="240" w:lineRule="auto"/>
              <w:rPr>
                <w:rFonts w:eastAsia="Times New Roman" w:cs="Calibri"/>
                <w:color w:val="FFFFFF"/>
                <w:sz w:val="20"/>
                <w:szCs w:val="20"/>
                <w:lang w:val="en-IN" w:eastAsia="en-IN"/>
              </w:rPr>
            </w:pPr>
            <w:r w:rsidRPr="00747C17">
              <w:rPr>
                <w:rFonts w:eastAsia="Times New Roman" w:cs="Calibri"/>
                <w:color w:val="FFFFFF"/>
                <w:sz w:val="20"/>
                <w:szCs w:val="20"/>
                <w:lang w:val="en-IN" w:eastAsia="en-IN"/>
              </w:rPr>
              <w:t>Participation</w:t>
            </w:r>
          </w:p>
        </w:tc>
        <w:tc>
          <w:tcPr>
            <w:tcW w:w="1508" w:type="pct"/>
            <w:tcBorders>
              <w:top w:val="nil"/>
              <w:left w:val="nil"/>
              <w:bottom w:val="single" w:sz="12" w:space="0" w:color="95D600"/>
              <w:right w:val="nil"/>
            </w:tcBorders>
            <w:shd w:val="clear" w:color="000000" w:fill="036479"/>
            <w:vAlign w:val="center"/>
            <w:hideMark/>
          </w:tcPr>
          <w:p w14:paraId="0217143E" w14:textId="77777777" w:rsidR="00377C68" w:rsidRPr="00747C17" w:rsidRDefault="00377C68" w:rsidP="00656625">
            <w:pPr>
              <w:spacing w:after="0" w:line="240" w:lineRule="auto"/>
              <w:jc w:val="right"/>
              <w:rPr>
                <w:rFonts w:eastAsia="Times New Roman" w:cs="Calibri"/>
                <w:color w:val="FFFFFF"/>
                <w:sz w:val="20"/>
                <w:szCs w:val="20"/>
                <w:lang w:val="en-IN" w:eastAsia="en-IN"/>
              </w:rPr>
            </w:pPr>
            <w:r w:rsidRPr="00747C17">
              <w:rPr>
                <w:rFonts w:eastAsia="Times New Roman" w:cs="Calibri"/>
                <w:color w:val="FFFFFF"/>
                <w:sz w:val="20"/>
                <w:szCs w:val="20"/>
                <w:lang w:val="en-IN" w:eastAsia="en-IN"/>
              </w:rPr>
              <w:t>Public Housing</w:t>
            </w:r>
          </w:p>
        </w:tc>
      </w:tr>
      <w:tr w:rsidR="00377C68" w:rsidRPr="00747C17" w14:paraId="337727AE" w14:textId="77777777" w:rsidTr="00377C68">
        <w:trPr>
          <w:trHeight w:val="300"/>
          <w:jc w:val="center"/>
        </w:trPr>
        <w:tc>
          <w:tcPr>
            <w:tcW w:w="3492" w:type="pct"/>
            <w:tcBorders>
              <w:top w:val="nil"/>
              <w:left w:val="nil"/>
              <w:bottom w:val="single" w:sz="8" w:space="0" w:color="B3EFFD"/>
              <w:right w:val="nil"/>
            </w:tcBorders>
            <w:shd w:val="clear" w:color="000000" w:fill="FFFFFF"/>
            <w:vAlign w:val="center"/>
            <w:hideMark/>
          </w:tcPr>
          <w:p w14:paraId="0F90FF24" w14:textId="77777777" w:rsidR="00377C68" w:rsidRPr="00747C17" w:rsidRDefault="00377C68" w:rsidP="00656625">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Participants *</w:t>
            </w:r>
          </w:p>
        </w:tc>
        <w:tc>
          <w:tcPr>
            <w:tcW w:w="1508" w:type="pct"/>
            <w:tcBorders>
              <w:top w:val="nil"/>
              <w:left w:val="nil"/>
              <w:bottom w:val="single" w:sz="8" w:space="0" w:color="B3EFFD"/>
              <w:right w:val="nil"/>
            </w:tcBorders>
            <w:shd w:val="clear" w:color="000000" w:fill="FFFFFF"/>
            <w:vAlign w:val="center"/>
            <w:hideMark/>
          </w:tcPr>
          <w:p w14:paraId="4898BF73" w14:textId="77777777" w:rsidR="00377C68" w:rsidRPr="00747C17" w:rsidRDefault="00377C68" w:rsidP="00656625">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1</w:t>
            </w:r>
          </w:p>
        </w:tc>
      </w:tr>
      <w:tr w:rsidR="00377C68" w:rsidRPr="00747C17" w14:paraId="7420A103" w14:textId="77777777" w:rsidTr="00377C68">
        <w:trPr>
          <w:trHeight w:val="300"/>
          <w:jc w:val="center"/>
        </w:trPr>
        <w:tc>
          <w:tcPr>
            <w:tcW w:w="3492" w:type="pct"/>
            <w:tcBorders>
              <w:top w:val="nil"/>
              <w:left w:val="nil"/>
              <w:bottom w:val="single" w:sz="8" w:space="0" w:color="B3EFFD"/>
              <w:right w:val="nil"/>
            </w:tcBorders>
            <w:shd w:val="clear" w:color="000000" w:fill="FFFFFF"/>
            <w:vAlign w:val="center"/>
            <w:hideMark/>
          </w:tcPr>
          <w:p w14:paraId="7D3A1FEA" w14:textId="77777777" w:rsidR="00377C68" w:rsidRPr="00747C17" w:rsidRDefault="00377C68" w:rsidP="00656625">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Installed Projects †</w:t>
            </w:r>
          </w:p>
        </w:tc>
        <w:tc>
          <w:tcPr>
            <w:tcW w:w="1508" w:type="pct"/>
            <w:tcBorders>
              <w:top w:val="nil"/>
              <w:left w:val="nil"/>
              <w:bottom w:val="single" w:sz="8" w:space="0" w:color="B3EFFD"/>
              <w:right w:val="nil"/>
            </w:tcBorders>
            <w:shd w:val="clear" w:color="000000" w:fill="FFFFFF"/>
            <w:vAlign w:val="center"/>
            <w:hideMark/>
          </w:tcPr>
          <w:p w14:paraId="39E74ED1" w14:textId="77777777" w:rsidR="00377C68" w:rsidRPr="00747C17" w:rsidRDefault="00377C68" w:rsidP="00656625">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1</w:t>
            </w:r>
          </w:p>
        </w:tc>
      </w:tr>
      <w:tr w:rsidR="00377C68" w:rsidRPr="00747C17" w14:paraId="2F53639A" w14:textId="77777777" w:rsidTr="00377C68">
        <w:trPr>
          <w:trHeight w:val="300"/>
          <w:jc w:val="center"/>
        </w:trPr>
        <w:tc>
          <w:tcPr>
            <w:tcW w:w="3492" w:type="pct"/>
            <w:tcBorders>
              <w:top w:val="nil"/>
              <w:left w:val="nil"/>
              <w:bottom w:val="single" w:sz="8" w:space="0" w:color="036479"/>
              <w:right w:val="nil"/>
            </w:tcBorders>
            <w:vAlign w:val="center"/>
            <w:hideMark/>
          </w:tcPr>
          <w:p w14:paraId="22CDEC19" w14:textId="77777777" w:rsidR="00377C68" w:rsidRPr="00747C17" w:rsidRDefault="00377C68" w:rsidP="00656625">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Measure Types Installed ‡</w:t>
            </w:r>
          </w:p>
        </w:tc>
        <w:tc>
          <w:tcPr>
            <w:tcW w:w="1508" w:type="pct"/>
            <w:tcBorders>
              <w:top w:val="nil"/>
              <w:left w:val="nil"/>
              <w:bottom w:val="single" w:sz="8" w:space="0" w:color="036479"/>
              <w:right w:val="nil"/>
            </w:tcBorders>
            <w:vAlign w:val="center"/>
            <w:hideMark/>
          </w:tcPr>
          <w:p w14:paraId="50E7463C" w14:textId="77777777" w:rsidR="00377C68" w:rsidRPr="00747C17" w:rsidRDefault="00377C68" w:rsidP="00656625">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1</w:t>
            </w:r>
          </w:p>
        </w:tc>
      </w:tr>
    </w:tbl>
    <w:p w14:paraId="636625BA" w14:textId="2EF15E3C" w:rsidR="00462E0F" w:rsidRPr="00310E84" w:rsidRDefault="00462E0F" w:rsidP="0053168E">
      <w:pPr>
        <w:pStyle w:val="FootnoteText"/>
        <w:ind w:left="2160"/>
        <w:rPr>
          <w:i/>
          <w:iCs/>
        </w:rPr>
      </w:pPr>
      <w:r w:rsidRPr="00310E84">
        <w:rPr>
          <w:i/>
          <w:iCs/>
        </w:rPr>
        <w:t xml:space="preserve">* Participants are defined as distinct count of </w:t>
      </w:r>
      <w:r w:rsidR="00DD202D" w:rsidRPr="00310E84">
        <w:rPr>
          <w:i/>
          <w:iCs/>
        </w:rPr>
        <w:t>account numbers</w:t>
      </w:r>
      <w:r w:rsidRPr="00310E84">
        <w:rPr>
          <w:i/>
          <w:iCs/>
        </w:rPr>
        <w:t>.</w:t>
      </w:r>
    </w:p>
    <w:p w14:paraId="60C24E73" w14:textId="5547EAFC" w:rsidR="00462E0F" w:rsidRPr="00310E84" w:rsidRDefault="00462E0F" w:rsidP="0053168E">
      <w:pPr>
        <w:pStyle w:val="FootnoteText"/>
        <w:ind w:left="2160"/>
        <w:rPr>
          <w:i/>
          <w:iCs/>
        </w:rPr>
      </w:pPr>
      <w:r w:rsidRPr="00310E84">
        <w:rPr>
          <w:i/>
          <w:iCs/>
        </w:rPr>
        <w:t>† Installed Projects are defined as distinct count of project ID</w:t>
      </w:r>
      <w:r w:rsidR="0051460B" w:rsidRPr="00310E84">
        <w:rPr>
          <w:i/>
          <w:iCs/>
        </w:rPr>
        <w:t>s</w:t>
      </w:r>
      <w:r w:rsidRPr="00310E84">
        <w:rPr>
          <w:i/>
          <w:iCs/>
        </w:rPr>
        <w:t>.</w:t>
      </w:r>
    </w:p>
    <w:p w14:paraId="1948719D" w14:textId="1A75F662" w:rsidR="00462E0F" w:rsidRPr="00310E84" w:rsidRDefault="00462E0F" w:rsidP="0053168E">
      <w:pPr>
        <w:pStyle w:val="FootnoteText"/>
        <w:ind w:left="2160"/>
        <w:rPr>
          <w:i/>
          <w:iCs/>
        </w:rPr>
      </w:pPr>
      <w:r w:rsidRPr="00310E84">
        <w:rPr>
          <w:i/>
          <w:iCs/>
        </w:rPr>
        <w:t>‡ Measure Types Installed are the distinct count of NSG measure names</w:t>
      </w:r>
      <w:r w:rsidR="0051460B" w:rsidRPr="00310E84">
        <w:rPr>
          <w:i/>
          <w:iCs/>
        </w:rPr>
        <w:t>.</w:t>
      </w:r>
    </w:p>
    <w:p w14:paraId="0B3B53BA" w14:textId="77777777" w:rsidR="00462E0F" w:rsidRPr="00310E84" w:rsidRDefault="00462E0F" w:rsidP="0053168E">
      <w:pPr>
        <w:pStyle w:val="TableFigureSourceorNote"/>
        <w:ind w:left="1440" w:firstLine="720"/>
        <w:rPr>
          <w:iCs/>
        </w:rPr>
      </w:pPr>
      <w:r w:rsidRPr="00310E84">
        <w:rPr>
          <w:iCs/>
        </w:rPr>
        <w:t>Source: North Shore Gas tracking data and Guidehouse evaluation team analysis.</w:t>
      </w:r>
    </w:p>
    <w:p w14:paraId="5951317E" w14:textId="77777777" w:rsidR="00BA76E1" w:rsidRDefault="00BA76E1" w:rsidP="006D22B3"/>
    <w:p w14:paraId="0265EB82" w14:textId="0ED5BF5E" w:rsidR="00DB2B0A" w:rsidRDefault="00C928A3" w:rsidP="00DB2B0A">
      <w:r>
        <w:lastRenderedPageBreak/>
        <w:fldChar w:fldCharType="begin"/>
      </w:r>
      <w:r>
        <w:instrText xml:space="preserve"> REF _Ref224069267 \h </w:instrText>
      </w:r>
      <w:r>
        <w:fldChar w:fldCharType="separate"/>
      </w:r>
      <w:r w:rsidR="00803485">
        <w:t xml:space="preserve">Table </w:t>
      </w:r>
      <w:r w:rsidR="00803485">
        <w:rPr>
          <w:noProof/>
        </w:rPr>
        <w:t>13</w:t>
      </w:r>
      <w:r>
        <w:fldChar w:fldCharType="end"/>
      </w:r>
      <w:r>
        <w:t xml:space="preserve"> </w:t>
      </w:r>
      <w:r w:rsidR="00DB2B0A">
        <w:t>summarizes the installed measure quantities that are the basis for verified energy savings for NSG.</w:t>
      </w:r>
    </w:p>
    <w:p w14:paraId="4FE30E92" w14:textId="790A2ABA" w:rsidR="0009245A" w:rsidRDefault="00C928A3" w:rsidP="00F671C0">
      <w:pPr>
        <w:pStyle w:val="Caption"/>
      </w:pPr>
      <w:bookmarkStart w:id="66" w:name="_Ref224069267"/>
      <w:bookmarkStart w:id="67" w:name="_Toc224230111"/>
      <w:r>
        <w:t xml:space="preserve">Table </w:t>
      </w:r>
      <w:r>
        <w:fldChar w:fldCharType="begin"/>
      </w:r>
      <w:r>
        <w:instrText>SEQ Table \* ARABIC</w:instrText>
      </w:r>
      <w:r>
        <w:fldChar w:fldCharType="separate"/>
      </w:r>
      <w:r w:rsidR="00803485">
        <w:rPr>
          <w:noProof/>
        </w:rPr>
        <w:t>13</w:t>
      </w:r>
      <w:r>
        <w:fldChar w:fldCharType="end"/>
      </w:r>
      <w:bookmarkEnd w:id="66"/>
      <w:r>
        <w:t>.</w:t>
      </w:r>
      <w:r w:rsidRPr="00C928A3">
        <w:t xml:space="preserve"> Installed Measure Quantities for NSG</w:t>
      </w:r>
      <w:r w:rsidR="00377C68">
        <w:t xml:space="preserve"> </w:t>
      </w:r>
      <w:r w:rsidRPr="00C928A3">
        <w:t>–</w:t>
      </w:r>
      <w:r w:rsidR="00377C68">
        <w:t xml:space="preserve"> P</w:t>
      </w:r>
      <w:r w:rsidR="008A1B40">
        <w:t>ublic Housing</w:t>
      </w:r>
      <w:bookmarkEnd w:id="67"/>
    </w:p>
    <w:tbl>
      <w:tblPr>
        <w:tblW w:w="5000" w:type="pct"/>
        <w:tblLook w:val="04A0" w:firstRow="1" w:lastRow="0" w:firstColumn="1" w:lastColumn="0" w:noHBand="0" w:noVBand="1"/>
      </w:tblPr>
      <w:tblGrid>
        <w:gridCol w:w="2125"/>
        <w:gridCol w:w="1767"/>
        <w:gridCol w:w="1717"/>
        <w:gridCol w:w="1632"/>
        <w:gridCol w:w="2119"/>
      </w:tblGrid>
      <w:tr w:rsidR="00783D1B" w:rsidRPr="00747C17" w14:paraId="4567889C" w14:textId="77777777" w:rsidTr="00783D1B">
        <w:trPr>
          <w:trHeight w:val="530"/>
        </w:trPr>
        <w:tc>
          <w:tcPr>
            <w:tcW w:w="1135" w:type="pct"/>
            <w:tcBorders>
              <w:top w:val="nil"/>
              <w:left w:val="nil"/>
              <w:bottom w:val="single" w:sz="12" w:space="0" w:color="95D600"/>
              <w:right w:val="nil"/>
            </w:tcBorders>
            <w:shd w:val="clear" w:color="000000" w:fill="036479"/>
            <w:vAlign w:val="center"/>
            <w:hideMark/>
          </w:tcPr>
          <w:p w14:paraId="1914652E" w14:textId="77777777" w:rsidR="00783D1B" w:rsidRPr="00747C17" w:rsidRDefault="00783D1B" w:rsidP="00783D1B">
            <w:pPr>
              <w:spacing w:after="0" w:line="240" w:lineRule="auto"/>
              <w:rPr>
                <w:rFonts w:eastAsia="Times New Roman" w:cs="Calibri"/>
                <w:color w:val="FFFFFF"/>
                <w:sz w:val="20"/>
                <w:szCs w:val="20"/>
                <w:lang w:val="en-IN" w:eastAsia="en-IN"/>
              </w:rPr>
            </w:pPr>
            <w:r w:rsidRPr="00747C17">
              <w:rPr>
                <w:rFonts w:eastAsia="Times New Roman" w:cs="Calibri"/>
                <w:color w:val="FFFFFF"/>
                <w:sz w:val="20"/>
                <w:szCs w:val="20"/>
                <w:lang w:val="en-IN" w:eastAsia="en-IN"/>
              </w:rPr>
              <w:t>Program Category</w:t>
            </w:r>
          </w:p>
        </w:tc>
        <w:tc>
          <w:tcPr>
            <w:tcW w:w="944" w:type="pct"/>
            <w:tcBorders>
              <w:top w:val="nil"/>
              <w:left w:val="nil"/>
              <w:bottom w:val="single" w:sz="12" w:space="0" w:color="95D600"/>
              <w:right w:val="nil"/>
            </w:tcBorders>
            <w:shd w:val="clear" w:color="000000" w:fill="036479"/>
            <w:vAlign w:val="center"/>
            <w:hideMark/>
          </w:tcPr>
          <w:p w14:paraId="3E7A5553" w14:textId="77777777" w:rsidR="00783D1B" w:rsidRPr="00747C17" w:rsidRDefault="00783D1B" w:rsidP="00783D1B">
            <w:pPr>
              <w:spacing w:after="0" w:line="240" w:lineRule="auto"/>
              <w:rPr>
                <w:rFonts w:eastAsia="Times New Roman" w:cs="Calibri"/>
                <w:color w:val="FFFFFF"/>
                <w:sz w:val="20"/>
                <w:szCs w:val="20"/>
                <w:lang w:val="en-IN" w:eastAsia="en-IN"/>
              </w:rPr>
            </w:pPr>
            <w:r w:rsidRPr="00747C17">
              <w:rPr>
                <w:rFonts w:eastAsia="Times New Roman" w:cs="Calibri"/>
                <w:color w:val="FFFFFF"/>
                <w:sz w:val="20"/>
                <w:szCs w:val="20"/>
                <w:lang w:val="en-IN" w:eastAsia="en-IN"/>
              </w:rPr>
              <w:t>Program Path</w:t>
            </w:r>
          </w:p>
        </w:tc>
        <w:tc>
          <w:tcPr>
            <w:tcW w:w="917" w:type="pct"/>
            <w:tcBorders>
              <w:top w:val="nil"/>
              <w:left w:val="nil"/>
              <w:bottom w:val="single" w:sz="12" w:space="0" w:color="95D600"/>
              <w:right w:val="nil"/>
            </w:tcBorders>
            <w:shd w:val="clear" w:color="000000" w:fill="036479"/>
            <w:vAlign w:val="center"/>
            <w:hideMark/>
          </w:tcPr>
          <w:p w14:paraId="76283328" w14:textId="77777777" w:rsidR="00783D1B" w:rsidRPr="00747C17" w:rsidRDefault="00783D1B" w:rsidP="00783D1B">
            <w:pPr>
              <w:spacing w:after="0" w:line="240" w:lineRule="auto"/>
              <w:rPr>
                <w:rFonts w:eastAsia="Times New Roman" w:cs="Calibri"/>
                <w:color w:val="FFFFFF"/>
                <w:sz w:val="20"/>
                <w:szCs w:val="20"/>
                <w:lang w:val="en-IN" w:eastAsia="en-IN"/>
              </w:rPr>
            </w:pPr>
            <w:r w:rsidRPr="00747C17">
              <w:rPr>
                <w:rFonts w:eastAsia="Times New Roman" w:cs="Calibri"/>
                <w:color w:val="FFFFFF"/>
                <w:sz w:val="20"/>
                <w:szCs w:val="20"/>
                <w:lang w:val="en-IN" w:eastAsia="en-IN"/>
              </w:rPr>
              <w:t>Measure</w:t>
            </w:r>
          </w:p>
        </w:tc>
        <w:tc>
          <w:tcPr>
            <w:tcW w:w="872" w:type="pct"/>
            <w:tcBorders>
              <w:top w:val="nil"/>
              <w:left w:val="nil"/>
              <w:bottom w:val="single" w:sz="12" w:space="0" w:color="95D600"/>
              <w:right w:val="nil"/>
            </w:tcBorders>
            <w:shd w:val="clear" w:color="000000" w:fill="036479"/>
            <w:vAlign w:val="center"/>
            <w:hideMark/>
          </w:tcPr>
          <w:p w14:paraId="7F3F75D8" w14:textId="77777777" w:rsidR="00783D1B" w:rsidRPr="00747C17" w:rsidRDefault="00783D1B" w:rsidP="005F4135">
            <w:pPr>
              <w:spacing w:after="0" w:line="240" w:lineRule="auto"/>
              <w:rPr>
                <w:rFonts w:eastAsia="Times New Roman" w:cs="Calibri"/>
                <w:color w:val="FFFFFF"/>
                <w:sz w:val="20"/>
                <w:szCs w:val="20"/>
                <w:lang w:val="en-IN" w:eastAsia="en-IN"/>
              </w:rPr>
            </w:pPr>
            <w:r w:rsidRPr="00747C17">
              <w:rPr>
                <w:rFonts w:eastAsia="Times New Roman" w:cs="Calibri"/>
                <w:color w:val="FFFFFF"/>
                <w:sz w:val="20"/>
                <w:szCs w:val="20"/>
                <w:lang w:val="en-IN" w:eastAsia="en-IN"/>
              </w:rPr>
              <w:t>Quantity Unit</w:t>
            </w:r>
          </w:p>
        </w:tc>
        <w:tc>
          <w:tcPr>
            <w:tcW w:w="1132" w:type="pct"/>
            <w:tcBorders>
              <w:top w:val="nil"/>
              <w:left w:val="nil"/>
              <w:bottom w:val="single" w:sz="12" w:space="0" w:color="95D600"/>
              <w:right w:val="nil"/>
            </w:tcBorders>
            <w:shd w:val="clear" w:color="000000" w:fill="036479"/>
            <w:vAlign w:val="center"/>
            <w:hideMark/>
          </w:tcPr>
          <w:p w14:paraId="4098EA76" w14:textId="77777777" w:rsidR="00783D1B" w:rsidRPr="00747C17" w:rsidRDefault="00783D1B" w:rsidP="00783D1B">
            <w:pPr>
              <w:spacing w:after="0" w:line="240" w:lineRule="auto"/>
              <w:jc w:val="right"/>
              <w:rPr>
                <w:rFonts w:eastAsia="Times New Roman" w:cs="Calibri"/>
                <w:color w:val="FFFFFF"/>
                <w:sz w:val="20"/>
                <w:szCs w:val="20"/>
                <w:lang w:val="en-IN" w:eastAsia="en-IN"/>
              </w:rPr>
            </w:pPr>
            <w:r w:rsidRPr="00747C17">
              <w:rPr>
                <w:rFonts w:eastAsia="Times New Roman" w:cs="Calibri"/>
                <w:color w:val="FFFFFF"/>
                <w:sz w:val="20"/>
                <w:szCs w:val="20"/>
                <w:lang w:val="en-IN" w:eastAsia="en-IN"/>
              </w:rPr>
              <w:t>Installed Quantity</w:t>
            </w:r>
          </w:p>
        </w:tc>
      </w:tr>
      <w:tr w:rsidR="00783D1B" w:rsidRPr="00747C17" w14:paraId="69669F98" w14:textId="77777777" w:rsidTr="00783D1B">
        <w:trPr>
          <w:trHeight w:val="310"/>
        </w:trPr>
        <w:tc>
          <w:tcPr>
            <w:tcW w:w="1135" w:type="pct"/>
            <w:tcBorders>
              <w:top w:val="single" w:sz="8" w:space="0" w:color="B3EFFD"/>
              <w:left w:val="nil"/>
              <w:bottom w:val="single" w:sz="8" w:space="0" w:color="036479"/>
              <w:right w:val="nil"/>
            </w:tcBorders>
            <w:vAlign w:val="center"/>
            <w:hideMark/>
          </w:tcPr>
          <w:p w14:paraId="2FF0970C" w14:textId="7CB90174" w:rsidR="00783D1B" w:rsidRPr="00747C17" w:rsidRDefault="00C64618" w:rsidP="00783D1B">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Public</w:t>
            </w:r>
          </w:p>
        </w:tc>
        <w:tc>
          <w:tcPr>
            <w:tcW w:w="944" w:type="pct"/>
            <w:tcBorders>
              <w:top w:val="single" w:sz="8" w:space="0" w:color="B3EFFD"/>
              <w:left w:val="nil"/>
              <w:bottom w:val="single" w:sz="8" w:space="0" w:color="036479"/>
              <w:right w:val="nil"/>
            </w:tcBorders>
            <w:vAlign w:val="center"/>
            <w:hideMark/>
          </w:tcPr>
          <w:p w14:paraId="3BDF810D" w14:textId="77777777" w:rsidR="00783D1B" w:rsidRPr="00747C17" w:rsidRDefault="00783D1B" w:rsidP="00783D1B">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Public Housing</w:t>
            </w:r>
          </w:p>
        </w:tc>
        <w:tc>
          <w:tcPr>
            <w:tcW w:w="917" w:type="pct"/>
            <w:tcBorders>
              <w:top w:val="single" w:sz="8" w:space="0" w:color="B3EFFD"/>
              <w:left w:val="nil"/>
              <w:bottom w:val="single" w:sz="8" w:space="0" w:color="036479"/>
              <w:right w:val="nil"/>
            </w:tcBorders>
            <w:vAlign w:val="center"/>
            <w:hideMark/>
          </w:tcPr>
          <w:p w14:paraId="08669376" w14:textId="77777777" w:rsidR="00783D1B" w:rsidRPr="00747C17" w:rsidRDefault="00783D1B" w:rsidP="00783D1B">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Boiler Tune Up</w:t>
            </w:r>
          </w:p>
        </w:tc>
        <w:tc>
          <w:tcPr>
            <w:tcW w:w="872" w:type="pct"/>
            <w:tcBorders>
              <w:top w:val="single" w:sz="8" w:space="0" w:color="B3EFFD"/>
              <w:left w:val="nil"/>
              <w:bottom w:val="single" w:sz="8" w:space="0" w:color="036479"/>
              <w:right w:val="nil"/>
            </w:tcBorders>
            <w:vAlign w:val="center"/>
            <w:hideMark/>
          </w:tcPr>
          <w:p w14:paraId="6233D122" w14:textId="77777777" w:rsidR="00783D1B" w:rsidRPr="00747C17" w:rsidRDefault="00783D1B" w:rsidP="005F4135">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MBH Input</w:t>
            </w:r>
          </w:p>
        </w:tc>
        <w:tc>
          <w:tcPr>
            <w:tcW w:w="1132" w:type="pct"/>
            <w:tcBorders>
              <w:top w:val="single" w:sz="8" w:space="0" w:color="B3EFFD"/>
              <w:left w:val="nil"/>
              <w:bottom w:val="single" w:sz="8" w:space="0" w:color="036479"/>
              <w:right w:val="nil"/>
            </w:tcBorders>
            <w:vAlign w:val="center"/>
            <w:hideMark/>
          </w:tcPr>
          <w:p w14:paraId="78EAF930" w14:textId="77777777" w:rsidR="00783D1B" w:rsidRPr="00747C17" w:rsidRDefault="00783D1B" w:rsidP="00783D1B">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6</w:t>
            </w:r>
          </w:p>
        </w:tc>
      </w:tr>
    </w:tbl>
    <w:p w14:paraId="6B65D503" w14:textId="65F2F1D6" w:rsidR="0009245A" w:rsidRDefault="00F06C5F" w:rsidP="00300579">
      <w:pPr>
        <w:pStyle w:val="TableFigureSourceorNote"/>
      </w:pPr>
      <w:r w:rsidRPr="00377C68">
        <w:t>Source: North Shore Gas tracking data and Guidehouse evaluation team analysis</w:t>
      </w:r>
      <w:r w:rsidR="00762D8D">
        <w:t>.</w:t>
      </w:r>
    </w:p>
    <w:p w14:paraId="14B75C24" w14:textId="77777777" w:rsidR="004F0461" w:rsidRDefault="004F0461" w:rsidP="004F0461">
      <w:pPr>
        <w:pStyle w:val="Heading2"/>
      </w:pPr>
      <w:bookmarkStart w:id="68" w:name="_Toc224332884"/>
      <w:r>
        <w:t>Program Savings Detail</w:t>
      </w:r>
      <w:bookmarkEnd w:id="68"/>
    </w:p>
    <w:p w14:paraId="3EE2AFD9" w14:textId="65A7D673" w:rsidR="00AD36FD" w:rsidRDefault="001F567D" w:rsidP="00AD36FD">
      <w:pPr>
        <w:keepNext/>
        <w:widowControl w:val="0"/>
      </w:pPr>
      <w:r>
        <w:fldChar w:fldCharType="begin"/>
      </w:r>
      <w:r>
        <w:instrText xml:space="preserve"> REF _Ref224069682 \h </w:instrText>
      </w:r>
      <w:r>
        <w:fldChar w:fldCharType="separate"/>
      </w:r>
      <w:r w:rsidR="00803485">
        <w:t xml:space="preserve">Table </w:t>
      </w:r>
      <w:r w:rsidR="00803485">
        <w:rPr>
          <w:noProof/>
        </w:rPr>
        <w:t>14</w:t>
      </w:r>
      <w:r>
        <w:fldChar w:fldCharType="end"/>
      </w:r>
      <w:r>
        <w:t xml:space="preserve"> </w:t>
      </w:r>
      <w:r w:rsidR="00AD36FD" w:rsidRPr="00A90B62">
        <w:t>summarize</w:t>
      </w:r>
      <w:r w:rsidR="00AD36FD">
        <w:t>s</w:t>
      </w:r>
      <w:r w:rsidR="00AD36FD" w:rsidRPr="00A90B62">
        <w:t xml:space="preserve"> the </w:t>
      </w:r>
      <w:r w:rsidR="00AD36FD">
        <w:t xml:space="preserve">energy </w:t>
      </w:r>
      <w:r w:rsidR="00AD36FD" w:rsidRPr="00A90B62">
        <w:t xml:space="preserve">savings the </w:t>
      </w:r>
      <w:r w:rsidR="00AD36FD">
        <w:t>PGL PHES p</w:t>
      </w:r>
      <w:r w:rsidR="00AD36FD" w:rsidRPr="00A90B62">
        <w:t>rogram</w:t>
      </w:r>
      <w:r w:rsidR="00AD36FD">
        <w:t xml:space="preserve"> achieved in 202</w:t>
      </w:r>
      <w:r w:rsidR="00882C00">
        <w:t>5</w:t>
      </w:r>
      <w:r w:rsidR="00AD36FD">
        <w:t>.</w:t>
      </w:r>
    </w:p>
    <w:p w14:paraId="40375303" w14:textId="1FBB4C39" w:rsidR="00B472B0" w:rsidRDefault="00F01B9B" w:rsidP="00F671C0">
      <w:pPr>
        <w:pStyle w:val="Caption"/>
      </w:pPr>
      <w:bookmarkStart w:id="69" w:name="_Ref224069682"/>
      <w:bookmarkStart w:id="70" w:name="_Toc224230112"/>
      <w:r>
        <w:t xml:space="preserve">Table </w:t>
      </w:r>
      <w:r>
        <w:fldChar w:fldCharType="begin"/>
      </w:r>
      <w:r>
        <w:instrText>SEQ Table \* ARABIC</w:instrText>
      </w:r>
      <w:r>
        <w:fldChar w:fldCharType="separate"/>
      </w:r>
      <w:r w:rsidR="00803485">
        <w:rPr>
          <w:noProof/>
        </w:rPr>
        <w:t>14</w:t>
      </w:r>
      <w:r>
        <w:fldChar w:fldCharType="end"/>
      </w:r>
      <w:bookmarkEnd w:id="69"/>
      <w:r>
        <w:t>.</w:t>
      </w:r>
      <w:r w:rsidR="00706B0F" w:rsidRPr="00706B0F">
        <w:t xml:space="preserve"> Annual Energy Savings Summary for PGL</w:t>
      </w:r>
      <w:r w:rsidR="00377C68">
        <w:t xml:space="preserve"> </w:t>
      </w:r>
      <w:r w:rsidR="00706B0F" w:rsidRPr="00706B0F">
        <w:t>–</w:t>
      </w:r>
      <w:r w:rsidR="00377C68">
        <w:t xml:space="preserve"> </w:t>
      </w:r>
      <w:r w:rsidR="00C1453C">
        <w:t>Public Housing</w:t>
      </w:r>
      <w:bookmarkEnd w:id="70"/>
    </w:p>
    <w:tbl>
      <w:tblPr>
        <w:tblW w:w="5000" w:type="pct"/>
        <w:tblLook w:val="04A0" w:firstRow="1" w:lastRow="0" w:firstColumn="1" w:lastColumn="0" w:noHBand="0" w:noVBand="1"/>
      </w:tblPr>
      <w:tblGrid>
        <w:gridCol w:w="1899"/>
        <w:gridCol w:w="1713"/>
        <w:gridCol w:w="1009"/>
        <w:gridCol w:w="1713"/>
        <w:gridCol w:w="807"/>
        <w:gridCol w:w="927"/>
        <w:gridCol w:w="1292"/>
      </w:tblGrid>
      <w:tr w:rsidR="00D11DD0" w:rsidRPr="00747C17" w14:paraId="798586B7" w14:textId="77777777" w:rsidTr="00D11DD0">
        <w:trPr>
          <w:trHeight w:val="945"/>
        </w:trPr>
        <w:tc>
          <w:tcPr>
            <w:tcW w:w="1015" w:type="pct"/>
            <w:tcBorders>
              <w:top w:val="nil"/>
              <w:left w:val="nil"/>
              <w:bottom w:val="single" w:sz="12" w:space="0" w:color="95D600"/>
              <w:right w:val="nil"/>
            </w:tcBorders>
            <w:shd w:val="clear" w:color="auto" w:fill="036479"/>
            <w:vAlign w:val="center"/>
            <w:hideMark/>
          </w:tcPr>
          <w:p w14:paraId="06CE789F" w14:textId="77777777" w:rsidR="00D11DD0" w:rsidRPr="00747C17" w:rsidRDefault="00D11DD0" w:rsidP="00927834">
            <w:pPr>
              <w:spacing w:after="0" w:line="240" w:lineRule="auto"/>
              <w:rPr>
                <w:rFonts w:eastAsia="Times New Roman" w:cs="Calibri"/>
                <w:color w:val="FFFFFF"/>
                <w:sz w:val="20"/>
                <w:szCs w:val="20"/>
                <w:lang w:val="en-IN" w:eastAsia="en-IN"/>
              </w:rPr>
            </w:pPr>
            <w:r w:rsidRPr="00747C17">
              <w:rPr>
                <w:rFonts w:eastAsia="Times New Roman" w:cs="Calibri"/>
                <w:color w:val="FFFFFF"/>
                <w:sz w:val="20"/>
                <w:szCs w:val="20"/>
                <w:lang w:val="en-IN" w:eastAsia="en-IN"/>
              </w:rPr>
              <w:t>Program Path</w:t>
            </w:r>
          </w:p>
        </w:tc>
        <w:tc>
          <w:tcPr>
            <w:tcW w:w="915" w:type="pct"/>
            <w:tcBorders>
              <w:top w:val="nil"/>
              <w:left w:val="nil"/>
              <w:bottom w:val="single" w:sz="12" w:space="0" w:color="95D600"/>
              <w:right w:val="nil"/>
            </w:tcBorders>
            <w:shd w:val="clear" w:color="auto" w:fill="036479"/>
            <w:vAlign w:val="center"/>
            <w:hideMark/>
          </w:tcPr>
          <w:p w14:paraId="39F62F7F" w14:textId="77777777" w:rsidR="00D11DD0" w:rsidRPr="00747C17" w:rsidRDefault="00D11DD0" w:rsidP="00927834">
            <w:pPr>
              <w:spacing w:after="0" w:line="240" w:lineRule="auto"/>
              <w:jc w:val="right"/>
              <w:rPr>
                <w:rFonts w:eastAsia="Times New Roman" w:cs="Calibri"/>
                <w:color w:val="FFFFFF"/>
                <w:sz w:val="20"/>
                <w:szCs w:val="20"/>
                <w:lang w:val="en-IN" w:eastAsia="en-IN"/>
              </w:rPr>
            </w:pPr>
            <w:r w:rsidRPr="00747C17">
              <w:rPr>
                <w:rFonts w:eastAsia="Times New Roman" w:cs="Calibri"/>
                <w:color w:val="FFFFFF"/>
                <w:sz w:val="20"/>
                <w:szCs w:val="20"/>
                <w:lang w:val="en-IN" w:eastAsia="en-IN"/>
              </w:rPr>
              <w:t xml:space="preserve"> Ex Ante Gross Savings (Therms) </w:t>
            </w:r>
          </w:p>
        </w:tc>
        <w:tc>
          <w:tcPr>
            <w:tcW w:w="539" w:type="pct"/>
            <w:tcBorders>
              <w:top w:val="nil"/>
              <w:left w:val="nil"/>
              <w:bottom w:val="single" w:sz="12" w:space="0" w:color="95D600"/>
              <w:right w:val="nil"/>
            </w:tcBorders>
            <w:shd w:val="clear" w:color="auto" w:fill="036479"/>
            <w:vAlign w:val="center"/>
            <w:hideMark/>
          </w:tcPr>
          <w:p w14:paraId="3488FCC5" w14:textId="77777777" w:rsidR="00D11DD0" w:rsidRPr="00747C17" w:rsidRDefault="00D11DD0" w:rsidP="00927834">
            <w:pPr>
              <w:spacing w:after="0" w:line="240" w:lineRule="auto"/>
              <w:jc w:val="right"/>
              <w:rPr>
                <w:rFonts w:eastAsia="Times New Roman" w:cs="Calibri"/>
                <w:color w:val="FFFFFF"/>
                <w:sz w:val="20"/>
                <w:szCs w:val="20"/>
                <w:lang w:val="en-IN" w:eastAsia="en-IN"/>
              </w:rPr>
            </w:pPr>
            <w:r w:rsidRPr="00747C17">
              <w:rPr>
                <w:rFonts w:eastAsia="Times New Roman" w:cs="Calibri"/>
                <w:color w:val="FFFFFF"/>
                <w:sz w:val="20"/>
                <w:szCs w:val="20"/>
                <w:lang w:val="en-IN" w:eastAsia="en-IN"/>
              </w:rPr>
              <w:t>Verified Gross RR*</w:t>
            </w:r>
          </w:p>
        </w:tc>
        <w:tc>
          <w:tcPr>
            <w:tcW w:w="915" w:type="pct"/>
            <w:tcBorders>
              <w:top w:val="nil"/>
              <w:left w:val="nil"/>
              <w:bottom w:val="single" w:sz="12" w:space="0" w:color="95D600"/>
              <w:right w:val="nil"/>
            </w:tcBorders>
            <w:shd w:val="clear" w:color="auto" w:fill="036479"/>
            <w:vAlign w:val="center"/>
            <w:hideMark/>
          </w:tcPr>
          <w:p w14:paraId="0655DF0C" w14:textId="77777777" w:rsidR="00D11DD0" w:rsidRPr="00747C17" w:rsidRDefault="00D11DD0" w:rsidP="00927834">
            <w:pPr>
              <w:spacing w:after="0" w:line="240" w:lineRule="auto"/>
              <w:jc w:val="right"/>
              <w:rPr>
                <w:rFonts w:eastAsia="Times New Roman" w:cs="Calibri"/>
                <w:color w:val="FFFFFF"/>
                <w:sz w:val="20"/>
                <w:szCs w:val="20"/>
                <w:lang w:val="en-IN" w:eastAsia="en-IN"/>
              </w:rPr>
            </w:pPr>
            <w:r w:rsidRPr="00747C17">
              <w:rPr>
                <w:rFonts w:eastAsia="Times New Roman" w:cs="Calibri"/>
                <w:color w:val="FFFFFF"/>
                <w:sz w:val="20"/>
                <w:szCs w:val="20"/>
                <w:lang w:val="en-IN" w:eastAsia="en-IN"/>
              </w:rPr>
              <w:t xml:space="preserve"> Verified Gross Savings (Therms) </w:t>
            </w:r>
          </w:p>
        </w:tc>
        <w:tc>
          <w:tcPr>
            <w:tcW w:w="431" w:type="pct"/>
            <w:tcBorders>
              <w:top w:val="nil"/>
              <w:left w:val="nil"/>
              <w:bottom w:val="single" w:sz="12" w:space="0" w:color="95D600"/>
              <w:right w:val="nil"/>
            </w:tcBorders>
            <w:shd w:val="clear" w:color="auto" w:fill="036479"/>
            <w:vAlign w:val="center"/>
            <w:hideMark/>
          </w:tcPr>
          <w:p w14:paraId="275A7BCB" w14:textId="057F6C5B" w:rsidR="00D11DD0" w:rsidRPr="00747C17" w:rsidRDefault="00D11DD0" w:rsidP="00927834">
            <w:pPr>
              <w:spacing w:after="0" w:line="240" w:lineRule="auto"/>
              <w:jc w:val="right"/>
              <w:rPr>
                <w:rFonts w:eastAsia="Times New Roman" w:cs="Calibri"/>
                <w:color w:val="FFFFFF"/>
                <w:sz w:val="20"/>
                <w:szCs w:val="20"/>
                <w:lang w:val="en-IN" w:eastAsia="en-IN"/>
              </w:rPr>
            </w:pPr>
            <w:r w:rsidRPr="00747C17">
              <w:rPr>
                <w:rFonts w:eastAsia="Times New Roman" w:cs="Calibri"/>
                <w:color w:val="FFFFFF"/>
                <w:sz w:val="20"/>
                <w:szCs w:val="20"/>
                <w:lang w:val="en-IN" w:eastAsia="en-IN"/>
              </w:rPr>
              <w:t xml:space="preserve">NTG† </w:t>
            </w:r>
          </w:p>
        </w:tc>
        <w:tc>
          <w:tcPr>
            <w:tcW w:w="495" w:type="pct"/>
            <w:tcBorders>
              <w:top w:val="nil"/>
              <w:left w:val="nil"/>
              <w:bottom w:val="single" w:sz="12" w:space="0" w:color="95D600"/>
              <w:right w:val="nil"/>
            </w:tcBorders>
            <w:shd w:val="clear" w:color="auto" w:fill="036479"/>
            <w:vAlign w:val="center"/>
            <w:hideMark/>
          </w:tcPr>
          <w:p w14:paraId="554BE992" w14:textId="34C8D6FF" w:rsidR="00D11DD0" w:rsidRPr="00747C17" w:rsidRDefault="00D11DD0" w:rsidP="005D5081">
            <w:pPr>
              <w:spacing w:after="0" w:line="240" w:lineRule="auto"/>
              <w:rPr>
                <w:rFonts w:eastAsia="Times New Roman" w:cs="Calibri"/>
                <w:color w:val="FFFFFF"/>
                <w:sz w:val="20"/>
                <w:szCs w:val="20"/>
                <w:lang w:val="en-IN" w:eastAsia="en-IN"/>
              </w:rPr>
            </w:pPr>
            <w:r w:rsidRPr="00747C17">
              <w:rPr>
                <w:rFonts w:eastAsia="Times New Roman" w:cs="Calibri"/>
                <w:color w:val="FFFFFF"/>
                <w:sz w:val="20"/>
                <w:szCs w:val="20"/>
                <w:lang w:val="en-IN" w:eastAsia="en-IN"/>
              </w:rPr>
              <w:t>NSPO</w:t>
            </w:r>
          </w:p>
        </w:tc>
        <w:tc>
          <w:tcPr>
            <w:tcW w:w="691" w:type="pct"/>
            <w:tcBorders>
              <w:top w:val="nil"/>
              <w:left w:val="nil"/>
              <w:bottom w:val="single" w:sz="12" w:space="0" w:color="95D600"/>
              <w:right w:val="nil"/>
            </w:tcBorders>
            <w:shd w:val="clear" w:color="auto" w:fill="036479"/>
            <w:vAlign w:val="center"/>
            <w:hideMark/>
          </w:tcPr>
          <w:p w14:paraId="5C4C632C" w14:textId="77777777" w:rsidR="00D11DD0" w:rsidRPr="00747C17" w:rsidRDefault="00D11DD0" w:rsidP="00927834">
            <w:pPr>
              <w:spacing w:after="0" w:line="240" w:lineRule="auto"/>
              <w:jc w:val="right"/>
              <w:rPr>
                <w:rFonts w:eastAsia="Times New Roman" w:cs="Calibri"/>
                <w:color w:val="FFFFFF"/>
                <w:sz w:val="20"/>
                <w:szCs w:val="20"/>
                <w:lang w:val="en-IN" w:eastAsia="en-IN"/>
              </w:rPr>
            </w:pPr>
            <w:r w:rsidRPr="00747C17">
              <w:rPr>
                <w:rFonts w:eastAsia="Times New Roman" w:cs="Calibri"/>
                <w:color w:val="FFFFFF"/>
                <w:sz w:val="20"/>
                <w:szCs w:val="20"/>
                <w:lang w:val="en-IN" w:eastAsia="en-IN"/>
              </w:rPr>
              <w:t xml:space="preserve"> Verified Net Savings (Therms) </w:t>
            </w:r>
          </w:p>
        </w:tc>
      </w:tr>
      <w:tr w:rsidR="00D11DD0" w:rsidRPr="00747C17" w14:paraId="03742A65" w14:textId="77777777" w:rsidTr="00D11DD0">
        <w:trPr>
          <w:trHeight w:val="310"/>
        </w:trPr>
        <w:tc>
          <w:tcPr>
            <w:tcW w:w="1015" w:type="pct"/>
            <w:tcBorders>
              <w:top w:val="nil"/>
              <w:left w:val="nil"/>
              <w:bottom w:val="single" w:sz="8" w:space="0" w:color="036479"/>
              <w:right w:val="nil"/>
            </w:tcBorders>
            <w:shd w:val="clear" w:color="auto" w:fill="FFFFFF" w:themeFill="background1"/>
            <w:vAlign w:val="center"/>
            <w:hideMark/>
          </w:tcPr>
          <w:p w14:paraId="7223ABFD" w14:textId="77777777" w:rsidR="00D11DD0" w:rsidRPr="00747C17" w:rsidRDefault="00D11DD0" w:rsidP="00927834">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Public Housing</w:t>
            </w:r>
          </w:p>
        </w:tc>
        <w:tc>
          <w:tcPr>
            <w:tcW w:w="915" w:type="pct"/>
            <w:tcBorders>
              <w:top w:val="nil"/>
              <w:left w:val="nil"/>
              <w:bottom w:val="single" w:sz="8" w:space="0" w:color="036479"/>
              <w:right w:val="nil"/>
            </w:tcBorders>
            <w:noWrap/>
            <w:vAlign w:val="center"/>
            <w:hideMark/>
          </w:tcPr>
          <w:p w14:paraId="5D8A007F" w14:textId="49C75187" w:rsidR="00D11DD0" w:rsidRPr="00747C17" w:rsidRDefault="00D11DD0" w:rsidP="00927834">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 xml:space="preserve">9,173 </w:t>
            </w:r>
          </w:p>
        </w:tc>
        <w:tc>
          <w:tcPr>
            <w:tcW w:w="539" w:type="pct"/>
            <w:tcBorders>
              <w:top w:val="nil"/>
              <w:left w:val="nil"/>
              <w:bottom w:val="single" w:sz="8" w:space="0" w:color="036479"/>
              <w:right w:val="nil"/>
            </w:tcBorders>
            <w:noWrap/>
            <w:vAlign w:val="center"/>
            <w:hideMark/>
          </w:tcPr>
          <w:p w14:paraId="1241DE15" w14:textId="77777777" w:rsidR="00D11DD0" w:rsidRPr="00747C17" w:rsidRDefault="00D11DD0" w:rsidP="00927834">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100%</w:t>
            </w:r>
          </w:p>
        </w:tc>
        <w:tc>
          <w:tcPr>
            <w:tcW w:w="915" w:type="pct"/>
            <w:tcBorders>
              <w:top w:val="nil"/>
              <w:left w:val="nil"/>
              <w:bottom w:val="single" w:sz="8" w:space="0" w:color="036479"/>
              <w:right w:val="nil"/>
            </w:tcBorders>
            <w:noWrap/>
            <w:vAlign w:val="center"/>
            <w:hideMark/>
          </w:tcPr>
          <w:p w14:paraId="03F18C39" w14:textId="48E30F1B" w:rsidR="00D11DD0" w:rsidRPr="00747C17" w:rsidRDefault="00D11DD0" w:rsidP="00927834">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 xml:space="preserve">9,173 </w:t>
            </w:r>
          </w:p>
        </w:tc>
        <w:tc>
          <w:tcPr>
            <w:tcW w:w="431" w:type="pct"/>
            <w:tcBorders>
              <w:top w:val="nil"/>
              <w:left w:val="nil"/>
              <w:bottom w:val="single" w:sz="8" w:space="0" w:color="036479"/>
              <w:right w:val="nil"/>
            </w:tcBorders>
            <w:noWrap/>
            <w:vAlign w:val="center"/>
            <w:hideMark/>
          </w:tcPr>
          <w:p w14:paraId="649D09D9" w14:textId="23D3E3BB" w:rsidR="00D11DD0" w:rsidRPr="00747C17" w:rsidRDefault="00D11DD0" w:rsidP="00927834">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 xml:space="preserve">1.00 </w:t>
            </w:r>
          </w:p>
        </w:tc>
        <w:tc>
          <w:tcPr>
            <w:tcW w:w="495" w:type="pct"/>
            <w:tcBorders>
              <w:top w:val="nil"/>
              <w:left w:val="nil"/>
              <w:bottom w:val="single" w:sz="8" w:space="0" w:color="036479"/>
              <w:right w:val="nil"/>
            </w:tcBorders>
            <w:noWrap/>
            <w:vAlign w:val="center"/>
            <w:hideMark/>
          </w:tcPr>
          <w:p w14:paraId="778FAAF0" w14:textId="39F9215B" w:rsidR="00D11DD0" w:rsidRPr="00747C17" w:rsidRDefault="00D11DD0" w:rsidP="005D5081">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N/A</w:t>
            </w:r>
          </w:p>
        </w:tc>
        <w:tc>
          <w:tcPr>
            <w:tcW w:w="691" w:type="pct"/>
            <w:tcBorders>
              <w:top w:val="nil"/>
              <w:left w:val="nil"/>
              <w:bottom w:val="single" w:sz="8" w:space="0" w:color="036479"/>
              <w:right w:val="nil"/>
            </w:tcBorders>
            <w:vAlign w:val="center"/>
            <w:hideMark/>
          </w:tcPr>
          <w:p w14:paraId="5D9DA29C" w14:textId="7570EE5A" w:rsidR="00D11DD0" w:rsidRPr="00747C17" w:rsidRDefault="00D11DD0" w:rsidP="00377C68">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 xml:space="preserve">9,173 </w:t>
            </w:r>
          </w:p>
        </w:tc>
      </w:tr>
    </w:tbl>
    <w:p w14:paraId="7266BB3B" w14:textId="77777777" w:rsidR="00787FED" w:rsidRPr="00D840F0" w:rsidRDefault="00787FED" w:rsidP="00762D8D">
      <w:pPr>
        <w:pStyle w:val="TableFigureSourceorNote"/>
        <w:rPr>
          <w:rFonts w:eastAsia="Arial"/>
        </w:rPr>
      </w:pPr>
      <w:r w:rsidRPr="00D840F0">
        <w:rPr>
          <w:rFonts w:eastAsia="Arial"/>
        </w:rPr>
        <w:t>* Realization Rate (RR) is the ratio of verified gross savings to ex ante gross savings, based on evaluation research findings.</w:t>
      </w:r>
    </w:p>
    <w:p w14:paraId="5BE1F923" w14:textId="0EE6E68D" w:rsidR="00787FED" w:rsidRPr="00D840F0" w:rsidRDefault="00787FED" w:rsidP="00762D8D">
      <w:pPr>
        <w:pStyle w:val="TableFigureSourceorNote"/>
        <w:rPr>
          <w:rFonts w:eastAsia="Arial"/>
        </w:rPr>
      </w:pPr>
      <w:r w:rsidRPr="00D840F0">
        <w:rPr>
          <w:rFonts w:eastAsia="Arial"/>
        </w:rPr>
        <w:t xml:space="preserve">† NTG, Net to Gross is the deemed value available on the SAG website: </w:t>
      </w:r>
      <w:hyperlink r:id="rId28" w:history="1">
        <w:r w:rsidRPr="00D840F0">
          <w:rPr>
            <w:rStyle w:val="Hyperlink"/>
            <w:rFonts w:eastAsia="Arial" w:cs="Arial"/>
            <w:iCs/>
            <w:szCs w:val="16"/>
          </w:rPr>
          <w:t>https://www.ilsag.info/evaluator-ntg-recommendations-for-2025/</w:t>
        </w:r>
      </w:hyperlink>
      <w:r w:rsidRPr="00D840F0">
        <w:rPr>
          <w:rFonts w:eastAsia="Arial"/>
          <w:iCs/>
        </w:rPr>
        <w:t>.</w:t>
      </w:r>
    </w:p>
    <w:p w14:paraId="071F8CE2" w14:textId="77777777" w:rsidR="00787FED" w:rsidRDefault="00787FED" w:rsidP="0053168E">
      <w:pPr>
        <w:pStyle w:val="TableFigureSourceorNote"/>
        <w:rPr>
          <w:rFonts w:eastAsia="Arial"/>
          <w:iCs/>
        </w:rPr>
      </w:pPr>
      <w:r w:rsidRPr="00D840F0">
        <w:rPr>
          <w:rFonts w:eastAsia="Arial"/>
          <w:iCs/>
        </w:rPr>
        <w:t>Source: Evaluation team analysis.</w:t>
      </w:r>
    </w:p>
    <w:p w14:paraId="5F7DAE6B" w14:textId="77777777" w:rsidR="00A87A18" w:rsidRPr="00D840F0" w:rsidRDefault="00A87A18" w:rsidP="0053168E">
      <w:pPr>
        <w:pStyle w:val="TableFigureSourceorNote"/>
        <w:rPr>
          <w:rFonts w:eastAsia="Arial"/>
          <w:iCs/>
        </w:rPr>
      </w:pPr>
    </w:p>
    <w:p w14:paraId="29C06DF1" w14:textId="69AC117F" w:rsidR="00BE46B8" w:rsidRDefault="00D040D7" w:rsidP="003B4C2B">
      <w:r>
        <w:fldChar w:fldCharType="begin"/>
      </w:r>
      <w:r>
        <w:instrText xml:space="preserve"> REF _Ref224069827 \h </w:instrText>
      </w:r>
      <w:r>
        <w:fldChar w:fldCharType="separate"/>
      </w:r>
      <w:r w:rsidR="00803485">
        <w:t xml:space="preserve">Table </w:t>
      </w:r>
      <w:r w:rsidR="00803485">
        <w:rPr>
          <w:noProof/>
        </w:rPr>
        <w:t>15</w:t>
      </w:r>
      <w:r>
        <w:fldChar w:fldCharType="end"/>
      </w:r>
      <w:r>
        <w:t xml:space="preserve"> </w:t>
      </w:r>
      <w:r w:rsidR="003B4C2B" w:rsidRPr="00A90B62">
        <w:t>summarize</w:t>
      </w:r>
      <w:r w:rsidR="003B4C2B">
        <w:t>s</w:t>
      </w:r>
      <w:r w:rsidR="003B4C2B" w:rsidRPr="00A90B62">
        <w:t xml:space="preserve"> the </w:t>
      </w:r>
      <w:r w:rsidR="003B4C2B">
        <w:t xml:space="preserve">energy </w:t>
      </w:r>
      <w:r w:rsidR="003B4C2B" w:rsidRPr="00A90B62">
        <w:t xml:space="preserve">savings the </w:t>
      </w:r>
      <w:r w:rsidR="003B4C2B">
        <w:t>NSG PHES p</w:t>
      </w:r>
      <w:r w:rsidR="003B4C2B" w:rsidRPr="00A90B62">
        <w:t>rogram</w:t>
      </w:r>
      <w:r w:rsidR="003B4C2B">
        <w:t xml:space="preserve"> achieved in 2025.</w:t>
      </w:r>
    </w:p>
    <w:p w14:paraId="17077A07" w14:textId="3B74CFC4" w:rsidR="00B472B0" w:rsidRPr="00B472B0" w:rsidRDefault="00485B7D" w:rsidP="00F671C0">
      <w:pPr>
        <w:pStyle w:val="Caption"/>
      </w:pPr>
      <w:bookmarkStart w:id="71" w:name="_Ref224069827"/>
      <w:bookmarkStart w:id="72" w:name="_Toc224230113"/>
      <w:r>
        <w:t xml:space="preserve">Table </w:t>
      </w:r>
      <w:r>
        <w:fldChar w:fldCharType="begin"/>
      </w:r>
      <w:r>
        <w:instrText>SEQ Table \* ARABIC</w:instrText>
      </w:r>
      <w:r>
        <w:fldChar w:fldCharType="separate"/>
      </w:r>
      <w:r w:rsidR="00803485">
        <w:rPr>
          <w:noProof/>
        </w:rPr>
        <w:t>15</w:t>
      </w:r>
      <w:r>
        <w:fldChar w:fldCharType="end"/>
      </w:r>
      <w:bookmarkEnd w:id="71"/>
      <w:r>
        <w:t>.</w:t>
      </w:r>
      <w:r w:rsidR="00F7787A" w:rsidRPr="00F7787A">
        <w:t xml:space="preserve"> Annual Energy Savings Summary for NSG</w:t>
      </w:r>
      <w:r w:rsidR="005518FC">
        <w:t xml:space="preserve"> </w:t>
      </w:r>
      <w:r w:rsidR="00F7787A" w:rsidRPr="00F7787A">
        <w:t>–</w:t>
      </w:r>
      <w:r w:rsidR="005518FC">
        <w:t xml:space="preserve"> </w:t>
      </w:r>
      <w:r w:rsidR="00C1453C">
        <w:t>Public Housing</w:t>
      </w:r>
      <w:bookmarkEnd w:id="72"/>
    </w:p>
    <w:tbl>
      <w:tblPr>
        <w:tblW w:w="5000" w:type="pct"/>
        <w:tblLook w:val="04A0" w:firstRow="1" w:lastRow="0" w:firstColumn="1" w:lastColumn="0" w:noHBand="0" w:noVBand="1"/>
      </w:tblPr>
      <w:tblGrid>
        <w:gridCol w:w="1469"/>
        <w:gridCol w:w="1447"/>
        <w:gridCol w:w="1045"/>
        <w:gridCol w:w="1762"/>
        <w:gridCol w:w="1224"/>
        <w:gridCol w:w="1256"/>
        <w:gridCol w:w="1157"/>
      </w:tblGrid>
      <w:tr w:rsidR="00D11DD0" w:rsidRPr="00747C17" w14:paraId="1CAD92E7" w14:textId="77777777" w:rsidTr="00D11DD0">
        <w:trPr>
          <w:trHeight w:val="790"/>
        </w:trPr>
        <w:tc>
          <w:tcPr>
            <w:tcW w:w="785" w:type="pct"/>
            <w:tcBorders>
              <w:top w:val="nil"/>
              <w:left w:val="nil"/>
              <w:bottom w:val="single" w:sz="12" w:space="0" w:color="95D600"/>
              <w:right w:val="nil"/>
            </w:tcBorders>
            <w:shd w:val="clear" w:color="000000" w:fill="036479"/>
            <w:vAlign w:val="center"/>
            <w:hideMark/>
          </w:tcPr>
          <w:p w14:paraId="63BA089B" w14:textId="77777777" w:rsidR="00D11DD0" w:rsidRPr="00747C17" w:rsidRDefault="00D11DD0" w:rsidP="008A7D32">
            <w:pPr>
              <w:spacing w:after="0" w:line="240" w:lineRule="auto"/>
              <w:rPr>
                <w:rFonts w:eastAsia="Times New Roman" w:cs="Calibri"/>
                <w:color w:val="FFFFFF"/>
                <w:sz w:val="20"/>
                <w:szCs w:val="20"/>
                <w:lang w:val="en-IN" w:eastAsia="en-IN"/>
              </w:rPr>
            </w:pPr>
            <w:r w:rsidRPr="00747C17">
              <w:rPr>
                <w:rFonts w:eastAsia="Times New Roman" w:cs="Calibri"/>
                <w:color w:val="FFFFFF"/>
                <w:sz w:val="20"/>
                <w:szCs w:val="20"/>
                <w:lang w:val="en-IN" w:eastAsia="en-IN"/>
              </w:rPr>
              <w:t>Program Path</w:t>
            </w:r>
          </w:p>
        </w:tc>
        <w:tc>
          <w:tcPr>
            <w:tcW w:w="773" w:type="pct"/>
            <w:tcBorders>
              <w:top w:val="nil"/>
              <w:left w:val="nil"/>
              <w:bottom w:val="single" w:sz="12" w:space="0" w:color="95D600"/>
              <w:right w:val="nil"/>
            </w:tcBorders>
            <w:shd w:val="clear" w:color="000000" w:fill="036479"/>
            <w:vAlign w:val="center"/>
            <w:hideMark/>
          </w:tcPr>
          <w:p w14:paraId="72E90D4E" w14:textId="77777777" w:rsidR="00D11DD0" w:rsidRPr="00747C17" w:rsidRDefault="00D11DD0" w:rsidP="008A7D32">
            <w:pPr>
              <w:spacing w:after="0" w:line="240" w:lineRule="auto"/>
              <w:jc w:val="right"/>
              <w:rPr>
                <w:rFonts w:eastAsia="Times New Roman" w:cs="Calibri"/>
                <w:color w:val="FFFFFF"/>
                <w:sz w:val="20"/>
                <w:szCs w:val="20"/>
                <w:lang w:val="en-IN" w:eastAsia="en-IN"/>
              </w:rPr>
            </w:pPr>
            <w:r w:rsidRPr="00747C17">
              <w:rPr>
                <w:rFonts w:eastAsia="Times New Roman" w:cs="Calibri"/>
                <w:color w:val="FFFFFF"/>
                <w:sz w:val="20"/>
                <w:szCs w:val="20"/>
                <w:lang w:val="en-IN" w:eastAsia="en-IN"/>
              </w:rPr>
              <w:t xml:space="preserve"> Ex Ante Gross Savings (Therms) </w:t>
            </w:r>
          </w:p>
        </w:tc>
        <w:tc>
          <w:tcPr>
            <w:tcW w:w="558" w:type="pct"/>
            <w:tcBorders>
              <w:top w:val="nil"/>
              <w:left w:val="nil"/>
              <w:bottom w:val="single" w:sz="12" w:space="0" w:color="95D600"/>
              <w:right w:val="nil"/>
            </w:tcBorders>
            <w:shd w:val="clear" w:color="000000" w:fill="036479"/>
            <w:vAlign w:val="center"/>
            <w:hideMark/>
          </w:tcPr>
          <w:p w14:paraId="71B051DC" w14:textId="77777777" w:rsidR="00D11DD0" w:rsidRPr="00747C17" w:rsidRDefault="00D11DD0" w:rsidP="008A7D32">
            <w:pPr>
              <w:spacing w:after="0" w:line="240" w:lineRule="auto"/>
              <w:jc w:val="right"/>
              <w:rPr>
                <w:rFonts w:eastAsia="Times New Roman" w:cs="Calibri"/>
                <w:color w:val="FFFFFF"/>
                <w:sz w:val="20"/>
                <w:szCs w:val="20"/>
                <w:lang w:val="en-IN" w:eastAsia="en-IN"/>
              </w:rPr>
            </w:pPr>
            <w:r w:rsidRPr="00747C17">
              <w:rPr>
                <w:rFonts w:eastAsia="Times New Roman" w:cs="Calibri"/>
                <w:color w:val="FFFFFF"/>
                <w:sz w:val="20"/>
                <w:szCs w:val="20"/>
                <w:lang w:val="en-IN" w:eastAsia="en-IN"/>
              </w:rPr>
              <w:t>Verified Gross RR*</w:t>
            </w:r>
          </w:p>
        </w:tc>
        <w:tc>
          <w:tcPr>
            <w:tcW w:w="941" w:type="pct"/>
            <w:tcBorders>
              <w:top w:val="nil"/>
              <w:left w:val="nil"/>
              <w:bottom w:val="single" w:sz="12" w:space="0" w:color="95D600"/>
              <w:right w:val="nil"/>
            </w:tcBorders>
            <w:shd w:val="clear" w:color="000000" w:fill="036479"/>
            <w:vAlign w:val="center"/>
            <w:hideMark/>
          </w:tcPr>
          <w:p w14:paraId="14414DC0" w14:textId="77777777" w:rsidR="00D11DD0" w:rsidRPr="00747C17" w:rsidRDefault="00D11DD0" w:rsidP="008A7D32">
            <w:pPr>
              <w:spacing w:after="0" w:line="240" w:lineRule="auto"/>
              <w:jc w:val="right"/>
              <w:rPr>
                <w:rFonts w:eastAsia="Times New Roman" w:cs="Calibri"/>
                <w:color w:val="FFFFFF"/>
                <w:sz w:val="20"/>
                <w:szCs w:val="20"/>
                <w:lang w:val="en-IN" w:eastAsia="en-IN"/>
              </w:rPr>
            </w:pPr>
            <w:r w:rsidRPr="00747C17">
              <w:rPr>
                <w:rFonts w:eastAsia="Times New Roman" w:cs="Calibri"/>
                <w:color w:val="FFFFFF"/>
                <w:sz w:val="20"/>
                <w:szCs w:val="20"/>
                <w:lang w:val="en-IN" w:eastAsia="en-IN"/>
              </w:rPr>
              <w:t xml:space="preserve"> Verified Gross Savings (Therms) </w:t>
            </w:r>
          </w:p>
        </w:tc>
        <w:tc>
          <w:tcPr>
            <w:tcW w:w="654" w:type="pct"/>
            <w:tcBorders>
              <w:top w:val="nil"/>
              <w:left w:val="nil"/>
              <w:bottom w:val="single" w:sz="12" w:space="0" w:color="95D600"/>
              <w:right w:val="nil"/>
            </w:tcBorders>
            <w:shd w:val="clear" w:color="000000" w:fill="036479"/>
            <w:vAlign w:val="center"/>
            <w:hideMark/>
          </w:tcPr>
          <w:p w14:paraId="285076B9" w14:textId="77777777" w:rsidR="00D11DD0" w:rsidRPr="00747C17" w:rsidRDefault="00D11DD0" w:rsidP="008A7D32">
            <w:pPr>
              <w:spacing w:after="0" w:line="240" w:lineRule="auto"/>
              <w:jc w:val="right"/>
              <w:rPr>
                <w:rFonts w:eastAsia="Times New Roman" w:cs="Calibri"/>
                <w:color w:val="FFFFFF"/>
                <w:sz w:val="20"/>
                <w:szCs w:val="20"/>
                <w:lang w:val="en-IN" w:eastAsia="en-IN"/>
              </w:rPr>
            </w:pPr>
            <w:r w:rsidRPr="00747C17">
              <w:rPr>
                <w:rFonts w:eastAsia="Times New Roman" w:cs="Calibri"/>
                <w:color w:val="FFFFFF"/>
                <w:sz w:val="20"/>
                <w:szCs w:val="20"/>
                <w:lang w:val="en-IN" w:eastAsia="en-IN"/>
              </w:rPr>
              <w:t xml:space="preserve"> NTG† </w:t>
            </w:r>
          </w:p>
        </w:tc>
        <w:tc>
          <w:tcPr>
            <w:tcW w:w="671" w:type="pct"/>
            <w:tcBorders>
              <w:top w:val="nil"/>
              <w:left w:val="nil"/>
              <w:bottom w:val="single" w:sz="12" w:space="0" w:color="95D600"/>
              <w:right w:val="nil"/>
            </w:tcBorders>
            <w:shd w:val="clear" w:color="000000" w:fill="036479"/>
            <w:vAlign w:val="center"/>
            <w:hideMark/>
          </w:tcPr>
          <w:p w14:paraId="31E764FC" w14:textId="13E0DE9D" w:rsidR="00D11DD0" w:rsidRPr="00747C17" w:rsidRDefault="00D11DD0" w:rsidP="005D5081">
            <w:pPr>
              <w:spacing w:after="0" w:line="240" w:lineRule="auto"/>
              <w:rPr>
                <w:rFonts w:eastAsia="Times New Roman" w:cs="Calibri"/>
                <w:color w:val="FFFFFF"/>
                <w:sz w:val="20"/>
                <w:szCs w:val="20"/>
                <w:lang w:val="en-IN" w:eastAsia="en-IN"/>
              </w:rPr>
            </w:pPr>
            <w:r w:rsidRPr="00747C17">
              <w:rPr>
                <w:rFonts w:eastAsia="Times New Roman" w:cs="Calibri"/>
                <w:color w:val="FFFFFF"/>
                <w:sz w:val="20"/>
                <w:szCs w:val="20"/>
                <w:lang w:val="en-IN" w:eastAsia="en-IN"/>
              </w:rPr>
              <w:t xml:space="preserve"> NSPO</w:t>
            </w:r>
          </w:p>
        </w:tc>
        <w:tc>
          <w:tcPr>
            <w:tcW w:w="618" w:type="pct"/>
            <w:tcBorders>
              <w:top w:val="nil"/>
              <w:left w:val="nil"/>
              <w:bottom w:val="single" w:sz="12" w:space="0" w:color="95D600"/>
              <w:right w:val="nil"/>
            </w:tcBorders>
            <w:shd w:val="clear" w:color="000000" w:fill="036479"/>
            <w:vAlign w:val="center"/>
            <w:hideMark/>
          </w:tcPr>
          <w:p w14:paraId="1519DFDB" w14:textId="77777777" w:rsidR="00D11DD0" w:rsidRPr="00747C17" w:rsidRDefault="00D11DD0" w:rsidP="008A7D32">
            <w:pPr>
              <w:spacing w:after="0" w:line="240" w:lineRule="auto"/>
              <w:jc w:val="right"/>
              <w:rPr>
                <w:rFonts w:eastAsia="Times New Roman" w:cs="Calibri"/>
                <w:color w:val="FFFFFF"/>
                <w:sz w:val="20"/>
                <w:szCs w:val="20"/>
                <w:lang w:val="en-IN" w:eastAsia="en-IN"/>
              </w:rPr>
            </w:pPr>
            <w:r w:rsidRPr="00747C17">
              <w:rPr>
                <w:rFonts w:eastAsia="Times New Roman" w:cs="Calibri"/>
                <w:color w:val="FFFFFF"/>
                <w:sz w:val="20"/>
                <w:szCs w:val="20"/>
                <w:lang w:val="en-IN" w:eastAsia="en-IN"/>
              </w:rPr>
              <w:t xml:space="preserve"> Verified Net Savings (Therms) </w:t>
            </w:r>
          </w:p>
        </w:tc>
      </w:tr>
      <w:tr w:rsidR="00D11DD0" w:rsidRPr="00747C17" w14:paraId="6A8D3A35" w14:textId="77777777" w:rsidTr="00D11DD0">
        <w:trPr>
          <w:trHeight w:val="310"/>
        </w:trPr>
        <w:tc>
          <w:tcPr>
            <w:tcW w:w="785" w:type="pct"/>
            <w:tcBorders>
              <w:top w:val="single" w:sz="12" w:space="0" w:color="95D600"/>
              <w:left w:val="nil"/>
              <w:bottom w:val="single" w:sz="8" w:space="0" w:color="036479"/>
              <w:right w:val="nil"/>
            </w:tcBorders>
            <w:shd w:val="clear" w:color="000000" w:fill="FFFFFF"/>
            <w:vAlign w:val="center"/>
            <w:hideMark/>
          </w:tcPr>
          <w:p w14:paraId="191BFB17" w14:textId="77777777" w:rsidR="00D11DD0" w:rsidRPr="00747C17" w:rsidRDefault="00D11DD0" w:rsidP="008A7D32">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Public Housing</w:t>
            </w:r>
          </w:p>
        </w:tc>
        <w:tc>
          <w:tcPr>
            <w:tcW w:w="773" w:type="pct"/>
            <w:tcBorders>
              <w:top w:val="single" w:sz="12" w:space="0" w:color="95D600"/>
              <w:left w:val="nil"/>
              <w:bottom w:val="single" w:sz="8" w:space="0" w:color="036479"/>
              <w:right w:val="nil"/>
            </w:tcBorders>
            <w:noWrap/>
            <w:vAlign w:val="center"/>
            <w:hideMark/>
          </w:tcPr>
          <w:p w14:paraId="617C592D" w14:textId="5A405B32" w:rsidR="00D11DD0" w:rsidRPr="00747C17" w:rsidRDefault="00D11DD0" w:rsidP="008A7D32">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 xml:space="preserve">1,117 </w:t>
            </w:r>
          </w:p>
        </w:tc>
        <w:tc>
          <w:tcPr>
            <w:tcW w:w="558" w:type="pct"/>
            <w:tcBorders>
              <w:top w:val="single" w:sz="12" w:space="0" w:color="95D600"/>
              <w:left w:val="nil"/>
              <w:bottom w:val="single" w:sz="8" w:space="0" w:color="036479"/>
              <w:right w:val="nil"/>
            </w:tcBorders>
            <w:noWrap/>
            <w:vAlign w:val="center"/>
            <w:hideMark/>
          </w:tcPr>
          <w:p w14:paraId="7A75F98C" w14:textId="77777777" w:rsidR="00D11DD0" w:rsidRPr="00747C17" w:rsidRDefault="00D11DD0" w:rsidP="008A7D32">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100%</w:t>
            </w:r>
          </w:p>
        </w:tc>
        <w:tc>
          <w:tcPr>
            <w:tcW w:w="941" w:type="pct"/>
            <w:tcBorders>
              <w:top w:val="single" w:sz="12" w:space="0" w:color="95D600"/>
              <w:left w:val="nil"/>
              <w:bottom w:val="single" w:sz="8" w:space="0" w:color="036479"/>
              <w:right w:val="nil"/>
            </w:tcBorders>
            <w:noWrap/>
            <w:vAlign w:val="center"/>
            <w:hideMark/>
          </w:tcPr>
          <w:p w14:paraId="1AF366C6" w14:textId="2B366C30" w:rsidR="00D11DD0" w:rsidRPr="00747C17" w:rsidRDefault="00D11DD0" w:rsidP="008A7D32">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 xml:space="preserve">1,117 </w:t>
            </w:r>
          </w:p>
        </w:tc>
        <w:tc>
          <w:tcPr>
            <w:tcW w:w="654" w:type="pct"/>
            <w:tcBorders>
              <w:top w:val="single" w:sz="12" w:space="0" w:color="95D600"/>
              <w:left w:val="nil"/>
              <w:bottom w:val="single" w:sz="8" w:space="0" w:color="036479"/>
              <w:right w:val="nil"/>
            </w:tcBorders>
            <w:noWrap/>
            <w:vAlign w:val="center"/>
            <w:hideMark/>
          </w:tcPr>
          <w:p w14:paraId="06BA7799" w14:textId="5D78792A" w:rsidR="00D11DD0" w:rsidRPr="00747C17" w:rsidRDefault="00D11DD0" w:rsidP="008A7D32">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 xml:space="preserve">1.00 </w:t>
            </w:r>
          </w:p>
        </w:tc>
        <w:tc>
          <w:tcPr>
            <w:tcW w:w="671" w:type="pct"/>
            <w:tcBorders>
              <w:top w:val="single" w:sz="12" w:space="0" w:color="95D600"/>
              <w:left w:val="nil"/>
              <w:bottom w:val="single" w:sz="8" w:space="0" w:color="036479"/>
              <w:right w:val="nil"/>
            </w:tcBorders>
            <w:noWrap/>
            <w:vAlign w:val="center"/>
            <w:hideMark/>
          </w:tcPr>
          <w:p w14:paraId="3A8AEEDE" w14:textId="6F99477B" w:rsidR="00D11DD0" w:rsidRPr="00747C17" w:rsidRDefault="00D11DD0" w:rsidP="005D5081">
            <w:pPr>
              <w:spacing w:after="0" w:line="240" w:lineRule="auto"/>
              <w:rPr>
                <w:rFonts w:eastAsia="Times New Roman" w:cs="Calibri"/>
                <w:color w:val="000000"/>
                <w:sz w:val="20"/>
                <w:szCs w:val="20"/>
                <w:lang w:val="en-IN" w:eastAsia="en-IN"/>
              </w:rPr>
            </w:pPr>
            <w:r w:rsidRPr="00747C17">
              <w:rPr>
                <w:rFonts w:eastAsia="Times New Roman" w:cs="Calibri"/>
                <w:color w:val="000000"/>
                <w:sz w:val="20"/>
                <w:szCs w:val="20"/>
                <w:lang w:val="en-IN" w:eastAsia="en-IN"/>
              </w:rPr>
              <w:t>N/A</w:t>
            </w:r>
          </w:p>
        </w:tc>
        <w:tc>
          <w:tcPr>
            <w:tcW w:w="618" w:type="pct"/>
            <w:tcBorders>
              <w:top w:val="single" w:sz="12" w:space="0" w:color="95D600"/>
              <w:left w:val="nil"/>
              <w:bottom w:val="single" w:sz="8" w:space="0" w:color="036479"/>
              <w:right w:val="nil"/>
            </w:tcBorders>
            <w:vAlign w:val="center"/>
            <w:hideMark/>
          </w:tcPr>
          <w:p w14:paraId="7EFA7CA8" w14:textId="6EB78810" w:rsidR="00D11DD0" w:rsidRPr="00747C17" w:rsidRDefault="00D11DD0" w:rsidP="008A7D32">
            <w:pPr>
              <w:spacing w:after="0" w:line="240" w:lineRule="auto"/>
              <w:jc w:val="right"/>
              <w:rPr>
                <w:rFonts w:eastAsia="Times New Roman" w:cs="Calibri"/>
                <w:color w:val="000000"/>
                <w:sz w:val="20"/>
                <w:szCs w:val="20"/>
                <w:lang w:val="en-IN" w:eastAsia="en-IN"/>
              </w:rPr>
            </w:pPr>
            <w:r w:rsidRPr="00747C17">
              <w:rPr>
                <w:rFonts w:eastAsia="Times New Roman" w:cs="Calibri"/>
                <w:color w:val="000000"/>
                <w:sz w:val="20"/>
                <w:szCs w:val="20"/>
                <w:lang w:val="en-IN" w:eastAsia="en-IN"/>
              </w:rPr>
              <w:t xml:space="preserve">1,117 </w:t>
            </w:r>
          </w:p>
        </w:tc>
      </w:tr>
    </w:tbl>
    <w:p w14:paraId="5B15FE2D" w14:textId="77777777" w:rsidR="0053168E" w:rsidRPr="00B46F80" w:rsidRDefault="0053168E" w:rsidP="00762D8D">
      <w:pPr>
        <w:pStyle w:val="TableFigureSourceorNote"/>
        <w:rPr>
          <w:rFonts w:eastAsia="Arial"/>
        </w:rPr>
      </w:pPr>
      <w:r w:rsidRPr="00B46F80">
        <w:rPr>
          <w:rFonts w:eastAsia="Arial"/>
        </w:rPr>
        <w:t>* Realization Rate (RR) is the ratio of verified gross savings to ex ante gross savings, based on evaluation research findings.</w:t>
      </w:r>
    </w:p>
    <w:p w14:paraId="75C4FCAE" w14:textId="77777777" w:rsidR="0053168E" w:rsidRPr="00B472B0" w:rsidRDefault="0053168E" w:rsidP="00762D8D">
      <w:pPr>
        <w:pStyle w:val="TableFigureSourceorNote"/>
      </w:pPr>
      <w:r w:rsidRPr="00B46F80">
        <w:rPr>
          <w:rFonts w:eastAsia="Arial"/>
        </w:rPr>
        <w:t xml:space="preserve">† NTG, Net to Gross is the deemed value available on the SAG website: </w:t>
      </w:r>
      <w:hyperlink r:id="rId29" w:history="1">
        <w:r w:rsidRPr="008A3177">
          <w:rPr>
            <w:rStyle w:val="Hyperlink"/>
            <w:rFonts w:eastAsia="Arial" w:cs="Arial"/>
            <w:iCs/>
            <w:szCs w:val="16"/>
          </w:rPr>
          <w:t>https://www.ilsag.info/evaluator-ntg-recommendations-for-2025/</w:t>
        </w:r>
      </w:hyperlink>
      <w:r w:rsidRPr="00B46F80">
        <w:rPr>
          <w:rFonts w:eastAsia="Arial"/>
        </w:rPr>
        <w:t>.</w:t>
      </w:r>
    </w:p>
    <w:p w14:paraId="4592627B" w14:textId="77777777" w:rsidR="0063123B" w:rsidRPr="00F65903" w:rsidRDefault="0063123B" w:rsidP="0053168E">
      <w:pPr>
        <w:pStyle w:val="TableFigureSourceorNote"/>
        <w:rPr>
          <w:rFonts w:cs="Arial"/>
          <w:szCs w:val="18"/>
        </w:rPr>
      </w:pPr>
      <w:r w:rsidRPr="69F43F8D">
        <w:t>Source: Evaluation team analysis.</w:t>
      </w:r>
    </w:p>
    <w:p w14:paraId="53697D35" w14:textId="77777777" w:rsidR="004F0461" w:rsidRDefault="004F0461" w:rsidP="004F0461">
      <w:pPr>
        <w:pStyle w:val="Heading2"/>
      </w:pPr>
      <w:bookmarkStart w:id="73" w:name="_Toc224332885"/>
      <w:r>
        <w:t>Program Savings by Measure</w:t>
      </w:r>
      <w:bookmarkEnd w:id="73"/>
    </w:p>
    <w:p w14:paraId="2A71C7AB" w14:textId="3025464C" w:rsidR="004F0461" w:rsidRDefault="00E937BE" w:rsidP="004F0461">
      <w:r w:rsidRPr="00E937BE">
        <w:t xml:space="preserve">The PGL PHES program includes </w:t>
      </w:r>
      <w:r w:rsidR="00AE334B">
        <w:t xml:space="preserve">one </w:t>
      </w:r>
      <w:r w:rsidR="005518FC" w:rsidRPr="00E937BE">
        <w:t>measure</w:t>
      </w:r>
      <w:r w:rsidRPr="00E937BE">
        <w:t>, as shown in</w:t>
      </w:r>
      <w:r w:rsidR="00614AC1">
        <w:t xml:space="preserve"> </w:t>
      </w:r>
      <w:r w:rsidR="00614AC1">
        <w:fldChar w:fldCharType="begin"/>
      </w:r>
      <w:r w:rsidR="00614AC1">
        <w:instrText xml:space="preserve"> REF _Ref224070352 \h </w:instrText>
      </w:r>
      <w:r w:rsidR="00614AC1">
        <w:fldChar w:fldCharType="separate"/>
      </w:r>
      <w:r w:rsidR="00803485">
        <w:t xml:space="preserve">Table </w:t>
      </w:r>
      <w:r w:rsidR="00803485">
        <w:rPr>
          <w:noProof/>
        </w:rPr>
        <w:t>16</w:t>
      </w:r>
      <w:r w:rsidR="00614AC1">
        <w:fldChar w:fldCharType="end"/>
      </w:r>
      <w:r w:rsidRPr="00E937BE">
        <w:t xml:space="preserve">. </w:t>
      </w:r>
    </w:p>
    <w:p w14:paraId="74540194" w14:textId="174F528F" w:rsidR="00212B10" w:rsidRDefault="00FF1C94" w:rsidP="00F671C0">
      <w:pPr>
        <w:pStyle w:val="Caption"/>
      </w:pPr>
      <w:bookmarkStart w:id="74" w:name="_Ref224070352"/>
      <w:bookmarkStart w:id="75" w:name="_Toc224230114"/>
      <w:r>
        <w:t xml:space="preserve">Table </w:t>
      </w:r>
      <w:r>
        <w:fldChar w:fldCharType="begin"/>
      </w:r>
      <w:r>
        <w:instrText>SEQ Table \* ARABIC</w:instrText>
      </w:r>
      <w:r>
        <w:fldChar w:fldCharType="separate"/>
      </w:r>
      <w:r w:rsidR="00803485">
        <w:rPr>
          <w:noProof/>
        </w:rPr>
        <w:t>16</w:t>
      </w:r>
      <w:r>
        <w:fldChar w:fldCharType="end"/>
      </w:r>
      <w:bookmarkEnd w:id="74"/>
      <w:r>
        <w:t>.</w:t>
      </w:r>
      <w:r w:rsidR="001527C6" w:rsidRPr="001527C6">
        <w:t xml:space="preserve"> Annual Energy Savings by Measure for PGL</w:t>
      </w:r>
      <w:r w:rsidR="005518FC">
        <w:t xml:space="preserve"> </w:t>
      </w:r>
      <w:r w:rsidR="001527C6" w:rsidRPr="001527C6">
        <w:t>–</w:t>
      </w:r>
      <w:r w:rsidR="005518FC">
        <w:t xml:space="preserve"> </w:t>
      </w:r>
      <w:r w:rsidR="00C1453C">
        <w:t>Public Housing</w:t>
      </w:r>
      <w:bookmarkEnd w:id="75"/>
    </w:p>
    <w:tbl>
      <w:tblPr>
        <w:tblW w:w="5000" w:type="pct"/>
        <w:tblLook w:val="04A0" w:firstRow="1" w:lastRow="0" w:firstColumn="1" w:lastColumn="0" w:noHBand="0" w:noVBand="1"/>
      </w:tblPr>
      <w:tblGrid>
        <w:gridCol w:w="1319"/>
        <w:gridCol w:w="2853"/>
        <w:gridCol w:w="1290"/>
        <w:gridCol w:w="801"/>
        <w:gridCol w:w="896"/>
        <w:gridCol w:w="602"/>
        <w:gridCol w:w="703"/>
        <w:gridCol w:w="896"/>
      </w:tblGrid>
      <w:tr w:rsidR="00D11DD0" w:rsidRPr="005E004E" w14:paraId="50AE70BF" w14:textId="77777777" w:rsidTr="00D11DD0">
        <w:trPr>
          <w:trHeight w:val="1065"/>
        </w:trPr>
        <w:tc>
          <w:tcPr>
            <w:tcW w:w="754" w:type="pct"/>
            <w:tcBorders>
              <w:top w:val="nil"/>
              <w:left w:val="nil"/>
              <w:bottom w:val="single" w:sz="12" w:space="0" w:color="95D600"/>
              <w:right w:val="nil"/>
            </w:tcBorders>
            <w:shd w:val="clear" w:color="000000" w:fill="036479"/>
            <w:vAlign w:val="center"/>
            <w:hideMark/>
          </w:tcPr>
          <w:p w14:paraId="429863C9" w14:textId="77777777" w:rsidR="00D11DD0" w:rsidRPr="008A1B40" w:rsidRDefault="00D11DD0" w:rsidP="005E004E">
            <w:pPr>
              <w:spacing w:after="0" w:line="240" w:lineRule="auto"/>
              <w:rPr>
                <w:rFonts w:eastAsia="Times New Roman" w:cs="Calibri"/>
                <w:bCs/>
                <w:color w:val="FFFFFF"/>
                <w:sz w:val="18"/>
                <w:szCs w:val="18"/>
                <w:lang w:val="en-IN" w:eastAsia="en-IN"/>
              </w:rPr>
            </w:pPr>
            <w:r w:rsidRPr="008A1B40">
              <w:rPr>
                <w:rFonts w:eastAsia="Times New Roman" w:cs="Calibri"/>
                <w:bCs/>
                <w:color w:val="FFFFFF"/>
                <w:sz w:val="18"/>
                <w:szCs w:val="18"/>
                <w:lang w:val="en-IN" w:eastAsia="en-IN"/>
              </w:rPr>
              <w:t>Program Path</w:t>
            </w:r>
          </w:p>
        </w:tc>
        <w:tc>
          <w:tcPr>
            <w:tcW w:w="1183" w:type="pct"/>
            <w:tcBorders>
              <w:top w:val="nil"/>
              <w:left w:val="nil"/>
              <w:bottom w:val="single" w:sz="12" w:space="0" w:color="95D600"/>
              <w:right w:val="nil"/>
            </w:tcBorders>
            <w:shd w:val="clear" w:color="000000" w:fill="036479"/>
            <w:vAlign w:val="center"/>
            <w:hideMark/>
          </w:tcPr>
          <w:p w14:paraId="6B38F939" w14:textId="77777777" w:rsidR="00D11DD0" w:rsidRPr="008A1B40" w:rsidRDefault="00D11DD0" w:rsidP="005E004E">
            <w:pPr>
              <w:spacing w:after="0" w:line="240" w:lineRule="auto"/>
              <w:rPr>
                <w:rFonts w:eastAsia="Times New Roman" w:cs="Calibri"/>
                <w:bCs/>
                <w:color w:val="FFFFFF"/>
                <w:sz w:val="18"/>
                <w:szCs w:val="18"/>
                <w:lang w:val="en-IN" w:eastAsia="en-IN"/>
              </w:rPr>
            </w:pPr>
            <w:r w:rsidRPr="008A1B40">
              <w:rPr>
                <w:rFonts w:eastAsia="Times New Roman" w:cs="Calibri"/>
                <w:bCs/>
                <w:color w:val="FFFFFF"/>
                <w:sz w:val="18"/>
                <w:szCs w:val="18"/>
                <w:lang w:val="en-IN" w:eastAsia="en-IN"/>
              </w:rPr>
              <w:t>Savings Category</w:t>
            </w:r>
          </w:p>
        </w:tc>
        <w:tc>
          <w:tcPr>
            <w:tcW w:w="738" w:type="pct"/>
            <w:tcBorders>
              <w:top w:val="nil"/>
              <w:left w:val="nil"/>
              <w:bottom w:val="single" w:sz="12" w:space="0" w:color="95D600"/>
              <w:right w:val="nil"/>
            </w:tcBorders>
            <w:shd w:val="clear" w:color="000000" w:fill="036479"/>
            <w:vAlign w:val="center"/>
            <w:hideMark/>
          </w:tcPr>
          <w:p w14:paraId="03BDEC6F" w14:textId="77777777" w:rsidR="00D11DD0" w:rsidRPr="008A1B40" w:rsidRDefault="00D11DD0" w:rsidP="00CC7588">
            <w:pPr>
              <w:spacing w:after="0" w:line="240" w:lineRule="auto"/>
              <w:ind w:firstLineChars="100" w:firstLine="180"/>
              <w:jc w:val="right"/>
              <w:rPr>
                <w:rFonts w:eastAsia="Times New Roman" w:cs="Calibri"/>
                <w:bCs/>
                <w:color w:val="FFFFFF"/>
                <w:sz w:val="18"/>
                <w:szCs w:val="18"/>
                <w:lang w:val="en-IN" w:eastAsia="en-IN"/>
              </w:rPr>
            </w:pPr>
            <w:r w:rsidRPr="008A1B40">
              <w:rPr>
                <w:rFonts w:eastAsia="Times New Roman" w:cs="Calibri"/>
                <w:bCs/>
                <w:color w:val="FFFFFF"/>
                <w:sz w:val="18"/>
                <w:szCs w:val="18"/>
                <w:lang w:val="en-IN" w:eastAsia="en-IN"/>
              </w:rPr>
              <w:t>Ex Ante Gross Savings (Therms)</w:t>
            </w:r>
          </w:p>
        </w:tc>
        <w:tc>
          <w:tcPr>
            <w:tcW w:w="477" w:type="pct"/>
            <w:tcBorders>
              <w:top w:val="nil"/>
              <w:left w:val="nil"/>
              <w:bottom w:val="single" w:sz="12" w:space="0" w:color="95D600"/>
              <w:right w:val="nil"/>
            </w:tcBorders>
            <w:shd w:val="clear" w:color="000000" w:fill="036479"/>
            <w:vAlign w:val="center"/>
            <w:hideMark/>
          </w:tcPr>
          <w:p w14:paraId="28240105" w14:textId="77777777" w:rsidR="00D11DD0" w:rsidRPr="008A1B40" w:rsidRDefault="00D11DD0" w:rsidP="005E004E">
            <w:pPr>
              <w:spacing w:after="0" w:line="240" w:lineRule="auto"/>
              <w:jc w:val="right"/>
              <w:rPr>
                <w:rFonts w:eastAsia="Times New Roman" w:cs="Calibri"/>
                <w:bCs/>
                <w:color w:val="FFFFFF"/>
                <w:sz w:val="18"/>
                <w:szCs w:val="18"/>
                <w:lang w:val="en-IN" w:eastAsia="en-IN"/>
              </w:rPr>
            </w:pPr>
            <w:r w:rsidRPr="008A1B40">
              <w:rPr>
                <w:rFonts w:eastAsia="Times New Roman" w:cs="Calibri"/>
                <w:bCs/>
                <w:color w:val="FFFFFF"/>
                <w:sz w:val="18"/>
                <w:szCs w:val="18"/>
                <w:lang w:val="en-IN" w:eastAsia="en-IN"/>
              </w:rPr>
              <w:t>Verified Gross RR*</w:t>
            </w:r>
          </w:p>
        </w:tc>
        <w:tc>
          <w:tcPr>
            <w:tcW w:w="527" w:type="pct"/>
            <w:tcBorders>
              <w:top w:val="nil"/>
              <w:left w:val="nil"/>
              <w:bottom w:val="single" w:sz="12" w:space="0" w:color="95D600"/>
              <w:right w:val="nil"/>
            </w:tcBorders>
            <w:shd w:val="clear" w:color="000000" w:fill="036479"/>
            <w:vAlign w:val="center"/>
            <w:hideMark/>
          </w:tcPr>
          <w:p w14:paraId="0847D41E" w14:textId="77777777" w:rsidR="00D11DD0" w:rsidRPr="008A1B40" w:rsidRDefault="00D11DD0" w:rsidP="005E004E">
            <w:pPr>
              <w:spacing w:after="0" w:line="240" w:lineRule="auto"/>
              <w:jc w:val="right"/>
              <w:rPr>
                <w:rFonts w:eastAsia="Times New Roman" w:cs="Calibri"/>
                <w:bCs/>
                <w:color w:val="FFFFFF"/>
                <w:sz w:val="18"/>
                <w:szCs w:val="18"/>
                <w:lang w:val="en-IN" w:eastAsia="en-IN"/>
              </w:rPr>
            </w:pPr>
            <w:r w:rsidRPr="008A1B40">
              <w:rPr>
                <w:rFonts w:eastAsia="Times New Roman" w:cs="Calibri"/>
                <w:bCs/>
                <w:color w:val="FFFFFF"/>
                <w:sz w:val="18"/>
                <w:szCs w:val="18"/>
                <w:lang w:val="en-IN" w:eastAsia="en-IN"/>
              </w:rPr>
              <w:t>Verified Gross Savings (Therms)</w:t>
            </w:r>
          </w:p>
        </w:tc>
        <w:tc>
          <w:tcPr>
            <w:tcW w:w="362" w:type="pct"/>
            <w:tcBorders>
              <w:top w:val="nil"/>
              <w:left w:val="nil"/>
              <w:bottom w:val="single" w:sz="12" w:space="0" w:color="95D600"/>
              <w:right w:val="nil"/>
            </w:tcBorders>
            <w:shd w:val="clear" w:color="000000" w:fill="036479"/>
            <w:vAlign w:val="center"/>
            <w:hideMark/>
          </w:tcPr>
          <w:p w14:paraId="46A13852" w14:textId="77777777" w:rsidR="00D11DD0" w:rsidRPr="008A1B40" w:rsidRDefault="00D11DD0" w:rsidP="005E004E">
            <w:pPr>
              <w:spacing w:after="0" w:line="240" w:lineRule="auto"/>
              <w:jc w:val="right"/>
              <w:rPr>
                <w:rFonts w:eastAsia="Times New Roman" w:cs="Calibri"/>
                <w:bCs/>
                <w:color w:val="FFFFFF"/>
                <w:sz w:val="18"/>
                <w:szCs w:val="18"/>
                <w:lang w:val="en-IN" w:eastAsia="en-IN"/>
              </w:rPr>
            </w:pPr>
            <w:r w:rsidRPr="008A1B40">
              <w:rPr>
                <w:rFonts w:eastAsia="Times New Roman" w:cs="Calibri"/>
                <w:bCs/>
                <w:color w:val="FFFFFF"/>
                <w:sz w:val="18"/>
                <w:szCs w:val="18"/>
                <w:lang w:val="en-IN" w:eastAsia="en-IN"/>
              </w:rPr>
              <w:t>NTG†</w:t>
            </w:r>
          </w:p>
        </w:tc>
        <w:tc>
          <w:tcPr>
            <w:tcW w:w="432" w:type="pct"/>
            <w:tcBorders>
              <w:top w:val="nil"/>
              <w:left w:val="nil"/>
              <w:bottom w:val="single" w:sz="12" w:space="0" w:color="95D600"/>
              <w:right w:val="nil"/>
            </w:tcBorders>
            <w:shd w:val="clear" w:color="000000" w:fill="036479"/>
            <w:vAlign w:val="center"/>
            <w:hideMark/>
          </w:tcPr>
          <w:p w14:paraId="31FA8F30" w14:textId="6FB20238" w:rsidR="00D11DD0" w:rsidRPr="008A1B40" w:rsidRDefault="00D11DD0" w:rsidP="005D5081">
            <w:pPr>
              <w:spacing w:after="0" w:line="240" w:lineRule="auto"/>
              <w:rPr>
                <w:rFonts w:eastAsia="Times New Roman" w:cs="Calibri"/>
                <w:bCs/>
                <w:color w:val="FFFFFF"/>
                <w:sz w:val="18"/>
                <w:szCs w:val="18"/>
                <w:lang w:val="en-IN" w:eastAsia="en-IN"/>
              </w:rPr>
            </w:pPr>
            <w:r w:rsidRPr="008A1B40">
              <w:rPr>
                <w:rFonts w:eastAsia="Times New Roman" w:cs="Calibri"/>
                <w:bCs/>
                <w:color w:val="FFFFFF"/>
                <w:sz w:val="18"/>
                <w:szCs w:val="18"/>
                <w:lang w:val="en-IN" w:eastAsia="en-IN"/>
              </w:rPr>
              <w:t>NSPO</w:t>
            </w:r>
          </w:p>
        </w:tc>
        <w:tc>
          <w:tcPr>
            <w:tcW w:w="527" w:type="pct"/>
            <w:tcBorders>
              <w:top w:val="nil"/>
              <w:left w:val="nil"/>
              <w:bottom w:val="single" w:sz="12" w:space="0" w:color="95D600"/>
              <w:right w:val="nil"/>
            </w:tcBorders>
            <w:shd w:val="clear" w:color="000000" w:fill="036479"/>
            <w:vAlign w:val="center"/>
            <w:hideMark/>
          </w:tcPr>
          <w:p w14:paraId="7453DF67" w14:textId="77777777" w:rsidR="00D11DD0" w:rsidRPr="008A1B40" w:rsidRDefault="00D11DD0" w:rsidP="005E004E">
            <w:pPr>
              <w:spacing w:after="0" w:line="240" w:lineRule="auto"/>
              <w:jc w:val="right"/>
              <w:rPr>
                <w:rFonts w:eastAsia="Times New Roman" w:cs="Calibri"/>
                <w:bCs/>
                <w:color w:val="FFFFFF"/>
                <w:sz w:val="18"/>
                <w:szCs w:val="18"/>
                <w:lang w:val="en-IN" w:eastAsia="en-IN"/>
              </w:rPr>
            </w:pPr>
            <w:r w:rsidRPr="008A1B40">
              <w:rPr>
                <w:rFonts w:eastAsia="Times New Roman" w:cs="Calibri"/>
                <w:bCs/>
                <w:color w:val="FFFFFF"/>
                <w:sz w:val="18"/>
                <w:szCs w:val="18"/>
                <w:lang w:val="en-IN" w:eastAsia="en-IN"/>
              </w:rPr>
              <w:t>Verified Net Savings (Therms)</w:t>
            </w:r>
          </w:p>
        </w:tc>
      </w:tr>
      <w:tr w:rsidR="00D11DD0" w:rsidRPr="005E004E" w14:paraId="3CB1C341" w14:textId="77777777" w:rsidTr="00D11DD0">
        <w:trPr>
          <w:trHeight w:val="310"/>
        </w:trPr>
        <w:tc>
          <w:tcPr>
            <w:tcW w:w="754" w:type="pct"/>
            <w:tcBorders>
              <w:top w:val="single" w:sz="12" w:space="0" w:color="95D600"/>
              <w:left w:val="nil"/>
              <w:bottom w:val="single" w:sz="8" w:space="0" w:color="036479"/>
              <w:right w:val="nil"/>
            </w:tcBorders>
            <w:vAlign w:val="center"/>
            <w:hideMark/>
          </w:tcPr>
          <w:p w14:paraId="54325730" w14:textId="77777777" w:rsidR="00D11DD0" w:rsidRPr="005E004E" w:rsidRDefault="00D11DD0" w:rsidP="005E004E">
            <w:pPr>
              <w:spacing w:after="0" w:line="240" w:lineRule="auto"/>
              <w:rPr>
                <w:rFonts w:eastAsia="Times New Roman" w:cs="Calibri"/>
                <w:color w:val="000000"/>
                <w:sz w:val="18"/>
                <w:szCs w:val="18"/>
                <w:lang w:val="en-IN" w:eastAsia="en-IN"/>
              </w:rPr>
            </w:pPr>
            <w:r w:rsidRPr="005E004E">
              <w:rPr>
                <w:rFonts w:eastAsia="Times New Roman" w:cs="Calibri"/>
                <w:color w:val="000000"/>
                <w:sz w:val="18"/>
                <w:szCs w:val="18"/>
                <w:lang w:val="en-IN" w:eastAsia="en-IN"/>
              </w:rPr>
              <w:t>Public Housing</w:t>
            </w:r>
          </w:p>
        </w:tc>
        <w:tc>
          <w:tcPr>
            <w:tcW w:w="1183" w:type="pct"/>
            <w:tcBorders>
              <w:top w:val="single" w:sz="12" w:space="0" w:color="95D600"/>
              <w:left w:val="nil"/>
              <w:bottom w:val="single" w:sz="8" w:space="0" w:color="036479"/>
              <w:right w:val="nil"/>
            </w:tcBorders>
            <w:shd w:val="clear" w:color="000000" w:fill="FFFFFF"/>
            <w:noWrap/>
            <w:vAlign w:val="center"/>
            <w:hideMark/>
          </w:tcPr>
          <w:p w14:paraId="2A47AF6B" w14:textId="77777777" w:rsidR="00D11DD0" w:rsidRPr="005E004E" w:rsidRDefault="00D11DD0" w:rsidP="005E004E">
            <w:pPr>
              <w:spacing w:after="0" w:line="240" w:lineRule="auto"/>
              <w:rPr>
                <w:rFonts w:eastAsia="Times New Roman" w:cs="Calibri"/>
                <w:color w:val="000000"/>
                <w:sz w:val="18"/>
                <w:szCs w:val="18"/>
                <w:lang w:val="en-IN" w:eastAsia="en-IN"/>
              </w:rPr>
            </w:pPr>
            <w:r w:rsidRPr="005E004E">
              <w:rPr>
                <w:rFonts w:eastAsia="Times New Roman" w:cs="Calibri"/>
                <w:color w:val="000000"/>
                <w:sz w:val="18"/>
                <w:szCs w:val="18"/>
                <w:lang w:val="en-IN" w:eastAsia="en-IN"/>
              </w:rPr>
              <w:t xml:space="preserve">Covers and Gap Sealers for Room AC </w:t>
            </w:r>
          </w:p>
        </w:tc>
        <w:tc>
          <w:tcPr>
            <w:tcW w:w="738" w:type="pct"/>
            <w:tcBorders>
              <w:top w:val="single" w:sz="12" w:space="0" w:color="95D600"/>
              <w:left w:val="nil"/>
              <w:bottom w:val="single" w:sz="8" w:space="0" w:color="036479"/>
              <w:right w:val="nil"/>
            </w:tcBorders>
            <w:shd w:val="clear" w:color="000000" w:fill="FFFFFF"/>
            <w:noWrap/>
            <w:vAlign w:val="center"/>
            <w:hideMark/>
          </w:tcPr>
          <w:p w14:paraId="1B2173B1" w14:textId="77777777" w:rsidR="00D11DD0" w:rsidRPr="005E004E" w:rsidRDefault="00D11DD0" w:rsidP="005E004E">
            <w:pPr>
              <w:spacing w:after="0" w:line="240" w:lineRule="auto"/>
              <w:jc w:val="right"/>
              <w:rPr>
                <w:rFonts w:eastAsia="Times New Roman" w:cs="Calibri"/>
                <w:color w:val="000000"/>
                <w:sz w:val="18"/>
                <w:szCs w:val="18"/>
                <w:lang w:val="en-IN" w:eastAsia="en-IN"/>
              </w:rPr>
            </w:pPr>
            <w:r w:rsidRPr="005E004E">
              <w:rPr>
                <w:rFonts w:eastAsia="Times New Roman" w:cs="Calibri"/>
                <w:color w:val="000000"/>
                <w:sz w:val="18"/>
                <w:szCs w:val="18"/>
                <w:lang w:val="en-IN" w:eastAsia="en-IN"/>
              </w:rPr>
              <w:t>9,173</w:t>
            </w:r>
          </w:p>
        </w:tc>
        <w:tc>
          <w:tcPr>
            <w:tcW w:w="477" w:type="pct"/>
            <w:tcBorders>
              <w:top w:val="single" w:sz="12" w:space="0" w:color="95D600"/>
              <w:left w:val="nil"/>
              <w:bottom w:val="single" w:sz="8" w:space="0" w:color="036479"/>
              <w:right w:val="nil"/>
            </w:tcBorders>
            <w:shd w:val="clear" w:color="000000" w:fill="FFFFFF"/>
            <w:noWrap/>
            <w:vAlign w:val="center"/>
            <w:hideMark/>
          </w:tcPr>
          <w:p w14:paraId="6D5FFC47" w14:textId="77777777" w:rsidR="00D11DD0" w:rsidRPr="005E004E" w:rsidRDefault="00D11DD0" w:rsidP="005E004E">
            <w:pPr>
              <w:spacing w:after="0" w:line="240" w:lineRule="auto"/>
              <w:jc w:val="right"/>
              <w:rPr>
                <w:rFonts w:eastAsia="Times New Roman" w:cs="Calibri"/>
                <w:color w:val="000000"/>
                <w:sz w:val="18"/>
                <w:szCs w:val="18"/>
                <w:lang w:val="en-IN" w:eastAsia="en-IN"/>
              </w:rPr>
            </w:pPr>
            <w:r w:rsidRPr="005E004E">
              <w:rPr>
                <w:rFonts w:eastAsia="Times New Roman" w:cs="Calibri"/>
                <w:color w:val="000000"/>
                <w:sz w:val="18"/>
                <w:szCs w:val="18"/>
                <w:lang w:val="en-IN" w:eastAsia="en-IN"/>
              </w:rPr>
              <w:t>100%</w:t>
            </w:r>
          </w:p>
        </w:tc>
        <w:tc>
          <w:tcPr>
            <w:tcW w:w="527" w:type="pct"/>
            <w:tcBorders>
              <w:top w:val="single" w:sz="12" w:space="0" w:color="95D600"/>
              <w:left w:val="nil"/>
              <w:bottom w:val="single" w:sz="8" w:space="0" w:color="036479"/>
              <w:right w:val="nil"/>
            </w:tcBorders>
            <w:shd w:val="clear" w:color="000000" w:fill="FFFFFF"/>
            <w:noWrap/>
            <w:vAlign w:val="center"/>
            <w:hideMark/>
          </w:tcPr>
          <w:p w14:paraId="165E2BBA" w14:textId="77777777" w:rsidR="00D11DD0" w:rsidRPr="005E004E" w:rsidRDefault="00D11DD0" w:rsidP="005E004E">
            <w:pPr>
              <w:spacing w:after="0" w:line="240" w:lineRule="auto"/>
              <w:jc w:val="right"/>
              <w:rPr>
                <w:rFonts w:eastAsia="Times New Roman" w:cs="Calibri"/>
                <w:color w:val="000000"/>
                <w:sz w:val="18"/>
                <w:szCs w:val="18"/>
                <w:lang w:val="en-IN" w:eastAsia="en-IN"/>
              </w:rPr>
            </w:pPr>
            <w:r w:rsidRPr="005E004E">
              <w:rPr>
                <w:rFonts w:eastAsia="Times New Roman" w:cs="Calibri"/>
                <w:color w:val="000000"/>
                <w:sz w:val="18"/>
                <w:szCs w:val="18"/>
                <w:lang w:val="en-IN" w:eastAsia="en-IN"/>
              </w:rPr>
              <w:t>9,173</w:t>
            </w:r>
          </w:p>
        </w:tc>
        <w:tc>
          <w:tcPr>
            <w:tcW w:w="362" w:type="pct"/>
            <w:tcBorders>
              <w:top w:val="single" w:sz="12" w:space="0" w:color="95D600"/>
              <w:left w:val="nil"/>
              <w:bottom w:val="single" w:sz="8" w:space="0" w:color="036479"/>
              <w:right w:val="nil"/>
            </w:tcBorders>
            <w:shd w:val="clear" w:color="000000" w:fill="FFFFFF"/>
            <w:vAlign w:val="center"/>
            <w:hideMark/>
          </w:tcPr>
          <w:p w14:paraId="35C042D5" w14:textId="77777777" w:rsidR="00D11DD0" w:rsidRPr="005E004E" w:rsidRDefault="00D11DD0" w:rsidP="005E004E">
            <w:pPr>
              <w:spacing w:after="0" w:line="240" w:lineRule="auto"/>
              <w:jc w:val="right"/>
              <w:rPr>
                <w:rFonts w:eastAsia="Times New Roman" w:cs="Calibri"/>
                <w:color w:val="000000"/>
                <w:sz w:val="18"/>
                <w:szCs w:val="18"/>
                <w:lang w:val="en-IN" w:eastAsia="en-IN"/>
              </w:rPr>
            </w:pPr>
            <w:r w:rsidRPr="005E004E">
              <w:rPr>
                <w:rFonts w:eastAsia="Times New Roman" w:cs="Calibri"/>
                <w:color w:val="000000"/>
                <w:sz w:val="18"/>
                <w:szCs w:val="18"/>
                <w:lang w:val="en-IN" w:eastAsia="en-IN"/>
              </w:rPr>
              <w:t>1.00</w:t>
            </w:r>
          </w:p>
        </w:tc>
        <w:tc>
          <w:tcPr>
            <w:tcW w:w="432" w:type="pct"/>
            <w:tcBorders>
              <w:top w:val="single" w:sz="12" w:space="0" w:color="95D600"/>
              <w:left w:val="nil"/>
              <w:bottom w:val="single" w:sz="8" w:space="0" w:color="036479"/>
              <w:right w:val="nil"/>
            </w:tcBorders>
            <w:shd w:val="clear" w:color="000000" w:fill="FFFFFF"/>
            <w:vAlign w:val="center"/>
            <w:hideMark/>
          </w:tcPr>
          <w:p w14:paraId="2BD0AB10" w14:textId="5D6A5C8F" w:rsidR="00D11DD0" w:rsidRPr="005E004E" w:rsidRDefault="00D11DD0" w:rsidP="005D5081">
            <w:pPr>
              <w:spacing w:after="0" w:line="240" w:lineRule="auto"/>
              <w:rPr>
                <w:rFonts w:eastAsia="Times New Roman" w:cs="Calibri"/>
                <w:color w:val="000000"/>
                <w:sz w:val="18"/>
                <w:szCs w:val="18"/>
                <w:lang w:val="en-IN" w:eastAsia="en-IN"/>
              </w:rPr>
            </w:pPr>
            <w:r>
              <w:rPr>
                <w:rFonts w:eastAsia="Times New Roman" w:cs="Calibri"/>
                <w:color w:val="000000"/>
                <w:sz w:val="18"/>
                <w:szCs w:val="18"/>
                <w:lang w:val="en-IN" w:eastAsia="en-IN"/>
              </w:rPr>
              <w:t>N/A</w:t>
            </w:r>
          </w:p>
        </w:tc>
        <w:tc>
          <w:tcPr>
            <w:tcW w:w="527" w:type="pct"/>
            <w:tcBorders>
              <w:top w:val="single" w:sz="12" w:space="0" w:color="95D600"/>
              <w:left w:val="nil"/>
              <w:bottom w:val="single" w:sz="8" w:space="0" w:color="036479"/>
              <w:right w:val="nil"/>
            </w:tcBorders>
            <w:shd w:val="clear" w:color="000000" w:fill="FFFFFF"/>
            <w:vAlign w:val="center"/>
            <w:hideMark/>
          </w:tcPr>
          <w:p w14:paraId="7F3F5BCD" w14:textId="77777777" w:rsidR="00D11DD0" w:rsidRPr="005E004E" w:rsidRDefault="00D11DD0" w:rsidP="005E004E">
            <w:pPr>
              <w:spacing w:after="0" w:line="240" w:lineRule="auto"/>
              <w:jc w:val="right"/>
              <w:rPr>
                <w:rFonts w:eastAsia="Times New Roman" w:cs="Calibri"/>
                <w:color w:val="000000"/>
                <w:sz w:val="18"/>
                <w:szCs w:val="18"/>
                <w:lang w:val="en-IN" w:eastAsia="en-IN"/>
              </w:rPr>
            </w:pPr>
            <w:r w:rsidRPr="005E004E">
              <w:rPr>
                <w:rFonts w:eastAsia="Times New Roman" w:cs="Calibri"/>
                <w:color w:val="000000"/>
                <w:sz w:val="18"/>
                <w:szCs w:val="18"/>
                <w:lang w:val="en-IN" w:eastAsia="en-IN"/>
              </w:rPr>
              <w:t>9,173</w:t>
            </w:r>
          </w:p>
        </w:tc>
      </w:tr>
    </w:tbl>
    <w:p w14:paraId="42161904" w14:textId="77777777" w:rsidR="0051460B" w:rsidRPr="00FE6B1A" w:rsidRDefault="0051460B" w:rsidP="00762D8D">
      <w:pPr>
        <w:pStyle w:val="TableFigureSourceorNote"/>
        <w:rPr>
          <w:rFonts w:eastAsia="Arial"/>
        </w:rPr>
      </w:pPr>
      <w:r w:rsidRPr="00FE6B1A">
        <w:rPr>
          <w:rFonts w:eastAsia="Arial"/>
        </w:rPr>
        <w:t>* Realization Rate (RR) is the ratio of verified gross savings to ex ante gross savings, based on evaluation research findings.</w:t>
      </w:r>
    </w:p>
    <w:p w14:paraId="4AA1A27C" w14:textId="2D80A37C" w:rsidR="0051460B" w:rsidRPr="00FE6B1A" w:rsidRDefault="0051460B" w:rsidP="00762D8D">
      <w:pPr>
        <w:pStyle w:val="TableFigureSourceorNote"/>
        <w:rPr>
          <w:rFonts w:eastAsia="Arial"/>
        </w:rPr>
      </w:pPr>
      <w:r w:rsidRPr="00FE6B1A">
        <w:rPr>
          <w:rFonts w:eastAsia="Arial"/>
        </w:rPr>
        <w:t xml:space="preserve">† NTG, Net to Gross is the deemed value available on the SAG website: </w:t>
      </w:r>
      <w:hyperlink r:id="rId30" w:history="1">
        <w:r w:rsidRPr="00FE6B1A">
          <w:rPr>
            <w:rStyle w:val="Hyperlink"/>
            <w:rFonts w:eastAsia="Arial" w:cs="Arial"/>
            <w:iCs/>
            <w:szCs w:val="16"/>
          </w:rPr>
          <w:t>https://www.ilsag.info/evaluator-ntg-recommendations-for-2025/</w:t>
        </w:r>
      </w:hyperlink>
      <w:r w:rsidRPr="00FE6B1A">
        <w:rPr>
          <w:rFonts w:eastAsia="Arial"/>
          <w:iCs/>
        </w:rPr>
        <w:t>.</w:t>
      </w:r>
    </w:p>
    <w:p w14:paraId="4AAEB48B" w14:textId="77777777" w:rsidR="00021C2B" w:rsidRPr="00FE6B1A" w:rsidRDefault="00021C2B" w:rsidP="0053168E">
      <w:pPr>
        <w:pStyle w:val="TableFigureSourceorNote"/>
        <w:rPr>
          <w:iCs/>
        </w:rPr>
      </w:pPr>
      <w:r w:rsidRPr="00FE6B1A">
        <w:rPr>
          <w:iCs/>
        </w:rPr>
        <w:t>Source: Evaluation team analysis.</w:t>
      </w:r>
    </w:p>
    <w:p w14:paraId="064FD582" w14:textId="77777777" w:rsidR="00F5661B" w:rsidRDefault="00F5661B" w:rsidP="004F0461"/>
    <w:p w14:paraId="1D3A5B7D" w14:textId="70C03519" w:rsidR="00021C2B" w:rsidRDefault="002C4F77" w:rsidP="004F0461">
      <w:r w:rsidRPr="002C4F77">
        <w:t xml:space="preserve">The NSG PHES program </w:t>
      </w:r>
      <w:r w:rsidR="00AE334B">
        <w:t>includes one measure</w:t>
      </w:r>
      <w:r w:rsidRPr="002C4F77">
        <w:t>, as shown in</w:t>
      </w:r>
      <w:r w:rsidR="002F2DB7">
        <w:t xml:space="preserve"> </w:t>
      </w:r>
      <w:r w:rsidR="002F2DB7">
        <w:fldChar w:fldCharType="begin"/>
      </w:r>
      <w:r w:rsidR="002F2DB7">
        <w:instrText xml:space="preserve"> REF _Ref224070543 \h </w:instrText>
      </w:r>
      <w:r w:rsidR="002F2DB7">
        <w:fldChar w:fldCharType="separate"/>
      </w:r>
      <w:r w:rsidR="00803485">
        <w:t xml:space="preserve">Table </w:t>
      </w:r>
      <w:r w:rsidR="00803485">
        <w:rPr>
          <w:noProof/>
        </w:rPr>
        <w:t>17</w:t>
      </w:r>
      <w:r w:rsidR="002F2DB7">
        <w:fldChar w:fldCharType="end"/>
      </w:r>
      <w:r w:rsidRPr="002C4F77">
        <w:t>.</w:t>
      </w:r>
    </w:p>
    <w:p w14:paraId="6EE844B9" w14:textId="05BB0611" w:rsidR="002C4F77" w:rsidRDefault="00D7625F" w:rsidP="00F671C0">
      <w:pPr>
        <w:pStyle w:val="Caption"/>
      </w:pPr>
      <w:bookmarkStart w:id="76" w:name="_Ref224070543"/>
      <w:bookmarkStart w:id="77" w:name="_Toc224230115"/>
      <w:r>
        <w:lastRenderedPageBreak/>
        <w:t xml:space="preserve">Table </w:t>
      </w:r>
      <w:r>
        <w:fldChar w:fldCharType="begin"/>
      </w:r>
      <w:r>
        <w:instrText>SEQ Table \* ARABIC</w:instrText>
      </w:r>
      <w:r>
        <w:fldChar w:fldCharType="separate"/>
      </w:r>
      <w:r w:rsidR="00803485">
        <w:rPr>
          <w:noProof/>
        </w:rPr>
        <w:t>17</w:t>
      </w:r>
      <w:r>
        <w:fldChar w:fldCharType="end"/>
      </w:r>
      <w:bookmarkEnd w:id="76"/>
      <w:r>
        <w:t>.</w:t>
      </w:r>
      <w:r w:rsidRPr="00D7625F">
        <w:t xml:space="preserve"> Annual Energy Savings by Measure for NSG</w:t>
      </w:r>
      <w:r w:rsidR="00C1453C">
        <w:t xml:space="preserve"> </w:t>
      </w:r>
      <w:r w:rsidRPr="00D7625F">
        <w:t>–</w:t>
      </w:r>
      <w:r w:rsidR="00C1453C">
        <w:t xml:space="preserve"> </w:t>
      </w:r>
      <w:r w:rsidRPr="00D7625F">
        <w:t>Public Housing</w:t>
      </w:r>
      <w:bookmarkEnd w:id="77"/>
    </w:p>
    <w:tbl>
      <w:tblPr>
        <w:tblW w:w="5000" w:type="pct"/>
        <w:tblLook w:val="04A0" w:firstRow="1" w:lastRow="0" w:firstColumn="1" w:lastColumn="0" w:noHBand="0" w:noVBand="1"/>
      </w:tblPr>
      <w:tblGrid>
        <w:gridCol w:w="1164"/>
        <w:gridCol w:w="2348"/>
        <w:gridCol w:w="1034"/>
        <w:gridCol w:w="946"/>
        <w:gridCol w:w="1033"/>
        <w:gridCol w:w="724"/>
        <w:gridCol w:w="1078"/>
        <w:gridCol w:w="1033"/>
      </w:tblGrid>
      <w:tr w:rsidR="00D11DD0" w:rsidRPr="0072195E" w14:paraId="0A9EA0AB" w14:textId="77777777" w:rsidTr="00D11DD0">
        <w:trPr>
          <w:trHeight w:val="1050"/>
        </w:trPr>
        <w:tc>
          <w:tcPr>
            <w:tcW w:w="621" w:type="pct"/>
            <w:tcBorders>
              <w:top w:val="nil"/>
              <w:left w:val="nil"/>
              <w:bottom w:val="single" w:sz="12" w:space="0" w:color="95D600"/>
              <w:right w:val="nil"/>
            </w:tcBorders>
            <w:shd w:val="clear" w:color="000000" w:fill="036479"/>
            <w:vAlign w:val="center"/>
            <w:hideMark/>
          </w:tcPr>
          <w:p w14:paraId="4278FCC8" w14:textId="77777777" w:rsidR="00D11DD0" w:rsidRPr="008A1B40" w:rsidRDefault="00D11DD0" w:rsidP="0072195E">
            <w:pPr>
              <w:spacing w:after="0" w:line="240" w:lineRule="auto"/>
              <w:rPr>
                <w:rFonts w:eastAsia="Times New Roman" w:cs="Calibri"/>
                <w:color w:val="FFFFFF"/>
                <w:sz w:val="18"/>
                <w:szCs w:val="18"/>
                <w:lang w:val="en-IN" w:eastAsia="en-IN"/>
              </w:rPr>
            </w:pPr>
            <w:r w:rsidRPr="008A1B40">
              <w:rPr>
                <w:rFonts w:eastAsia="Times New Roman" w:cs="Calibri"/>
                <w:color w:val="FFFFFF"/>
                <w:sz w:val="18"/>
                <w:szCs w:val="18"/>
                <w:lang w:val="en-IN" w:eastAsia="en-IN"/>
              </w:rPr>
              <w:t>Program Path</w:t>
            </w:r>
          </w:p>
        </w:tc>
        <w:tc>
          <w:tcPr>
            <w:tcW w:w="1254" w:type="pct"/>
            <w:tcBorders>
              <w:top w:val="nil"/>
              <w:left w:val="nil"/>
              <w:bottom w:val="single" w:sz="12" w:space="0" w:color="95D600"/>
              <w:right w:val="nil"/>
            </w:tcBorders>
            <w:shd w:val="clear" w:color="000000" w:fill="036479"/>
            <w:vAlign w:val="center"/>
            <w:hideMark/>
          </w:tcPr>
          <w:p w14:paraId="36864C24" w14:textId="77777777" w:rsidR="00D11DD0" w:rsidRPr="008A1B40" w:rsidRDefault="00D11DD0" w:rsidP="0072195E">
            <w:pPr>
              <w:spacing w:after="0" w:line="240" w:lineRule="auto"/>
              <w:rPr>
                <w:rFonts w:eastAsia="Times New Roman" w:cs="Calibri"/>
                <w:color w:val="FFFFFF"/>
                <w:sz w:val="18"/>
                <w:szCs w:val="18"/>
                <w:lang w:val="en-IN" w:eastAsia="en-IN"/>
              </w:rPr>
            </w:pPr>
            <w:r w:rsidRPr="008A1B40">
              <w:rPr>
                <w:rFonts w:eastAsia="Times New Roman" w:cs="Calibri"/>
                <w:color w:val="FFFFFF"/>
                <w:sz w:val="18"/>
                <w:szCs w:val="18"/>
                <w:lang w:val="en-IN" w:eastAsia="en-IN"/>
              </w:rPr>
              <w:t>Savings Category</w:t>
            </w:r>
          </w:p>
        </w:tc>
        <w:tc>
          <w:tcPr>
            <w:tcW w:w="552" w:type="pct"/>
            <w:tcBorders>
              <w:top w:val="nil"/>
              <w:left w:val="nil"/>
              <w:bottom w:val="single" w:sz="12" w:space="0" w:color="95D600"/>
              <w:right w:val="nil"/>
            </w:tcBorders>
            <w:shd w:val="clear" w:color="000000" w:fill="036479"/>
            <w:vAlign w:val="center"/>
            <w:hideMark/>
          </w:tcPr>
          <w:p w14:paraId="5923BF7E" w14:textId="77777777" w:rsidR="00D11DD0" w:rsidRPr="008A1B40" w:rsidRDefault="00D11DD0" w:rsidP="0072195E">
            <w:pPr>
              <w:spacing w:after="0" w:line="240" w:lineRule="auto"/>
              <w:jc w:val="right"/>
              <w:rPr>
                <w:rFonts w:eastAsia="Times New Roman" w:cs="Calibri"/>
                <w:color w:val="FFFFFF"/>
                <w:sz w:val="18"/>
                <w:szCs w:val="18"/>
                <w:lang w:val="en-IN" w:eastAsia="en-IN"/>
              </w:rPr>
            </w:pPr>
            <w:r w:rsidRPr="008A1B40">
              <w:rPr>
                <w:rFonts w:eastAsia="Times New Roman" w:cs="Calibri"/>
                <w:color w:val="FFFFFF"/>
                <w:sz w:val="18"/>
                <w:szCs w:val="18"/>
                <w:lang w:val="en-IN" w:eastAsia="en-IN"/>
              </w:rPr>
              <w:t xml:space="preserve"> Ex Ante Gross Savings (Therms) </w:t>
            </w:r>
          </w:p>
        </w:tc>
        <w:tc>
          <w:tcPr>
            <w:tcW w:w="505" w:type="pct"/>
            <w:tcBorders>
              <w:top w:val="nil"/>
              <w:left w:val="nil"/>
              <w:bottom w:val="single" w:sz="12" w:space="0" w:color="95D600"/>
              <w:right w:val="nil"/>
            </w:tcBorders>
            <w:shd w:val="clear" w:color="000000" w:fill="036479"/>
            <w:vAlign w:val="center"/>
            <w:hideMark/>
          </w:tcPr>
          <w:p w14:paraId="4B762A60" w14:textId="77777777" w:rsidR="00D11DD0" w:rsidRPr="008A1B40" w:rsidRDefault="00D11DD0" w:rsidP="0072195E">
            <w:pPr>
              <w:spacing w:after="0" w:line="240" w:lineRule="auto"/>
              <w:jc w:val="right"/>
              <w:rPr>
                <w:rFonts w:eastAsia="Times New Roman" w:cs="Calibri"/>
                <w:color w:val="FFFFFF"/>
                <w:sz w:val="18"/>
                <w:szCs w:val="18"/>
                <w:lang w:val="en-IN" w:eastAsia="en-IN"/>
              </w:rPr>
            </w:pPr>
            <w:r w:rsidRPr="008A1B40">
              <w:rPr>
                <w:rFonts w:eastAsia="Times New Roman" w:cs="Calibri"/>
                <w:color w:val="FFFFFF"/>
                <w:sz w:val="18"/>
                <w:szCs w:val="18"/>
                <w:lang w:val="en-IN" w:eastAsia="en-IN"/>
              </w:rPr>
              <w:t>Verified Gross RR*</w:t>
            </w:r>
          </w:p>
        </w:tc>
        <w:tc>
          <w:tcPr>
            <w:tcW w:w="552" w:type="pct"/>
            <w:tcBorders>
              <w:top w:val="nil"/>
              <w:left w:val="nil"/>
              <w:bottom w:val="single" w:sz="12" w:space="0" w:color="95D600"/>
              <w:right w:val="nil"/>
            </w:tcBorders>
            <w:shd w:val="clear" w:color="000000" w:fill="036479"/>
            <w:vAlign w:val="center"/>
            <w:hideMark/>
          </w:tcPr>
          <w:p w14:paraId="0F448A68" w14:textId="77777777" w:rsidR="00D11DD0" w:rsidRPr="008A1B40" w:rsidRDefault="00D11DD0" w:rsidP="0072195E">
            <w:pPr>
              <w:spacing w:after="0" w:line="240" w:lineRule="auto"/>
              <w:jc w:val="right"/>
              <w:rPr>
                <w:rFonts w:eastAsia="Times New Roman" w:cs="Calibri"/>
                <w:color w:val="FFFFFF"/>
                <w:sz w:val="18"/>
                <w:szCs w:val="18"/>
                <w:lang w:val="en-IN" w:eastAsia="en-IN"/>
              </w:rPr>
            </w:pPr>
            <w:r w:rsidRPr="008A1B40">
              <w:rPr>
                <w:rFonts w:eastAsia="Times New Roman" w:cs="Calibri"/>
                <w:color w:val="FFFFFF"/>
                <w:sz w:val="18"/>
                <w:szCs w:val="18"/>
                <w:lang w:val="en-IN" w:eastAsia="en-IN"/>
              </w:rPr>
              <w:t>Verified Gross Savings (Therms)</w:t>
            </w:r>
          </w:p>
        </w:tc>
        <w:tc>
          <w:tcPr>
            <w:tcW w:w="387" w:type="pct"/>
            <w:tcBorders>
              <w:top w:val="nil"/>
              <w:left w:val="nil"/>
              <w:bottom w:val="single" w:sz="12" w:space="0" w:color="95D600"/>
              <w:right w:val="nil"/>
            </w:tcBorders>
            <w:shd w:val="clear" w:color="000000" w:fill="036479"/>
            <w:vAlign w:val="center"/>
            <w:hideMark/>
          </w:tcPr>
          <w:p w14:paraId="537E6FFA" w14:textId="77777777" w:rsidR="00D11DD0" w:rsidRPr="008A1B40" w:rsidRDefault="00D11DD0" w:rsidP="0072195E">
            <w:pPr>
              <w:spacing w:after="0" w:line="240" w:lineRule="auto"/>
              <w:jc w:val="right"/>
              <w:rPr>
                <w:rFonts w:eastAsia="Times New Roman" w:cs="Calibri"/>
                <w:color w:val="FFFFFF"/>
                <w:sz w:val="18"/>
                <w:szCs w:val="18"/>
                <w:lang w:val="en-IN" w:eastAsia="en-IN"/>
              </w:rPr>
            </w:pPr>
            <w:r w:rsidRPr="008A1B40">
              <w:rPr>
                <w:rFonts w:eastAsia="Times New Roman" w:cs="Calibri"/>
                <w:color w:val="FFFFFF"/>
                <w:sz w:val="18"/>
                <w:szCs w:val="18"/>
                <w:lang w:val="en-IN" w:eastAsia="en-IN"/>
              </w:rPr>
              <w:t>NTG†</w:t>
            </w:r>
          </w:p>
        </w:tc>
        <w:tc>
          <w:tcPr>
            <w:tcW w:w="576" w:type="pct"/>
            <w:tcBorders>
              <w:top w:val="nil"/>
              <w:left w:val="nil"/>
              <w:bottom w:val="single" w:sz="12" w:space="0" w:color="95D600"/>
              <w:right w:val="nil"/>
            </w:tcBorders>
            <w:shd w:val="clear" w:color="000000" w:fill="036479"/>
            <w:vAlign w:val="center"/>
            <w:hideMark/>
          </w:tcPr>
          <w:p w14:paraId="349AAC80" w14:textId="59CE4C49" w:rsidR="00D11DD0" w:rsidRPr="008A1B40" w:rsidRDefault="00D11DD0" w:rsidP="005D5081">
            <w:pPr>
              <w:spacing w:after="0" w:line="240" w:lineRule="auto"/>
              <w:rPr>
                <w:rFonts w:eastAsia="Times New Roman" w:cs="Calibri"/>
                <w:color w:val="FFFFFF"/>
                <w:sz w:val="18"/>
                <w:szCs w:val="18"/>
                <w:lang w:val="en-IN" w:eastAsia="en-IN"/>
              </w:rPr>
            </w:pPr>
            <w:r w:rsidRPr="008A1B40">
              <w:rPr>
                <w:rFonts w:eastAsia="Times New Roman" w:cs="Calibri"/>
                <w:color w:val="FFFFFF"/>
                <w:sz w:val="18"/>
                <w:szCs w:val="18"/>
                <w:lang w:val="en-IN" w:eastAsia="en-IN"/>
              </w:rPr>
              <w:t>NSP</w:t>
            </w:r>
            <w:r>
              <w:rPr>
                <w:rFonts w:eastAsia="Times New Roman" w:cs="Calibri"/>
                <w:color w:val="FFFFFF"/>
                <w:sz w:val="18"/>
                <w:szCs w:val="18"/>
                <w:lang w:val="en-IN" w:eastAsia="en-IN"/>
              </w:rPr>
              <w:t>O</w:t>
            </w:r>
          </w:p>
        </w:tc>
        <w:tc>
          <w:tcPr>
            <w:tcW w:w="552" w:type="pct"/>
            <w:tcBorders>
              <w:top w:val="nil"/>
              <w:left w:val="nil"/>
              <w:bottom w:val="single" w:sz="12" w:space="0" w:color="95D600"/>
              <w:right w:val="nil"/>
            </w:tcBorders>
            <w:shd w:val="clear" w:color="000000" w:fill="036479"/>
            <w:vAlign w:val="center"/>
            <w:hideMark/>
          </w:tcPr>
          <w:p w14:paraId="2CD88CCF" w14:textId="77777777" w:rsidR="00D11DD0" w:rsidRPr="008A1B40" w:rsidRDefault="00D11DD0" w:rsidP="0072195E">
            <w:pPr>
              <w:spacing w:after="0" w:line="240" w:lineRule="auto"/>
              <w:jc w:val="right"/>
              <w:rPr>
                <w:rFonts w:eastAsia="Times New Roman" w:cs="Calibri"/>
                <w:color w:val="FFFFFF"/>
                <w:sz w:val="18"/>
                <w:szCs w:val="18"/>
                <w:lang w:val="en-IN" w:eastAsia="en-IN"/>
              </w:rPr>
            </w:pPr>
            <w:r w:rsidRPr="008A1B40">
              <w:rPr>
                <w:rFonts w:eastAsia="Times New Roman" w:cs="Calibri"/>
                <w:color w:val="FFFFFF"/>
                <w:sz w:val="18"/>
                <w:szCs w:val="18"/>
                <w:lang w:val="en-IN" w:eastAsia="en-IN"/>
              </w:rPr>
              <w:t>Verified Net Savings (Therms)</w:t>
            </w:r>
          </w:p>
        </w:tc>
      </w:tr>
      <w:tr w:rsidR="00D11DD0" w:rsidRPr="0072195E" w14:paraId="45954D59" w14:textId="77777777" w:rsidTr="00D11DD0">
        <w:trPr>
          <w:trHeight w:val="310"/>
        </w:trPr>
        <w:tc>
          <w:tcPr>
            <w:tcW w:w="621" w:type="pct"/>
            <w:tcBorders>
              <w:top w:val="single" w:sz="12" w:space="0" w:color="95D600"/>
              <w:left w:val="nil"/>
              <w:bottom w:val="single" w:sz="8" w:space="0" w:color="036479"/>
              <w:right w:val="nil"/>
            </w:tcBorders>
            <w:shd w:val="clear" w:color="000000" w:fill="FFFFFF"/>
            <w:vAlign w:val="center"/>
            <w:hideMark/>
          </w:tcPr>
          <w:p w14:paraId="7A303035" w14:textId="77777777" w:rsidR="00D11DD0" w:rsidRPr="0072195E" w:rsidRDefault="00D11DD0" w:rsidP="0072195E">
            <w:pPr>
              <w:spacing w:after="0" w:line="240" w:lineRule="auto"/>
              <w:rPr>
                <w:rFonts w:eastAsia="Times New Roman" w:cs="Calibri"/>
                <w:color w:val="000000"/>
                <w:sz w:val="18"/>
                <w:szCs w:val="18"/>
                <w:lang w:val="en-IN" w:eastAsia="en-IN"/>
              </w:rPr>
            </w:pPr>
            <w:r w:rsidRPr="0072195E">
              <w:rPr>
                <w:rFonts w:eastAsia="Times New Roman" w:cs="Calibri"/>
                <w:color w:val="000000"/>
                <w:sz w:val="18"/>
                <w:szCs w:val="18"/>
                <w:lang w:val="en-IN" w:eastAsia="en-IN"/>
              </w:rPr>
              <w:t>Public Housing</w:t>
            </w:r>
          </w:p>
        </w:tc>
        <w:tc>
          <w:tcPr>
            <w:tcW w:w="1254" w:type="pct"/>
            <w:tcBorders>
              <w:top w:val="single" w:sz="12" w:space="0" w:color="95D600"/>
              <w:left w:val="nil"/>
              <w:bottom w:val="single" w:sz="8" w:space="0" w:color="036479"/>
              <w:right w:val="nil"/>
            </w:tcBorders>
            <w:shd w:val="clear" w:color="000000" w:fill="FFFFFF"/>
            <w:noWrap/>
            <w:vAlign w:val="center"/>
            <w:hideMark/>
          </w:tcPr>
          <w:p w14:paraId="25B66B6D" w14:textId="77777777" w:rsidR="00D11DD0" w:rsidRPr="0072195E" w:rsidRDefault="00D11DD0" w:rsidP="0072195E">
            <w:pPr>
              <w:spacing w:after="0" w:line="240" w:lineRule="auto"/>
              <w:rPr>
                <w:rFonts w:eastAsia="Times New Roman" w:cs="Calibri"/>
                <w:color w:val="000000"/>
                <w:sz w:val="18"/>
                <w:szCs w:val="18"/>
                <w:lang w:val="en-IN" w:eastAsia="en-IN"/>
              </w:rPr>
            </w:pPr>
            <w:r w:rsidRPr="0072195E">
              <w:rPr>
                <w:rFonts w:eastAsia="Times New Roman" w:cs="Calibri"/>
                <w:color w:val="000000"/>
                <w:sz w:val="18"/>
                <w:szCs w:val="18"/>
                <w:lang w:val="en-IN" w:eastAsia="en-IN"/>
              </w:rPr>
              <w:t>Boiler Tune Up</w:t>
            </w:r>
          </w:p>
        </w:tc>
        <w:tc>
          <w:tcPr>
            <w:tcW w:w="552" w:type="pct"/>
            <w:tcBorders>
              <w:top w:val="single" w:sz="12" w:space="0" w:color="95D600"/>
              <w:left w:val="nil"/>
              <w:bottom w:val="single" w:sz="8" w:space="0" w:color="036479"/>
              <w:right w:val="nil"/>
            </w:tcBorders>
            <w:shd w:val="clear" w:color="000000" w:fill="FFFFFF"/>
            <w:noWrap/>
            <w:vAlign w:val="center"/>
            <w:hideMark/>
          </w:tcPr>
          <w:p w14:paraId="6243FD0D" w14:textId="77777777" w:rsidR="00D11DD0" w:rsidRPr="0072195E" w:rsidRDefault="00D11DD0" w:rsidP="0072195E">
            <w:pPr>
              <w:spacing w:after="0" w:line="240" w:lineRule="auto"/>
              <w:jc w:val="right"/>
              <w:rPr>
                <w:rFonts w:eastAsia="Times New Roman" w:cs="Calibri"/>
                <w:color w:val="000000"/>
                <w:sz w:val="18"/>
                <w:szCs w:val="18"/>
                <w:lang w:val="en-IN" w:eastAsia="en-IN"/>
              </w:rPr>
            </w:pPr>
            <w:r w:rsidRPr="0072195E">
              <w:rPr>
                <w:rFonts w:eastAsia="Times New Roman" w:cs="Calibri"/>
                <w:color w:val="000000"/>
                <w:sz w:val="18"/>
                <w:szCs w:val="18"/>
                <w:lang w:val="en-IN" w:eastAsia="en-IN"/>
              </w:rPr>
              <w:t>1,117</w:t>
            </w:r>
          </w:p>
        </w:tc>
        <w:tc>
          <w:tcPr>
            <w:tcW w:w="505" w:type="pct"/>
            <w:tcBorders>
              <w:top w:val="single" w:sz="12" w:space="0" w:color="95D600"/>
              <w:left w:val="nil"/>
              <w:bottom w:val="single" w:sz="8" w:space="0" w:color="036479"/>
              <w:right w:val="nil"/>
            </w:tcBorders>
            <w:shd w:val="clear" w:color="000000" w:fill="FFFFFF"/>
            <w:noWrap/>
            <w:vAlign w:val="center"/>
            <w:hideMark/>
          </w:tcPr>
          <w:p w14:paraId="654FCE5C" w14:textId="77777777" w:rsidR="00D11DD0" w:rsidRPr="0072195E" w:rsidRDefault="00D11DD0" w:rsidP="0072195E">
            <w:pPr>
              <w:spacing w:after="0" w:line="240" w:lineRule="auto"/>
              <w:jc w:val="right"/>
              <w:rPr>
                <w:rFonts w:eastAsia="Times New Roman" w:cs="Calibri"/>
                <w:color w:val="000000"/>
                <w:sz w:val="18"/>
                <w:szCs w:val="18"/>
                <w:lang w:val="en-IN" w:eastAsia="en-IN"/>
              </w:rPr>
            </w:pPr>
            <w:r w:rsidRPr="0072195E">
              <w:rPr>
                <w:rFonts w:eastAsia="Times New Roman" w:cs="Calibri"/>
                <w:color w:val="000000"/>
                <w:sz w:val="18"/>
                <w:szCs w:val="18"/>
                <w:lang w:val="en-IN" w:eastAsia="en-IN"/>
              </w:rPr>
              <w:t>100%</w:t>
            </w:r>
          </w:p>
        </w:tc>
        <w:tc>
          <w:tcPr>
            <w:tcW w:w="552" w:type="pct"/>
            <w:tcBorders>
              <w:top w:val="single" w:sz="12" w:space="0" w:color="95D600"/>
              <w:left w:val="nil"/>
              <w:bottom w:val="single" w:sz="8" w:space="0" w:color="036479"/>
              <w:right w:val="nil"/>
            </w:tcBorders>
            <w:shd w:val="clear" w:color="000000" w:fill="FFFFFF"/>
            <w:noWrap/>
            <w:vAlign w:val="center"/>
            <w:hideMark/>
          </w:tcPr>
          <w:p w14:paraId="41AC9C2D" w14:textId="77777777" w:rsidR="00D11DD0" w:rsidRPr="0072195E" w:rsidRDefault="00D11DD0" w:rsidP="0072195E">
            <w:pPr>
              <w:spacing w:after="0" w:line="240" w:lineRule="auto"/>
              <w:jc w:val="right"/>
              <w:rPr>
                <w:rFonts w:eastAsia="Times New Roman" w:cs="Calibri"/>
                <w:color w:val="000000"/>
                <w:sz w:val="18"/>
                <w:szCs w:val="18"/>
                <w:lang w:val="en-IN" w:eastAsia="en-IN"/>
              </w:rPr>
            </w:pPr>
            <w:r w:rsidRPr="0072195E">
              <w:rPr>
                <w:rFonts w:eastAsia="Times New Roman" w:cs="Calibri"/>
                <w:color w:val="000000"/>
                <w:sz w:val="18"/>
                <w:szCs w:val="18"/>
                <w:lang w:val="en-IN" w:eastAsia="en-IN"/>
              </w:rPr>
              <w:t>1,117</w:t>
            </w:r>
          </w:p>
        </w:tc>
        <w:tc>
          <w:tcPr>
            <w:tcW w:w="387" w:type="pct"/>
            <w:tcBorders>
              <w:top w:val="single" w:sz="12" w:space="0" w:color="95D600"/>
              <w:left w:val="nil"/>
              <w:bottom w:val="single" w:sz="8" w:space="0" w:color="036479"/>
              <w:right w:val="nil"/>
            </w:tcBorders>
            <w:shd w:val="clear" w:color="000000" w:fill="FFFFFF"/>
            <w:vAlign w:val="center"/>
            <w:hideMark/>
          </w:tcPr>
          <w:p w14:paraId="15F054C0" w14:textId="77777777" w:rsidR="00D11DD0" w:rsidRPr="0072195E" w:rsidRDefault="00D11DD0" w:rsidP="0072195E">
            <w:pPr>
              <w:spacing w:after="0" w:line="240" w:lineRule="auto"/>
              <w:jc w:val="right"/>
              <w:rPr>
                <w:rFonts w:eastAsia="Times New Roman" w:cs="Calibri"/>
                <w:color w:val="000000"/>
                <w:sz w:val="18"/>
                <w:szCs w:val="18"/>
                <w:lang w:val="en-IN" w:eastAsia="en-IN"/>
              </w:rPr>
            </w:pPr>
            <w:r w:rsidRPr="0072195E">
              <w:rPr>
                <w:rFonts w:eastAsia="Times New Roman" w:cs="Calibri"/>
                <w:color w:val="000000"/>
                <w:sz w:val="18"/>
                <w:szCs w:val="18"/>
                <w:lang w:val="en-IN" w:eastAsia="en-IN"/>
              </w:rPr>
              <w:t>1.00</w:t>
            </w:r>
          </w:p>
        </w:tc>
        <w:tc>
          <w:tcPr>
            <w:tcW w:w="576" w:type="pct"/>
            <w:tcBorders>
              <w:top w:val="single" w:sz="12" w:space="0" w:color="95D600"/>
              <w:left w:val="nil"/>
              <w:bottom w:val="single" w:sz="8" w:space="0" w:color="036479"/>
              <w:right w:val="nil"/>
            </w:tcBorders>
            <w:shd w:val="clear" w:color="000000" w:fill="FFFFFF"/>
            <w:vAlign w:val="center"/>
            <w:hideMark/>
          </w:tcPr>
          <w:p w14:paraId="3FEFFA87" w14:textId="11322B90" w:rsidR="00D11DD0" w:rsidRPr="0072195E" w:rsidRDefault="00D11DD0" w:rsidP="005D5081">
            <w:pPr>
              <w:spacing w:after="0" w:line="240" w:lineRule="auto"/>
              <w:rPr>
                <w:rFonts w:eastAsia="Times New Roman" w:cs="Calibri"/>
                <w:color w:val="000000"/>
                <w:sz w:val="18"/>
                <w:szCs w:val="18"/>
                <w:lang w:val="en-IN" w:eastAsia="en-IN"/>
              </w:rPr>
            </w:pPr>
            <w:r>
              <w:rPr>
                <w:rFonts w:eastAsia="Times New Roman" w:cs="Calibri"/>
                <w:color w:val="000000"/>
                <w:sz w:val="18"/>
                <w:szCs w:val="18"/>
                <w:lang w:val="en-IN" w:eastAsia="en-IN"/>
              </w:rPr>
              <w:t>N/A</w:t>
            </w:r>
          </w:p>
        </w:tc>
        <w:tc>
          <w:tcPr>
            <w:tcW w:w="552" w:type="pct"/>
            <w:tcBorders>
              <w:top w:val="single" w:sz="12" w:space="0" w:color="95D600"/>
              <w:left w:val="nil"/>
              <w:bottom w:val="single" w:sz="8" w:space="0" w:color="036479"/>
              <w:right w:val="nil"/>
            </w:tcBorders>
            <w:shd w:val="clear" w:color="000000" w:fill="FFFFFF"/>
            <w:vAlign w:val="center"/>
            <w:hideMark/>
          </w:tcPr>
          <w:p w14:paraId="746AF065" w14:textId="77777777" w:rsidR="00D11DD0" w:rsidRPr="0072195E" w:rsidRDefault="00D11DD0" w:rsidP="0072195E">
            <w:pPr>
              <w:spacing w:after="0" w:line="240" w:lineRule="auto"/>
              <w:jc w:val="right"/>
              <w:rPr>
                <w:rFonts w:eastAsia="Times New Roman" w:cs="Calibri"/>
                <w:color w:val="000000"/>
                <w:sz w:val="18"/>
                <w:szCs w:val="18"/>
                <w:lang w:val="en-IN" w:eastAsia="en-IN"/>
              </w:rPr>
            </w:pPr>
            <w:r w:rsidRPr="0072195E">
              <w:rPr>
                <w:rFonts w:eastAsia="Times New Roman" w:cs="Calibri"/>
                <w:color w:val="000000"/>
                <w:sz w:val="18"/>
                <w:szCs w:val="18"/>
                <w:lang w:val="en-IN" w:eastAsia="en-IN"/>
              </w:rPr>
              <w:t>1,117</w:t>
            </w:r>
          </w:p>
        </w:tc>
      </w:tr>
    </w:tbl>
    <w:p w14:paraId="0E625920" w14:textId="77777777" w:rsidR="004A0FA9" w:rsidRPr="00FE6B1A" w:rsidRDefault="004A0FA9" w:rsidP="00762D8D">
      <w:pPr>
        <w:pStyle w:val="TableFigureSourceorNote"/>
        <w:rPr>
          <w:rFonts w:eastAsia="Arial"/>
        </w:rPr>
      </w:pPr>
      <w:r w:rsidRPr="00FE6B1A">
        <w:rPr>
          <w:rFonts w:eastAsia="Arial"/>
        </w:rPr>
        <w:t>* Realization Rate (RR) is the ratio of verified gross savings to ex ante gross savings, based on evaluation research findings.</w:t>
      </w:r>
    </w:p>
    <w:p w14:paraId="577A97E2" w14:textId="16F09242" w:rsidR="004A0FA9" w:rsidRPr="00FE6B1A" w:rsidRDefault="004A0FA9" w:rsidP="00762D8D">
      <w:pPr>
        <w:pStyle w:val="TableFigureSourceorNote"/>
        <w:rPr>
          <w:rFonts w:eastAsia="Arial"/>
        </w:rPr>
      </w:pPr>
      <w:r w:rsidRPr="00FE6B1A">
        <w:rPr>
          <w:rFonts w:eastAsia="Arial"/>
        </w:rPr>
        <w:t xml:space="preserve">† NTG, Net to Gross is the deemed value available on the SAG website: </w:t>
      </w:r>
      <w:hyperlink r:id="rId31" w:history="1">
        <w:r w:rsidRPr="00FE6B1A">
          <w:rPr>
            <w:rStyle w:val="Hyperlink"/>
            <w:rFonts w:eastAsia="Arial" w:cs="Arial"/>
            <w:iCs/>
            <w:szCs w:val="16"/>
          </w:rPr>
          <w:t>https://www.ilsag.info/evaluator-ntg-recommendations-for-2025/</w:t>
        </w:r>
      </w:hyperlink>
      <w:r w:rsidRPr="00FE6B1A">
        <w:rPr>
          <w:rFonts w:eastAsia="Arial"/>
          <w:iCs/>
        </w:rPr>
        <w:t>.</w:t>
      </w:r>
    </w:p>
    <w:p w14:paraId="79185CA1" w14:textId="7252C783" w:rsidR="002C4F77" w:rsidRPr="00FE6B1A" w:rsidRDefault="00A9329C" w:rsidP="00300579">
      <w:pPr>
        <w:pStyle w:val="TableFigureSourceorNote"/>
        <w:rPr>
          <w:iCs/>
        </w:rPr>
      </w:pPr>
      <w:r w:rsidRPr="00FE6B1A">
        <w:rPr>
          <w:iCs/>
        </w:rPr>
        <w:t>Source: Evaluation team analysis.</w:t>
      </w:r>
    </w:p>
    <w:p w14:paraId="44EE5848" w14:textId="77777777" w:rsidR="004F0461" w:rsidRDefault="004F0461" w:rsidP="004F0461">
      <w:pPr>
        <w:pStyle w:val="Heading2"/>
      </w:pPr>
      <w:bookmarkStart w:id="78" w:name="_Toc224332886"/>
      <w:r>
        <w:t>Impact Analysis Findings and Recommendations</w:t>
      </w:r>
      <w:bookmarkEnd w:id="78"/>
    </w:p>
    <w:p w14:paraId="63928FE4" w14:textId="77777777" w:rsidR="004F0461" w:rsidRDefault="004F0461" w:rsidP="00575E2C">
      <w:pPr>
        <w:pStyle w:val="Heading3"/>
      </w:pPr>
      <w:bookmarkStart w:id="79" w:name="_Toc224332887"/>
      <w:r>
        <w:t>Impact Parameter Estimates</w:t>
      </w:r>
      <w:bookmarkEnd w:id="79"/>
    </w:p>
    <w:p w14:paraId="09EDDBFC" w14:textId="01F5B8A9" w:rsidR="004F0461" w:rsidRDefault="00CD33A2" w:rsidP="004F0461">
      <w:r>
        <w:fldChar w:fldCharType="begin"/>
      </w:r>
      <w:r>
        <w:instrText xml:space="preserve"> REF _Ref224070905 \h </w:instrText>
      </w:r>
      <w:r>
        <w:fldChar w:fldCharType="separate"/>
      </w:r>
      <w:r w:rsidR="00803485">
        <w:t xml:space="preserve">Table </w:t>
      </w:r>
      <w:r w:rsidR="00803485">
        <w:rPr>
          <w:noProof/>
        </w:rPr>
        <w:t>18</w:t>
      </w:r>
      <w:r>
        <w:fldChar w:fldCharType="end"/>
      </w:r>
      <w:r w:rsidR="00E678DE" w:rsidRPr="00E678DE">
        <w:t xml:space="preserve"> shows the per</w:t>
      </w:r>
      <w:r w:rsidR="00695ACD">
        <w:t xml:space="preserve"> unit</w:t>
      </w:r>
      <w:r w:rsidR="00E678DE" w:rsidRPr="00E678DE">
        <w:t xml:space="preserve"> </w:t>
      </w:r>
      <w:r w:rsidR="00695ACD">
        <w:t>T</w:t>
      </w:r>
      <w:r w:rsidR="00E678DE" w:rsidRPr="00E678DE">
        <w:t xml:space="preserve">herm savings and realization rate findings by measure from our review. The realization rate is the ratio of the verified savings to the </w:t>
      </w:r>
      <w:proofErr w:type="spellStart"/>
      <w:proofErr w:type="gramStart"/>
      <w:r w:rsidR="00E678DE" w:rsidRPr="00E678DE">
        <w:t>ex ante</w:t>
      </w:r>
      <w:proofErr w:type="spellEnd"/>
      <w:proofErr w:type="gramEnd"/>
      <w:r w:rsidR="00E678DE" w:rsidRPr="00E678DE">
        <w:t xml:space="preserve"> savings. Appendix A provides a description of the impact analysis methodology.</w:t>
      </w:r>
    </w:p>
    <w:p w14:paraId="216B95CE" w14:textId="5839CA38" w:rsidR="000F0BE6" w:rsidRDefault="00422377" w:rsidP="00F671C0">
      <w:pPr>
        <w:pStyle w:val="Caption"/>
      </w:pPr>
      <w:bookmarkStart w:id="80" w:name="_Ref224070905"/>
      <w:bookmarkStart w:id="81" w:name="_Toc224230116"/>
      <w:r>
        <w:t xml:space="preserve">Table </w:t>
      </w:r>
      <w:r>
        <w:fldChar w:fldCharType="begin"/>
      </w:r>
      <w:r>
        <w:instrText>SEQ Table \* ARABIC</w:instrText>
      </w:r>
      <w:r>
        <w:fldChar w:fldCharType="separate"/>
      </w:r>
      <w:r w:rsidR="00803485">
        <w:rPr>
          <w:noProof/>
        </w:rPr>
        <w:t>18</w:t>
      </w:r>
      <w:r>
        <w:fldChar w:fldCharType="end"/>
      </w:r>
      <w:bookmarkEnd w:id="80"/>
      <w:r>
        <w:t>.</w:t>
      </w:r>
      <w:r w:rsidR="00CD33A2" w:rsidRPr="00CD33A2">
        <w:t xml:space="preserve"> Verified Gross Savings Parameters</w:t>
      </w:r>
      <w:r w:rsidR="00A12B9A">
        <w:t xml:space="preserve"> –</w:t>
      </w:r>
      <w:r w:rsidR="00CD33A2" w:rsidRPr="00CD33A2">
        <w:t xml:space="preserve"> Public</w:t>
      </w:r>
      <w:r w:rsidR="00A12B9A">
        <w:t xml:space="preserve"> </w:t>
      </w:r>
      <w:r w:rsidR="00CD33A2" w:rsidRPr="00CD33A2">
        <w:t>Housing</w:t>
      </w:r>
      <w:bookmarkEnd w:id="81"/>
    </w:p>
    <w:tbl>
      <w:tblPr>
        <w:tblW w:w="5000" w:type="pct"/>
        <w:tblLayout w:type="fixed"/>
        <w:tblLook w:val="04A0" w:firstRow="1" w:lastRow="0" w:firstColumn="1" w:lastColumn="0" w:noHBand="0" w:noVBand="1"/>
      </w:tblPr>
      <w:tblGrid>
        <w:gridCol w:w="2249"/>
        <w:gridCol w:w="1079"/>
        <w:gridCol w:w="1352"/>
        <w:gridCol w:w="1621"/>
        <w:gridCol w:w="1168"/>
        <w:gridCol w:w="1891"/>
      </w:tblGrid>
      <w:tr w:rsidR="00F61610" w:rsidRPr="00725B35" w14:paraId="2AA880C6" w14:textId="77777777" w:rsidTr="00EE2D02">
        <w:trPr>
          <w:trHeight w:val="790"/>
        </w:trPr>
        <w:tc>
          <w:tcPr>
            <w:tcW w:w="1201" w:type="pct"/>
            <w:tcBorders>
              <w:top w:val="nil"/>
              <w:left w:val="nil"/>
              <w:bottom w:val="single" w:sz="12" w:space="0" w:color="95D600"/>
              <w:right w:val="nil"/>
            </w:tcBorders>
            <w:shd w:val="clear" w:color="000000" w:fill="036479"/>
            <w:vAlign w:val="center"/>
            <w:hideMark/>
          </w:tcPr>
          <w:p w14:paraId="71A4E376" w14:textId="77777777" w:rsidR="00725B35" w:rsidRPr="00EE2D02" w:rsidRDefault="00725B35" w:rsidP="00725B35">
            <w:pPr>
              <w:spacing w:after="0" w:line="240" w:lineRule="auto"/>
              <w:rPr>
                <w:rFonts w:ascii="Aptos Narrow" w:eastAsia="Times New Roman" w:hAnsi="Aptos Narrow" w:cs="Calibri"/>
                <w:color w:val="FFFFFF"/>
                <w:sz w:val="18"/>
                <w:szCs w:val="18"/>
                <w:lang w:val="en-IN" w:eastAsia="en-IN"/>
              </w:rPr>
            </w:pPr>
            <w:r w:rsidRPr="00EE2D02">
              <w:rPr>
                <w:rFonts w:ascii="Aptos Narrow" w:eastAsia="Times New Roman" w:hAnsi="Aptos Narrow" w:cs="Calibri"/>
                <w:color w:val="FFFFFF"/>
                <w:sz w:val="18"/>
                <w:szCs w:val="18"/>
                <w:lang w:val="en-IN" w:eastAsia="en-IN"/>
              </w:rPr>
              <w:t>Measure</w:t>
            </w:r>
          </w:p>
        </w:tc>
        <w:tc>
          <w:tcPr>
            <w:tcW w:w="576" w:type="pct"/>
            <w:tcBorders>
              <w:top w:val="nil"/>
              <w:left w:val="nil"/>
              <w:bottom w:val="single" w:sz="12" w:space="0" w:color="95D600"/>
              <w:right w:val="nil"/>
            </w:tcBorders>
            <w:shd w:val="clear" w:color="000000" w:fill="036479"/>
            <w:vAlign w:val="center"/>
            <w:hideMark/>
          </w:tcPr>
          <w:p w14:paraId="5DB7112A" w14:textId="77777777" w:rsidR="00725B35" w:rsidRPr="00EE2D02" w:rsidRDefault="00725B35" w:rsidP="00A86B08">
            <w:pPr>
              <w:spacing w:after="0" w:line="240" w:lineRule="auto"/>
              <w:rPr>
                <w:rFonts w:ascii="Aptos Narrow" w:eastAsia="Times New Roman" w:hAnsi="Aptos Narrow" w:cs="Calibri"/>
                <w:color w:val="FFFFFF"/>
                <w:sz w:val="18"/>
                <w:szCs w:val="18"/>
                <w:lang w:val="en-IN" w:eastAsia="en-IN"/>
              </w:rPr>
            </w:pPr>
            <w:r w:rsidRPr="00EE2D02">
              <w:rPr>
                <w:rFonts w:ascii="Aptos Narrow" w:eastAsia="Times New Roman" w:hAnsi="Aptos Narrow" w:cs="Calibri"/>
                <w:color w:val="FFFFFF"/>
                <w:sz w:val="18"/>
                <w:szCs w:val="18"/>
                <w:lang w:val="en-IN" w:eastAsia="en-IN"/>
              </w:rPr>
              <w:t>Unit Basis</w:t>
            </w:r>
          </w:p>
        </w:tc>
        <w:tc>
          <w:tcPr>
            <w:tcW w:w="722" w:type="pct"/>
            <w:tcBorders>
              <w:top w:val="nil"/>
              <w:left w:val="nil"/>
              <w:bottom w:val="single" w:sz="12" w:space="0" w:color="95D600"/>
              <w:right w:val="nil"/>
            </w:tcBorders>
            <w:shd w:val="clear" w:color="000000" w:fill="036479"/>
            <w:vAlign w:val="center"/>
            <w:hideMark/>
          </w:tcPr>
          <w:p w14:paraId="531A564B" w14:textId="77777777" w:rsidR="00725B35" w:rsidRPr="00EE2D02" w:rsidRDefault="00725B35" w:rsidP="00725B35">
            <w:pPr>
              <w:spacing w:after="0" w:line="240" w:lineRule="auto"/>
              <w:jc w:val="right"/>
              <w:rPr>
                <w:rFonts w:ascii="Aptos Narrow" w:eastAsia="Times New Roman" w:hAnsi="Aptos Narrow" w:cs="Calibri"/>
                <w:color w:val="FFFFFF"/>
                <w:sz w:val="18"/>
                <w:szCs w:val="18"/>
                <w:lang w:val="en-IN" w:eastAsia="en-IN"/>
              </w:rPr>
            </w:pPr>
            <w:r w:rsidRPr="00EE2D02">
              <w:rPr>
                <w:rFonts w:ascii="Aptos Narrow" w:eastAsia="Times New Roman" w:hAnsi="Aptos Narrow" w:cs="Calibri"/>
                <w:color w:val="FFFFFF"/>
                <w:sz w:val="18"/>
                <w:szCs w:val="18"/>
                <w:lang w:val="en-IN" w:eastAsia="en-IN"/>
              </w:rPr>
              <w:t>Ex Ante Gross (therms/unit)</w:t>
            </w:r>
          </w:p>
        </w:tc>
        <w:tc>
          <w:tcPr>
            <w:tcW w:w="866" w:type="pct"/>
            <w:tcBorders>
              <w:top w:val="nil"/>
              <w:left w:val="nil"/>
              <w:bottom w:val="single" w:sz="12" w:space="0" w:color="95D600"/>
              <w:right w:val="nil"/>
            </w:tcBorders>
            <w:shd w:val="clear" w:color="000000" w:fill="036479"/>
            <w:vAlign w:val="center"/>
            <w:hideMark/>
          </w:tcPr>
          <w:p w14:paraId="346D5383" w14:textId="77777777" w:rsidR="00725B35" w:rsidRPr="00EE2D02" w:rsidRDefault="00725B35" w:rsidP="00725B35">
            <w:pPr>
              <w:spacing w:after="0" w:line="240" w:lineRule="auto"/>
              <w:jc w:val="right"/>
              <w:rPr>
                <w:rFonts w:ascii="Aptos Narrow" w:eastAsia="Times New Roman" w:hAnsi="Aptos Narrow" w:cs="Calibri"/>
                <w:color w:val="FFFFFF"/>
                <w:sz w:val="18"/>
                <w:szCs w:val="18"/>
                <w:lang w:val="en-IN" w:eastAsia="en-IN"/>
              </w:rPr>
            </w:pPr>
            <w:r w:rsidRPr="00EE2D02">
              <w:rPr>
                <w:rFonts w:ascii="Aptos Narrow" w:eastAsia="Times New Roman" w:hAnsi="Aptos Narrow" w:cs="Calibri"/>
                <w:color w:val="FFFFFF"/>
                <w:sz w:val="18"/>
                <w:szCs w:val="18"/>
                <w:lang w:val="en-IN" w:eastAsia="en-IN"/>
              </w:rPr>
              <w:t>Verified Gross (therms/unit)</w:t>
            </w:r>
          </w:p>
        </w:tc>
        <w:tc>
          <w:tcPr>
            <w:tcW w:w="624" w:type="pct"/>
            <w:tcBorders>
              <w:top w:val="nil"/>
              <w:left w:val="nil"/>
              <w:bottom w:val="single" w:sz="12" w:space="0" w:color="95D600"/>
              <w:right w:val="nil"/>
            </w:tcBorders>
            <w:shd w:val="clear" w:color="000000" w:fill="036479"/>
            <w:vAlign w:val="center"/>
            <w:hideMark/>
          </w:tcPr>
          <w:p w14:paraId="6129A161" w14:textId="77777777" w:rsidR="00725B35" w:rsidRPr="00EE2D02" w:rsidRDefault="00725B35" w:rsidP="00725B35">
            <w:pPr>
              <w:spacing w:after="0" w:line="240" w:lineRule="auto"/>
              <w:jc w:val="right"/>
              <w:rPr>
                <w:rFonts w:ascii="Aptos Narrow" w:eastAsia="Times New Roman" w:hAnsi="Aptos Narrow" w:cs="Calibri"/>
                <w:color w:val="FFFFFF"/>
                <w:sz w:val="18"/>
                <w:szCs w:val="18"/>
                <w:lang w:val="en-IN" w:eastAsia="en-IN"/>
              </w:rPr>
            </w:pPr>
            <w:r w:rsidRPr="00EE2D02">
              <w:rPr>
                <w:rFonts w:ascii="Aptos Narrow" w:eastAsia="Times New Roman" w:hAnsi="Aptos Narrow" w:cs="Calibri"/>
                <w:color w:val="FFFFFF"/>
                <w:sz w:val="18"/>
                <w:szCs w:val="18"/>
                <w:lang w:val="en-IN" w:eastAsia="en-IN"/>
              </w:rPr>
              <w:t>Realization Rate</w:t>
            </w:r>
          </w:p>
        </w:tc>
        <w:tc>
          <w:tcPr>
            <w:tcW w:w="1010" w:type="pct"/>
            <w:tcBorders>
              <w:top w:val="nil"/>
              <w:left w:val="nil"/>
              <w:bottom w:val="single" w:sz="12" w:space="0" w:color="95D600"/>
              <w:right w:val="nil"/>
            </w:tcBorders>
            <w:shd w:val="clear" w:color="000000" w:fill="036479"/>
            <w:vAlign w:val="center"/>
            <w:hideMark/>
          </w:tcPr>
          <w:p w14:paraId="1520E972" w14:textId="27F1B4B5" w:rsidR="00725B35" w:rsidRPr="00EE2D02" w:rsidRDefault="00EE2D02" w:rsidP="005F4135">
            <w:pPr>
              <w:spacing w:after="0" w:line="240" w:lineRule="auto"/>
              <w:rPr>
                <w:rFonts w:ascii="Aptos Narrow" w:eastAsia="Times New Roman" w:hAnsi="Aptos Narrow" w:cs="Calibri"/>
                <w:color w:val="FFFFFF"/>
                <w:sz w:val="18"/>
                <w:szCs w:val="18"/>
                <w:lang w:val="en-IN" w:eastAsia="en-IN"/>
              </w:rPr>
            </w:pPr>
            <w:r w:rsidRPr="00EE2D02">
              <w:rPr>
                <w:rFonts w:ascii="Aptos Narrow" w:eastAsia="Times New Roman" w:hAnsi="Aptos Narrow" w:cs="Calibri"/>
                <w:color w:val="FFFFFF"/>
                <w:sz w:val="18"/>
                <w:szCs w:val="18"/>
                <w:lang w:val="en-IN" w:eastAsia="en-IN"/>
              </w:rPr>
              <w:t>Illinois TRM, v13.0†, Section</w:t>
            </w:r>
          </w:p>
        </w:tc>
      </w:tr>
      <w:tr w:rsidR="00F61610" w:rsidRPr="00725B35" w14:paraId="2D18C5BC" w14:textId="77777777" w:rsidTr="00EE2D02">
        <w:trPr>
          <w:trHeight w:val="310"/>
        </w:trPr>
        <w:tc>
          <w:tcPr>
            <w:tcW w:w="1201" w:type="pct"/>
            <w:tcBorders>
              <w:top w:val="nil"/>
              <w:left w:val="nil"/>
              <w:bottom w:val="single" w:sz="8" w:space="0" w:color="B3EFFD"/>
              <w:right w:val="nil"/>
            </w:tcBorders>
            <w:shd w:val="clear" w:color="000000" w:fill="FFFFFF"/>
            <w:vAlign w:val="center"/>
            <w:hideMark/>
          </w:tcPr>
          <w:p w14:paraId="1D60F4EA" w14:textId="77777777" w:rsidR="00725B35" w:rsidRPr="00725B35" w:rsidRDefault="00725B35" w:rsidP="00725B35">
            <w:pPr>
              <w:spacing w:after="0" w:line="240" w:lineRule="auto"/>
              <w:rPr>
                <w:rFonts w:ascii="Aptos Narrow" w:eastAsia="Times New Roman" w:hAnsi="Aptos Narrow" w:cs="Calibri"/>
                <w:color w:val="000000"/>
                <w:sz w:val="20"/>
                <w:szCs w:val="20"/>
                <w:lang w:val="en-IN" w:eastAsia="en-IN"/>
              </w:rPr>
            </w:pPr>
            <w:r w:rsidRPr="00725B35">
              <w:rPr>
                <w:rFonts w:ascii="Aptos Narrow" w:eastAsia="Times New Roman" w:hAnsi="Aptos Narrow" w:cs="Calibri"/>
                <w:color w:val="000000"/>
                <w:sz w:val="20"/>
                <w:szCs w:val="20"/>
                <w:lang w:val="en-IN" w:eastAsia="en-IN"/>
              </w:rPr>
              <w:t>Boiler Tune Up</w:t>
            </w:r>
          </w:p>
        </w:tc>
        <w:tc>
          <w:tcPr>
            <w:tcW w:w="576" w:type="pct"/>
            <w:tcBorders>
              <w:top w:val="nil"/>
              <w:left w:val="nil"/>
              <w:bottom w:val="single" w:sz="8" w:space="0" w:color="B3EFFD"/>
              <w:right w:val="nil"/>
            </w:tcBorders>
            <w:shd w:val="clear" w:color="000000" w:fill="FFFFFF"/>
            <w:vAlign w:val="center"/>
            <w:hideMark/>
          </w:tcPr>
          <w:p w14:paraId="2BA06557" w14:textId="77777777" w:rsidR="00725B35" w:rsidRPr="00725B35" w:rsidRDefault="00725B35" w:rsidP="00725B35">
            <w:pPr>
              <w:spacing w:after="0" w:line="240" w:lineRule="auto"/>
              <w:rPr>
                <w:rFonts w:ascii="Aptos Narrow" w:eastAsia="Times New Roman" w:hAnsi="Aptos Narrow" w:cs="Calibri"/>
                <w:color w:val="000000"/>
                <w:sz w:val="20"/>
                <w:szCs w:val="20"/>
                <w:lang w:val="en-IN" w:eastAsia="en-IN"/>
              </w:rPr>
            </w:pPr>
            <w:r w:rsidRPr="00725B35">
              <w:rPr>
                <w:rFonts w:ascii="Aptos Narrow" w:eastAsia="Times New Roman" w:hAnsi="Aptos Narrow" w:cs="Calibri"/>
                <w:color w:val="000000"/>
                <w:sz w:val="20"/>
                <w:szCs w:val="20"/>
                <w:lang w:val="en-IN" w:eastAsia="en-IN"/>
              </w:rPr>
              <w:t>MBH Input</w:t>
            </w:r>
          </w:p>
        </w:tc>
        <w:tc>
          <w:tcPr>
            <w:tcW w:w="722" w:type="pct"/>
            <w:tcBorders>
              <w:top w:val="nil"/>
              <w:left w:val="nil"/>
              <w:bottom w:val="single" w:sz="8" w:space="0" w:color="B3EFFD"/>
              <w:right w:val="nil"/>
            </w:tcBorders>
            <w:shd w:val="clear" w:color="000000" w:fill="FFFFFF"/>
            <w:vAlign w:val="center"/>
            <w:hideMark/>
          </w:tcPr>
          <w:p w14:paraId="435C7427" w14:textId="77777777" w:rsidR="00725B35" w:rsidRPr="00725B35" w:rsidRDefault="00725B35" w:rsidP="00F61610">
            <w:pPr>
              <w:spacing w:after="0" w:line="240" w:lineRule="auto"/>
              <w:jc w:val="right"/>
              <w:rPr>
                <w:rFonts w:ascii="Aptos Narrow" w:eastAsia="Times New Roman" w:hAnsi="Aptos Narrow" w:cs="Calibri"/>
                <w:color w:val="000000"/>
                <w:sz w:val="20"/>
                <w:szCs w:val="20"/>
                <w:lang w:val="en-IN" w:eastAsia="en-IN"/>
              </w:rPr>
            </w:pPr>
            <w:r w:rsidRPr="00725B35">
              <w:rPr>
                <w:rFonts w:ascii="Aptos Narrow" w:eastAsia="Times New Roman" w:hAnsi="Aptos Narrow" w:cs="Calibri"/>
                <w:color w:val="000000"/>
                <w:sz w:val="20"/>
                <w:szCs w:val="20"/>
                <w:lang w:val="en-IN" w:eastAsia="en-IN"/>
              </w:rPr>
              <w:t>Varies</w:t>
            </w:r>
          </w:p>
        </w:tc>
        <w:tc>
          <w:tcPr>
            <w:tcW w:w="866" w:type="pct"/>
            <w:tcBorders>
              <w:top w:val="nil"/>
              <w:left w:val="nil"/>
              <w:bottom w:val="single" w:sz="8" w:space="0" w:color="B3EFFD"/>
              <w:right w:val="nil"/>
            </w:tcBorders>
            <w:shd w:val="clear" w:color="000000" w:fill="FFFFFF"/>
            <w:vAlign w:val="center"/>
            <w:hideMark/>
          </w:tcPr>
          <w:p w14:paraId="4CE0C2D3" w14:textId="77777777" w:rsidR="00725B35" w:rsidRPr="00725B35" w:rsidRDefault="00725B35" w:rsidP="00F61610">
            <w:pPr>
              <w:spacing w:after="0" w:line="240" w:lineRule="auto"/>
              <w:jc w:val="right"/>
              <w:rPr>
                <w:rFonts w:ascii="Aptos Narrow" w:eastAsia="Times New Roman" w:hAnsi="Aptos Narrow" w:cs="Calibri"/>
                <w:color w:val="000000"/>
                <w:sz w:val="20"/>
                <w:szCs w:val="20"/>
                <w:lang w:val="en-IN" w:eastAsia="en-IN"/>
              </w:rPr>
            </w:pPr>
            <w:r w:rsidRPr="00725B35">
              <w:rPr>
                <w:rFonts w:ascii="Aptos Narrow" w:eastAsia="Times New Roman" w:hAnsi="Aptos Narrow" w:cs="Calibri"/>
                <w:color w:val="000000"/>
                <w:sz w:val="20"/>
                <w:szCs w:val="20"/>
                <w:lang w:val="en-IN" w:eastAsia="en-IN"/>
              </w:rPr>
              <w:t>Varies</w:t>
            </w:r>
          </w:p>
        </w:tc>
        <w:tc>
          <w:tcPr>
            <w:tcW w:w="624" w:type="pct"/>
            <w:tcBorders>
              <w:top w:val="nil"/>
              <w:left w:val="nil"/>
              <w:bottom w:val="single" w:sz="8" w:space="0" w:color="B3EFFD"/>
              <w:right w:val="nil"/>
            </w:tcBorders>
            <w:shd w:val="clear" w:color="000000" w:fill="FFFFFF"/>
            <w:vAlign w:val="center"/>
            <w:hideMark/>
          </w:tcPr>
          <w:p w14:paraId="659EFD81" w14:textId="77777777" w:rsidR="00725B35" w:rsidRPr="00725B35" w:rsidRDefault="00725B35" w:rsidP="00725B35">
            <w:pPr>
              <w:spacing w:after="0" w:line="240" w:lineRule="auto"/>
              <w:jc w:val="right"/>
              <w:rPr>
                <w:rFonts w:ascii="Aptos Narrow" w:eastAsia="Times New Roman" w:hAnsi="Aptos Narrow" w:cs="Calibri"/>
                <w:color w:val="000000"/>
                <w:sz w:val="20"/>
                <w:szCs w:val="20"/>
                <w:lang w:val="en-IN" w:eastAsia="en-IN"/>
              </w:rPr>
            </w:pPr>
            <w:r w:rsidRPr="00725B35">
              <w:rPr>
                <w:rFonts w:ascii="Aptos Narrow" w:eastAsia="Times New Roman" w:hAnsi="Aptos Narrow" w:cs="Calibri"/>
                <w:color w:val="000000"/>
                <w:sz w:val="20"/>
                <w:szCs w:val="20"/>
                <w:lang w:val="en-IN" w:eastAsia="en-IN"/>
              </w:rPr>
              <w:t>100%</w:t>
            </w:r>
          </w:p>
        </w:tc>
        <w:tc>
          <w:tcPr>
            <w:tcW w:w="1010" w:type="pct"/>
            <w:tcBorders>
              <w:top w:val="nil"/>
              <w:left w:val="nil"/>
              <w:bottom w:val="single" w:sz="8" w:space="0" w:color="B3EFFD"/>
              <w:right w:val="nil"/>
            </w:tcBorders>
            <w:shd w:val="clear" w:color="000000" w:fill="FFFFFF"/>
            <w:vAlign w:val="center"/>
            <w:hideMark/>
          </w:tcPr>
          <w:p w14:paraId="1F702A70" w14:textId="04A683F7" w:rsidR="00725B35" w:rsidRPr="00725B35" w:rsidRDefault="00725B35" w:rsidP="00D11DD0">
            <w:pPr>
              <w:spacing w:after="0" w:line="240" w:lineRule="auto"/>
              <w:jc w:val="right"/>
              <w:rPr>
                <w:rFonts w:ascii="Aptos Narrow" w:eastAsia="Times New Roman" w:hAnsi="Aptos Narrow" w:cs="Calibri"/>
                <w:color w:val="000000"/>
                <w:sz w:val="20"/>
                <w:szCs w:val="20"/>
                <w:lang w:val="en-IN" w:eastAsia="en-IN"/>
              </w:rPr>
            </w:pPr>
            <w:r w:rsidRPr="00725B35">
              <w:rPr>
                <w:rFonts w:ascii="Aptos Narrow" w:eastAsia="Times New Roman" w:hAnsi="Aptos Narrow" w:cs="Calibri"/>
                <w:color w:val="000000"/>
                <w:sz w:val="20"/>
                <w:szCs w:val="20"/>
                <w:lang w:val="en-IN" w:eastAsia="en-IN"/>
              </w:rPr>
              <w:t>4.4.2</w:t>
            </w:r>
          </w:p>
        </w:tc>
      </w:tr>
      <w:tr w:rsidR="00F61610" w:rsidRPr="00725B35" w14:paraId="1BD5F616" w14:textId="77777777" w:rsidTr="00EE2D02">
        <w:trPr>
          <w:trHeight w:val="300"/>
        </w:trPr>
        <w:tc>
          <w:tcPr>
            <w:tcW w:w="1201" w:type="pct"/>
            <w:tcBorders>
              <w:top w:val="nil"/>
              <w:left w:val="nil"/>
              <w:bottom w:val="single" w:sz="8" w:space="0" w:color="036479"/>
              <w:right w:val="nil"/>
            </w:tcBorders>
            <w:noWrap/>
            <w:vAlign w:val="center"/>
            <w:hideMark/>
          </w:tcPr>
          <w:p w14:paraId="2A6675DF" w14:textId="77777777" w:rsidR="00725B35" w:rsidRPr="00725B35" w:rsidRDefault="00725B35" w:rsidP="00725B35">
            <w:pPr>
              <w:spacing w:after="0" w:line="240" w:lineRule="auto"/>
              <w:rPr>
                <w:rFonts w:ascii="Aptos Narrow" w:eastAsia="Times New Roman" w:hAnsi="Aptos Narrow" w:cs="Calibri"/>
                <w:color w:val="000000"/>
                <w:sz w:val="20"/>
                <w:szCs w:val="20"/>
                <w:lang w:val="en-IN" w:eastAsia="en-IN"/>
              </w:rPr>
            </w:pPr>
            <w:r w:rsidRPr="00725B35">
              <w:rPr>
                <w:rFonts w:ascii="Aptos Narrow" w:eastAsia="Times New Roman" w:hAnsi="Aptos Narrow" w:cs="Calibri"/>
                <w:color w:val="000000"/>
                <w:sz w:val="20"/>
                <w:szCs w:val="20"/>
                <w:lang w:val="en-IN" w:eastAsia="en-IN"/>
              </w:rPr>
              <w:t xml:space="preserve">Covers and Gap Sealers for Room AC </w:t>
            </w:r>
          </w:p>
        </w:tc>
        <w:tc>
          <w:tcPr>
            <w:tcW w:w="576" w:type="pct"/>
            <w:tcBorders>
              <w:top w:val="nil"/>
              <w:left w:val="nil"/>
              <w:bottom w:val="single" w:sz="8" w:space="0" w:color="036479"/>
              <w:right w:val="nil"/>
            </w:tcBorders>
            <w:noWrap/>
            <w:vAlign w:val="center"/>
            <w:hideMark/>
          </w:tcPr>
          <w:p w14:paraId="37C4A4CF" w14:textId="77777777" w:rsidR="00725B35" w:rsidRPr="00725B35" w:rsidRDefault="00725B35" w:rsidP="00725B35">
            <w:pPr>
              <w:spacing w:after="0" w:line="240" w:lineRule="auto"/>
              <w:rPr>
                <w:rFonts w:ascii="Aptos Narrow" w:eastAsia="Times New Roman" w:hAnsi="Aptos Narrow" w:cs="Calibri"/>
                <w:color w:val="000000"/>
                <w:sz w:val="20"/>
                <w:szCs w:val="20"/>
                <w:lang w:val="en-IN" w:eastAsia="en-IN"/>
              </w:rPr>
            </w:pPr>
            <w:r w:rsidRPr="00725B35">
              <w:rPr>
                <w:rFonts w:ascii="Aptos Narrow" w:eastAsia="Times New Roman" w:hAnsi="Aptos Narrow" w:cs="Calibri"/>
                <w:color w:val="000000"/>
                <w:sz w:val="20"/>
                <w:szCs w:val="20"/>
                <w:lang w:val="en-IN" w:eastAsia="en-IN"/>
              </w:rPr>
              <w:t>Each</w:t>
            </w:r>
          </w:p>
        </w:tc>
        <w:tc>
          <w:tcPr>
            <w:tcW w:w="722" w:type="pct"/>
            <w:tcBorders>
              <w:top w:val="nil"/>
              <w:left w:val="nil"/>
              <w:bottom w:val="single" w:sz="8" w:space="0" w:color="036479"/>
              <w:right w:val="nil"/>
            </w:tcBorders>
            <w:noWrap/>
            <w:vAlign w:val="center"/>
            <w:hideMark/>
          </w:tcPr>
          <w:p w14:paraId="0DF366E7" w14:textId="77777777" w:rsidR="00725B35" w:rsidRPr="00725B35" w:rsidRDefault="00725B35" w:rsidP="00F61610">
            <w:pPr>
              <w:spacing w:after="0" w:line="240" w:lineRule="auto"/>
              <w:jc w:val="right"/>
              <w:rPr>
                <w:rFonts w:ascii="Aptos Narrow" w:eastAsia="Times New Roman" w:hAnsi="Aptos Narrow" w:cs="Calibri"/>
                <w:color w:val="000000"/>
                <w:sz w:val="20"/>
                <w:szCs w:val="20"/>
                <w:lang w:val="en-IN" w:eastAsia="en-IN"/>
              </w:rPr>
            </w:pPr>
            <w:r w:rsidRPr="00725B35">
              <w:rPr>
                <w:rFonts w:ascii="Aptos Narrow" w:eastAsia="Times New Roman" w:hAnsi="Aptos Narrow" w:cs="Calibri"/>
                <w:color w:val="000000"/>
                <w:sz w:val="20"/>
                <w:szCs w:val="20"/>
                <w:lang w:val="en-IN" w:eastAsia="en-IN"/>
              </w:rPr>
              <w:t>Varies</w:t>
            </w:r>
          </w:p>
        </w:tc>
        <w:tc>
          <w:tcPr>
            <w:tcW w:w="866" w:type="pct"/>
            <w:tcBorders>
              <w:top w:val="nil"/>
              <w:left w:val="nil"/>
              <w:bottom w:val="single" w:sz="8" w:space="0" w:color="036479"/>
              <w:right w:val="nil"/>
            </w:tcBorders>
            <w:noWrap/>
            <w:vAlign w:val="center"/>
            <w:hideMark/>
          </w:tcPr>
          <w:p w14:paraId="4DBF6D41" w14:textId="77777777" w:rsidR="00725B35" w:rsidRPr="00725B35" w:rsidRDefault="00725B35" w:rsidP="00F61610">
            <w:pPr>
              <w:spacing w:after="0" w:line="240" w:lineRule="auto"/>
              <w:jc w:val="right"/>
              <w:rPr>
                <w:rFonts w:ascii="Aptos Narrow" w:eastAsia="Times New Roman" w:hAnsi="Aptos Narrow" w:cs="Calibri"/>
                <w:color w:val="000000"/>
                <w:sz w:val="20"/>
                <w:szCs w:val="20"/>
                <w:lang w:val="en-IN" w:eastAsia="en-IN"/>
              </w:rPr>
            </w:pPr>
            <w:r w:rsidRPr="00725B35">
              <w:rPr>
                <w:rFonts w:ascii="Aptos Narrow" w:eastAsia="Times New Roman" w:hAnsi="Aptos Narrow" w:cs="Calibri"/>
                <w:color w:val="000000"/>
                <w:sz w:val="20"/>
                <w:szCs w:val="20"/>
                <w:lang w:val="en-IN" w:eastAsia="en-IN"/>
              </w:rPr>
              <w:t>Varies</w:t>
            </w:r>
          </w:p>
        </w:tc>
        <w:tc>
          <w:tcPr>
            <w:tcW w:w="624" w:type="pct"/>
            <w:tcBorders>
              <w:top w:val="nil"/>
              <w:left w:val="nil"/>
              <w:bottom w:val="single" w:sz="8" w:space="0" w:color="036479"/>
              <w:right w:val="nil"/>
            </w:tcBorders>
            <w:vAlign w:val="center"/>
            <w:hideMark/>
          </w:tcPr>
          <w:p w14:paraId="43CF3F70" w14:textId="77777777" w:rsidR="00725B35" w:rsidRPr="00725B35" w:rsidRDefault="00725B35" w:rsidP="00725B35">
            <w:pPr>
              <w:spacing w:after="0" w:line="240" w:lineRule="auto"/>
              <w:jc w:val="right"/>
              <w:rPr>
                <w:rFonts w:ascii="Aptos Narrow" w:eastAsia="Times New Roman" w:hAnsi="Aptos Narrow" w:cs="Calibri"/>
                <w:color w:val="000000"/>
                <w:sz w:val="20"/>
                <w:szCs w:val="20"/>
                <w:lang w:val="en-IN" w:eastAsia="en-IN"/>
              </w:rPr>
            </w:pPr>
            <w:r w:rsidRPr="00725B35">
              <w:rPr>
                <w:rFonts w:ascii="Aptos Narrow" w:eastAsia="Times New Roman" w:hAnsi="Aptos Narrow" w:cs="Calibri"/>
                <w:color w:val="000000"/>
                <w:sz w:val="20"/>
                <w:szCs w:val="20"/>
                <w:lang w:val="en-IN" w:eastAsia="en-IN"/>
              </w:rPr>
              <w:t>100%</w:t>
            </w:r>
          </w:p>
        </w:tc>
        <w:tc>
          <w:tcPr>
            <w:tcW w:w="1010" w:type="pct"/>
            <w:tcBorders>
              <w:top w:val="nil"/>
              <w:left w:val="nil"/>
              <w:bottom w:val="single" w:sz="8" w:space="0" w:color="036479"/>
              <w:right w:val="nil"/>
            </w:tcBorders>
            <w:vAlign w:val="center"/>
            <w:hideMark/>
          </w:tcPr>
          <w:p w14:paraId="00C189F4" w14:textId="3F0924EF" w:rsidR="00725B35" w:rsidRPr="00725B35" w:rsidRDefault="00725B35" w:rsidP="00D11DD0">
            <w:pPr>
              <w:spacing w:after="0" w:line="240" w:lineRule="auto"/>
              <w:jc w:val="right"/>
              <w:rPr>
                <w:rFonts w:ascii="Aptos Narrow" w:eastAsia="Times New Roman" w:hAnsi="Aptos Narrow" w:cs="Calibri"/>
                <w:color w:val="000000"/>
                <w:sz w:val="20"/>
                <w:szCs w:val="20"/>
                <w:lang w:val="en-IN" w:eastAsia="en-IN"/>
              </w:rPr>
            </w:pPr>
            <w:r w:rsidRPr="00725B35">
              <w:rPr>
                <w:rFonts w:ascii="Aptos Narrow" w:eastAsia="Times New Roman" w:hAnsi="Aptos Narrow" w:cs="Calibri"/>
                <w:color w:val="000000"/>
                <w:sz w:val="20"/>
                <w:szCs w:val="20"/>
                <w:lang w:val="en-IN" w:eastAsia="en-IN"/>
              </w:rPr>
              <w:t>4.4.38</w:t>
            </w:r>
          </w:p>
        </w:tc>
      </w:tr>
    </w:tbl>
    <w:p w14:paraId="50BD77EB" w14:textId="682D9E7D" w:rsidR="00F84752" w:rsidRDefault="00422377" w:rsidP="0053168E">
      <w:pPr>
        <w:pStyle w:val="TableFigureSourceorNote"/>
      </w:pPr>
      <w:r w:rsidRPr="00BD0D15">
        <w:t>† State of Illinois Technical Reference Manual version 1</w:t>
      </w:r>
      <w:r>
        <w:t>3</w:t>
      </w:r>
      <w:r w:rsidRPr="00BD0D15">
        <w:t xml:space="preserve">.0 from </w:t>
      </w:r>
      <w:hyperlink r:id="rId32" w:history="1">
        <w:r w:rsidRPr="00BD0D15">
          <w:t>http://www.ilsag.info/technical-reference-manual.html</w:t>
        </w:r>
      </w:hyperlink>
      <w:r w:rsidRPr="00BD0D15">
        <w:t>.</w:t>
      </w:r>
      <w:r w:rsidR="0053168E">
        <w:br/>
        <w:t>Source: Program tracking data and evaluation team analysis</w:t>
      </w:r>
      <w:r w:rsidR="00762D8D">
        <w:t>.</w:t>
      </w:r>
    </w:p>
    <w:p w14:paraId="37EB2A8E" w14:textId="77777777" w:rsidR="004F0461" w:rsidRDefault="00031442" w:rsidP="00575E2C">
      <w:pPr>
        <w:pStyle w:val="Heading3"/>
      </w:pPr>
      <w:bookmarkStart w:id="82" w:name="_Toc224332888"/>
      <w:r>
        <w:t>Findings and Recommendations</w:t>
      </w:r>
      <w:bookmarkEnd w:id="82"/>
    </w:p>
    <w:p w14:paraId="0C9B1C2B" w14:textId="36ED2A31" w:rsidR="004F0461" w:rsidRPr="00422FA1" w:rsidRDefault="006673D1" w:rsidP="00422FA1">
      <w:pPr>
        <w:sectPr w:rsidR="004F0461" w:rsidRPr="00422FA1" w:rsidSect="00F36BF3">
          <w:headerReference w:type="default" r:id="rId33"/>
          <w:footerReference w:type="default" r:id="rId34"/>
          <w:pgSz w:w="12240" w:h="15840" w:code="1"/>
          <w:pgMar w:top="1440" w:right="1440" w:bottom="1440" w:left="1440" w:header="720" w:footer="720" w:gutter="0"/>
          <w:pgNumType w:start="1"/>
          <w:cols w:space="720"/>
          <w:docGrid w:linePitch="360"/>
        </w:sectPr>
      </w:pPr>
      <w:r w:rsidRPr="006673D1">
        <w:t xml:space="preserve">There </w:t>
      </w:r>
      <w:r w:rsidR="00FD3229">
        <w:t>are</w:t>
      </w:r>
      <w:r w:rsidRPr="006673D1">
        <w:t xml:space="preserve"> no findings and recommendations for the </w:t>
      </w:r>
      <w:r w:rsidR="00FD3229">
        <w:t>Public Housing</w:t>
      </w:r>
      <w:r w:rsidRPr="006673D1">
        <w:t xml:space="preserve"> program. </w:t>
      </w:r>
      <w:r w:rsidR="00AE70E5">
        <w:t xml:space="preserve">The </w:t>
      </w:r>
      <w:proofErr w:type="spellStart"/>
      <w:proofErr w:type="gramStart"/>
      <w:r w:rsidR="00AE70E5">
        <w:t>ex ante</w:t>
      </w:r>
      <w:proofErr w:type="spellEnd"/>
      <w:proofErr w:type="gramEnd"/>
      <w:r w:rsidR="00AE70E5">
        <w:t xml:space="preserve"> calculations are consistent with the IL-TRM v13.0.</w:t>
      </w:r>
      <w:r w:rsidRPr="006673D1">
        <w:t xml:space="preserve"> </w:t>
      </w:r>
    </w:p>
    <w:p w14:paraId="678DCC75" w14:textId="77777777" w:rsidR="008D080C" w:rsidRPr="00F20206" w:rsidRDefault="008D080C" w:rsidP="008D080C">
      <w:pPr>
        <w:pStyle w:val="Heading1"/>
        <w:numPr>
          <w:ilvl w:val="0"/>
          <w:numId w:val="0"/>
        </w:numPr>
        <w:spacing w:line="276" w:lineRule="auto"/>
        <w:rPr>
          <w:rFonts w:ascii="Aptos Display" w:eastAsia="Aptos Display" w:hAnsi="Aptos Display" w:cs="Aptos Display"/>
        </w:rPr>
      </w:pPr>
      <w:bookmarkStart w:id="83" w:name="_Toc224329996"/>
      <w:bookmarkStart w:id="84" w:name="_Toc224332889"/>
      <w:r w:rsidRPr="1089BC3A">
        <w:rPr>
          <w:rFonts w:ascii="Aptos Display" w:eastAsia="Aptos Display" w:hAnsi="Aptos Display" w:cs="Aptos Display"/>
        </w:rPr>
        <w:lastRenderedPageBreak/>
        <w:t>Appendix A. Impact Analysis Methodology</w:t>
      </w:r>
      <w:bookmarkEnd w:id="83"/>
      <w:bookmarkEnd w:id="84"/>
    </w:p>
    <w:p w14:paraId="167FC364" w14:textId="43AC95F4" w:rsidR="005B61DC" w:rsidRDefault="005B61DC" w:rsidP="005B61DC">
      <w:bookmarkStart w:id="85" w:name="_Hlk501714572"/>
      <w:bookmarkStart w:id="86" w:name="_Toc507870205"/>
      <w:bookmarkStart w:id="87" w:name="_Toc512873036"/>
      <w:r>
        <w:t xml:space="preserve">The evaluation team used the same impact methodology for each component. Verified gross savings were determined for each program measure by:  </w:t>
      </w:r>
    </w:p>
    <w:p w14:paraId="5DA2FAA3" w14:textId="4C936D61" w:rsidR="005B61DC" w:rsidRDefault="005B61DC" w:rsidP="005B61DC">
      <w:pPr>
        <w:pStyle w:val="ListParagraph"/>
        <w:numPr>
          <w:ilvl w:val="0"/>
          <w:numId w:val="27"/>
        </w:numPr>
      </w:pPr>
      <w:r>
        <w:t>Reviewing the savings algorithm inputs in the measure workbook for agreement with the IL-TRM v13.0 and IL-TRM Errata, where applicable.</w:t>
      </w:r>
    </w:p>
    <w:p w14:paraId="68E24E6A" w14:textId="77777777" w:rsidR="005B61DC" w:rsidRDefault="005B61DC" w:rsidP="005B61DC">
      <w:pPr>
        <w:pStyle w:val="ListParagraph"/>
        <w:numPr>
          <w:ilvl w:val="0"/>
          <w:numId w:val="27"/>
        </w:numPr>
      </w:pPr>
      <w:r>
        <w:t>Validating the savings algorithm was applied correctly.</w:t>
      </w:r>
    </w:p>
    <w:p w14:paraId="2E90208D" w14:textId="4EA9600A" w:rsidR="005B61DC" w:rsidRDefault="005B61DC" w:rsidP="005B61DC">
      <w:pPr>
        <w:pStyle w:val="ListParagraph"/>
        <w:numPr>
          <w:ilvl w:val="0"/>
          <w:numId w:val="27"/>
        </w:numPr>
      </w:pPr>
      <w:r>
        <w:t xml:space="preserve">Cross-checking per-unit savings values in the program tracking data with the verified values in the measure workbook or </w:t>
      </w:r>
      <w:proofErr w:type="spellStart"/>
      <w:r>
        <w:t>Guidehouse’s</w:t>
      </w:r>
      <w:proofErr w:type="spellEnd"/>
      <w:r>
        <w:t xml:space="preserve"> calculations if the workbook did not agree with the IL-TRM v13.0.</w:t>
      </w:r>
    </w:p>
    <w:p w14:paraId="2DF31D0B" w14:textId="382CF97F" w:rsidR="005B61DC" w:rsidRDefault="005B61DC" w:rsidP="005B61DC">
      <w:pPr>
        <w:pStyle w:val="ListParagraph"/>
        <w:numPr>
          <w:ilvl w:val="0"/>
          <w:numId w:val="27"/>
        </w:numPr>
      </w:pPr>
      <w:r>
        <w:t>Multiplying the verified per-unit savings value by the quantity reported in the tracking data. The team calculated verified net savings by multiplying the verified gross savings estimates by an NTG ratio. In Program Year 2025, NTG estimates used to calculate the net verified savings were based on past evaluation research and defined by a consensus process through the Illinois SAG.</w:t>
      </w:r>
    </w:p>
    <w:p w14:paraId="3DA2606B" w14:textId="7572992C" w:rsidR="00AB1A05" w:rsidRPr="00221287" w:rsidRDefault="005B61DC" w:rsidP="005B61DC">
      <w:pPr>
        <w:pStyle w:val="ListParagraph"/>
        <w:numPr>
          <w:ilvl w:val="0"/>
          <w:numId w:val="27"/>
        </w:numPr>
      </w:pPr>
      <w:r>
        <w:t>Guidehouse sourced methodologies and assumptions from the IL-TRM v13.0 and the final 2025 tracking data.</w:t>
      </w:r>
    </w:p>
    <w:bookmarkEnd w:id="85"/>
    <w:p w14:paraId="1959C509" w14:textId="77777777" w:rsidR="00AB1A05" w:rsidRDefault="00AB1A05" w:rsidP="00AB1A05"/>
    <w:p w14:paraId="23E8ADC8" w14:textId="77777777" w:rsidR="00AB1A05" w:rsidRPr="00F20206" w:rsidRDefault="00AB1A05" w:rsidP="00AB1A05">
      <w:pPr>
        <w:pStyle w:val="BodyText"/>
        <w:sectPr w:rsidR="00AB1A05" w:rsidRPr="00F20206" w:rsidSect="00AB1A05">
          <w:pgSz w:w="12240" w:h="15840" w:code="1"/>
          <w:pgMar w:top="1440" w:right="1440" w:bottom="1440" w:left="1440" w:header="720" w:footer="720" w:gutter="0"/>
          <w:pgNumType w:chapStyle="5"/>
          <w:cols w:space="720"/>
          <w:docGrid w:linePitch="360"/>
        </w:sectPr>
      </w:pPr>
    </w:p>
    <w:p w14:paraId="4F0A7769" w14:textId="77777777" w:rsidR="008D080C" w:rsidRPr="00F20206" w:rsidRDefault="008D080C" w:rsidP="008D080C">
      <w:pPr>
        <w:pStyle w:val="Heading1"/>
        <w:numPr>
          <w:ilvl w:val="0"/>
          <w:numId w:val="0"/>
        </w:numPr>
        <w:spacing w:line="276" w:lineRule="auto"/>
        <w:rPr>
          <w:rFonts w:ascii="Aptos Display" w:eastAsia="Aptos Display" w:hAnsi="Aptos Display" w:cs="Aptos Display"/>
        </w:rPr>
      </w:pPr>
      <w:bookmarkStart w:id="88" w:name="_Toc224332890"/>
      <w:bookmarkEnd w:id="86"/>
      <w:bookmarkEnd w:id="87"/>
      <w:r w:rsidRPr="1089BC3A">
        <w:rPr>
          <w:rFonts w:ascii="Aptos Display" w:eastAsia="Aptos Display" w:hAnsi="Aptos Display" w:cs="Aptos Display"/>
        </w:rPr>
        <w:lastRenderedPageBreak/>
        <w:t xml:space="preserve">Appendix </w:t>
      </w:r>
      <w:r>
        <w:rPr>
          <w:rFonts w:ascii="Aptos Display" w:eastAsia="Aptos Display" w:hAnsi="Aptos Display" w:cs="Aptos Display"/>
        </w:rPr>
        <w:t>B</w:t>
      </w:r>
      <w:r w:rsidRPr="1089BC3A">
        <w:rPr>
          <w:rFonts w:ascii="Aptos Display" w:eastAsia="Aptos Display" w:hAnsi="Aptos Display" w:cs="Aptos Display"/>
        </w:rPr>
        <w:t xml:space="preserve">. </w:t>
      </w:r>
      <w:r w:rsidRPr="00AB1A05">
        <w:t>Program Specific Inputs for the Illinois TRC</w:t>
      </w:r>
      <w:bookmarkEnd w:id="88"/>
    </w:p>
    <w:p w14:paraId="7F2D93B8" w14:textId="3D9687AE" w:rsidR="00AB1A05" w:rsidRPr="00D12853" w:rsidRDefault="0060368E" w:rsidP="00AB1A05">
      <w:r>
        <w:t>The table</w:t>
      </w:r>
      <w:r w:rsidR="005D5081">
        <w:t>s</w:t>
      </w:r>
      <w:r>
        <w:t xml:space="preserve"> below</w:t>
      </w:r>
      <w:r w:rsidR="00AB1A05" w:rsidRPr="00D12853">
        <w:t xml:space="preserve"> </w:t>
      </w:r>
      <w:proofErr w:type="gramStart"/>
      <w:r w:rsidR="00AB1A05" w:rsidRPr="00D12853">
        <w:t>shows</w:t>
      </w:r>
      <w:proofErr w:type="gramEnd"/>
      <w:r w:rsidR="00AB1A05" w:rsidRPr="00D12853">
        <w:t xml:space="preserve"> the Total Resource Cost (TRC) cost-effectiveness analysis inputs available at the time of </w:t>
      </w:r>
      <w:r w:rsidR="00AB1A05">
        <w:t xml:space="preserve">producing </w:t>
      </w:r>
      <w:r w:rsidR="00AB1A05" w:rsidRPr="00D12853">
        <w:t>this impact evaluation report. Additional required cost data (e.g., measure costs, program level incentive and non-incentive costs) are not included in th</w:t>
      </w:r>
      <w:r w:rsidR="005D5081">
        <w:t>ese</w:t>
      </w:r>
      <w:r w:rsidR="00AB1A05" w:rsidRPr="00D12853">
        <w:t xml:space="preserve"> table</w:t>
      </w:r>
      <w:r w:rsidR="005D5081">
        <w:t>s</w:t>
      </w:r>
      <w:r w:rsidR="00AB1A05" w:rsidRPr="00D12853">
        <w:t xml:space="preserve"> and will be provided to the evaluation team later.</w:t>
      </w:r>
      <w:r w:rsidR="00AB1A05">
        <w:t xml:space="preserve"> Guidehouse will include annual and lifetime water savings and greenhouse gas reductions in the end of year summary report.</w:t>
      </w:r>
    </w:p>
    <w:p w14:paraId="2BDC30E2" w14:textId="322AD731" w:rsidR="00AB1A05" w:rsidRDefault="00AB1A05" w:rsidP="00F671C0">
      <w:pPr>
        <w:pStyle w:val="Caption"/>
      </w:pPr>
      <w:bookmarkStart w:id="89" w:name="_Ref66787029"/>
      <w:bookmarkStart w:id="90" w:name="_Ref63952142"/>
      <w:bookmarkStart w:id="91" w:name="_Toc367307499"/>
      <w:bookmarkStart w:id="92" w:name="_Toc398541812"/>
      <w:bookmarkStart w:id="93" w:name="_Toc398541925"/>
      <w:bookmarkStart w:id="94" w:name="_Toc398546657"/>
      <w:bookmarkStart w:id="95" w:name="_Toc423009519"/>
      <w:bookmarkStart w:id="96" w:name="_Toc426278637"/>
      <w:bookmarkStart w:id="97" w:name="_Toc63321485"/>
      <w:bookmarkStart w:id="98" w:name="_Toc63961488"/>
      <w:bookmarkStart w:id="99" w:name="_Toc61360851"/>
      <w:bookmarkStart w:id="100" w:name="_Toc189833653"/>
      <w:r>
        <w:t>Table B</w:t>
      </w:r>
      <w:r>
        <w:noBreakHyphen/>
      </w:r>
      <w:bookmarkEnd w:id="89"/>
      <w:r w:rsidR="0060368E">
        <w:t>1</w:t>
      </w:r>
      <w:r>
        <w:t>.</w:t>
      </w:r>
      <w:r w:rsidDel="00146395">
        <w:t xml:space="preserve"> </w:t>
      </w:r>
      <w:bookmarkEnd w:id="90"/>
      <w:bookmarkEnd w:id="91"/>
      <w:bookmarkEnd w:id="92"/>
      <w:bookmarkEnd w:id="93"/>
      <w:bookmarkEnd w:id="94"/>
      <w:bookmarkEnd w:id="95"/>
      <w:bookmarkEnd w:id="96"/>
      <w:bookmarkEnd w:id="97"/>
      <w:bookmarkEnd w:id="98"/>
      <w:r>
        <w:t>Verified Cost Effectiveness Inputs</w:t>
      </w:r>
      <w:bookmarkEnd w:id="99"/>
      <w:bookmarkEnd w:id="100"/>
      <w:r w:rsidR="009F6A82">
        <w:t xml:space="preserve"> – PGL</w:t>
      </w:r>
      <w:r w:rsidR="00263413">
        <w:t xml:space="preserve"> (Income Eligible)</w:t>
      </w:r>
    </w:p>
    <w:tbl>
      <w:tblPr>
        <w:tblW w:w="5000" w:type="pct"/>
        <w:tblBorders>
          <w:top w:val="single" w:sz="6" w:space="0" w:color="auto"/>
          <w:left w:val="single" w:sz="6" w:space="0" w:color="auto"/>
          <w:bottom w:val="single" w:sz="6" w:space="0" w:color="auto"/>
          <w:right w:val="single" w:sz="6" w:space="0" w:color="auto"/>
        </w:tblBorders>
        <w:tblLook w:val="0420" w:firstRow="1" w:lastRow="0" w:firstColumn="0" w:lastColumn="0" w:noHBand="0" w:noVBand="1"/>
      </w:tblPr>
      <w:tblGrid>
        <w:gridCol w:w="1020"/>
        <w:gridCol w:w="1817"/>
        <w:gridCol w:w="67"/>
        <w:gridCol w:w="899"/>
        <w:gridCol w:w="67"/>
        <w:gridCol w:w="1117"/>
        <w:gridCol w:w="67"/>
        <w:gridCol w:w="1008"/>
        <w:gridCol w:w="67"/>
        <w:gridCol w:w="954"/>
        <w:gridCol w:w="67"/>
        <w:gridCol w:w="1389"/>
        <w:gridCol w:w="67"/>
        <w:gridCol w:w="1067"/>
        <w:gridCol w:w="68"/>
        <w:gridCol w:w="1006"/>
        <w:gridCol w:w="67"/>
        <w:gridCol w:w="1006"/>
        <w:gridCol w:w="67"/>
        <w:gridCol w:w="1006"/>
        <w:gridCol w:w="67"/>
      </w:tblGrid>
      <w:tr w:rsidR="00350B58" w:rsidRPr="00533CAA" w14:paraId="5C794E2B" w14:textId="77777777" w:rsidTr="00350B58">
        <w:trPr>
          <w:gridAfter w:val="1"/>
          <w:wAfter w:w="26" w:type="pct"/>
          <w:trHeight w:val="285"/>
          <w:tblHeader/>
        </w:trPr>
        <w:tc>
          <w:tcPr>
            <w:tcW w:w="393"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66A45344" w14:textId="77777777" w:rsidR="00350B58" w:rsidRPr="00533CAA" w:rsidRDefault="00350B58">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533CAA">
              <w:rPr>
                <w:rFonts w:eastAsia="Arial Narrow" w:cs="Arial Narrow"/>
                <w:color w:val="FFFFFF" w:themeColor="background1"/>
                <w:sz w:val="20"/>
                <w:szCs w:val="20"/>
              </w:rPr>
              <w:t>Program Path</w:t>
            </w:r>
          </w:p>
        </w:tc>
        <w:tc>
          <w:tcPr>
            <w:tcW w:w="701"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491B41A7" w14:textId="77777777" w:rsidR="00350B58" w:rsidRPr="00533CAA" w:rsidRDefault="00350B58">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533CAA">
              <w:rPr>
                <w:rFonts w:eastAsia="Arial Narrow" w:cs="Arial Narrow"/>
                <w:color w:val="FFFFFF" w:themeColor="background1"/>
                <w:sz w:val="20"/>
                <w:szCs w:val="20"/>
              </w:rPr>
              <w:t>Savings Category</w:t>
            </w:r>
          </w:p>
        </w:tc>
        <w:tc>
          <w:tcPr>
            <w:tcW w:w="373" w:type="pct"/>
            <w:gridSpan w:val="2"/>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35B2775D" w14:textId="77777777" w:rsidR="00350B58" w:rsidRPr="00533CAA" w:rsidRDefault="00350B58">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533CAA">
              <w:rPr>
                <w:rFonts w:eastAsia="Arial Narrow" w:cs="Arial Narrow"/>
                <w:color w:val="FFFFFF" w:themeColor="background1"/>
                <w:sz w:val="20"/>
                <w:szCs w:val="20"/>
              </w:rPr>
              <w:t>DAC Project*</w:t>
            </w:r>
          </w:p>
        </w:tc>
        <w:tc>
          <w:tcPr>
            <w:tcW w:w="457" w:type="pct"/>
            <w:gridSpan w:val="2"/>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1A9A0081" w14:textId="77777777" w:rsidR="00350B58" w:rsidRPr="00533CAA" w:rsidRDefault="00350B58">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533CAA">
              <w:rPr>
                <w:rFonts w:eastAsia="Arial Narrow" w:cs="Arial Narrow"/>
                <w:color w:val="FFFFFF" w:themeColor="background1"/>
                <w:sz w:val="20"/>
                <w:szCs w:val="20"/>
              </w:rPr>
              <w:t>Units</w:t>
            </w:r>
          </w:p>
        </w:tc>
        <w:tc>
          <w:tcPr>
            <w:tcW w:w="415" w:type="pct"/>
            <w:gridSpan w:val="2"/>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211226E9" w14:textId="77777777" w:rsidR="00350B58" w:rsidRPr="00533CAA" w:rsidRDefault="00350B5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533CAA">
              <w:rPr>
                <w:rFonts w:eastAsia="Arial Narrow" w:cs="Arial Narrow"/>
                <w:color w:val="FFFFFF" w:themeColor="background1"/>
                <w:sz w:val="20"/>
                <w:szCs w:val="20"/>
              </w:rPr>
              <w:t>Quantity</w:t>
            </w:r>
          </w:p>
        </w:tc>
        <w:tc>
          <w:tcPr>
            <w:tcW w:w="394" w:type="pct"/>
            <w:gridSpan w:val="2"/>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506B8E83" w14:textId="77777777" w:rsidR="00350B58" w:rsidRPr="00533CAA" w:rsidRDefault="00350B5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533CAA">
              <w:rPr>
                <w:rFonts w:eastAsia="Arial Narrow" w:cs="Arial Narrow"/>
                <w:color w:val="FFFFFF" w:themeColor="background1"/>
                <w:sz w:val="20"/>
                <w:szCs w:val="20"/>
              </w:rPr>
              <w:t>Effective Useful Life</w:t>
            </w:r>
          </w:p>
        </w:tc>
        <w:tc>
          <w:tcPr>
            <w:tcW w:w="562" w:type="pct"/>
            <w:gridSpan w:val="2"/>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49471793" w14:textId="77777777"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533CAA">
              <w:rPr>
                <w:rFonts w:eastAsia="Arial Narrow" w:cs="Arial Narrow"/>
                <w:color w:val="FFFFFF" w:themeColor="background1"/>
                <w:sz w:val="20"/>
                <w:szCs w:val="20"/>
              </w:rPr>
              <w:t>Early Replacement Flag</w:t>
            </w:r>
          </w:p>
        </w:tc>
        <w:tc>
          <w:tcPr>
            <w:tcW w:w="435" w:type="pct"/>
            <w:gridSpan w:val="2"/>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47603007" w14:textId="77777777" w:rsidR="00350B58" w:rsidRPr="00533CAA" w:rsidRDefault="00350B5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533CAA">
              <w:rPr>
                <w:rFonts w:eastAsia="Arial Narrow" w:cs="Arial Narrow"/>
                <w:color w:val="FFFFFF" w:themeColor="background1"/>
                <w:sz w:val="20"/>
                <w:szCs w:val="20"/>
              </w:rPr>
              <w:t>Verified Gross Annual Water Savings (Gallons)</w:t>
            </w:r>
          </w:p>
        </w:tc>
        <w:tc>
          <w:tcPr>
            <w:tcW w:w="414" w:type="pct"/>
            <w:gridSpan w:val="2"/>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501F5D46" w14:textId="77777777" w:rsidR="00350B58" w:rsidRPr="00533CAA" w:rsidRDefault="00350B5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533CAA">
              <w:rPr>
                <w:rFonts w:eastAsia="Arial Narrow" w:cs="Arial Narrow"/>
                <w:color w:val="FFFFFF" w:themeColor="background1"/>
                <w:sz w:val="20"/>
                <w:szCs w:val="20"/>
              </w:rPr>
              <w:t>Ex Ante Gross Savings (Therms)</w:t>
            </w:r>
          </w:p>
        </w:tc>
        <w:tc>
          <w:tcPr>
            <w:tcW w:w="414" w:type="pct"/>
            <w:gridSpan w:val="2"/>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5E4A3360" w14:textId="77777777" w:rsidR="00350B58" w:rsidRPr="00533CAA" w:rsidRDefault="00350B5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533CAA">
              <w:rPr>
                <w:rFonts w:eastAsia="Arial Narrow" w:cs="Arial Narrow"/>
                <w:color w:val="FFFFFF" w:themeColor="background1"/>
                <w:sz w:val="20"/>
                <w:szCs w:val="20"/>
              </w:rPr>
              <w:t>Verified Gross Savings (Therms)</w:t>
            </w:r>
          </w:p>
        </w:tc>
        <w:tc>
          <w:tcPr>
            <w:tcW w:w="414" w:type="pct"/>
            <w:gridSpan w:val="2"/>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5FA1C7C2" w14:textId="77777777" w:rsidR="00350B58" w:rsidRPr="00533CAA" w:rsidRDefault="00350B5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533CAA">
              <w:rPr>
                <w:rFonts w:eastAsia="Arial Narrow" w:cs="Arial Narrow"/>
                <w:color w:val="FFFFFF" w:themeColor="background1"/>
                <w:sz w:val="20"/>
                <w:szCs w:val="20"/>
              </w:rPr>
              <w:t>Verified Net Savings (Therms)</w:t>
            </w:r>
          </w:p>
        </w:tc>
      </w:tr>
      <w:tr w:rsidR="00350B58" w:rsidRPr="00533CAA" w14:paraId="24AA5297" w14:textId="77777777" w:rsidTr="00350B58">
        <w:trPr>
          <w:gridAfter w:val="1"/>
          <w:wAfter w:w="26" w:type="pct"/>
          <w:trHeight w:val="285"/>
        </w:trPr>
        <w:tc>
          <w:tcPr>
            <w:tcW w:w="393"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2B2AF120" w14:textId="6A0BC921"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Income Eligible</w:t>
            </w:r>
          </w:p>
        </w:tc>
        <w:tc>
          <w:tcPr>
            <w:tcW w:w="701"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29712607" w14:textId="612FF2D8"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Advanced Thermostat</w:t>
            </w:r>
          </w:p>
        </w:tc>
        <w:tc>
          <w:tcPr>
            <w:tcW w:w="373" w:type="pct"/>
            <w:gridSpan w:val="2"/>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74CCA65E" w14:textId="07842BFA"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6A175D75" w14:textId="7497D1AF"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1D692E58" w14:textId="7F542BCB"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10 </w:t>
            </w:r>
          </w:p>
        </w:tc>
        <w:tc>
          <w:tcPr>
            <w:tcW w:w="394" w:type="pct"/>
            <w:gridSpan w:val="2"/>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67239B77" w14:textId="5B210973"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11.0 </w:t>
            </w:r>
          </w:p>
        </w:tc>
        <w:tc>
          <w:tcPr>
            <w:tcW w:w="562" w:type="pct"/>
            <w:gridSpan w:val="2"/>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5C101898" w14:textId="1D74609D"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708C5C6D" w14:textId="14AB26BA"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53C2C04D" w14:textId="04F9702F"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565 </w:t>
            </w:r>
          </w:p>
        </w:tc>
        <w:tc>
          <w:tcPr>
            <w:tcW w:w="414" w:type="pct"/>
            <w:gridSpan w:val="2"/>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715829CE" w14:textId="705180E8"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565 </w:t>
            </w:r>
          </w:p>
        </w:tc>
        <w:tc>
          <w:tcPr>
            <w:tcW w:w="414" w:type="pct"/>
            <w:gridSpan w:val="2"/>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5E48A9E3" w14:textId="01CB293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565 </w:t>
            </w:r>
          </w:p>
        </w:tc>
      </w:tr>
      <w:tr w:rsidR="00350B58" w:rsidRPr="00533CAA" w14:paraId="784A94DD"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0825CCF" w14:textId="7777777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42F657D" w14:textId="69F8C9DE"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Air Sealing</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95542A7" w14:textId="08652DE9"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6EADD22" w14:textId="29D9A38E"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B321A5F" w14:textId="1D64464B"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840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C2A911E" w14:textId="28C81DA9"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20.0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80E073C" w14:textId="2026B14A"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D3872BE" w14:textId="076C3602"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996DD14" w14:textId="2AE97E91"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6,519</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BAC446C" w14:textId="5AA959EA"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6,519</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AC9BC54" w14:textId="2DEB4CA9"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6,519</w:t>
            </w:r>
          </w:p>
        </w:tc>
      </w:tr>
      <w:tr w:rsidR="00350B58" w:rsidRPr="00533CAA" w14:paraId="1EBD9DBB"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019A27E" w14:textId="7777777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27B97DC" w14:textId="6A872878"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r w:rsidRPr="00533CAA">
              <w:rPr>
                <w:sz w:val="20"/>
                <w:szCs w:val="20"/>
              </w:rPr>
              <w:t>Air Sealing</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A7DB5D3" w14:textId="15A18B6D"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3B556DC" w14:textId="78C951A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r w:rsidRPr="00533CAA">
              <w:rPr>
                <w:sz w:val="20"/>
                <w:szCs w:val="20"/>
              </w:rPr>
              <w:t>Linear Feet</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ED235C1" w14:textId="5552FEEE"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sz w:val="20"/>
                <w:szCs w:val="20"/>
              </w:rPr>
            </w:pPr>
            <w:r w:rsidRPr="00533CAA">
              <w:rPr>
                <w:sz w:val="20"/>
                <w:szCs w:val="20"/>
              </w:rPr>
              <w:t>9,582</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164DC18" w14:textId="79ADCC4F"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sz w:val="20"/>
                <w:szCs w:val="20"/>
              </w:rPr>
            </w:pPr>
            <w:r w:rsidRPr="00533CAA">
              <w:rPr>
                <w:sz w:val="20"/>
                <w:szCs w:val="20"/>
              </w:rPr>
              <w:t>20.0</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55C5A4A" w14:textId="532FFD3B"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3008CFE" w14:textId="231B0B3D"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sz w:val="20"/>
                <w:szCs w:val="20"/>
              </w:rPr>
            </w:pPr>
            <w:r w:rsidRPr="00533CAA">
              <w:rPr>
                <w:sz w:val="20"/>
                <w:szCs w:val="20"/>
              </w:rPr>
              <w:t>-</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72DCA63" w14:textId="59BB8639"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sz w:val="20"/>
                <w:szCs w:val="20"/>
              </w:rPr>
            </w:pPr>
            <w:r w:rsidRPr="00533CAA">
              <w:rPr>
                <w:sz w:val="20"/>
                <w:szCs w:val="20"/>
              </w:rPr>
              <w:t>3,986</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2B9F0D7" w14:textId="0BC52515"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sz w:val="20"/>
                <w:szCs w:val="20"/>
              </w:rPr>
            </w:pPr>
            <w:r w:rsidRPr="00533CAA">
              <w:rPr>
                <w:sz w:val="20"/>
                <w:szCs w:val="20"/>
              </w:rPr>
              <w:t>3,986</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259166A" w14:textId="2FB0C592"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sz w:val="20"/>
                <w:szCs w:val="20"/>
              </w:rPr>
            </w:pPr>
            <w:r w:rsidRPr="00533CAA">
              <w:rPr>
                <w:sz w:val="20"/>
                <w:szCs w:val="20"/>
              </w:rPr>
              <w:t>3,986</w:t>
            </w:r>
          </w:p>
        </w:tc>
      </w:tr>
      <w:tr w:rsidR="00350B58" w:rsidRPr="00533CAA" w14:paraId="4C122D8B"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7995700" w14:textId="7777777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0AB6422" w14:textId="6BE42B3C"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Attic Insulation</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A2D2A9F" w14:textId="2B5B7C42"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1C8C710" w14:textId="6FBAB356"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E899E96" w14:textId="687ECF65"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706,537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09597F1" w14:textId="63E737EC"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30.0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5F2BBEA" w14:textId="38593798"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C1FBECC" w14:textId="51B69A69"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8E77A31" w14:textId="654E7FF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423,366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3477ACD" w14:textId="0F900E0F"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423,369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83ECB82" w14:textId="24781B6F"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423,369 </w:t>
            </w:r>
          </w:p>
        </w:tc>
      </w:tr>
      <w:tr w:rsidR="00350B58" w:rsidRPr="00533CAA" w14:paraId="70C9A010"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F7CF658" w14:textId="7777777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803694E" w14:textId="2EC13DD4"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Boiler Reset Controls</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5EBBF48" w14:textId="466DB2F3"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0162737" w14:textId="7976F24F"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MBH Input</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CEB3EB4" w14:textId="633ABF54"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7D12B13" w14:textId="5FCAD274"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16.0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E6E4DC5" w14:textId="02F89D49"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8AA5E8D" w14:textId="16B6B7A3"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AFA14EC" w14:textId="7AAFB1F2"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3,495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701896F" w14:textId="414A7791"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3,495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1025027" w14:textId="60D9C9D2"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3,495 </w:t>
            </w:r>
          </w:p>
        </w:tc>
      </w:tr>
      <w:tr w:rsidR="00350B58" w:rsidRPr="00533CAA" w14:paraId="296105B0"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F5DFA0C" w14:textId="7777777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34E89A8" w14:textId="1E205675"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Boiler Tune Up</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703E726" w14:textId="59A17FD3"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BC74C9C" w14:textId="23B199C5"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MBH Input</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7D2D22A" w14:textId="6F64E56B"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98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DD578C4" w14:textId="0CC22552"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186B313" w14:textId="0F1E808D"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7909866" w14:textId="203658D2"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1335940" w14:textId="5FFA4196"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111,689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9F397B5" w14:textId="1EB2F468"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111,689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10FE215" w14:textId="5256F63F"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111,689 </w:t>
            </w:r>
          </w:p>
        </w:tc>
      </w:tr>
      <w:tr w:rsidR="00350B58" w:rsidRPr="00533CAA" w14:paraId="0339EA92"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2C9F0F6" w14:textId="7777777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82DC56A" w14:textId="6D31BF20"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 xml:space="preserve">Controls </w:t>
            </w:r>
            <w:proofErr w:type="gramStart"/>
            <w:r w:rsidRPr="00533CAA">
              <w:rPr>
                <w:sz w:val="20"/>
                <w:szCs w:val="20"/>
              </w:rPr>
              <w:t>for</w:t>
            </w:r>
            <w:proofErr w:type="gramEnd"/>
            <w:r w:rsidRPr="00533CAA">
              <w:rPr>
                <w:sz w:val="20"/>
                <w:szCs w:val="20"/>
              </w:rPr>
              <w:t xml:space="preserve"> Domestic Hot Water</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EFB4840" w14:textId="287E3293"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90FA9CD" w14:textId="0C67064D"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Living Units</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8F1DC31" w14:textId="676963BB"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267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198F88D" w14:textId="5123D9C5"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15.0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4840E45" w14:textId="6766366D"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92426C2" w14:textId="5742E7F6"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AEFDB6E" w14:textId="3CC9A594"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16,741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EC20E02" w14:textId="1EE1F71C"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16,741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5A05717" w14:textId="5DD1A691"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16,741 </w:t>
            </w:r>
          </w:p>
        </w:tc>
      </w:tr>
      <w:tr w:rsidR="00350B58" w:rsidRPr="00533CAA" w14:paraId="2BF31210"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8A99A36" w14:textId="7777777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D8DFFB5" w14:textId="4EEFE7C2"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 xml:space="preserve">Covers and Gap Sealers for Room AC </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B97806B" w14:textId="649AEA92"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E267585" w14:textId="2625CEDD"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477317B" w14:textId="137DB660"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1,125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BB1FE12" w14:textId="58CA3C4B"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5.0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66CCFD5" w14:textId="6177E4A8"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76DE950" w14:textId="4F8BF1F3"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E9C47C1" w14:textId="46CDC6DA"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12,262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C797899" w14:textId="5F526F49"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12,262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B147C59" w14:textId="78843868"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12,262 </w:t>
            </w:r>
          </w:p>
        </w:tc>
      </w:tr>
      <w:tr w:rsidR="00350B58" w:rsidRPr="00533CAA" w14:paraId="24CE7A89"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9B26D32" w14:textId="7777777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D1419B0" w14:textId="0374D569"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Duct Sealing</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72A5EF7" w14:textId="342BD8B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F89DE08" w14:textId="1125A778"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Linear feet</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717AA80" w14:textId="6C9668E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396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1F4E948" w14:textId="61435C9A"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20.0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BA667DF" w14:textId="7044755B"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9EB7B08" w14:textId="0D57161A"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9DB8B0B" w14:textId="60F7A89A"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399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671F41E" w14:textId="180C0EE3"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399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CAF1BE8" w14:textId="21A3E65F"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399 </w:t>
            </w:r>
          </w:p>
        </w:tc>
      </w:tr>
      <w:tr w:rsidR="00350B58" w:rsidRPr="00533CAA" w14:paraId="7570520B"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2D527A4" w14:textId="7777777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65EA981" w14:textId="27C97E10"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Exhaust Damper</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899750E" w14:textId="77F60473"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22C86F5" w14:textId="3415AB69"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MBH Input</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1423BFE" w14:textId="3E5DA9E5"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7,461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5047B0F" w14:textId="2A4B8C5C"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15.0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7F1A49F" w14:textId="2F547AEB"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C454E1D" w14:textId="56FC4683"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9D28D05" w14:textId="2729F1D3"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1,230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D78D488" w14:textId="0F2EE42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1,230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F7E2579" w14:textId="14F35E00"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1,230 </w:t>
            </w:r>
          </w:p>
        </w:tc>
      </w:tr>
      <w:tr w:rsidR="00350B58" w:rsidRPr="00533CAA" w14:paraId="6F9C0D5F"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B6EEA27" w14:textId="7777777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919C325" w14:textId="5769D175"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Faucet Aerator - Bathroom (IU)</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C60285A" w14:textId="11955CD5"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FF8CA3A" w14:textId="2A171D5D"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673027D" w14:textId="53CE4549"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1,800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5335312" w14:textId="2B44ECD2"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10.0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D06B553" w14:textId="0E3DEBF7"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5671E8D" w14:textId="408A4B89"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817,932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00BC231" w14:textId="172E63A5"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3,599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E25A9C4" w14:textId="69B16DDB"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3,599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5EEA77C" w14:textId="56D05E3F"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3,599 </w:t>
            </w:r>
          </w:p>
        </w:tc>
      </w:tr>
      <w:tr w:rsidR="00350B58" w:rsidRPr="00533CAA" w14:paraId="214115E1"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5EF6371" w14:textId="7777777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BC6A30B" w14:textId="12BC821D"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Faucet Aerator - Kitchen (CA)</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E69B14B" w14:textId="64D8433D"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7C34AFC" w14:textId="5798578C"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A207CFC" w14:textId="0A636E4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5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B67CEC6" w14:textId="238A5A29"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10.0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8746C40" w14:textId="0DB18B7F"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569C9C9" w14:textId="261B5CC2"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7,689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66F0B7F" w14:textId="376388D3"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41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D18DB0E" w14:textId="0084DA80"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41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D9892B6" w14:textId="7777777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41 </w:t>
            </w:r>
          </w:p>
        </w:tc>
      </w:tr>
      <w:tr w:rsidR="00350B58" w:rsidRPr="00533CAA" w14:paraId="4C5CB6C3"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57AD0DF" w14:textId="7777777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3ABB682" w14:textId="55E6BE8D"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Faucet Aerator - Kitchen (IU)</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D85553F" w14:textId="1029095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F241852" w14:textId="1158083A"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6C5D1BD" w14:textId="794066B1"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3,061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E0C123B" w14:textId="36B09B66"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10.0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02441B8" w14:textId="30465EB7"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9F9F2FA" w14:textId="71591469"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5,718,836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4EB576E" w14:textId="6BAB26AA"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30,310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3860568" w14:textId="1FF7292B"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30,310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78A3695" w14:textId="67F30F31"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30,310 </w:t>
            </w:r>
          </w:p>
        </w:tc>
      </w:tr>
      <w:tr w:rsidR="00350B58" w:rsidRPr="00533CAA" w14:paraId="2F7ECC5A"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6220596" w14:textId="7777777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23D14D9" w14:textId="729AA9F5"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Furnace Filter</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C559C01" w14:textId="32771012"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B4E9DAB" w14:textId="1CB043F4"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20371A7" w14:textId="312BB112"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434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92BE6EA" w14:textId="7434D9AD"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4467148" w14:textId="2A8FAF65"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D749B92" w14:textId="651C168B"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D80DD4C" w14:textId="2933430C"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4,362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3B67B5B" w14:textId="2E9FFF26"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4,362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AA74E96" w14:textId="4B0C1BD6"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4,362 </w:t>
            </w:r>
          </w:p>
        </w:tc>
      </w:tr>
      <w:tr w:rsidR="00350B58" w:rsidRPr="00533CAA" w14:paraId="47E7865F"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353D4F8" w14:textId="7777777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21E3350" w14:textId="2A94C213"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High Efficiency Boiler</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BA382C5" w14:textId="27E62ADF"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ADC790A" w14:textId="440769EE"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MBH Input</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71C3453" w14:textId="6B779CC9"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13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01016C4" w14:textId="66C6B63D"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25.0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4462309" w14:textId="704A3FAA"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1BAF533" w14:textId="0132C856"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C5D72C7" w14:textId="259D6CFB"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19,986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809208B" w14:textId="236AA7EF"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19,986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132760C" w14:textId="4DB951FE"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19,986 </w:t>
            </w:r>
          </w:p>
        </w:tc>
      </w:tr>
      <w:tr w:rsidR="00350B58" w:rsidRPr="00533CAA" w14:paraId="11377C9D"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63BFEBF" w14:textId="7777777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6A8BE7A" w14:textId="598B52C4"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High Efficiency Furnace</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2A0270A" w14:textId="50F30CB5"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5066081" w14:textId="173B5DFD"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MBH Input</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0B125B5" w14:textId="5B916B68"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1,291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7005982" w14:textId="74D24CF8"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20.0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376B860" w14:textId="42DFBE47"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C8C274B" w14:textId="66FCAD7A"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7CC6215" w14:textId="6433183E"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2,781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6DB8071" w14:textId="1735F564"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2,966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DDB4D75" w14:textId="0C13C244"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2,966 </w:t>
            </w:r>
          </w:p>
        </w:tc>
      </w:tr>
      <w:tr w:rsidR="00350B58" w:rsidRPr="00533CAA" w14:paraId="37F69337"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985C44B" w14:textId="7777777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BC8483C" w14:textId="6D10625F"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Low Flow Showerheads (CA)</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D882194" w14:textId="289AD524"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A7D074C" w14:textId="56EF9F04"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98DFB54" w14:textId="41B44D98"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6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6EF7DC9" w14:textId="3D11A4B3"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10.0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CB971AB" w14:textId="68E830C1"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14A8B4F" w14:textId="1374E876"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20,605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3CF159D" w14:textId="4A9272B0"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130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A7CFF8C" w14:textId="6F46945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130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864A40F" w14:textId="01B5B59C"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130 </w:t>
            </w:r>
          </w:p>
        </w:tc>
      </w:tr>
      <w:tr w:rsidR="00350B58" w:rsidRPr="00533CAA" w14:paraId="0752DAE3"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8F04C06" w14:textId="7777777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5A1677B" w14:textId="3304D9A5"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Low Flow Showerheads (IU)</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C0BC9B3" w14:textId="5C1E5CB8"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B45C725" w14:textId="13D7DE28"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EF5BE98" w14:textId="0FC94E51"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3,453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49D9346" w14:textId="4CEC134B"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10.0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C27DE43" w14:textId="17AD0DD3"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08697AC" w14:textId="2868251F"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7,457,207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675411B" w14:textId="1CD2AA42"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46,993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B4F7550" w14:textId="2D8BCC03"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46,968</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2544E76" w14:textId="1CFA673C"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46,968</w:t>
            </w:r>
          </w:p>
        </w:tc>
      </w:tr>
      <w:tr w:rsidR="00350B58" w:rsidRPr="00533CAA" w14:paraId="02182767"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E54F18F" w14:textId="7777777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BC402CC" w14:textId="7FF239B9"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Pipe Insulation</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9AC0BB9" w14:textId="0A9D58D5"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84A9A36" w14:textId="36E8C364"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10AF9F0" w14:textId="1A9C9E8F"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1632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D232A60" w14:textId="2E799B25"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10.0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91D9BEF" w14:textId="0A41B75B"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FF411C9" w14:textId="3F453F2C"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15B56DC" w14:textId="057B9584"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44,659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8202617" w14:textId="712399F4"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44,653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46216F9" w14:textId="7DD61DE6"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44,653  </w:t>
            </w:r>
          </w:p>
        </w:tc>
      </w:tr>
      <w:tr w:rsidR="00350B58" w:rsidRPr="00533CAA" w14:paraId="2852BD25"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991C636" w14:textId="7777777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86DCAED" w14:textId="30F1B331"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r w:rsidRPr="00533CAA">
              <w:rPr>
                <w:sz w:val="20"/>
                <w:szCs w:val="20"/>
              </w:rPr>
              <w:t>Pipe Insulation</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70EC09C" w14:textId="5B6108F3"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C000AB2" w14:textId="2909378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r w:rsidRPr="00533CAA">
              <w:rPr>
                <w:sz w:val="20"/>
                <w:szCs w:val="20"/>
              </w:rPr>
              <w:t>Linear feet</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8A72953" w14:textId="73CC6025"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sz w:val="20"/>
                <w:szCs w:val="20"/>
              </w:rPr>
            </w:pPr>
            <w:r w:rsidRPr="00533CAA">
              <w:rPr>
                <w:sz w:val="20"/>
                <w:szCs w:val="20"/>
              </w:rPr>
              <w:t>31192</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FE94D1C" w14:textId="5FDD0D88"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sz w:val="20"/>
                <w:szCs w:val="20"/>
              </w:rPr>
            </w:pPr>
            <w:r w:rsidRPr="00533CAA">
              <w:rPr>
                <w:sz w:val="20"/>
                <w:szCs w:val="20"/>
              </w:rPr>
              <w:t>10.0</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44023F4" w14:textId="11768585"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BB0405B" w14:textId="5FE33A25"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sz w:val="20"/>
                <w:szCs w:val="20"/>
              </w:rPr>
            </w:pPr>
            <w:r w:rsidRPr="00533CAA">
              <w:rPr>
                <w:sz w:val="20"/>
                <w:szCs w:val="20"/>
              </w:rPr>
              <w:t>-</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3A18814" w14:textId="7B57FE5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sz w:val="20"/>
                <w:szCs w:val="20"/>
              </w:rPr>
            </w:pPr>
            <w:r w:rsidRPr="00533CAA">
              <w:rPr>
                <w:sz w:val="20"/>
                <w:szCs w:val="20"/>
              </w:rPr>
              <w:t>256,616</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6EE1066" w14:textId="491882D6"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sz w:val="20"/>
                <w:szCs w:val="20"/>
              </w:rPr>
            </w:pPr>
            <w:r w:rsidRPr="00533CAA">
              <w:rPr>
                <w:sz w:val="20"/>
                <w:szCs w:val="20"/>
              </w:rPr>
              <w:t>256,612</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5F80E8B" w14:textId="0049DEA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sz w:val="20"/>
                <w:szCs w:val="20"/>
              </w:rPr>
            </w:pPr>
            <w:r w:rsidRPr="00533CAA">
              <w:rPr>
                <w:sz w:val="20"/>
                <w:szCs w:val="20"/>
              </w:rPr>
              <w:t>256,612</w:t>
            </w:r>
          </w:p>
        </w:tc>
      </w:tr>
      <w:tr w:rsidR="00350B58" w:rsidRPr="00533CAA" w14:paraId="33F0B262"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1F355DC" w14:textId="7777777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F31B9A7" w14:textId="05E852B3"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Programmable Thermostats</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1AC289E" w14:textId="3CB95380"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49EECEC" w14:textId="2CC5315D"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FF3E411" w14:textId="24038ACA"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454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A811AD8" w14:textId="36F01E3B"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16.0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5EFB2EE" w14:textId="34C495C6"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7AFFB7F" w14:textId="21B5F665"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5502955" w14:textId="0597BB0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18,388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F4E4E76" w14:textId="28EE9BFD"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18,388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A24E1A1" w14:textId="64E30556"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18,388 </w:t>
            </w:r>
          </w:p>
        </w:tc>
      </w:tr>
      <w:tr w:rsidR="00350B58" w:rsidRPr="00533CAA" w14:paraId="1BE087CE"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2B2350B" w14:textId="7777777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9A9C2DC" w14:textId="74509891"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Reprogrammable Thermostat</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0A53FED" w14:textId="52F9FB32"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E921DF1" w14:textId="5B268534"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693A541" w14:textId="6FD10623"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71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9378E73" w14:textId="40E55C49"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3609177" w14:textId="3A1221D4"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AB96B35" w14:textId="7280B879"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6529616" w14:textId="3389D111"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2,914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954AEEB" w14:textId="492653D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2,914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0C760FD" w14:textId="5E6B30B3"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2,914 </w:t>
            </w:r>
          </w:p>
        </w:tc>
      </w:tr>
      <w:tr w:rsidR="00350B58" w:rsidRPr="00533CAA" w14:paraId="2D0FF239"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1C19568" w14:textId="7777777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A8D92B9" w14:textId="51383BD0"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Shower Timer</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44271CF" w14:textId="755B6CE8"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41511A7" w14:textId="4F6DF206"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7530C76" w14:textId="47EA9FD4"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4,750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811C7B6" w14:textId="0F026514"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D27577A" w14:textId="69EC7AAB"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953AC4E" w14:textId="4BEC41EA"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19,737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A05DCAA" w14:textId="76FEB598"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19,736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DEF45AA" w14:textId="24897C5C"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19,737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F5077C7" w14:textId="49749DE1"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19,737 </w:t>
            </w:r>
          </w:p>
        </w:tc>
      </w:tr>
      <w:tr w:rsidR="00350B58" w:rsidRPr="00533CAA" w14:paraId="1C00A257"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DC4C7DC" w14:textId="7777777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1342A1A" w14:textId="61303F6D"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Steam Boiler Average Controls</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93FDF7F" w14:textId="12FE2852"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26DB984" w14:textId="3B5D7E99"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Living Units</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672E781" w14:textId="0CCE7EE3"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757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127FE95" w14:textId="68E692FE"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20.0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65E4EE0" w14:textId="70A213E1"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B04E2C9" w14:textId="2328DAD6"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57CFE55" w14:textId="2D790270"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46,244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735B707" w14:textId="165F3DE2"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46,244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2BB7190" w14:textId="5ED5CD9C"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46,244 </w:t>
            </w:r>
          </w:p>
        </w:tc>
      </w:tr>
      <w:tr w:rsidR="00350B58" w:rsidRPr="00533CAA" w14:paraId="3CA20B89"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C1A1E0E" w14:textId="7777777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0FFC931" w14:textId="4B3DB097"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Steam Traps</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FD628ED" w14:textId="18AC5F4F"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5ECFAEB" w14:textId="27D113FF"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F62D5A6" w14:textId="1AF8DD41"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2,938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DAB17B2" w14:textId="584CC241"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6.0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7B8F210" w14:textId="13C527EF"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D2B26F4" w14:textId="0E9B1778"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3,879,684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B8241FF" w14:textId="5D81FC26"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523,789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F2AA815" w14:textId="5EB32FB2"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549,166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27EFC4D" w14:textId="1B399D1A"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549,166 </w:t>
            </w:r>
          </w:p>
        </w:tc>
      </w:tr>
      <w:tr w:rsidR="00350B58" w:rsidRPr="00533CAA" w14:paraId="2FDA0641"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CFB72BB" w14:textId="7777777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56D55B0" w14:textId="0C4CB555"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Wall Insulation</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E7D0E0A" w14:textId="75D52AE8"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E906BF3" w14:textId="0DDC0CDB"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Square feet</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58A2CB5" w14:textId="4DE5E9BA"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252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0E1F705" w14:textId="084458F1"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20.0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7CE376E" w14:textId="4114DD42"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D317524" w14:textId="5879004C" w:rsidR="00350B58" w:rsidRPr="00533CAA" w:rsidRDefault="00350B58" w:rsidP="002C5E1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D67C6F6" w14:textId="350D3CDA"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27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1489FE4" w14:textId="57E4377C"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32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A2A9D1B" w14:textId="6931640A"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32 </w:t>
            </w:r>
          </w:p>
        </w:tc>
      </w:tr>
      <w:tr w:rsidR="00350B58" w:rsidRPr="00533CAA" w14:paraId="654EF428"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B5792FB" w14:textId="26D7C53A"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lastRenderedPageBreak/>
              <w:t>IHWAP</w:t>
            </w: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9AE8DFB" w14:textId="3EB603A2"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Air Sealing</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889DE7B" w14:textId="67B6353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C28D7BF" w14:textId="5424773D"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5E983AA" w14:textId="15FF4D75"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16,805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A6D0353" w14:textId="7E4B435D"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20.0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3255693" w14:textId="28643A07"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A7733EC" w14:textId="2812E01B"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A0FBB81" w14:textId="772C432C"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8,544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8990461" w14:textId="7819E73E"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8,544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149BFC6" w14:textId="14C923E5"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8,544 </w:t>
            </w:r>
          </w:p>
        </w:tc>
      </w:tr>
      <w:tr w:rsidR="00350B58" w:rsidRPr="00533CAA" w14:paraId="39EA024E"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06C9FEF" w14:textId="77777777"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2404E46" w14:textId="0372D11A"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Custom</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8077A9D" w14:textId="66CC7BCE"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1F7D92A" w14:textId="4DB671DD"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C53020A" w14:textId="6B3B17EE"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105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782150D" w14:textId="0217CFC4"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22.8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46E37EA" w14:textId="2BDE05A2"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363DB95" w14:textId="7F8AD7FD"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8EBB939" w14:textId="0C8CF156"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20,462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62D8E3C" w14:textId="16131D6D"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19,402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CB6550F" w14:textId="765CA660" w:rsidR="00350B58" w:rsidRPr="00533CAA" w:rsidRDefault="00350B58" w:rsidP="0085476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19,402 </w:t>
            </w:r>
          </w:p>
        </w:tc>
      </w:tr>
      <w:tr w:rsidR="00350B58" w:rsidRPr="00533CAA" w14:paraId="35196CC0"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2F6F547" w14:textId="77777777"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72C74BD" w14:textId="5B67B187"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Faucet Aerator - Bathroom (IU)</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F876F99" w14:textId="34125D3D"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9D0FA80" w14:textId="3F8FB4CB"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126E9FF" w14:textId="07179C1A"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72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CEBD240" w14:textId="2FCC4872"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10.0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DEDA954" w14:textId="4B03FD54"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185F1AD" w14:textId="4180434E"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32,717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A9564EC" w14:textId="5489ADBD"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5,884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04D7ADD" w14:textId="40DB11CA"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144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76F54E9" w14:textId="2F463BF7"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144 </w:t>
            </w:r>
          </w:p>
        </w:tc>
      </w:tr>
      <w:tr w:rsidR="00350B58" w:rsidRPr="00533CAA" w14:paraId="3FBD05EB"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ED63551" w14:textId="77777777"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AC82829" w14:textId="34773472"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Faucet Aerator - Kitchen (IU)</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BB98E87" w14:textId="5C23B85A"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89D9E98" w14:textId="616444B6"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1DA06FC" w14:textId="5EACE929"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79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44ABC3F" w14:textId="2A79AB14"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10.0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224C0C2" w14:textId="18A4E84C"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0703C6B2" w14:textId="35B3555B"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147,595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6EA43A7" w14:textId="39A30225"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782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4321EDB" w14:textId="3D961158"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782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1D69273" w14:textId="412436E2"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782 </w:t>
            </w:r>
          </w:p>
        </w:tc>
      </w:tr>
      <w:tr w:rsidR="00350B58" w:rsidRPr="00533CAA" w14:paraId="00FDF2DC" w14:textId="77777777" w:rsidTr="00350B58">
        <w:trPr>
          <w:gridAfter w:val="1"/>
          <w:wAfter w:w="26" w:type="pct"/>
          <w:trHeight w:val="285"/>
        </w:trPr>
        <w:tc>
          <w:tcPr>
            <w:tcW w:w="393"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E34256E" w14:textId="77777777"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701"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18CD423" w14:textId="255A54BE"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Showerhead (IU)</w:t>
            </w:r>
          </w:p>
        </w:tc>
        <w:tc>
          <w:tcPr>
            <w:tcW w:w="373"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2B32132" w14:textId="1571D24B"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FALSE</w:t>
            </w:r>
          </w:p>
        </w:tc>
        <w:tc>
          <w:tcPr>
            <w:tcW w:w="457"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D0D7D3D" w14:textId="4A9D55D8"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Each</w:t>
            </w:r>
          </w:p>
        </w:tc>
        <w:tc>
          <w:tcPr>
            <w:tcW w:w="41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98A7396" w14:textId="10F32E11"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93 </w:t>
            </w:r>
          </w:p>
        </w:tc>
        <w:tc>
          <w:tcPr>
            <w:tcW w:w="39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F8126F1" w14:textId="5C3AF98C"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10.0 </w:t>
            </w:r>
          </w:p>
        </w:tc>
        <w:tc>
          <w:tcPr>
            <w:tcW w:w="562"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8BFE982" w14:textId="5D84529D" w:rsidR="00350B58" w:rsidRPr="00533CA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33CAA">
              <w:rPr>
                <w:sz w:val="20"/>
                <w:szCs w:val="20"/>
              </w:rPr>
              <w:t>NO</w:t>
            </w:r>
          </w:p>
        </w:tc>
        <w:tc>
          <w:tcPr>
            <w:tcW w:w="435"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56DE0BE" w14:textId="58EDFE74"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65,139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3539B90" w14:textId="2B63CA68"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14,548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983A22E" w14:textId="2E58CC3A"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410 </w:t>
            </w:r>
          </w:p>
        </w:tc>
        <w:tc>
          <w:tcPr>
            <w:tcW w:w="414" w:type="pct"/>
            <w:gridSpan w:val="2"/>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9F18166" w14:textId="1F9F9BBF" w:rsidR="00350B58" w:rsidRPr="00533CAA" w:rsidRDefault="00350B58" w:rsidP="0029382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33CAA">
              <w:rPr>
                <w:sz w:val="20"/>
                <w:szCs w:val="20"/>
              </w:rPr>
              <w:t xml:space="preserve"> 410 </w:t>
            </w:r>
          </w:p>
        </w:tc>
      </w:tr>
      <w:tr w:rsidR="00350B58" w:rsidRPr="00533CAA" w14:paraId="507FB894" w14:textId="77777777" w:rsidTr="00350B58">
        <w:trPr>
          <w:trHeight w:val="285"/>
        </w:trPr>
        <w:tc>
          <w:tcPr>
            <w:tcW w:w="1120" w:type="pct"/>
            <w:gridSpan w:val="3"/>
            <w:tcBorders>
              <w:top w:val="single" w:sz="6" w:space="0" w:color="B3EFFD" w:themeColor="text2" w:themeTint="33"/>
              <w:left w:val="nil"/>
              <w:bottom w:val="single" w:sz="18" w:space="0" w:color="036479"/>
              <w:right w:val="nil"/>
            </w:tcBorders>
            <w:shd w:val="clear" w:color="auto" w:fill="FFFFFF" w:themeFill="background1"/>
            <w:vAlign w:val="center"/>
          </w:tcPr>
          <w:p w14:paraId="1BDC3F5E" w14:textId="2D06E2DA" w:rsidR="00350B58" w:rsidRPr="00533CAA" w:rsidRDefault="00350B58" w:rsidP="00B03F31">
            <w:pPr>
              <w:pBdr>
                <w:top w:val="none" w:sz="0" w:space="0" w:color="000000"/>
                <w:left w:val="none" w:sz="0" w:space="0" w:color="000000"/>
                <w:bottom w:val="none" w:sz="0" w:space="0" w:color="000000"/>
                <w:right w:val="none" w:sz="0" w:space="0" w:color="000000"/>
              </w:pBdr>
              <w:spacing w:before="3" w:after="3" w:line="240" w:lineRule="auto"/>
              <w:ind w:right="3"/>
              <w:rPr>
                <w:rFonts w:eastAsia="Arial Narrow" w:cs="Arial Narrow"/>
                <w:color w:val="000000" w:themeColor="text1"/>
                <w:sz w:val="20"/>
                <w:szCs w:val="20"/>
              </w:rPr>
            </w:pPr>
            <w:r w:rsidRPr="00533CAA">
              <w:rPr>
                <w:rFonts w:eastAsia="Arial Narrow" w:cs="Arial Narrow"/>
                <w:b/>
                <w:bCs/>
                <w:color w:val="000000" w:themeColor="text1"/>
                <w:sz w:val="20"/>
                <w:szCs w:val="20"/>
              </w:rPr>
              <w:t>Total or Weighted Average</w:t>
            </w:r>
          </w:p>
        </w:tc>
        <w:tc>
          <w:tcPr>
            <w:tcW w:w="373" w:type="pct"/>
            <w:gridSpan w:val="2"/>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6B77BB88" w14:textId="77777777" w:rsidR="00350B58" w:rsidRPr="00533CAA" w:rsidRDefault="00350B58" w:rsidP="007B749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457" w:type="pct"/>
            <w:gridSpan w:val="2"/>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6B624E0F" w14:textId="77777777" w:rsidR="00350B58" w:rsidRPr="00533CAA" w:rsidRDefault="00350B58" w:rsidP="007B749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415" w:type="pct"/>
            <w:gridSpan w:val="2"/>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355986D1" w14:textId="77777777" w:rsidR="00350B58" w:rsidRPr="00533CAA" w:rsidRDefault="00350B58" w:rsidP="007B749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p>
        </w:tc>
        <w:tc>
          <w:tcPr>
            <w:tcW w:w="394" w:type="pct"/>
            <w:gridSpan w:val="2"/>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4695D305" w14:textId="662CE998" w:rsidR="00350B58" w:rsidRPr="00533CAA" w:rsidRDefault="00350B58" w:rsidP="007B749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b/>
                <w:bCs/>
                <w:color w:val="000000" w:themeColor="text1"/>
                <w:sz w:val="20"/>
                <w:szCs w:val="20"/>
              </w:rPr>
            </w:pPr>
            <w:r w:rsidRPr="00533CAA">
              <w:rPr>
                <w:rFonts w:eastAsia="Arial Narrow" w:cs="Arial Narrow"/>
                <w:b/>
                <w:bCs/>
                <w:color w:val="000000" w:themeColor="text1"/>
                <w:sz w:val="20"/>
                <w:szCs w:val="20"/>
              </w:rPr>
              <w:t>14.03</w:t>
            </w:r>
          </w:p>
        </w:tc>
        <w:tc>
          <w:tcPr>
            <w:tcW w:w="562" w:type="pct"/>
            <w:gridSpan w:val="2"/>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7CCD5183" w14:textId="77777777" w:rsidR="00350B58" w:rsidRPr="00533CAA" w:rsidRDefault="00350B58" w:rsidP="007B749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p>
        </w:tc>
        <w:tc>
          <w:tcPr>
            <w:tcW w:w="435" w:type="pct"/>
            <w:gridSpan w:val="2"/>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6BBD019A" w14:textId="33F16633" w:rsidR="00350B58" w:rsidRPr="00533CAA" w:rsidRDefault="00350B58" w:rsidP="007B749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b/>
                <w:bCs/>
                <w:color w:val="000000" w:themeColor="text1"/>
                <w:sz w:val="20"/>
                <w:szCs w:val="20"/>
              </w:rPr>
            </w:pPr>
            <w:r w:rsidRPr="00533CAA">
              <w:rPr>
                <w:b/>
                <w:bCs/>
                <w:sz w:val="20"/>
                <w:szCs w:val="20"/>
              </w:rPr>
              <w:t xml:space="preserve">18,167,140 </w:t>
            </w:r>
          </w:p>
        </w:tc>
        <w:tc>
          <w:tcPr>
            <w:tcW w:w="414" w:type="pct"/>
            <w:gridSpan w:val="2"/>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4CF36A41" w14:textId="4875237F" w:rsidR="00350B58" w:rsidRPr="00533CAA" w:rsidRDefault="00350B58" w:rsidP="007B749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b/>
                <w:bCs/>
                <w:color w:val="000000" w:themeColor="text1"/>
                <w:sz w:val="20"/>
                <w:szCs w:val="20"/>
              </w:rPr>
            </w:pPr>
            <w:r w:rsidRPr="00533CAA">
              <w:rPr>
                <w:b/>
                <w:bCs/>
                <w:sz w:val="20"/>
                <w:szCs w:val="20"/>
              </w:rPr>
              <w:t xml:space="preserve"> 1,651,046 </w:t>
            </w:r>
          </w:p>
        </w:tc>
        <w:tc>
          <w:tcPr>
            <w:tcW w:w="414" w:type="pct"/>
            <w:gridSpan w:val="2"/>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31401C73" w14:textId="50DFA650" w:rsidR="00350B58" w:rsidRPr="00533CAA" w:rsidRDefault="00350B58" w:rsidP="007B749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b/>
                <w:bCs/>
                <w:color w:val="000000" w:themeColor="text1"/>
                <w:sz w:val="20"/>
                <w:szCs w:val="20"/>
              </w:rPr>
            </w:pPr>
            <w:r w:rsidRPr="00533CAA">
              <w:rPr>
                <w:b/>
                <w:bCs/>
                <w:sz w:val="20"/>
                <w:szCs w:val="20"/>
              </w:rPr>
              <w:t xml:space="preserve"> 1,655,644 </w:t>
            </w:r>
          </w:p>
        </w:tc>
        <w:tc>
          <w:tcPr>
            <w:tcW w:w="414" w:type="pct"/>
            <w:gridSpan w:val="2"/>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039043A5" w14:textId="2EFC2979" w:rsidR="00350B58" w:rsidRPr="00533CAA" w:rsidRDefault="00350B58" w:rsidP="007B749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b/>
                <w:bCs/>
                <w:color w:val="000000" w:themeColor="text1"/>
                <w:sz w:val="20"/>
                <w:szCs w:val="20"/>
              </w:rPr>
            </w:pPr>
            <w:r w:rsidRPr="00533CAA">
              <w:rPr>
                <w:b/>
                <w:bCs/>
                <w:sz w:val="20"/>
                <w:szCs w:val="20"/>
              </w:rPr>
              <w:t xml:space="preserve"> 1,655,644 </w:t>
            </w:r>
          </w:p>
        </w:tc>
      </w:tr>
    </w:tbl>
    <w:p w14:paraId="38940682" w14:textId="6AA5D686" w:rsidR="00AB1A05" w:rsidRDefault="00AB1A05" w:rsidP="00762D8D">
      <w:pPr>
        <w:pStyle w:val="TableFigureSourceorNote"/>
        <w:rPr>
          <w:color w:val="000000" w:themeColor="text1"/>
          <w:sz w:val="16"/>
        </w:rPr>
      </w:pPr>
      <w:r w:rsidRPr="00D12853">
        <w:t xml:space="preserve">Source: </w:t>
      </w:r>
      <w:r>
        <w:rPr>
          <w:color w:val="000000" w:themeColor="text1"/>
          <w:sz w:val="16"/>
        </w:rPr>
        <w:t xml:space="preserve">Evaluation </w:t>
      </w:r>
      <w:r w:rsidRPr="00D12853">
        <w:rPr>
          <w:color w:val="000000" w:themeColor="text1"/>
          <w:sz w:val="16"/>
        </w:rPr>
        <w:t>team analysis.</w:t>
      </w:r>
    </w:p>
    <w:p w14:paraId="109B2EDC" w14:textId="77777777" w:rsidR="008D080C" w:rsidRPr="00D12853" w:rsidRDefault="008D080C" w:rsidP="00762D8D">
      <w:pPr>
        <w:pStyle w:val="TableFigureSourceorNote"/>
        <w:rPr>
          <w:i w:val="0"/>
          <w:color w:val="000000" w:themeColor="text1"/>
          <w:sz w:val="16"/>
        </w:rPr>
      </w:pPr>
    </w:p>
    <w:p w14:paraId="3F850DAC" w14:textId="04BE2C9F" w:rsidR="00D9716E" w:rsidRPr="00263413" w:rsidRDefault="00D9716E" w:rsidP="00F671C0">
      <w:pPr>
        <w:pStyle w:val="Caption"/>
      </w:pPr>
      <w:r w:rsidRPr="00D9716E">
        <w:t>Table B</w:t>
      </w:r>
      <w:r w:rsidR="00263413">
        <w:t>-</w:t>
      </w:r>
      <w:r w:rsidRPr="00D9716E">
        <w:t>2. Verified Cost Effectiveness Inputs – NSG</w:t>
      </w:r>
      <w:r w:rsidR="00263413">
        <w:t xml:space="preserve"> (Income Eligible)</w:t>
      </w:r>
    </w:p>
    <w:tbl>
      <w:tblPr>
        <w:tblW w:w="5000" w:type="pct"/>
        <w:tblBorders>
          <w:top w:val="single" w:sz="6" w:space="0" w:color="auto"/>
          <w:left w:val="single" w:sz="6" w:space="0" w:color="auto"/>
          <w:bottom w:val="single" w:sz="6" w:space="0" w:color="auto"/>
          <w:right w:val="single" w:sz="6" w:space="0" w:color="auto"/>
        </w:tblBorders>
        <w:tblLook w:val="0420" w:firstRow="1" w:lastRow="0" w:firstColumn="0" w:lastColumn="0" w:noHBand="0" w:noVBand="1"/>
      </w:tblPr>
      <w:tblGrid>
        <w:gridCol w:w="1055"/>
        <w:gridCol w:w="1534"/>
        <w:gridCol w:w="1151"/>
        <w:gridCol w:w="1231"/>
        <w:gridCol w:w="1021"/>
        <w:gridCol w:w="1037"/>
        <w:gridCol w:w="1366"/>
        <w:gridCol w:w="1312"/>
        <w:gridCol w:w="1086"/>
        <w:gridCol w:w="1086"/>
        <w:gridCol w:w="1081"/>
      </w:tblGrid>
      <w:tr w:rsidR="00350B58" w:rsidRPr="00567B4A" w14:paraId="140ECC64" w14:textId="77777777" w:rsidTr="00567B4A">
        <w:trPr>
          <w:trHeight w:val="285"/>
        </w:trPr>
        <w:tc>
          <w:tcPr>
            <w:tcW w:w="407"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1B8350EE" w14:textId="77777777" w:rsidR="00350B58" w:rsidRPr="00567B4A" w:rsidRDefault="00350B58">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567B4A">
              <w:rPr>
                <w:rFonts w:eastAsia="Arial Narrow" w:cs="Arial Narrow"/>
                <w:color w:val="FFFFFF" w:themeColor="background1"/>
                <w:sz w:val="20"/>
                <w:szCs w:val="20"/>
              </w:rPr>
              <w:t>Program Path</w:t>
            </w:r>
          </w:p>
        </w:tc>
        <w:tc>
          <w:tcPr>
            <w:tcW w:w="592"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17C487B7" w14:textId="77777777" w:rsidR="00350B58" w:rsidRPr="00567B4A" w:rsidRDefault="00350B58">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567B4A">
              <w:rPr>
                <w:rFonts w:eastAsia="Arial Narrow" w:cs="Arial Narrow"/>
                <w:color w:val="FFFFFF" w:themeColor="background1"/>
                <w:sz w:val="20"/>
                <w:szCs w:val="20"/>
              </w:rPr>
              <w:t>Savings Category</w:t>
            </w:r>
          </w:p>
        </w:tc>
        <w:tc>
          <w:tcPr>
            <w:tcW w:w="444"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6997355E" w14:textId="77777777" w:rsidR="00350B58" w:rsidRPr="00567B4A" w:rsidRDefault="00350B58">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567B4A">
              <w:rPr>
                <w:rFonts w:eastAsia="Arial Narrow" w:cs="Arial Narrow"/>
                <w:color w:val="FFFFFF" w:themeColor="background1"/>
                <w:sz w:val="20"/>
                <w:szCs w:val="20"/>
              </w:rPr>
              <w:t>DAC Project*</w:t>
            </w:r>
          </w:p>
        </w:tc>
        <w:tc>
          <w:tcPr>
            <w:tcW w:w="475"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68E758B3" w14:textId="77777777" w:rsidR="00350B58" w:rsidRPr="00567B4A" w:rsidRDefault="00350B58">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567B4A">
              <w:rPr>
                <w:rFonts w:eastAsia="Arial Narrow" w:cs="Arial Narrow"/>
                <w:color w:val="FFFFFF" w:themeColor="background1"/>
                <w:sz w:val="20"/>
                <w:szCs w:val="20"/>
              </w:rPr>
              <w:t>Units</w:t>
            </w:r>
          </w:p>
        </w:tc>
        <w:tc>
          <w:tcPr>
            <w:tcW w:w="394"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0E42A70B" w14:textId="77777777" w:rsidR="00350B58" w:rsidRPr="00567B4A" w:rsidRDefault="00350B5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567B4A">
              <w:rPr>
                <w:rFonts w:eastAsia="Arial Narrow" w:cs="Arial Narrow"/>
                <w:color w:val="FFFFFF" w:themeColor="background1"/>
                <w:sz w:val="20"/>
                <w:szCs w:val="20"/>
              </w:rPr>
              <w:t>Quantity</w:t>
            </w:r>
          </w:p>
        </w:tc>
        <w:tc>
          <w:tcPr>
            <w:tcW w:w="400"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2E0F0692" w14:textId="77777777" w:rsidR="00350B58" w:rsidRPr="00567B4A" w:rsidRDefault="00350B5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567B4A">
              <w:rPr>
                <w:rFonts w:eastAsia="Arial Narrow" w:cs="Arial Narrow"/>
                <w:color w:val="FFFFFF" w:themeColor="background1"/>
                <w:sz w:val="20"/>
                <w:szCs w:val="20"/>
              </w:rPr>
              <w:t>Effective Useful Life</w:t>
            </w:r>
          </w:p>
        </w:tc>
        <w:tc>
          <w:tcPr>
            <w:tcW w:w="527"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117BE403" w14:textId="77777777" w:rsidR="00350B58" w:rsidRPr="00567B4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567B4A">
              <w:rPr>
                <w:rFonts w:eastAsia="Arial Narrow" w:cs="Arial Narrow"/>
                <w:color w:val="FFFFFF" w:themeColor="background1"/>
                <w:sz w:val="20"/>
                <w:szCs w:val="20"/>
              </w:rPr>
              <w:t>Early Replacement Flag</w:t>
            </w:r>
          </w:p>
        </w:tc>
        <w:tc>
          <w:tcPr>
            <w:tcW w:w="506"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58E6F9D1" w14:textId="77777777" w:rsidR="00350B58" w:rsidRPr="00567B4A" w:rsidRDefault="00350B5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567B4A">
              <w:rPr>
                <w:rFonts w:eastAsia="Arial Narrow" w:cs="Arial Narrow"/>
                <w:color w:val="FFFFFF" w:themeColor="background1"/>
                <w:sz w:val="20"/>
                <w:szCs w:val="20"/>
              </w:rPr>
              <w:t>Verified Gross Annual Water Savings (Gallons)</w:t>
            </w:r>
          </w:p>
        </w:tc>
        <w:tc>
          <w:tcPr>
            <w:tcW w:w="419"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300A9FA4" w14:textId="77777777" w:rsidR="00350B58" w:rsidRPr="00567B4A" w:rsidRDefault="00350B5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567B4A">
              <w:rPr>
                <w:rFonts w:eastAsia="Arial Narrow" w:cs="Arial Narrow"/>
                <w:color w:val="FFFFFF" w:themeColor="background1"/>
                <w:sz w:val="20"/>
                <w:szCs w:val="20"/>
              </w:rPr>
              <w:t>Ex Ante Gross Savings (Therms)</w:t>
            </w:r>
          </w:p>
        </w:tc>
        <w:tc>
          <w:tcPr>
            <w:tcW w:w="419"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229B32D1" w14:textId="77777777" w:rsidR="00350B58" w:rsidRPr="00567B4A" w:rsidRDefault="00350B5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567B4A">
              <w:rPr>
                <w:rFonts w:eastAsia="Arial Narrow" w:cs="Arial Narrow"/>
                <w:color w:val="FFFFFF" w:themeColor="background1"/>
                <w:sz w:val="20"/>
                <w:szCs w:val="20"/>
              </w:rPr>
              <w:t>Verified Gross Savings (Therms)</w:t>
            </w:r>
          </w:p>
        </w:tc>
        <w:tc>
          <w:tcPr>
            <w:tcW w:w="419"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36F94668" w14:textId="77777777" w:rsidR="00350B58" w:rsidRPr="00567B4A" w:rsidRDefault="00350B5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567B4A">
              <w:rPr>
                <w:rFonts w:eastAsia="Arial Narrow" w:cs="Arial Narrow"/>
                <w:color w:val="FFFFFF" w:themeColor="background1"/>
                <w:sz w:val="20"/>
                <w:szCs w:val="20"/>
              </w:rPr>
              <w:t>Verified Net Savings (Therms)</w:t>
            </w:r>
          </w:p>
        </w:tc>
      </w:tr>
      <w:tr w:rsidR="00350B58" w:rsidRPr="00567B4A" w14:paraId="70456EB9" w14:textId="77777777" w:rsidTr="00567B4A">
        <w:trPr>
          <w:trHeight w:val="285"/>
        </w:trPr>
        <w:tc>
          <w:tcPr>
            <w:tcW w:w="407" w:type="pct"/>
            <w:vMerge w:val="restart"/>
            <w:tcBorders>
              <w:top w:val="single" w:sz="18" w:space="0" w:color="93D500" w:themeColor="accent1"/>
              <w:left w:val="nil"/>
              <w:right w:val="nil"/>
            </w:tcBorders>
            <w:shd w:val="clear" w:color="auto" w:fill="FFFFFF" w:themeFill="background1"/>
            <w:tcMar>
              <w:left w:w="105" w:type="dxa"/>
              <w:right w:w="105" w:type="dxa"/>
            </w:tcMar>
            <w:vAlign w:val="center"/>
          </w:tcPr>
          <w:p w14:paraId="707CCEDC" w14:textId="5DD090BF"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67B4A">
              <w:rPr>
                <w:rFonts w:eastAsia="Arial Narrow" w:cs="Arial Narrow"/>
                <w:color w:val="000000" w:themeColor="text1"/>
                <w:sz w:val="20"/>
                <w:szCs w:val="20"/>
              </w:rPr>
              <w:t>Income Eligible</w:t>
            </w:r>
          </w:p>
        </w:tc>
        <w:tc>
          <w:tcPr>
            <w:tcW w:w="592"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7F18B911" w14:textId="3FB53EB5"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67B4A">
              <w:rPr>
                <w:sz w:val="20"/>
                <w:szCs w:val="20"/>
              </w:rPr>
              <w:t>Attic Insulation</w:t>
            </w:r>
          </w:p>
        </w:tc>
        <w:tc>
          <w:tcPr>
            <w:tcW w:w="444"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7280B7C9" w14:textId="273382BE"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67B4A">
              <w:rPr>
                <w:sz w:val="20"/>
                <w:szCs w:val="20"/>
              </w:rPr>
              <w:t>FALSE</w:t>
            </w:r>
          </w:p>
        </w:tc>
        <w:tc>
          <w:tcPr>
            <w:tcW w:w="475"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4F17888A" w14:textId="7E2B7675"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67B4A">
              <w:rPr>
                <w:sz w:val="20"/>
                <w:szCs w:val="20"/>
              </w:rPr>
              <w:t>Square feet</w:t>
            </w:r>
          </w:p>
        </w:tc>
        <w:tc>
          <w:tcPr>
            <w:tcW w:w="394"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54DDECF9" w14:textId="646C52A0"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84,134 </w:t>
            </w:r>
          </w:p>
        </w:tc>
        <w:tc>
          <w:tcPr>
            <w:tcW w:w="400"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60D8FA4D" w14:textId="2AAAA229"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30.0 </w:t>
            </w:r>
          </w:p>
        </w:tc>
        <w:tc>
          <w:tcPr>
            <w:tcW w:w="527"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7F0740BF" w14:textId="6F1BD728" w:rsidR="00350B58" w:rsidRPr="00567B4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67B4A">
              <w:rPr>
                <w:sz w:val="20"/>
                <w:szCs w:val="20"/>
              </w:rPr>
              <w:t>NO</w:t>
            </w:r>
          </w:p>
        </w:tc>
        <w:tc>
          <w:tcPr>
            <w:tcW w:w="506"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544BEB5A" w14:textId="1A1A18B0"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   </w:t>
            </w:r>
          </w:p>
        </w:tc>
        <w:tc>
          <w:tcPr>
            <w:tcW w:w="419"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7F90C138" w14:textId="7631D4DA"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28,743 </w:t>
            </w:r>
          </w:p>
        </w:tc>
        <w:tc>
          <w:tcPr>
            <w:tcW w:w="419"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6F518644" w14:textId="70BFA2E2"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28,743 </w:t>
            </w:r>
          </w:p>
        </w:tc>
        <w:tc>
          <w:tcPr>
            <w:tcW w:w="419" w:type="pct"/>
            <w:tcBorders>
              <w:top w:val="single" w:sz="18" w:space="0" w:color="93D500" w:themeColor="accent1"/>
              <w:left w:val="nil"/>
              <w:bottom w:val="single" w:sz="6" w:space="0" w:color="B3EFFD" w:themeColor="text2" w:themeTint="33"/>
              <w:right w:val="nil"/>
            </w:tcBorders>
            <w:shd w:val="clear" w:color="auto" w:fill="FFFFFF" w:themeFill="background1"/>
            <w:tcMar>
              <w:left w:w="105" w:type="dxa"/>
              <w:right w:w="105" w:type="dxa"/>
            </w:tcMar>
            <w:vAlign w:val="center"/>
          </w:tcPr>
          <w:p w14:paraId="2598C189" w14:textId="02D8A354"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28,743 </w:t>
            </w:r>
          </w:p>
        </w:tc>
      </w:tr>
      <w:tr w:rsidR="00350B58" w:rsidRPr="00567B4A" w14:paraId="51638EC8" w14:textId="77777777" w:rsidTr="00567B4A">
        <w:trPr>
          <w:trHeight w:val="285"/>
        </w:trPr>
        <w:tc>
          <w:tcPr>
            <w:tcW w:w="407" w:type="pct"/>
            <w:vMerge/>
            <w:tcBorders>
              <w:left w:val="nil"/>
              <w:right w:val="nil"/>
            </w:tcBorders>
            <w:shd w:val="clear" w:color="auto" w:fill="FFFFFF" w:themeFill="background1"/>
            <w:tcMar>
              <w:left w:w="105" w:type="dxa"/>
              <w:right w:w="105" w:type="dxa"/>
            </w:tcMar>
            <w:vAlign w:val="center"/>
          </w:tcPr>
          <w:p w14:paraId="7AF270AF" w14:textId="77777777"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592"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1D9E967" w14:textId="4BFE7E4B"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67B4A">
              <w:rPr>
                <w:sz w:val="20"/>
                <w:szCs w:val="20"/>
              </w:rPr>
              <w:t>Pipe Insulation</w:t>
            </w:r>
          </w:p>
        </w:tc>
        <w:tc>
          <w:tcPr>
            <w:tcW w:w="444"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FDBE9C2" w14:textId="7D3FE69A"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67B4A">
              <w:rPr>
                <w:sz w:val="20"/>
                <w:szCs w:val="20"/>
              </w:rPr>
              <w:t>FALSE</w:t>
            </w:r>
          </w:p>
        </w:tc>
        <w:tc>
          <w:tcPr>
            <w:tcW w:w="475"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2A3B369" w14:textId="177E8D3F"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67B4A">
              <w:rPr>
                <w:sz w:val="20"/>
                <w:szCs w:val="20"/>
              </w:rPr>
              <w:t>Linear feet</w:t>
            </w:r>
          </w:p>
        </w:tc>
        <w:tc>
          <w:tcPr>
            <w:tcW w:w="394"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D268741" w14:textId="6CFD618E"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613 </w:t>
            </w:r>
          </w:p>
        </w:tc>
        <w:tc>
          <w:tcPr>
            <w:tcW w:w="400"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A1FA6B9" w14:textId="4F948337"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10.0 </w:t>
            </w:r>
          </w:p>
        </w:tc>
        <w:tc>
          <w:tcPr>
            <w:tcW w:w="527"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B4BE670" w14:textId="0F7AADEC" w:rsidR="00350B58" w:rsidRPr="00567B4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67B4A">
              <w:rPr>
                <w:sz w:val="20"/>
                <w:szCs w:val="20"/>
              </w:rPr>
              <w:t>NO</w:t>
            </w:r>
          </w:p>
        </w:tc>
        <w:tc>
          <w:tcPr>
            <w:tcW w:w="506"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9D451B8" w14:textId="706F0183"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   </w:t>
            </w:r>
          </w:p>
        </w:tc>
        <w:tc>
          <w:tcPr>
            <w:tcW w:w="419"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14FE393" w14:textId="6D99E311"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3,347 </w:t>
            </w:r>
          </w:p>
        </w:tc>
        <w:tc>
          <w:tcPr>
            <w:tcW w:w="419"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30DA4F2D" w14:textId="43A8F358"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3,347 </w:t>
            </w:r>
          </w:p>
        </w:tc>
        <w:tc>
          <w:tcPr>
            <w:tcW w:w="419"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21C43D8" w14:textId="438C4DA9"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3,347 </w:t>
            </w:r>
          </w:p>
        </w:tc>
      </w:tr>
      <w:tr w:rsidR="00350B58" w:rsidRPr="00567B4A" w14:paraId="52B92078" w14:textId="77777777" w:rsidTr="00567B4A">
        <w:trPr>
          <w:trHeight w:val="285"/>
        </w:trPr>
        <w:tc>
          <w:tcPr>
            <w:tcW w:w="407" w:type="pct"/>
            <w:vMerge/>
            <w:tcBorders>
              <w:left w:val="nil"/>
              <w:bottom w:val="single" w:sz="6" w:space="0" w:color="B3EFFD" w:themeColor="text2" w:themeTint="33"/>
              <w:right w:val="nil"/>
            </w:tcBorders>
            <w:shd w:val="clear" w:color="auto" w:fill="FFFFFF" w:themeFill="background1"/>
            <w:tcMar>
              <w:left w:w="105" w:type="dxa"/>
              <w:right w:w="105" w:type="dxa"/>
            </w:tcMar>
            <w:vAlign w:val="center"/>
          </w:tcPr>
          <w:p w14:paraId="30D17FAB" w14:textId="77777777"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592"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701B8EDF" w14:textId="788C2C4D"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67B4A">
              <w:rPr>
                <w:sz w:val="20"/>
                <w:szCs w:val="20"/>
              </w:rPr>
              <w:t>Wall Insulation</w:t>
            </w:r>
          </w:p>
        </w:tc>
        <w:tc>
          <w:tcPr>
            <w:tcW w:w="444"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C44F35A" w14:textId="348C72FF"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67B4A">
              <w:rPr>
                <w:sz w:val="20"/>
                <w:szCs w:val="20"/>
              </w:rPr>
              <w:t>FALSE</w:t>
            </w:r>
          </w:p>
        </w:tc>
        <w:tc>
          <w:tcPr>
            <w:tcW w:w="475"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2C38A4BB" w14:textId="0B245F35"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67B4A">
              <w:rPr>
                <w:sz w:val="20"/>
                <w:szCs w:val="20"/>
              </w:rPr>
              <w:t>Square feet</w:t>
            </w:r>
          </w:p>
        </w:tc>
        <w:tc>
          <w:tcPr>
            <w:tcW w:w="394"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1414561B" w14:textId="0D651B12"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7,560 </w:t>
            </w:r>
          </w:p>
        </w:tc>
        <w:tc>
          <w:tcPr>
            <w:tcW w:w="400"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B37F7D0" w14:textId="7ACC3875"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20.0 </w:t>
            </w:r>
          </w:p>
        </w:tc>
        <w:tc>
          <w:tcPr>
            <w:tcW w:w="527"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D2AD4A1" w14:textId="079EE62E" w:rsidR="00350B58" w:rsidRPr="00567B4A" w:rsidRDefault="00350B58"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67B4A">
              <w:rPr>
                <w:sz w:val="20"/>
                <w:szCs w:val="20"/>
              </w:rPr>
              <w:t>NO</w:t>
            </w:r>
          </w:p>
        </w:tc>
        <w:tc>
          <w:tcPr>
            <w:tcW w:w="506"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F2C1E3F" w14:textId="75F127FB"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   </w:t>
            </w:r>
          </w:p>
        </w:tc>
        <w:tc>
          <w:tcPr>
            <w:tcW w:w="419"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6A913718" w14:textId="3F97CE02"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758 </w:t>
            </w:r>
          </w:p>
        </w:tc>
        <w:tc>
          <w:tcPr>
            <w:tcW w:w="419"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5FFB763F" w14:textId="3DC6E616"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891 </w:t>
            </w:r>
          </w:p>
        </w:tc>
        <w:tc>
          <w:tcPr>
            <w:tcW w:w="419" w:type="pct"/>
            <w:tcBorders>
              <w:top w:val="single" w:sz="6" w:space="0" w:color="B3EFFD" w:themeColor="text2" w:themeTint="33"/>
              <w:left w:val="nil"/>
              <w:bottom w:val="single" w:sz="6" w:space="0" w:color="B3EFFD" w:themeColor="text2" w:themeTint="33"/>
              <w:right w:val="nil"/>
            </w:tcBorders>
            <w:shd w:val="clear" w:color="auto" w:fill="FFFFFF" w:themeFill="background1"/>
            <w:tcMar>
              <w:left w:w="105" w:type="dxa"/>
              <w:right w:w="105" w:type="dxa"/>
            </w:tcMar>
            <w:vAlign w:val="center"/>
          </w:tcPr>
          <w:p w14:paraId="4CF4499E" w14:textId="1275BF26" w:rsidR="00350B58" w:rsidRPr="00567B4A" w:rsidRDefault="00350B58" w:rsidP="00A342B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567B4A">
              <w:rPr>
                <w:sz w:val="20"/>
                <w:szCs w:val="20"/>
              </w:rPr>
              <w:t xml:space="preserve"> 891 </w:t>
            </w:r>
          </w:p>
        </w:tc>
      </w:tr>
      <w:tr w:rsidR="00350B58" w:rsidRPr="00567B4A" w14:paraId="145CC3A2" w14:textId="77777777" w:rsidTr="00567B4A">
        <w:trPr>
          <w:trHeight w:val="285"/>
        </w:trPr>
        <w:tc>
          <w:tcPr>
            <w:tcW w:w="999" w:type="pct"/>
            <w:gridSpan w:val="2"/>
            <w:tcBorders>
              <w:top w:val="single" w:sz="6" w:space="0" w:color="B3EFFD" w:themeColor="text2" w:themeTint="33"/>
              <w:left w:val="nil"/>
              <w:bottom w:val="single" w:sz="18" w:space="0" w:color="036479"/>
              <w:right w:val="nil"/>
            </w:tcBorders>
            <w:shd w:val="clear" w:color="auto" w:fill="FFFFFF" w:themeFill="background1"/>
            <w:vAlign w:val="center"/>
          </w:tcPr>
          <w:p w14:paraId="70D85B20" w14:textId="398A673A" w:rsidR="00350B58" w:rsidRPr="00567B4A" w:rsidRDefault="00350B58" w:rsidP="005907FB">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567B4A">
              <w:rPr>
                <w:rFonts w:eastAsia="Arial Narrow" w:cs="Arial Narrow"/>
                <w:b/>
                <w:bCs/>
                <w:color w:val="000000" w:themeColor="text1"/>
                <w:sz w:val="20"/>
                <w:szCs w:val="20"/>
              </w:rPr>
              <w:t>Total or Weighted Average</w:t>
            </w:r>
          </w:p>
        </w:tc>
        <w:tc>
          <w:tcPr>
            <w:tcW w:w="444" w:type="pct"/>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372CDE93" w14:textId="77777777" w:rsidR="00350B58" w:rsidRPr="00567B4A" w:rsidRDefault="00350B58" w:rsidP="005907FB">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475" w:type="pct"/>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4F63824C" w14:textId="77777777" w:rsidR="00350B58" w:rsidRPr="00567B4A" w:rsidRDefault="00350B58" w:rsidP="005907FB">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p>
        </w:tc>
        <w:tc>
          <w:tcPr>
            <w:tcW w:w="394" w:type="pct"/>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378A6FBB" w14:textId="77777777" w:rsidR="00350B58" w:rsidRPr="00567B4A" w:rsidRDefault="00350B58" w:rsidP="005907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p>
        </w:tc>
        <w:tc>
          <w:tcPr>
            <w:tcW w:w="400" w:type="pct"/>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54ED35C5" w14:textId="75B4942E" w:rsidR="00350B58" w:rsidRPr="00567B4A" w:rsidRDefault="00350B58" w:rsidP="005907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b/>
                <w:bCs/>
                <w:color w:val="000000" w:themeColor="text1"/>
                <w:sz w:val="20"/>
                <w:szCs w:val="20"/>
              </w:rPr>
            </w:pPr>
            <w:r w:rsidRPr="00567B4A">
              <w:rPr>
                <w:rFonts w:eastAsia="Arial Narrow" w:cs="Arial Narrow"/>
                <w:b/>
                <w:bCs/>
                <w:color w:val="000000" w:themeColor="text1"/>
                <w:sz w:val="20"/>
                <w:szCs w:val="20"/>
              </w:rPr>
              <w:t>27.7</w:t>
            </w:r>
          </w:p>
        </w:tc>
        <w:tc>
          <w:tcPr>
            <w:tcW w:w="527" w:type="pct"/>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2B34A26E" w14:textId="77777777" w:rsidR="00350B58" w:rsidRPr="00567B4A" w:rsidRDefault="00350B58" w:rsidP="005907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p>
        </w:tc>
        <w:tc>
          <w:tcPr>
            <w:tcW w:w="506" w:type="pct"/>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1D4823F7" w14:textId="77777777" w:rsidR="00350B58" w:rsidRPr="00567B4A" w:rsidRDefault="00350B58" w:rsidP="005907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p>
        </w:tc>
        <w:tc>
          <w:tcPr>
            <w:tcW w:w="419" w:type="pct"/>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73987193" w14:textId="0BFEFD18" w:rsidR="00350B58" w:rsidRPr="00567B4A" w:rsidRDefault="00350B58" w:rsidP="005907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b/>
                <w:bCs/>
                <w:color w:val="000000" w:themeColor="text1"/>
                <w:sz w:val="20"/>
                <w:szCs w:val="20"/>
              </w:rPr>
            </w:pPr>
            <w:r w:rsidRPr="00567B4A">
              <w:rPr>
                <w:b/>
                <w:bCs/>
                <w:sz w:val="20"/>
                <w:szCs w:val="20"/>
              </w:rPr>
              <w:t xml:space="preserve"> 32,849 </w:t>
            </w:r>
          </w:p>
        </w:tc>
        <w:tc>
          <w:tcPr>
            <w:tcW w:w="419" w:type="pct"/>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3A4A131B" w14:textId="504042AE" w:rsidR="00350B58" w:rsidRPr="00567B4A" w:rsidRDefault="00350B58" w:rsidP="005907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b/>
                <w:bCs/>
                <w:color w:val="000000" w:themeColor="text1"/>
                <w:sz w:val="20"/>
                <w:szCs w:val="20"/>
              </w:rPr>
            </w:pPr>
            <w:r w:rsidRPr="00567B4A">
              <w:rPr>
                <w:b/>
                <w:bCs/>
                <w:sz w:val="20"/>
                <w:szCs w:val="20"/>
              </w:rPr>
              <w:t xml:space="preserve"> 32,982 </w:t>
            </w:r>
          </w:p>
        </w:tc>
        <w:tc>
          <w:tcPr>
            <w:tcW w:w="419" w:type="pct"/>
            <w:tcBorders>
              <w:top w:val="single" w:sz="6" w:space="0" w:color="B3EFFD" w:themeColor="text2" w:themeTint="33"/>
              <w:left w:val="nil"/>
              <w:bottom w:val="single" w:sz="18" w:space="0" w:color="036479"/>
              <w:right w:val="nil"/>
            </w:tcBorders>
            <w:shd w:val="clear" w:color="auto" w:fill="FFFFFF" w:themeFill="background1"/>
            <w:tcMar>
              <w:left w:w="105" w:type="dxa"/>
              <w:right w:w="105" w:type="dxa"/>
            </w:tcMar>
            <w:vAlign w:val="center"/>
          </w:tcPr>
          <w:p w14:paraId="46CBD2A4" w14:textId="4C4AF98F" w:rsidR="00350B58" w:rsidRPr="00567B4A" w:rsidRDefault="00350B58" w:rsidP="005907F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b/>
                <w:bCs/>
                <w:color w:val="000000" w:themeColor="text1"/>
                <w:sz w:val="20"/>
                <w:szCs w:val="20"/>
              </w:rPr>
            </w:pPr>
            <w:r w:rsidRPr="00567B4A">
              <w:rPr>
                <w:b/>
                <w:bCs/>
                <w:sz w:val="20"/>
                <w:szCs w:val="20"/>
              </w:rPr>
              <w:t xml:space="preserve"> 32,982 </w:t>
            </w:r>
          </w:p>
        </w:tc>
      </w:tr>
    </w:tbl>
    <w:p w14:paraId="6E6A4936" w14:textId="7723CE29" w:rsidR="00D9716E" w:rsidRDefault="00D9716E" w:rsidP="00762D8D">
      <w:pPr>
        <w:pStyle w:val="TableFigureSourceorNote"/>
      </w:pPr>
      <w:r w:rsidRPr="00D9716E">
        <w:rPr>
          <w:rFonts w:asciiTheme="majorHAnsi" w:hAnsiTheme="majorHAnsi"/>
        </w:rPr>
        <w:t> </w:t>
      </w:r>
      <w:r w:rsidR="0094783A" w:rsidRPr="00D12853">
        <w:rPr>
          <w:color w:val="000000" w:themeColor="text1"/>
          <w:sz w:val="16"/>
        </w:rPr>
        <w:t xml:space="preserve">Source: </w:t>
      </w:r>
      <w:r w:rsidR="0094783A">
        <w:rPr>
          <w:color w:val="000000" w:themeColor="text1"/>
          <w:sz w:val="16"/>
        </w:rPr>
        <w:t xml:space="preserve">Evaluation </w:t>
      </w:r>
      <w:r w:rsidR="0094783A" w:rsidRPr="00D12853">
        <w:rPr>
          <w:color w:val="000000" w:themeColor="text1"/>
          <w:sz w:val="16"/>
        </w:rPr>
        <w:t>team analysis.</w:t>
      </w:r>
    </w:p>
    <w:p w14:paraId="4A55A304" w14:textId="77777777" w:rsidR="0010485A" w:rsidRPr="00D9716E" w:rsidRDefault="0010485A" w:rsidP="00D9716E">
      <w:pPr>
        <w:rPr>
          <w:rFonts w:asciiTheme="majorHAnsi" w:hAnsiTheme="majorHAnsi"/>
        </w:rPr>
      </w:pPr>
    </w:p>
    <w:p w14:paraId="79942918" w14:textId="1175A0C1" w:rsidR="00263413" w:rsidRDefault="00263413" w:rsidP="00F671C0">
      <w:pPr>
        <w:pStyle w:val="Caption"/>
      </w:pPr>
      <w:r w:rsidRPr="00D9716E">
        <w:lastRenderedPageBreak/>
        <w:t>Table B</w:t>
      </w:r>
      <w:r>
        <w:t>-3</w:t>
      </w:r>
      <w:r w:rsidRPr="00D9716E">
        <w:t xml:space="preserve">. Verified Cost Effectiveness Inputs – </w:t>
      </w:r>
      <w:r w:rsidR="0057772B">
        <w:t>PGL (Public Housing)</w:t>
      </w:r>
    </w:p>
    <w:tbl>
      <w:tblPr>
        <w:tblW w:w="5000" w:type="pct"/>
        <w:tblBorders>
          <w:top w:val="single" w:sz="6" w:space="0" w:color="auto"/>
          <w:left w:val="single" w:sz="6" w:space="0" w:color="auto"/>
          <w:bottom w:val="single" w:sz="6" w:space="0" w:color="auto"/>
          <w:right w:val="single" w:sz="6" w:space="0" w:color="auto"/>
        </w:tblBorders>
        <w:tblLook w:val="0420" w:firstRow="1" w:lastRow="0" w:firstColumn="0" w:lastColumn="0" w:noHBand="0" w:noVBand="1"/>
      </w:tblPr>
      <w:tblGrid>
        <w:gridCol w:w="1078"/>
        <w:gridCol w:w="1923"/>
        <w:gridCol w:w="1011"/>
        <w:gridCol w:w="762"/>
        <w:gridCol w:w="1060"/>
        <w:gridCol w:w="1078"/>
        <w:gridCol w:w="1309"/>
        <w:gridCol w:w="1358"/>
        <w:gridCol w:w="1128"/>
        <w:gridCol w:w="1128"/>
        <w:gridCol w:w="1125"/>
      </w:tblGrid>
      <w:tr w:rsidR="0010485A" w:rsidRPr="008D2BA3" w14:paraId="74AE4520" w14:textId="77777777" w:rsidTr="008D2BA3">
        <w:trPr>
          <w:trHeight w:val="285"/>
        </w:trPr>
        <w:tc>
          <w:tcPr>
            <w:tcW w:w="416"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65BF545D"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8D2BA3">
              <w:rPr>
                <w:rFonts w:eastAsia="Arial Narrow" w:cs="Arial Narrow"/>
                <w:color w:val="FFFFFF" w:themeColor="background1"/>
                <w:sz w:val="20"/>
                <w:szCs w:val="20"/>
              </w:rPr>
              <w:t>Program Path</w:t>
            </w:r>
          </w:p>
        </w:tc>
        <w:tc>
          <w:tcPr>
            <w:tcW w:w="742"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7814709D"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8D2BA3">
              <w:rPr>
                <w:rFonts w:eastAsia="Arial Narrow" w:cs="Arial Narrow"/>
                <w:color w:val="FFFFFF" w:themeColor="background1"/>
                <w:sz w:val="20"/>
                <w:szCs w:val="20"/>
              </w:rPr>
              <w:t>Savings Category</w:t>
            </w:r>
          </w:p>
        </w:tc>
        <w:tc>
          <w:tcPr>
            <w:tcW w:w="390"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43312867"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8D2BA3">
              <w:rPr>
                <w:rFonts w:eastAsia="Arial Narrow" w:cs="Arial Narrow"/>
                <w:color w:val="FFFFFF" w:themeColor="background1"/>
                <w:sz w:val="20"/>
                <w:szCs w:val="20"/>
              </w:rPr>
              <w:t>DAC Project*</w:t>
            </w:r>
          </w:p>
        </w:tc>
        <w:tc>
          <w:tcPr>
            <w:tcW w:w="294"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4FE7CA83"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8D2BA3">
              <w:rPr>
                <w:rFonts w:eastAsia="Arial Narrow" w:cs="Arial Narrow"/>
                <w:color w:val="FFFFFF" w:themeColor="background1"/>
                <w:sz w:val="20"/>
                <w:szCs w:val="20"/>
              </w:rPr>
              <w:t>Units</w:t>
            </w:r>
          </w:p>
        </w:tc>
        <w:tc>
          <w:tcPr>
            <w:tcW w:w="409"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0A50EE4B"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8D2BA3">
              <w:rPr>
                <w:rFonts w:eastAsia="Arial Narrow" w:cs="Arial Narrow"/>
                <w:color w:val="FFFFFF" w:themeColor="background1"/>
                <w:sz w:val="20"/>
                <w:szCs w:val="20"/>
              </w:rPr>
              <w:t>Quantity</w:t>
            </w:r>
          </w:p>
        </w:tc>
        <w:tc>
          <w:tcPr>
            <w:tcW w:w="416"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5DD25988"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8D2BA3">
              <w:rPr>
                <w:rFonts w:eastAsia="Arial Narrow" w:cs="Arial Narrow"/>
                <w:color w:val="FFFFFF" w:themeColor="background1"/>
                <w:sz w:val="20"/>
                <w:szCs w:val="20"/>
              </w:rPr>
              <w:t>Effective Useful Life</w:t>
            </w:r>
          </w:p>
        </w:tc>
        <w:tc>
          <w:tcPr>
            <w:tcW w:w="505"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69C1AFA3" w14:textId="77777777" w:rsidR="0010485A" w:rsidRPr="008D2BA3" w:rsidRDefault="0010485A"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8D2BA3">
              <w:rPr>
                <w:rFonts w:eastAsia="Arial Narrow" w:cs="Arial Narrow"/>
                <w:color w:val="FFFFFF" w:themeColor="background1"/>
                <w:sz w:val="20"/>
                <w:szCs w:val="20"/>
              </w:rPr>
              <w:t>Early Replacement Flag</w:t>
            </w:r>
          </w:p>
        </w:tc>
        <w:tc>
          <w:tcPr>
            <w:tcW w:w="524"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467BFC5F"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8D2BA3">
              <w:rPr>
                <w:rFonts w:eastAsia="Arial Narrow" w:cs="Arial Narrow"/>
                <w:color w:val="FFFFFF" w:themeColor="background1"/>
                <w:sz w:val="20"/>
                <w:szCs w:val="20"/>
              </w:rPr>
              <w:t>Verified Gross Annual Water Savings (Gallons)</w:t>
            </w:r>
          </w:p>
        </w:tc>
        <w:tc>
          <w:tcPr>
            <w:tcW w:w="435"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1D8DA187"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8D2BA3">
              <w:rPr>
                <w:rFonts w:eastAsia="Arial Narrow" w:cs="Arial Narrow"/>
                <w:color w:val="FFFFFF" w:themeColor="background1"/>
                <w:sz w:val="20"/>
                <w:szCs w:val="20"/>
              </w:rPr>
              <w:t>Ex Ante Gross Savings (Therms)</w:t>
            </w:r>
          </w:p>
        </w:tc>
        <w:tc>
          <w:tcPr>
            <w:tcW w:w="435"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5D7A89CA"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8D2BA3">
              <w:rPr>
                <w:rFonts w:eastAsia="Arial Narrow" w:cs="Arial Narrow"/>
                <w:color w:val="FFFFFF" w:themeColor="background1"/>
                <w:sz w:val="20"/>
                <w:szCs w:val="20"/>
              </w:rPr>
              <w:t>Verified Gross Savings (Therms)</w:t>
            </w:r>
          </w:p>
        </w:tc>
        <w:tc>
          <w:tcPr>
            <w:tcW w:w="435"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4104EABE"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8D2BA3">
              <w:rPr>
                <w:rFonts w:eastAsia="Arial Narrow" w:cs="Arial Narrow"/>
                <w:color w:val="FFFFFF" w:themeColor="background1"/>
                <w:sz w:val="20"/>
                <w:szCs w:val="20"/>
              </w:rPr>
              <w:t>Verified Net Savings (Therms)</w:t>
            </w:r>
          </w:p>
        </w:tc>
      </w:tr>
      <w:tr w:rsidR="0010485A" w:rsidRPr="008D2BA3" w14:paraId="6C29E83E" w14:textId="77777777" w:rsidTr="008D2BA3">
        <w:trPr>
          <w:trHeight w:val="285"/>
        </w:trPr>
        <w:tc>
          <w:tcPr>
            <w:tcW w:w="416"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537C7A5A" w14:textId="7B096FFA" w:rsidR="0010485A" w:rsidRPr="008D2BA3" w:rsidRDefault="0010485A" w:rsidP="00B36323">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8D2BA3">
              <w:rPr>
                <w:rFonts w:eastAsia="Arial Narrow" w:cs="Arial Narrow"/>
                <w:color w:val="000000" w:themeColor="text1"/>
                <w:sz w:val="20"/>
                <w:szCs w:val="20"/>
              </w:rPr>
              <w:t>Public Housing</w:t>
            </w:r>
          </w:p>
        </w:tc>
        <w:tc>
          <w:tcPr>
            <w:tcW w:w="742"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696EC155" w14:textId="1E5FC476" w:rsidR="0010485A" w:rsidRPr="008D2BA3" w:rsidRDefault="0010485A" w:rsidP="00EB7A6E">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8D2BA3">
              <w:rPr>
                <w:sz w:val="20"/>
                <w:szCs w:val="20"/>
              </w:rPr>
              <w:t xml:space="preserve">Covers and Gap Sealers for Room AC </w:t>
            </w:r>
          </w:p>
        </w:tc>
        <w:tc>
          <w:tcPr>
            <w:tcW w:w="390"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58FBD6A2" w14:textId="5B0099A3" w:rsidR="0010485A" w:rsidRPr="008D2BA3" w:rsidRDefault="0010485A" w:rsidP="00EB7A6E">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8D2BA3">
              <w:rPr>
                <w:sz w:val="20"/>
                <w:szCs w:val="20"/>
              </w:rPr>
              <w:t>TRUE</w:t>
            </w:r>
          </w:p>
        </w:tc>
        <w:tc>
          <w:tcPr>
            <w:tcW w:w="294"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5065EF40" w14:textId="4112F9F3" w:rsidR="0010485A" w:rsidRPr="008D2BA3" w:rsidRDefault="0010485A" w:rsidP="00EB7A6E">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8D2BA3">
              <w:rPr>
                <w:sz w:val="20"/>
                <w:szCs w:val="20"/>
              </w:rPr>
              <w:t>Each</w:t>
            </w:r>
          </w:p>
        </w:tc>
        <w:tc>
          <w:tcPr>
            <w:tcW w:w="409"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71984164" w14:textId="100BC329" w:rsidR="0010485A" w:rsidRPr="008D2BA3" w:rsidRDefault="0010485A" w:rsidP="00EB7A6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8D2BA3">
              <w:rPr>
                <w:sz w:val="20"/>
                <w:szCs w:val="20"/>
              </w:rPr>
              <w:t xml:space="preserve"> 1,514 </w:t>
            </w:r>
          </w:p>
        </w:tc>
        <w:tc>
          <w:tcPr>
            <w:tcW w:w="416"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79117CAE" w14:textId="2E4AB43E" w:rsidR="0010485A" w:rsidRPr="008D2BA3" w:rsidRDefault="0010485A" w:rsidP="00EB7A6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8D2BA3">
              <w:rPr>
                <w:sz w:val="20"/>
                <w:szCs w:val="20"/>
              </w:rPr>
              <w:t xml:space="preserve"> 5.0 </w:t>
            </w:r>
          </w:p>
        </w:tc>
        <w:tc>
          <w:tcPr>
            <w:tcW w:w="505"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2EE91A05" w14:textId="02F178C8" w:rsidR="0010485A" w:rsidRPr="008D2BA3" w:rsidRDefault="0010485A"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8D2BA3">
              <w:rPr>
                <w:sz w:val="20"/>
                <w:szCs w:val="20"/>
              </w:rPr>
              <w:t>NO</w:t>
            </w:r>
          </w:p>
        </w:tc>
        <w:tc>
          <w:tcPr>
            <w:tcW w:w="524"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3F980091" w14:textId="04B3445C" w:rsidR="0010485A" w:rsidRPr="008D2BA3" w:rsidRDefault="0010485A" w:rsidP="00EB7A6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8D2BA3">
              <w:rPr>
                <w:sz w:val="20"/>
                <w:szCs w:val="20"/>
              </w:rPr>
              <w:t xml:space="preserve"> -   </w:t>
            </w:r>
          </w:p>
        </w:tc>
        <w:tc>
          <w:tcPr>
            <w:tcW w:w="435"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455A90D8" w14:textId="6C523DA3" w:rsidR="0010485A" w:rsidRPr="008D2BA3" w:rsidRDefault="0010485A" w:rsidP="00EB7A6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8D2BA3">
              <w:rPr>
                <w:sz w:val="20"/>
                <w:szCs w:val="20"/>
              </w:rPr>
              <w:t xml:space="preserve"> 9,173 </w:t>
            </w:r>
          </w:p>
        </w:tc>
        <w:tc>
          <w:tcPr>
            <w:tcW w:w="435"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3E7383F6" w14:textId="2A137A3D" w:rsidR="0010485A" w:rsidRPr="008D2BA3" w:rsidRDefault="0010485A" w:rsidP="00EB7A6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8D2BA3">
              <w:rPr>
                <w:sz w:val="20"/>
                <w:szCs w:val="20"/>
              </w:rPr>
              <w:t xml:space="preserve"> 9,173 </w:t>
            </w:r>
          </w:p>
        </w:tc>
        <w:tc>
          <w:tcPr>
            <w:tcW w:w="435"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709A57DF" w14:textId="48452D3B" w:rsidR="0010485A" w:rsidRPr="008D2BA3" w:rsidRDefault="0010485A" w:rsidP="00EB7A6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8D2BA3">
              <w:rPr>
                <w:sz w:val="20"/>
                <w:szCs w:val="20"/>
              </w:rPr>
              <w:t xml:space="preserve"> 9,173 </w:t>
            </w:r>
          </w:p>
        </w:tc>
      </w:tr>
    </w:tbl>
    <w:p w14:paraId="41BF35DC" w14:textId="77777777" w:rsidR="0057772B" w:rsidRDefault="0057772B" w:rsidP="00762D8D">
      <w:pPr>
        <w:pStyle w:val="TableFigureSourceorNote"/>
        <w:rPr>
          <w:color w:val="000000" w:themeColor="text1"/>
          <w:sz w:val="16"/>
        </w:rPr>
      </w:pPr>
      <w:r w:rsidRPr="00D9716E">
        <w:rPr>
          <w:rFonts w:asciiTheme="majorHAnsi" w:hAnsiTheme="majorHAnsi"/>
        </w:rPr>
        <w:t> </w:t>
      </w:r>
      <w:r w:rsidRPr="00D12853">
        <w:rPr>
          <w:color w:val="000000" w:themeColor="text1"/>
          <w:sz w:val="16"/>
        </w:rPr>
        <w:t xml:space="preserve">Source: </w:t>
      </w:r>
      <w:r>
        <w:rPr>
          <w:color w:val="000000" w:themeColor="text1"/>
          <w:sz w:val="16"/>
        </w:rPr>
        <w:t xml:space="preserve">Evaluation </w:t>
      </w:r>
      <w:r w:rsidRPr="00D12853">
        <w:rPr>
          <w:color w:val="000000" w:themeColor="text1"/>
          <w:sz w:val="16"/>
        </w:rPr>
        <w:t>team analysis.</w:t>
      </w:r>
    </w:p>
    <w:p w14:paraId="2F89103A" w14:textId="77777777" w:rsidR="008D080C" w:rsidRPr="00D9716E" w:rsidRDefault="008D080C" w:rsidP="00762D8D">
      <w:pPr>
        <w:pStyle w:val="TableFigureSourceorNote"/>
        <w:rPr>
          <w:rFonts w:asciiTheme="majorHAnsi" w:hAnsiTheme="majorHAnsi"/>
        </w:rPr>
      </w:pPr>
    </w:p>
    <w:p w14:paraId="3FDEA1BE" w14:textId="662BF96C" w:rsidR="0057772B" w:rsidRDefault="0057772B" w:rsidP="00F671C0">
      <w:pPr>
        <w:pStyle w:val="Caption"/>
      </w:pPr>
      <w:r w:rsidRPr="00D9716E">
        <w:t>Table B</w:t>
      </w:r>
      <w:r>
        <w:t>-4</w:t>
      </w:r>
      <w:r w:rsidRPr="00D9716E">
        <w:t xml:space="preserve">. Verified Cost Effectiveness Inputs – </w:t>
      </w:r>
      <w:r>
        <w:t>NSG (Public Housing)</w:t>
      </w:r>
    </w:p>
    <w:tbl>
      <w:tblPr>
        <w:tblW w:w="5000" w:type="pct"/>
        <w:tblBorders>
          <w:top w:val="single" w:sz="6" w:space="0" w:color="auto"/>
          <w:left w:val="single" w:sz="6" w:space="0" w:color="auto"/>
          <w:bottom w:val="single" w:sz="6" w:space="0" w:color="auto"/>
          <w:right w:val="single" w:sz="6" w:space="0" w:color="auto"/>
        </w:tblBorders>
        <w:tblLook w:val="0420" w:firstRow="1" w:lastRow="0" w:firstColumn="0" w:lastColumn="0" w:noHBand="0" w:noVBand="1"/>
      </w:tblPr>
      <w:tblGrid>
        <w:gridCol w:w="1078"/>
        <w:gridCol w:w="1923"/>
        <w:gridCol w:w="1011"/>
        <w:gridCol w:w="762"/>
        <w:gridCol w:w="1060"/>
        <w:gridCol w:w="1078"/>
        <w:gridCol w:w="1542"/>
        <w:gridCol w:w="1128"/>
        <w:gridCol w:w="1128"/>
        <w:gridCol w:w="1128"/>
        <w:gridCol w:w="1122"/>
      </w:tblGrid>
      <w:tr w:rsidR="0010485A" w:rsidRPr="008D2BA3" w14:paraId="05E96D5C" w14:textId="77777777" w:rsidTr="008D2BA3">
        <w:trPr>
          <w:trHeight w:val="285"/>
        </w:trPr>
        <w:tc>
          <w:tcPr>
            <w:tcW w:w="416"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3F1E296C"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8D2BA3">
              <w:rPr>
                <w:rFonts w:eastAsia="Arial Narrow" w:cs="Arial Narrow"/>
                <w:color w:val="FFFFFF" w:themeColor="background1"/>
                <w:sz w:val="20"/>
                <w:szCs w:val="20"/>
              </w:rPr>
              <w:t>Program Path</w:t>
            </w:r>
          </w:p>
        </w:tc>
        <w:tc>
          <w:tcPr>
            <w:tcW w:w="742"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0327F259"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8D2BA3">
              <w:rPr>
                <w:rFonts w:eastAsia="Arial Narrow" w:cs="Arial Narrow"/>
                <w:color w:val="FFFFFF" w:themeColor="background1"/>
                <w:sz w:val="20"/>
                <w:szCs w:val="20"/>
              </w:rPr>
              <w:t>Savings Category</w:t>
            </w:r>
          </w:p>
        </w:tc>
        <w:tc>
          <w:tcPr>
            <w:tcW w:w="390"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2E88F934"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8D2BA3">
              <w:rPr>
                <w:rFonts w:eastAsia="Arial Narrow" w:cs="Arial Narrow"/>
                <w:color w:val="FFFFFF" w:themeColor="background1"/>
                <w:sz w:val="20"/>
                <w:szCs w:val="20"/>
              </w:rPr>
              <w:t>DAC Project*</w:t>
            </w:r>
          </w:p>
        </w:tc>
        <w:tc>
          <w:tcPr>
            <w:tcW w:w="294"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57CD1490"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8D2BA3">
              <w:rPr>
                <w:rFonts w:eastAsia="Arial Narrow" w:cs="Arial Narrow"/>
                <w:color w:val="FFFFFF" w:themeColor="background1"/>
                <w:sz w:val="20"/>
                <w:szCs w:val="20"/>
              </w:rPr>
              <w:t>Units</w:t>
            </w:r>
          </w:p>
        </w:tc>
        <w:tc>
          <w:tcPr>
            <w:tcW w:w="409"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719AAC87"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8D2BA3">
              <w:rPr>
                <w:rFonts w:eastAsia="Arial Narrow" w:cs="Arial Narrow"/>
                <w:color w:val="FFFFFF" w:themeColor="background1"/>
                <w:sz w:val="20"/>
                <w:szCs w:val="20"/>
              </w:rPr>
              <w:t>Quantity</w:t>
            </w:r>
          </w:p>
        </w:tc>
        <w:tc>
          <w:tcPr>
            <w:tcW w:w="416"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55D9BD8A"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8D2BA3">
              <w:rPr>
                <w:rFonts w:eastAsia="Arial Narrow" w:cs="Arial Narrow"/>
                <w:color w:val="FFFFFF" w:themeColor="background1"/>
                <w:sz w:val="20"/>
                <w:szCs w:val="20"/>
              </w:rPr>
              <w:t>Effective Useful Life</w:t>
            </w:r>
          </w:p>
        </w:tc>
        <w:tc>
          <w:tcPr>
            <w:tcW w:w="595"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1D4932C6" w14:textId="77777777" w:rsidR="0010485A" w:rsidRPr="008D2BA3" w:rsidRDefault="0010485A"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FFFFFF" w:themeColor="background1"/>
                <w:sz w:val="20"/>
                <w:szCs w:val="20"/>
              </w:rPr>
            </w:pPr>
            <w:r w:rsidRPr="008D2BA3">
              <w:rPr>
                <w:rFonts w:eastAsia="Arial Narrow" w:cs="Arial Narrow"/>
                <w:color w:val="FFFFFF" w:themeColor="background1"/>
                <w:sz w:val="20"/>
                <w:szCs w:val="20"/>
              </w:rPr>
              <w:t>Early Replacement Flag</w:t>
            </w:r>
          </w:p>
        </w:tc>
        <w:tc>
          <w:tcPr>
            <w:tcW w:w="435"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1C2D8F07"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8D2BA3">
              <w:rPr>
                <w:rFonts w:eastAsia="Arial Narrow" w:cs="Arial Narrow"/>
                <w:color w:val="FFFFFF" w:themeColor="background1"/>
                <w:sz w:val="20"/>
                <w:szCs w:val="20"/>
              </w:rPr>
              <w:t>Verified Gross Annual Water Savings (Gallons)</w:t>
            </w:r>
          </w:p>
        </w:tc>
        <w:tc>
          <w:tcPr>
            <w:tcW w:w="435"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1AD4C2C2"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8D2BA3">
              <w:rPr>
                <w:rFonts w:eastAsia="Arial Narrow" w:cs="Arial Narrow"/>
                <w:color w:val="FFFFFF" w:themeColor="background1"/>
                <w:sz w:val="20"/>
                <w:szCs w:val="20"/>
              </w:rPr>
              <w:t>Ex Ante Gross Savings (Therms)</w:t>
            </w:r>
          </w:p>
        </w:tc>
        <w:tc>
          <w:tcPr>
            <w:tcW w:w="435"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6F403D54"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8D2BA3">
              <w:rPr>
                <w:rFonts w:eastAsia="Arial Narrow" w:cs="Arial Narrow"/>
                <w:color w:val="FFFFFF" w:themeColor="background1"/>
                <w:sz w:val="20"/>
                <w:szCs w:val="20"/>
              </w:rPr>
              <w:t>Verified Gross Savings (Therms)</w:t>
            </w:r>
          </w:p>
        </w:tc>
        <w:tc>
          <w:tcPr>
            <w:tcW w:w="435" w:type="pct"/>
            <w:tcBorders>
              <w:top w:val="single" w:sz="6" w:space="0" w:color="036479"/>
              <w:left w:val="nil"/>
              <w:bottom w:val="single" w:sz="18" w:space="0" w:color="93D500" w:themeColor="accent1"/>
              <w:right w:val="nil"/>
            </w:tcBorders>
            <w:shd w:val="clear" w:color="auto" w:fill="036479"/>
            <w:tcMar>
              <w:left w:w="105" w:type="dxa"/>
              <w:right w:w="105" w:type="dxa"/>
            </w:tcMar>
            <w:vAlign w:val="center"/>
          </w:tcPr>
          <w:p w14:paraId="0E7DA9D8" w14:textId="77777777" w:rsidR="0010485A" w:rsidRPr="008D2BA3" w:rsidRDefault="0010485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FFFFFF" w:themeColor="background1"/>
                <w:sz w:val="20"/>
                <w:szCs w:val="20"/>
              </w:rPr>
            </w:pPr>
            <w:r w:rsidRPr="008D2BA3">
              <w:rPr>
                <w:rFonts w:eastAsia="Arial Narrow" w:cs="Arial Narrow"/>
                <w:color w:val="FFFFFF" w:themeColor="background1"/>
                <w:sz w:val="20"/>
                <w:szCs w:val="20"/>
              </w:rPr>
              <w:t>Verified Net Savings (Therms)</w:t>
            </w:r>
          </w:p>
        </w:tc>
      </w:tr>
      <w:tr w:rsidR="0010485A" w:rsidRPr="008D2BA3" w14:paraId="285BC9B2" w14:textId="77777777" w:rsidTr="008D2BA3">
        <w:trPr>
          <w:trHeight w:val="285"/>
        </w:trPr>
        <w:tc>
          <w:tcPr>
            <w:tcW w:w="416"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2C4CA8E1" w14:textId="295E8815" w:rsidR="0010485A" w:rsidRPr="008D2BA3" w:rsidRDefault="0010485A" w:rsidP="00E47E5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8D2BA3">
              <w:rPr>
                <w:rFonts w:eastAsia="Arial Narrow" w:cs="Arial Narrow"/>
                <w:color w:val="000000" w:themeColor="text1"/>
                <w:sz w:val="20"/>
                <w:szCs w:val="20"/>
              </w:rPr>
              <w:t>Public Housing</w:t>
            </w:r>
          </w:p>
        </w:tc>
        <w:tc>
          <w:tcPr>
            <w:tcW w:w="742"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13F78460" w14:textId="1C4B1D0F" w:rsidR="0010485A" w:rsidRPr="008D2BA3" w:rsidRDefault="0010485A" w:rsidP="00E47E5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8D2BA3">
              <w:rPr>
                <w:sz w:val="20"/>
                <w:szCs w:val="20"/>
              </w:rPr>
              <w:t>Boiler Tune Up</w:t>
            </w:r>
          </w:p>
        </w:tc>
        <w:tc>
          <w:tcPr>
            <w:tcW w:w="390"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199E190A" w14:textId="08A677CF" w:rsidR="0010485A" w:rsidRPr="008D2BA3" w:rsidRDefault="0010485A" w:rsidP="00E47E5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8D2BA3">
              <w:rPr>
                <w:sz w:val="20"/>
                <w:szCs w:val="20"/>
              </w:rPr>
              <w:t>FALSE</w:t>
            </w:r>
          </w:p>
        </w:tc>
        <w:tc>
          <w:tcPr>
            <w:tcW w:w="294"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61335705" w14:textId="754EEBE1" w:rsidR="0010485A" w:rsidRPr="008D2BA3" w:rsidRDefault="0010485A" w:rsidP="00E47E5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8D2BA3">
              <w:rPr>
                <w:sz w:val="20"/>
                <w:szCs w:val="20"/>
              </w:rPr>
              <w:t>Unit</w:t>
            </w:r>
          </w:p>
        </w:tc>
        <w:tc>
          <w:tcPr>
            <w:tcW w:w="409"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099E321D" w14:textId="6FBC12F8" w:rsidR="0010485A" w:rsidRPr="008D2BA3" w:rsidRDefault="0010485A" w:rsidP="00E47E5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8D2BA3">
              <w:rPr>
                <w:sz w:val="20"/>
                <w:szCs w:val="20"/>
              </w:rPr>
              <w:t xml:space="preserve"> 6 </w:t>
            </w:r>
          </w:p>
        </w:tc>
        <w:tc>
          <w:tcPr>
            <w:tcW w:w="416"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14F5271A" w14:textId="1D30943B" w:rsidR="0010485A" w:rsidRPr="008D2BA3" w:rsidRDefault="0010485A" w:rsidP="00E47E5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8D2BA3">
              <w:rPr>
                <w:sz w:val="20"/>
                <w:szCs w:val="20"/>
              </w:rPr>
              <w:t xml:space="preserve"> 3.0 </w:t>
            </w:r>
          </w:p>
        </w:tc>
        <w:tc>
          <w:tcPr>
            <w:tcW w:w="595"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1BE9DC80" w14:textId="6BB350B5" w:rsidR="0010485A" w:rsidRPr="008D2BA3" w:rsidRDefault="0010485A" w:rsidP="005F4135">
            <w:pPr>
              <w:pBdr>
                <w:top w:val="none" w:sz="0" w:space="0" w:color="000000"/>
                <w:left w:val="none" w:sz="0" w:space="0" w:color="000000"/>
                <w:bottom w:val="none" w:sz="0" w:space="0" w:color="000000"/>
                <w:right w:val="none" w:sz="0" w:space="0" w:color="000000"/>
              </w:pBdr>
              <w:spacing w:before="3" w:after="3" w:line="240" w:lineRule="auto"/>
              <w:ind w:left="3" w:right="3"/>
              <w:rPr>
                <w:rFonts w:eastAsia="Arial Narrow" w:cs="Arial Narrow"/>
                <w:color w:val="000000" w:themeColor="text1"/>
                <w:sz w:val="20"/>
                <w:szCs w:val="20"/>
              </w:rPr>
            </w:pPr>
            <w:r w:rsidRPr="008D2BA3">
              <w:rPr>
                <w:sz w:val="20"/>
                <w:szCs w:val="20"/>
              </w:rPr>
              <w:t>NO</w:t>
            </w:r>
          </w:p>
        </w:tc>
        <w:tc>
          <w:tcPr>
            <w:tcW w:w="435"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75BCDBFC" w14:textId="592C0F36" w:rsidR="0010485A" w:rsidRPr="008D2BA3" w:rsidRDefault="0010485A" w:rsidP="00E47E5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8D2BA3">
              <w:rPr>
                <w:sz w:val="20"/>
                <w:szCs w:val="20"/>
              </w:rPr>
              <w:t xml:space="preserve"> -   </w:t>
            </w:r>
          </w:p>
        </w:tc>
        <w:tc>
          <w:tcPr>
            <w:tcW w:w="435"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6950494E" w14:textId="0A507458" w:rsidR="0010485A" w:rsidRPr="008D2BA3" w:rsidRDefault="0010485A" w:rsidP="00E47E5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8D2BA3">
              <w:rPr>
                <w:sz w:val="20"/>
                <w:szCs w:val="20"/>
              </w:rPr>
              <w:t xml:space="preserve"> 1,117 </w:t>
            </w:r>
          </w:p>
        </w:tc>
        <w:tc>
          <w:tcPr>
            <w:tcW w:w="435"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481931CB" w14:textId="4B8C12C2" w:rsidR="0010485A" w:rsidRPr="008D2BA3" w:rsidRDefault="0010485A" w:rsidP="00E47E5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8D2BA3">
              <w:rPr>
                <w:sz w:val="20"/>
                <w:szCs w:val="20"/>
              </w:rPr>
              <w:t xml:space="preserve"> 1,117 </w:t>
            </w:r>
          </w:p>
        </w:tc>
        <w:tc>
          <w:tcPr>
            <w:tcW w:w="435" w:type="pct"/>
            <w:tcBorders>
              <w:top w:val="single" w:sz="18" w:space="0" w:color="93D500" w:themeColor="accent1"/>
              <w:left w:val="nil"/>
              <w:bottom w:val="single" w:sz="18" w:space="0" w:color="036479"/>
              <w:right w:val="nil"/>
            </w:tcBorders>
            <w:shd w:val="clear" w:color="auto" w:fill="FFFFFF" w:themeFill="background1"/>
            <w:tcMar>
              <w:left w:w="105" w:type="dxa"/>
              <w:right w:w="105" w:type="dxa"/>
            </w:tcMar>
            <w:vAlign w:val="center"/>
          </w:tcPr>
          <w:p w14:paraId="09980746" w14:textId="57B87E8E" w:rsidR="0010485A" w:rsidRPr="008D2BA3" w:rsidRDefault="0010485A" w:rsidP="00E47E5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Arial Narrow" w:cs="Arial Narrow"/>
                <w:color w:val="000000" w:themeColor="text1"/>
                <w:sz w:val="20"/>
                <w:szCs w:val="20"/>
              </w:rPr>
            </w:pPr>
            <w:r w:rsidRPr="008D2BA3">
              <w:rPr>
                <w:sz w:val="20"/>
                <w:szCs w:val="20"/>
              </w:rPr>
              <w:t xml:space="preserve"> 1,117 </w:t>
            </w:r>
          </w:p>
        </w:tc>
      </w:tr>
    </w:tbl>
    <w:p w14:paraId="066A7307" w14:textId="6161173C" w:rsidR="002E0934" w:rsidRDefault="0057772B" w:rsidP="00762D8D">
      <w:pPr>
        <w:pStyle w:val="TableFigureSourceorNote"/>
      </w:pPr>
      <w:r w:rsidRPr="00D9716E">
        <w:rPr>
          <w:rFonts w:asciiTheme="majorHAnsi" w:hAnsiTheme="majorHAnsi"/>
        </w:rPr>
        <w:t> </w:t>
      </w:r>
      <w:r w:rsidRPr="00D12853">
        <w:rPr>
          <w:color w:val="000000" w:themeColor="text1"/>
          <w:sz w:val="16"/>
        </w:rPr>
        <w:t xml:space="preserve">Source: </w:t>
      </w:r>
      <w:r>
        <w:rPr>
          <w:color w:val="000000" w:themeColor="text1"/>
          <w:sz w:val="16"/>
        </w:rPr>
        <w:t xml:space="preserve">Evaluation </w:t>
      </w:r>
      <w:r w:rsidRPr="00D12853">
        <w:rPr>
          <w:color w:val="000000" w:themeColor="text1"/>
          <w:sz w:val="16"/>
        </w:rPr>
        <w:t>team analysis.</w:t>
      </w:r>
    </w:p>
    <w:p w14:paraId="63C93B59" w14:textId="77777777" w:rsidR="002B7AA0" w:rsidRPr="002B7AA0" w:rsidRDefault="002B7AA0" w:rsidP="002B7AA0">
      <w:pPr>
        <w:rPr>
          <w:rFonts w:asciiTheme="majorHAnsi" w:hAnsiTheme="majorHAnsi"/>
        </w:rPr>
      </w:pPr>
    </w:p>
    <w:p w14:paraId="47927225" w14:textId="77777777" w:rsidR="002B7AA0" w:rsidRPr="002B7AA0" w:rsidRDefault="002B7AA0" w:rsidP="002B7AA0">
      <w:pPr>
        <w:rPr>
          <w:rFonts w:asciiTheme="majorHAnsi" w:hAnsiTheme="majorHAnsi"/>
        </w:rPr>
      </w:pPr>
    </w:p>
    <w:p w14:paraId="09B8F108" w14:textId="77777777" w:rsidR="002B7AA0" w:rsidRPr="002B7AA0" w:rsidRDefault="002B7AA0" w:rsidP="002B7AA0">
      <w:pPr>
        <w:rPr>
          <w:rFonts w:asciiTheme="majorHAnsi" w:hAnsiTheme="majorHAnsi"/>
        </w:rPr>
      </w:pPr>
    </w:p>
    <w:p w14:paraId="795D348E" w14:textId="77777777" w:rsidR="002B7AA0" w:rsidRPr="002B7AA0" w:rsidRDefault="002B7AA0" w:rsidP="002B7AA0">
      <w:pPr>
        <w:rPr>
          <w:rFonts w:asciiTheme="majorHAnsi" w:hAnsiTheme="majorHAnsi"/>
        </w:rPr>
      </w:pPr>
    </w:p>
    <w:p w14:paraId="73D74966" w14:textId="77777777" w:rsidR="002B7AA0" w:rsidRPr="002B7AA0" w:rsidRDefault="002B7AA0" w:rsidP="002B7AA0">
      <w:pPr>
        <w:rPr>
          <w:rFonts w:asciiTheme="majorHAnsi" w:hAnsiTheme="majorHAnsi"/>
        </w:rPr>
      </w:pPr>
    </w:p>
    <w:p w14:paraId="017FBE8E" w14:textId="77777777" w:rsidR="002B7AA0" w:rsidRPr="002B7AA0" w:rsidRDefault="002B7AA0" w:rsidP="002B7AA0">
      <w:pPr>
        <w:rPr>
          <w:rFonts w:asciiTheme="majorHAnsi" w:hAnsiTheme="majorHAnsi"/>
        </w:rPr>
      </w:pPr>
    </w:p>
    <w:p w14:paraId="3FD13945" w14:textId="77777777" w:rsidR="002B7AA0" w:rsidRDefault="002B7AA0" w:rsidP="002B7AA0">
      <w:pPr>
        <w:rPr>
          <w:i/>
          <w:color w:val="000000" w:themeColor="text1"/>
          <w:sz w:val="16"/>
        </w:rPr>
      </w:pPr>
    </w:p>
    <w:p w14:paraId="7E996585" w14:textId="5DD88A63" w:rsidR="002B7AA0" w:rsidRPr="002B7AA0" w:rsidRDefault="002B7AA0" w:rsidP="002B7AA0">
      <w:pPr>
        <w:tabs>
          <w:tab w:val="left" w:pos="7513"/>
        </w:tabs>
        <w:rPr>
          <w:rFonts w:asciiTheme="majorHAnsi" w:hAnsiTheme="majorHAnsi"/>
        </w:rPr>
      </w:pPr>
      <w:r>
        <w:rPr>
          <w:rFonts w:asciiTheme="majorHAnsi" w:hAnsiTheme="majorHAnsi"/>
        </w:rPr>
        <w:tab/>
      </w:r>
    </w:p>
    <w:sectPr w:rsidR="002B7AA0" w:rsidRPr="002B7AA0" w:rsidSect="00665909">
      <w:headerReference w:type="default" r:id="rId35"/>
      <w:footerReference w:type="default" r:id="rId3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074D3" w14:textId="77777777" w:rsidR="00CE0007" w:rsidRDefault="00CE0007" w:rsidP="00BA291E">
      <w:pPr>
        <w:spacing w:after="0" w:line="240" w:lineRule="auto"/>
      </w:pPr>
      <w:r>
        <w:separator/>
      </w:r>
    </w:p>
  </w:endnote>
  <w:endnote w:type="continuationSeparator" w:id="0">
    <w:p w14:paraId="08680640" w14:textId="77777777" w:rsidR="00CE0007" w:rsidRDefault="00CE0007" w:rsidP="00BA291E">
      <w:pPr>
        <w:spacing w:after="0" w:line="240" w:lineRule="auto"/>
      </w:pPr>
      <w:r>
        <w:continuationSeparator/>
      </w:r>
    </w:p>
  </w:endnote>
  <w:endnote w:type="continuationNotice" w:id="1">
    <w:p w14:paraId="1EFCA467" w14:textId="77777777" w:rsidR="00CE0007" w:rsidRDefault="00CE0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E87E4D" w:rsidRPr="00582062" w14:paraId="40B083D6" w14:textId="77777777">
      <w:trPr>
        <w:trHeight w:val="144"/>
        <w:jc w:val="center"/>
      </w:trPr>
      <w:tc>
        <w:tcPr>
          <w:tcW w:w="6681" w:type="dxa"/>
          <w:tcBorders>
            <w:top w:val="single" w:sz="8" w:space="0" w:color="8C8C8C"/>
            <w:left w:val="nil"/>
            <w:bottom w:val="nil"/>
          </w:tcBorders>
        </w:tcPr>
        <w:p w14:paraId="6EE6848C" w14:textId="77777777" w:rsidR="00E87E4D" w:rsidRPr="00582062" w:rsidRDefault="00E87E4D" w:rsidP="00E87E4D">
          <w:pPr>
            <w:pStyle w:val="Footer"/>
            <w:spacing w:before="120"/>
            <w:rPr>
              <w:sz w:val="2"/>
              <w:szCs w:val="2"/>
            </w:rPr>
          </w:pPr>
        </w:p>
      </w:tc>
      <w:tc>
        <w:tcPr>
          <w:tcW w:w="2679" w:type="dxa"/>
          <w:tcBorders>
            <w:top w:val="single" w:sz="8" w:space="0" w:color="8C8C8C"/>
          </w:tcBorders>
        </w:tcPr>
        <w:p w14:paraId="1C77F2F6" w14:textId="77777777" w:rsidR="00E87E4D" w:rsidRPr="00582062" w:rsidRDefault="00E87E4D" w:rsidP="00E87E4D">
          <w:pPr>
            <w:pStyle w:val="Footer"/>
            <w:spacing w:before="120"/>
            <w:jc w:val="right"/>
            <w:rPr>
              <w:sz w:val="2"/>
              <w:szCs w:val="2"/>
            </w:rPr>
          </w:pPr>
        </w:p>
      </w:tc>
    </w:tr>
    <w:tr w:rsidR="00E87E4D" w:rsidRPr="00EA2FA5" w14:paraId="6565FA26" w14:textId="77777777">
      <w:trPr>
        <w:trHeight w:val="195"/>
        <w:jc w:val="center"/>
      </w:trPr>
      <w:tc>
        <w:tcPr>
          <w:tcW w:w="6681" w:type="dxa"/>
          <w:tcBorders>
            <w:top w:val="nil"/>
            <w:left w:val="nil"/>
            <w:bottom w:val="nil"/>
          </w:tcBorders>
          <w:vAlign w:val="center"/>
        </w:tcPr>
        <w:p w14:paraId="4EBE729F" w14:textId="77777777" w:rsidR="00E87E4D" w:rsidRPr="0075421C" w:rsidRDefault="00E87E4D" w:rsidP="00E87E4D">
          <w:pPr>
            <w:pStyle w:val="Footer"/>
            <w:rPr>
              <w:i/>
              <w:iCs/>
              <w:sz w:val="18"/>
            </w:rPr>
          </w:pPr>
          <w:r w:rsidRPr="00322EE7">
            <w:rPr>
              <w:i/>
              <w:iCs/>
              <w:sz w:val="18"/>
            </w:rPr>
            <w:t>© 202</w:t>
          </w:r>
          <w:r>
            <w:rPr>
              <w:i/>
              <w:iCs/>
              <w:sz w:val="18"/>
            </w:rPr>
            <w:t>5</w:t>
          </w:r>
          <w:r w:rsidRPr="00322EE7">
            <w:rPr>
              <w:i/>
              <w:iCs/>
              <w:sz w:val="18"/>
            </w:rPr>
            <w:t xml:space="preserve"> Guidehouse Inc. All rights reserved.</w:t>
          </w:r>
        </w:p>
      </w:tc>
      <w:tc>
        <w:tcPr>
          <w:tcW w:w="2679" w:type="dxa"/>
          <w:vAlign w:val="center"/>
        </w:tcPr>
        <w:p w14:paraId="7B401B58" w14:textId="77777777" w:rsidR="00E87E4D" w:rsidRPr="0075421C" w:rsidRDefault="00E87E4D" w:rsidP="00E87E4D">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E87E4D" w:rsidRPr="00274E02" w:rsidRDefault="00E87E4D" w:rsidP="00E87E4D">
    <w:pPr>
      <w:pStyle w:val="Footer"/>
      <w:rPr>
        <w:sz w:val="16"/>
        <w:szCs w:val="16"/>
      </w:rPr>
    </w:pPr>
  </w:p>
  <w:p w14:paraId="0D225050" w14:textId="08C2F07D" w:rsidR="006715B5" w:rsidRPr="00E87E4D" w:rsidRDefault="006715B5" w:rsidP="00E8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A4472C" w:rsidRPr="00FB30FD" w:rsidRDefault="00FE1C61" w:rsidP="00FB30FD">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E87E4D" w:rsidRPr="00582062" w14:paraId="43C36F29" w14:textId="77777777" w:rsidTr="00E37CD5">
      <w:trPr>
        <w:trHeight w:val="144"/>
        <w:jc w:val="center"/>
      </w:trPr>
      <w:tc>
        <w:tcPr>
          <w:tcW w:w="6681" w:type="dxa"/>
          <w:tcBorders>
            <w:top w:val="single" w:sz="8" w:space="0" w:color="8C8C8C"/>
            <w:left w:val="nil"/>
            <w:bottom w:val="nil"/>
          </w:tcBorders>
        </w:tcPr>
        <w:p w14:paraId="4598748E" w14:textId="77777777" w:rsidR="00E87E4D" w:rsidRPr="00582062" w:rsidRDefault="00E87E4D" w:rsidP="00E37CD5">
          <w:pPr>
            <w:pStyle w:val="Footer"/>
            <w:spacing w:before="120"/>
            <w:rPr>
              <w:sz w:val="2"/>
              <w:szCs w:val="2"/>
            </w:rPr>
          </w:pPr>
        </w:p>
      </w:tc>
      <w:tc>
        <w:tcPr>
          <w:tcW w:w="2679" w:type="dxa"/>
          <w:tcBorders>
            <w:top w:val="single" w:sz="8" w:space="0" w:color="8C8C8C"/>
          </w:tcBorders>
        </w:tcPr>
        <w:p w14:paraId="04BC382B" w14:textId="77777777" w:rsidR="00E87E4D" w:rsidRPr="00582062" w:rsidRDefault="00E87E4D" w:rsidP="00E37CD5">
          <w:pPr>
            <w:pStyle w:val="Footer"/>
            <w:spacing w:before="120"/>
            <w:jc w:val="right"/>
            <w:rPr>
              <w:sz w:val="2"/>
              <w:szCs w:val="2"/>
            </w:rPr>
          </w:pPr>
        </w:p>
      </w:tc>
    </w:tr>
    <w:tr w:rsidR="00E87E4D" w:rsidRPr="00EA2FA5" w14:paraId="44E2EF60" w14:textId="77777777" w:rsidTr="00E37CD5">
      <w:trPr>
        <w:trHeight w:val="195"/>
        <w:jc w:val="center"/>
      </w:trPr>
      <w:tc>
        <w:tcPr>
          <w:tcW w:w="6681" w:type="dxa"/>
          <w:tcBorders>
            <w:top w:val="nil"/>
            <w:left w:val="nil"/>
            <w:bottom w:val="nil"/>
          </w:tcBorders>
          <w:vAlign w:val="center"/>
        </w:tcPr>
        <w:p w14:paraId="3B8C51CF" w14:textId="77777777" w:rsidR="00E87E4D" w:rsidRPr="0075421C" w:rsidRDefault="00E87E4D" w:rsidP="00E37CD5">
          <w:pPr>
            <w:pStyle w:val="Footer"/>
            <w:rPr>
              <w:i/>
              <w:iCs/>
              <w:sz w:val="18"/>
            </w:rPr>
          </w:pPr>
          <w:r w:rsidRPr="00322EE7">
            <w:rPr>
              <w:i/>
              <w:iCs/>
              <w:sz w:val="18"/>
            </w:rPr>
            <w:t>© 202</w:t>
          </w:r>
          <w:r>
            <w:rPr>
              <w:i/>
              <w:iCs/>
              <w:sz w:val="18"/>
            </w:rPr>
            <w:t>5</w:t>
          </w:r>
          <w:r w:rsidRPr="00322EE7">
            <w:rPr>
              <w:i/>
              <w:iCs/>
              <w:sz w:val="18"/>
            </w:rPr>
            <w:t xml:space="preserve"> Guidehouse Inc. All rights reserved.</w:t>
          </w:r>
        </w:p>
      </w:tc>
      <w:tc>
        <w:tcPr>
          <w:tcW w:w="2679" w:type="dxa"/>
          <w:vAlign w:val="center"/>
        </w:tcPr>
        <w:p w14:paraId="112B4AD8" w14:textId="77777777" w:rsidR="00E87E4D" w:rsidRPr="0075421C" w:rsidRDefault="00E87E4D"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51060479" w14:textId="77777777" w:rsidR="00E87E4D" w:rsidRPr="00274E02" w:rsidRDefault="00E87E4D">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9251"/>
      <w:gridCol w:w="3709"/>
    </w:tblGrid>
    <w:tr w:rsidR="004D0839" w:rsidRPr="00582062" w14:paraId="53523919" w14:textId="77777777" w:rsidTr="002B7AA0">
      <w:trPr>
        <w:trHeight w:val="274"/>
        <w:jc w:val="center"/>
      </w:trPr>
      <w:tc>
        <w:tcPr>
          <w:tcW w:w="9283" w:type="dxa"/>
          <w:tcBorders>
            <w:top w:val="single" w:sz="8" w:space="0" w:color="8C8C8C"/>
            <w:left w:val="nil"/>
            <w:bottom w:val="nil"/>
          </w:tcBorders>
        </w:tcPr>
        <w:p w14:paraId="02676156" w14:textId="77777777" w:rsidR="004D0839" w:rsidRPr="00582062" w:rsidRDefault="004D0839" w:rsidP="00E37CD5">
          <w:pPr>
            <w:pStyle w:val="Footer"/>
            <w:spacing w:before="120"/>
            <w:rPr>
              <w:sz w:val="2"/>
              <w:szCs w:val="2"/>
            </w:rPr>
          </w:pPr>
        </w:p>
      </w:tc>
      <w:tc>
        <w:tcPr>
          <w:tcW w:w="3722" w:type="dxa"/>
          <w:tcBorders>
            <w:top w:val="single" w:sz="8" w:space="0" w:color="8C8C8C"/>
          </w:tcBorders>
        </w:tcPr>
        <w:p w14:paraId="530DCBDA" w14:textId="77777777" w:rsidR="004D0839" w:rsidRPr="00582062" w:rsidRDefault="004D0839" w:rsidP="00E37CD5">
          <w:pPr>
            <w:pStyle w:val="Footer"/>
            <w:spacing w:before="120"/>
            <w:jc w:val="right"/>
            <w:rPr>
              <w:sz w:val="2"/>
              <w:szCs w:val="2"/>
            </w:rPr>
          </w:pPr>
        </w:p>
      </w:tc>
    </w:tr>
    <w:tr w:rsidR="004D0839" w:rsidRPr="00EA2FA5" w14:paraId="1845D69C" w14:textId="77777777" w:rsidTr="002B7AA0">
      <w:trPr>
        <w:trHeight w:val="371"/>
        <w:jc w:val="center"/>
      </w:trPr>
      <w:tc>
        <w:tcPr>
          <w:tcW w:w="9283" w:type="dxa"/>
          <w:tcBorders>
            <w:top w:val="nil"/>
            <w:left w:val="nil"/>
            <w:bottom w:val="nil"/>
          </w:tcBorders>
          <w:vAlign w:val="center"/>
        </w:tcPr>
        <w:p w14:paraId="146548D4" w14:textId="0CF49AB9" w:rsidR="004D0839" w:rsidRPr="0075421C" w:rsidRDefault="004D0839" w:rsidP="00E37CD5">
          <w:pPr>
            <w:pStyle w:val="Footer"/>
            <w:rPr>
              <w:i/>
              <w:iCs/>
              <w:sz w:val="18"/>
            </w:rPr>
          </w:pPr>
          <w:r w:rsidRPr="00322EE7">
            <w:rPr>
              <w:i/>
              <w:iCs/>
              <w:sz w:val="18"/>
            </w:rPr>
            <w:t>© 202</w:t>
          </w:r>
          <w:r w:rsidR="002B7AA0">
            <w:rPr>
              <w:i/>
              <w:iCs/>
              <w:sz w:val="18"/>
            </w:rPr>
            <w:t>6</w:t>
          </w:r>
          <w:r w:rsidRPr="00322EE7">
            <w:rPr>
              <w:i/>
              <w:iCs/>
              <w:sz w:val="18"/>
            </w:rPr>
            <w:t xml:space="preserve"> Guidehouse Inc. All rights reserved.</w:t>
          </w:r>
        </w:p>
      </w:tc>
      <w:tc>
        <w:tcPr>
          <w:tcW w:w="3722" w:type="dxa"/>
          <w:vAlign w:val="center"/>
        </w:tcPr>
        <w:p w14:paraId="0CA7B134" w14:textId="77777777" w:rsidR="004D0839" w:rsidRPr="0075421C" w:rsidRDefault="004D0839"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4A46D36C" w14:textId="77777777" w:rsidR="004D0839" w:rsidRPr="00274E02" w:rsidRDefault="004D083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7631" w14:textId="77777777" w:rsidR="00CE0007" w:rsidRDefault="00CE0007" w:rsidP="00BA291E">
      <w:pPr>
        <w:spacing w:after="0" w:line="240" w:lineRule="auto"/>
      </w:pPr>
      <w:r>
        <w:separator/>
      </w:r>
    </w:p>
  </w:footnote>
  <w:footnote w:type="continuationSeparator" w:id="0">
    <w:p w14:paraId="55D92D63" w14:textId="77777777" w:rsidR="00CE0007" w:rsidRDefault="00CE0007" w:rsidP="00BA291E">
      <w:pPr>
        <w:spacing w:after="0" w:line="240" w:lineRule="auto"/>
      </w:pPr>
      <w:r>
        <w:continuationSeparator/>
      </w:r>
    </w:p>
  </w:footnote>
  <w:footnote w:type="continuationNotice" w:id="1">
    <w:p w14:paraId="628F85E2" w14:textId="77777777" w:rsidR="00CE0007" w:rsidRDefault="00CE00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ED327C" w:rsidRPr="00F77D23" w14:paraId="17E1979B" w14:textId="77777777">
      <w:trPr>
        <w:jc w:val="center"/>
      </w:trPr>
      <w:tc>
        <w:tcPr>
          <w:tcW w:w="2880" w:type="dxa"/>
          <w:vAlign w:val="center"/>
        </w:tcPr>
        <w:p w14:paraId="11F0A13F" w14:textId="77777777" w:rsidR="00ED327C" w:rsidRPr="006A71F6" w:rsidRDefault="00ED327C" w:rsidP="00ED327C">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53B2799F" w:rsidR="00ED327C" w:rsidRPr="00F77D23" w:rsidRDefault="00025E39" w:rsidP="00ED327C">
          <w:pPr>
            <w:pStyle w:val="Header"/>
            <w:jc w:val="right"/>
            <w:rPr>
              <w:bCs/>
              <w:noProof/>
            </w:rPr>
          </w:pPr>
          <w:r>
            <w:rPr>
              <w:bCs/>
              <w:noProof/>
            </w:rPr>
            <w:t>Multi-Family IE and PHA</w:t>
          </w:r>
          <w:r w:rsidR="00F77D23" w:rsidRPr="00F77D23">
            <w:rPr>
              <w:bCs/>
              <w:noProof/>
            </w:rPr>
            <w:t xml:space="preserve"> Program Impact Evaluation Report</w:t>
          </w:r>
          <w:r w:rsidR="00ED327C" w:rsidRPr="00F77D23">
            <w:rPr>
              <w:bCs/>
              <w:noProof/>
            </w:rPr>
            <w:fldChar w:fldCharType="begin"/>
          </w:r>
          <w:r w:rsidR="00ED327C" w:rsidRPr="00F77D23">
            <w:rPr>
              <w:bCs/>
              <w:noProof/>
            </w:rPr>
            <w:instrText xml:space="preserve"> TITLE  \* Upper  \* MERGEFORMAT </w:instrText>
          </w:r>
          <w:r w:rsidR="00ED327C" w:rsidRPr="00F77D23">
            <w:rPr>
              <w:bCs/>
              <w:noProof/>
            </w:rPr>
            <w:fldChar w:fldCharType="end"/>
          </w:r>
        </w:p>
      </w:tc>
    </w:tr>
  </w:tbl>
  <w:p w14:paraId="4481D419" w14:textId="77777777" w:rsidR="00ED327C" w:rsidRDefault="00ED327C" w:rsidP="00ED327C">
    <w:pPr>
      <w:pStyle w:val="Header"/>
    </w:pPr>
    <w:r w:rsidRPr="00BA291E">
      <w:br/>
    </w:r>
  </w:p>
  <w:p w14:paraId="756D4516" w14:textId="523337CD" w:rsidR="00BA291E" w:rsidRPr="00ED327C" w:rsidRDefault="00BA291E" w:rsidP="00ED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ED327C" w:rsidRDefault="00ED327C" w:rsidP="00ED327C">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E87E4D" w:rsidRPr="00ED327C" w:rsidRDefault="00E87E4D" w:rsidP="00ED3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3513F6" w:rsidRPr="00F77D23" w14:paraId="0F7D708C" w14:textId="77777777">
      <w:trPr>
        <w:jc w:val="center"/>
      </w:trPr>
      <w:tc>
        <w:tcPr>
          <w:tcW w:w="2880" w:type="dxa"/>
          <w:vAlign w:val="center"/>
        </w:tcPr>
        <w:p w14:paraId="1ACAE345" w14:textId="77777777" w:rsidR="003513F6" w:rsidRPr="006A71F6" w:rsidRDefault="003513F6" w:rsidP="003513F6">
          <w:pPr>
            <w:pStyle w:val="Header"/>
          </w:pPr>
          <w:r>
            <w:rPr>
              <w:noProof/>
            </w:rPr>
            <w:drawing>
              <wp:inline distT="0" distB="0" distL="0" distR="0" wp14:anchorId="4FCFF718" wp14:editId="7847399E">
                <wp:extent cx="1081454" cy="274320"/>
                <wp:effectExtent l="0" t="0" r="4445" b="0"/>
                <wp:docPr id="145974277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5665044E" w:rsidR="003513F6" w:rsidRPr="00F77D23" w:rsidRDefault="006D5E10" w:rsidP="003513F6">
          <w:pPr>
            <w:pStyle w:val="Header"/>
            <w:jc w:val="right"/>
            <w:rPr>
              <w:bCs/>
              <w:noProof/>
            </w:rPr>
          </w:pPr>
          <w:r>
            <w:rPr>
              <w:bCs/>
              <w:noProof/>
            </w:rPr>
            <w:t>Multi-Family IE and PHA</w:t>
          </w:r>
          <w:r w:rsidR="003513F6" w:rsidRPr="00F77D23">
            <w:rPr>
              <w:bCs/>
              <w:noProof/>
            </w:rPr>
            <w:t xml:space="preserve"> Program Impact Evaluation Report</w:t>
          </w:r>
          <w:r w:rsidR="003513F6" w:rsidRPr="00F77D23">
            <w:rPr>
              <w:bCs/>
              <w:noProof/>
            </w:rPr>
            <w:fldChar w:fldCharType="begin"/>
          </w:r>
          <w:r w:rsidR="003513F6" w:rsidRPr="00F77D23">
            <w:rPr>
              <w:bCs/>
              <w:noProof/>
            </w:rPr>
            <w:instrText xml:space="preserve"> TITLE  \* Upper  \* MERGEFORMAT </w:instrText>
          </w:r>
          <w:r w:rsidR="003513F6" w:rsidRPr="00F77D23">
            <w:rPr>
              <w:bCs/>
              <w:noProof/>
            </w:rPr>
            <w:fldChar w:fldCharType="end"/>
          </w:r>
        </w:p>
      </w:tc>
    </w:tr>
  </w:tbl>
  <w:p w14:paraId="5A53726A" w14:textId="77777777" w:rsidR="003513F6" w:rsidRDefault="003513F6" w:rsidP="003513F6">
    <w:pPr>
      <w:pStyle w:val="Header"/>
    </w:pPr>
    <w:r w:rsidRPr="00BA291E">
      <w:br/>
    </w:r>
  </w:p>
  <w:p w14:paraId="2A502F61" w14:textId="77777777" w:rsidR="003513F6" w:rsidRDefault="003513F6" w:rsidP="003513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4E6F" w14:textId="77777777" w:rsidR="00B61DF1" w:rsidRDefault="00B61D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4D0839" w:rsidRPr="00F77D23" w14:paraId="1980998C" w14:textId="77777777">
      <w:trPr>
        <w:jc w:val="center"/>
      </w:trPr>
      <w:tc>
        <w:tcPr>
          <w:tcW w:w="2880" w:type="dxa"/>
          <w:vAlign w:val="center"/>
        </w:tcPr>
        <w:p w14:paraId="7632FDF6" w14:textId="77777777" w:rsidR="004D0839" w:rsidRPr="006A71F6" w:rsidRDefault="004D0839" w:rsidP="00766C44">
          <w:pPr>
            <w:pStyle w:val="Header"/>
          </w:pPr>
          <w:r>
            <w:rPr>
              <w:noProof/>
            </w:rPr>
            <w:drawing>
              <wp:inline distT="0" distB="0" distL="0" distR="0" wp14:anchorId="5AEB96D5" wp14:editId="1B065C2C">
                <wp:extent cx="1081454" cy="274320"/>
                <wp:effectExtent l="0" t="0" r="4445" b="0"/>
                <wp:docPr id="550818540"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1D45CAC5" w14:textId="77777777" w:rsidR="004D0839" w:rsidRPr="00F77D23" w:rsidRDefault="004D0839" w:rsidP="00766C44">
          <w:pPr>
            <w:pStyle w:val="Header"/>
            <w:jc w:val="right"/>
            <w:rPr>
              <w:bCs/>
              <w:noProof/>
            </w:rPr>
          </w:pPr>
          <w:r>
            <w:rPr>
              <w:bCs/>
              <w:noProof/>
            </w:rPr>
            <w:t>Multi-Family IE and PHA</w:t>
          </w:r>
          <w:r w:rsidRPr="00F77D23">
            <w:rPr>
              <w:bCs/>
              <w:noProof/>
            </w:rPr>
            <w:t xml:space="preserve"> Program Impact Evaluation Report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758F4940" w14:textId="77777777" w:rsidR="004D0839" w:rsidRDefault="004D0839" w:rsidP="00766C44">
    <w:pPr>
      <w:pStyle w:val="Header"/>
    </w:pPr>
    <w:r w:rsidRPr="00BA291E">
      <w:br/>
    </w:r>
  </w:p>
  <w:p w14:paraId="14FA21B3" w14:textId="77777777" w:rsidR="004D0839" w:rsidRDefault="004D0839" w:rsidP="00766C44">
    <w:pPr>
      <w:pStyle w:val="Header"/>
    </w:pPr>
  </w:p>
</w:hdr>
</file>

<file path=word/intelligence2.xml><?xml version="1.0" encoding="utf-8"?>
<int2:intelligence xmlns:int2="http://schemas.microsoft.com/office/intelligence/2020/intelligence" xmlns:oel="http://schemas.microsoft.com/office/2019/extlst">
  <int2:observations>
    <int2:textHash int2:hashCode="x/soSVj2t1wQFv" int2:id="aOnTSW4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91087F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1"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7"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D745D"/>
    <w:multiLevelType w:val="hybridMultilevel"/>
    <w:tmpl w:val="AC9A1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F9C1C20"/>
    <w:multiLevelType w:val="hybridMultilevel"/>
    <w:tmpl w:val="5CD0F7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2"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3"/>
  </w:num>
  <w:num w:numId="2" w16cid:durableId="1897279306">
    <w:abstractNumId w:val="17"/>
  </w:num>
  <w:num w:numId="3" w16cid:durableId="1150948261">
    <w:abstractNumId w:val="2"/>
  </w:num>
  <w:num w:numId="4" w16cid:durableId="424502759">
    <w:abstractNumId w:val="3"/>
  </w:num>
  <w:num w:numId="5" w16cid:durableId="1530214667">
    <w:abstractNumId w:val="26"/>
  </w:num>
  <w:num w:numId="6" w16cid:durableId="820192695">
    <w:abstractNumId w:val="4"/>
  </w:num>
  <w:num w:numId="7" w16cid:durableId="321852425">
    <w:abstractNumId w:val="20"/>
  </w:num>
  <w:num w:numId="8" w16cid:durableId="1755586189">
    <w:abstractNumId w:val="14"/>
  </w:num>
  <w:num w:numId="9" w16cid:durableId="1790969178">
    <w:abstractNumId w:val="25"/>
  </w:num>
  <w:num w:numId="10" w16cid:durableId="1320888804">
    <w:abstractNumId w:val="5"/>
  </w:num>
  <w:num w:numId="11" w16cid:durableId="990789570">
    <w:abstractNumId w:val="11"/>
  </w:num>
  <w:num w:numId="12" w16cid:durableId="499661504">
    <w:abstractNumId w:val="8"/>
  </w:num>
  <w:num w:numId="13" w16cid:durableId="1680110921">
    <w:abstractNumId w:val="24"/>
  </w:num>
  <w:num w:numId="14" w16cid:durableId="869102195">
    <w:abstractNumId w:val="0"/>
  </w:num>
  <w:num w:numId="15" w16cid:durableId="1990472580">
    <w:abstractNumId w:val="21"/>
  </w:num>
  <w:num w:numId="16" w16cid:durableId="812452916">
    <w:abstractNumId w:val="10"/>
  </w:num>
  <w:num w:numId="17" w16cid:durableId="2117434390">
    <w:abstractNumId w:val="9"/>
  </w:num>
  <w:num w:numId="18" w16cid:durableId="913703041">
    <w:abstractNumId w:val="22"/>
  </w:num>
  <w:num w:numId="19" w16cid:durableId="1687176602">
    <w:abstractNumId w:val="16"/>
  </w:num>
  <w:num w:numId="20" w16cid:durableId="1849367968">
    <w:abstractNumId w:val="13"/>
  </w:num>
  <w:num w:numId="21" w16cid:durableId="1668821187">
    <w:abstractNumId w:val="15"/>
  </w:num>
  <w:num w:numId="22" w16cid:durableId="1729065919">
    <w:abstractNumId w:val="12"/>
  </w:num>
  <w:num w:numId="23" w16cid:durableId="380595784">
    <w:abstractNumId w:val="6"/>
  </w:num>
  <w:num w:numId="24" w16cid:durableId="1031690303">
    <w:abstractNumId w:val="1"/>
  </w:num>
  <w:num w:numId="25" w16cid:durableId="118230274">
    <w:abstractNumId w:val="7"/>
  </w:num>
  <w:num w:numId="26" w16cid:durableId="71466328">
    <w:abstractNumId w:val="18"/>
  </w:num>
  <w:num w:numId="27" w16cid:durableId="4990052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836976"/>
    <w:rsid w:val="0000088D"/>
    <w:rsid w:val="000022A6"/>
    <w:rsid w:val="00003F68"/>
    <w:rsid w:val="000065E9"/>
    <w:rsid w:val="000069F8"/>
    <w:rsid w:val="000074FB"/>
    <w:rsid w:val="000101D7"/>
    <w:rsid w:val="00021C2B"/>
    <w:rsid w:val="00022039"/>
    <w:rsid w:val="00024074"/>
    <w:rsid w:val="00024F61"/>
    <w:rsid w:val="00025E39"/>
    <w:rsid w:val="00026085"/>
    <w:rsid w:val="00026914"/>
    <w:rsid w:val="00027922"/>
    <w:rsid w:val="00030A7F"/>
    <w:rsid w:val="00030AB0"/>
    <w:rsid w:val="0003128A"/>
    <w:rsid w:val="00031442"/>
    <w:rsid w:val="00035A6D"/>
    <w:rsid w:val="00036A31"/>
    <w:rsid w:val="00036B06"/>
    <w:rsid w:val="000403AA"/>
    <w:rsid w:val="00041D42"/>
    <w:rsid w:val="00046F8F"/>
    <w:rsid w:val="00047D46"/>
    <w:rsid w:val="000522D5"/>
    <w:rsid w:val="00063E73"/>
    <w:rsid w:val="00065DC8"/>
    <w:rsid w:val="0006799E"/>
    <w:rsid w:val="00067F3B"/>
    <w:rsid w:val="00072860"/>
    <w:rsid w:val="00072F1B"/>
    <w:rsid w:val="000731D2"/>
    <w:rsid w:val="000741B2"/>
    <w:rsid w:val="00075C50"/>
    <w:rsid w:val="00076F52"/>
    <w:rsid w:val="00076F96"/>
    <w:rsid w:val="000809B4"/>
    <w:rsid w:val="00081295"/>
    <w:rsid w:val="00082879"/>
    <w:rsid w:val="00082BE3"/>
    <w:rsid w:val="00082C83"/>
    <w:rsid w:val="00082D79"/>
    <w:rsid w:val="00082F71"/>
    <w:rsid w:val="000840A6"/>
    <w:rsid w:val="000840E9"/>
    <w:rsid w:val="00084201"/>
    <w:rsid w:val="00085106"/>
    <w:rsid w:val="00085EB7"/>
    <w:rsid w:val="0008738A"/>
    <w:rsid w:val="0009245A"/>
    <w:rsid w:val="00094EB4"/>
    <w:rsid w:val="00096D01"/>
    <w:rsid w:val="00097D48"/>
    <w:rsid w:val="000A1702"/>
    <w:rsid w:val="000A37E4"/>
    <w:rsid w:val="000A3CCD"/>
    <w:rsid w:val="000A4833"/>
    <w:rsid w:val="000A5BF6"/>
    <w:rsid w:val="000B5663"/>
    <w:rsid w:val="000B60AC"/>
    <w:rsid w:val="000B75AF"/>
    <w:rsid w:val="000B7F56"/>
    <w:rsid w:val="000C2113"/>
    <w:rsid w:val="000C2563"/>
    <w:rsid w:val="000C2DDD"/>
    <w:rsid w:val="000C5E7D"/>
    <w:rsid w:val="000C6FFA"/>
    <w:rsid w:val="000D1BB9"/>
    <w:rsid w:val="000D3FEE"/>
    <w:rsid w:val="000D42A3"/>
    <w:rsid w:val="000D5ED0"/>
    <w:rsid w:val="000D605B"/>
    <w:rsid w:val="000D7FA6"/>
    <w:rsid w:val="000E02B3"/>
    <w:rsid w:val="000E2659"/>
    <w:rsid w:val="000E2736"/>
    <w:rsid w:val="000E54AB"/>
    <w:rsid w:val="000E5B7D"/>
    <w:rsid w:val="000E63F5"/>
    <w:rsid w:val="000F0BE6"/>
    <w:rsid w:val="000F2C17"/>
    <w:rsid w:val="000F2FB2"/>
    <w:rsid w:val="000F395D"/>
    <w:rsid w:val="000F414D"/>
    <w:rsid w:val="000F432D"/>
    <w:rsid w:val="000F46F9"/>
    <w:rsid w:val="000F4A47"/>
    <w:rsid w:val="000F63B4"/>
    <w:rsid w:val="0010260D"/>
    <w:rsid w:val="00102CDB"/>
    <w:rsid w:val="0010485A"/>
    <w:rsid w:val="00105752"/>
    <w:rsid w:val="00106345"/>
    <w:rsid w:val="00112D86"/>
    <w:rsid w:val="001143E6"/>
    <w:rsid w:val="00114E0B"/>
    <w:rsid w:val="00117348"/>
    <w:rsid w:val="00117B5B"/>
    <w:rsid w:val="0012137E"/>
    <w:rsid w:val="00123197"/>
    <w:rsid w:val="001233F3"/>
    <w:rsid w:val="00126E22"/>
    <w:rsid w:val="0012749A"/>
    <w:rsid w:val="00127C01"/>
    <w:rsid w:val="00131250"/>
    <w:rsid w:val="00131585"/>
    <w:rsid w:val="001318A8"/>
    <w:rsid w:val="00131B5C"/>
    <w:rsid w:val="001320E1"/>
    <w:rsid w:val="00132B4C"/>
    <w:rsid w:val="001336E1"/>
    <w:rsid w:val="0013787A"/>
    <w:rsid w:val="00137EE3"/>
    <w:rsid w:val="001406CD"/>
    <w:rsid w:val="0014213A"/>
    <w:rsid w:val="001423D9"/>
    <w:rsid w:val="00146404"/>
    <w:rsid w:val="0015129A"/>
    <w:rsid w:val="001517DB"/>
    <w:rsid w:val="001527C6"/>
    <w:rsid w:val="00152FFD"/>
    <w:rsid w:val="00153504"/>
    <w:rsid w:val="00155C47"/>
    <w:rsid w:val="001611DC"/>
    <w:rsid w:val="001627E9"/>
    <w:rsid w:val="00164B0A"/>
    <w:rsid w:val="00166C34"/>
    <w:rsid w:val="00166FF3"/>
    <w:rsid w:val="0017004C"/>
    <w:rsid w:val="001700A8"/>
    <w:rsid w:val="00173A14"/>
    <w:rsid w:val="0017702A"/>
    <w:rsid w:val="00180704"/>
    <w:rsid w:val="00180B4F"/>
    <w:rsid w:val="00180CBC"/>
    <w:rsid w:val="00182913"/>
    <w:rsid w:val="00183067"/>
    <w:rsid w:val="001833A5"/>
    <w:rsid w:val="0018348C"/>
    <w:rsid w:val="00183C10"/>
    <w:rsid w:val="00184649"/>
    <w:rsid w:val="00185113"/>
    <w:rsid w:val="0018669F"/>
    <w:rsid w:val="00187113"/>
    <w:rsid w:val="001875AF"/>
    <w:rsid w:val="00190360"/>
    <w:rsid w:val="00190A1D"/>
    <w:rsid w:val="00190C82"/>
    <w:rsid w:val="0019731B"/>
    <w:rsid w:val="001A0EEA"/>
    <w:rsid w:val="001A410E"/>
    <w:rsid w:val="001A46BA"/>
    <w:rsid w:val="001A57DC"/>
    <w:rsid w:val="001A789B"/>
    <w:rsid w:val="001B064A"/>
    <w:rsid w:val="001B1FAB"/>
    <w:rsid w:val="001B330A"/>
    <w:rsid w:val="001B3CD6"/>
    <w:rsid w:val="001B3E46"/>
    <w:rsid w:val="001B4D75"/>
    <w:rsid w:val="001B70AE"/>
    <w:rsid w:val="001C088C"/>
    <w:rsid w:val="001C0B5B"/>
    <w:rsid w:val="001C6828"/>
    <w:rsid w:val="001D0625"/>
    <w:rsid w:val="001D23D6"/>
    <w:rsid w:val="001D3AE9"/>
    <w:rsid w:val="001D5921"/>
    <w:rsid w:val="001D5B79"/>
    <w:rsid w:val="001D7EE6"/>
    <w:rsid w:val="001E14D1"/>
    <w:rsid w:val="001E4CE2"/>
    <w:rsid w:val="001E56B0"/>
    <w:rsid w:val="001E6FB1"/>
    <w:rsid w:val="001E7178"/>
    <w:rsid w:val="001E7784"/>
    <w:rsid w:val="001F1E9D"/>
    <w:rsid w:val="001F48F6"/>
    <w:rsid w:val="001F567D"/>
    <w:rsid w:val="001F65AE"/>
    <w:rsid w:val="001F7018"/>
    <w:rsid w:val="00200061"/>
    <w:rsid w:val="00200AF4"/>
    <w:rsid w:val="002025C7"/>
    <w:rsid w:val="0020316A"/>
    <w:rsid w:val="002032B9"/>
    <w:rsid w:val="0020348B"/>
    <w:rsid w:val="00205C8D"/>
    <w:rsid w:val="00205CB0"/>
    <w:rsid w:val="00212B10"/>
    <w:rsid w:val="00212F0F"/>
    <w:rsid w:val="00212FF8"/>
    <w:rsid w:val="00215EE2"/>
    <w:rsid w:val="0022080F"/>
    <w:rsid w:val="00223DAD"/>
    <w:rsid w:val="00224E60"/>
    <w:rsid w:val="002257C3"/>
    <w:rsid w:val="00240313"/>
    <w:rsid w:val="00242187"/>
    <w:rsid w:val="00244FCB"/>
    <w:rsid w:val="00247029"/>
    <w:rsid w:val="00251B34"/>
    <w:rsid w:val="00253550"/>
    <w:rsid w:val="00260814"/>
    <w:rsid w:val="0026136E"/>
    <w:rsid w:val="00262B49"/>
    <w:rsid w:val="00263413"/>
    <w:rsid w:val="00266593"/>
    <w:rsid w:val="002679A1"/>
    <w:rsid w:val="00270786"/>
    <w:rsid w:val="00272E91"/>
    <w:rsid w:val="002741E8"/>
    <w:rsid w:val="00274408"/>
    <w:rsid w:val="002749A3"/>
    <w:rsid w:val="00274E02"/>
    <w:rsid w:val="00275264"/>
    <w:rsid w:val="00275B65"/>
    <w:rsid w:val="00277933"/>
    <w:rsid w:val="00277C89"/>
    <w:rsid w:val="002806A8"/>
    <w:rsid w:val="00280C55"/>
    <w:rsid w:val="002825D5"/>
    <w:rsid w:val="00282A90"/>
    <w:rsid w:val="00287208"/>
    <w:rsid w:val="002934C1"/>
    <w:rsid w:val="00293826"/>
    <w:rsid w:val="002947C5"/>
    <w:rsid w:val="002958C0"/>
    <w:rsid w:val="002A173A"/>
    <w:rsid w:val="002A1807"/>
    <w:rsid w:val="002A2B86"/>
    <w:rsid w:val="002A5022"/>
    <w:rsid w:val="002A64B1"/>
    <w:rsid w:val="002A68EF"/>
    <w:rsid w:val="002A7AEE"/>
    <w:rsid w:val="002B2DD5"/>
    <w:rsid w:val="002B40F8"/>
    <w:rsid w:val="002B4490"/>
    <w:rsid w:val="002B4D4C"/>
    <w:rsid w:val="002B6C12"/>
    <w:rsid w:val="002B7AA0"/>
    <w:rsid w:val="002C0F42"/>
    <w:rsid w:val="002C27D4"/>
    <w:rsid w:val="002C41DE"/>
    <w:rsid w:val="002C4F77"/>
    <w:rsid w:val="002C5E12"/>
    <w:rsid w:val="002C6B85"/>
    <w:rsid w:val="002C7B63"/>
    <w:rsid w:val="002D1F42"/>
    <w:rsid w:val="002D353D"/>
    <w:rsid w:val="002D5A67"/>
    <w:rsid w:val="002D6318"/>
    <w:rsid w:val="002E0934"/>
    <w:rsid w:val="002E09ED"/>
    <w:rsid w:val="002E3A68"/>
    <w:rsid w:val="002E506A"/>
    <w:rsid w:val="002E7592"/>
    <w:rsid w:val="002F0B52"/>
    <w:rsid w:val="002F2C0B"/>
    <w:rsid w:val="002F2DB7"/>
    <w:rsid w:val="002F2E0E"/>
    <w:rsid w:val="002F325B"/>
    <w:rsid w:val="002F4374"/>
    <w:rsid w:val="002F793E"/>
    <w:rsid w:val="0030024F"/>
    <w:rsid w:val="00300579"/>
    <w:rsid w:val="0030095C"/>
    <w:rsid w:val="0030128D"/>
    <w:rsid w:val="00302363"/>
    <w:rsid w:val="00303B10"/>
    <w:rsid w:val="00306745"/>
    <w:rsid w:val="003074A9"/>
    <w:rsid w:val="003075D9"/>
    <w:rsid w:val="00310E84"/>
    <w:rsid w:val="00311093"/>
    <w:rsid w:val="00313B55"/>
    <w:rsid w:val="00314BD0"/>
    <w:rsid w:val="00315D61"/>
    <w:rsid w:val="003178A0"/>
    <w:rsid w:val="00317E4C"/>
    <w:rsid w:val="00331F42"/>
    <w:rsid w:val="003342E6"/>
    <w:rsid w:val="0033488E"/>
    <w:rsid w:val="00334FA3"/>
    <w:rsid w:val="003407C2"/>
    <w:rsid w:val="003437F8"/>
    <w:rsid w:val="0034476B"/>
    <w:rsid w:val="0034572F"/>
    <w:rsid w:val="00346931"/>
    <w:rsid w:val="00350AF9"/>
    <w:rsid w:val="00350B58"/>
    <w:rsid w:val="003513F6"/>
    <w:rsid w:val="00351DB2"/>
    <w:rsid w:val="00352065"/>
    <w:rsid w:val="00357FDA"/>
    <w:rsid w:val="00360BB7"/>
    <w:rsid w:val="00362DEB"/>
    <w:rsid w:val="00362F1B"/>
    <w:rsid w:val="0036759E"/>
    <w:rsid w:val="003701F6"/>
    <w:rsid w:val="00370486"/>
    <w:rsid w:val="00373102"/>
    <w:rsid w:val="00375329"/>
    <w:rsid w:val="00375565"/>
    <w:rsid w:val="00377677"/>
    <w:rsid w:val="00377C68"/>
    <w:rsid w:val="003806A2"/>
    <w:rsid w:val="00383929"/>
    <w:rsid w:val="00391194"/>
    <w:rsid w:val="003916B4"/>
    <w:rsid w:val="00392FF5"/>
    <w:rsid w:val="00393B73"/>
    <w:rsid w:val="00396325"/>
    <w:rsid w:val="003A0007"/>
    <w:rsid w:val="003A2344"/>
    <w:rsid w:val="003A6378"/>
    <w:rsid w:val="003A77C5"/>
    <w:rsid w:val="003B1A9A"/>
    <w:rsid w:val="003B490A"/>
    <w:rsid w:val="003B4C2B"/>
    <w:rsid w:val="003C1D50"/>
    <w:rsid w:val="003C2AE9"/>
    <w:rsid w:val="003C42BF"/>
    <w:rsid w:val="003C5A92"/>
    <w:rsid w:val="003C6373"/>
    <w:rsid w:val="003D1338"/>
    <w:rsid w:val="003D16B6"/>
    <w:rsid w:val="003E061B"/>
    <w:rsid w:val="003E0CEB"/>
    <w:rsid w:val="003E28BD"/>
    <w:rsid w:val="003E69F9"/>
    <w:rsid w:val="003F054E"/>
    <w:rsid w:val="003F306B"/>
    <w:rsid w:val="003F3C35"/>
    <w:rsid w:val="003F45F5"/>
    <w:rsid w:val="003F5D2F"/>
    <w:rsid w:val="003F6D84"/>
    <w:rsid w:val="003F708F"/>
    <w:rsid w:val="003F7388"/>
    <w:rsid w:val="003F7BA8"/>
    <w:rsid w:val="00401B96"/>
    <w:rsid w:val="00403F05"/>
    <w:rsid w:val="00404647"/>
    <w:rsid w:val="004060CB"/>
    <w:rsid w:val="004065CF"/>
    <w:rsid w:val="00410C3F"/>
    <w:rsid w:val="004153AC"/>
    <w:rsid w:val="00421317"/>
    <w:rsid w:val="004218EE"/>
    <w:rsid w:val="00422377"/>
    <w:rsid w:val="00422FA1"/>
    <w:rsid w:val="00427F59"/>
    <w:rsid w:val="0043429B"/>
    <w:rsid w:val="004358E4"/>
    <w:rsid w:val="00436FAB"/>
    <w:rsid w:val="00437252"/>
    <w:rsid w:val="00437A94"/>
    <w:rsid w:val="00437BBF"/>
    <w:rsid w:val="00440F9C"/>
    <w:rsid w:val="00441297"/>
    <w:rsid w:val="0044480A"/>
    <w:rsid w:val="004458D3"/>
    <w:rsid w:val="00445FD8"/>
    <w:rsid w:val="0044636E"/>
    <w:rsid w:val="00447120"/>
    <w:rsid w:val="00447BF2"/>
    <w:rsid w:val="00447D25"/>
    <w:rsid w:val="0045057D"/>
    <w:rsid w:val="00452E5B"/>
    <w:rsid w:val="00452EEA"/>
    <w:rsid w:val="00454508"/>
    <w:rsid w:val="0045679C"/>
    <w:rsid w:val="00457D06"/>
    <w:rsid w:val="00462B60"/>
    <w:rsid w:val="00462E0F"/>
    <w:rsid w:val="004651D6"/>
    <w:rsid w:val="00465217"/>
    <w:rsid w:val="0046698B"/>
    <w:rsid w:val="004708A4"/>
    <w:rsid w:val="0047162F"/>
    <w:rsid w:val="00472470"/>
    <w:rsid w:val="004729E5"/>
    <w:rsid w:val="00473318"/>
    <w:rsid w:val="00473582"/>
    <w:rsid w:val="004762C5"/>
    <w:rsid w:val="00476898"/>
    <w:rsid w:val="0048166A"/>
    <w:rsid w:val="00481F52"/>
    <w:rsid w:val="00485225"/>
    <w:rsid w:val="00485B7D"/>
    <w:rsid w:val="00491462"/>
    <w:rsid w:val="00491AC6"/>
    <w:rsid w:val="004949AD"/>
    <w:rsid w:val="004A0FA9"/>
    <w:rsid w:val="004A3178"/>
    <w:rsid w:val="004A4747"/>
    <w:rsid w:val="004A599B"/>
    <w:rsid w:val="004A6AF6"/>
    <w:rsid w:val="004B423E"/>
    <w:rsid w:val="004B5627"/>
    <w:rsid w:val="004C00C8"/>
    <w:rsid w:val="004C3211"/>
    <w:rsid w:val="004C5B07"/>
    <w:rsid w:val="004C62C8"/>
    <w:rsid w:val="004C78AD"/>
    <w:rsid w:val="004C7F09"/>
    <w:rsid w:val="004D0839"/>
    <w:rsid w:val="004D1C8E"/>
    <w:rsid w:val="004D3960"/>
    <w:rsid w:val="004D40CD"/>
    <w:rsid w:val="004D4D93"/>
    <w:rsid w:val="004D63D8"/>
    <w:rsid w:val="004D6FDD"/>
    <w:rsid w:val="004E21EC"/>
    <w:rsid w:val="004E3992"/>
    <w:rsid w:val="004E511C"/>
    <w:rsid w:val="004F0461"/>
    <w:rsid w:val="004F19F2"/>
    <w:rsid w:val="004F7951"/>
    <w:rsid w:val="0050083F"/>
    <w:rsid w:val="005011C9"/>
    <w:rsid w:val="0050159C"/>
    <w:rsid w:val="0050426C"/>
    <w:rsid w:val="0050449A"/>
    <w:rsid w:val="0050465E"/>
    <w:rsid w:val="0050484C"/>
    <w:rsid w:val="0050501C"/>
    <w:rsid w:val="00505C86"/>
    <w:rsid w:val="005071A0"/>
    <w:rsid w:val="0051186F"/>
    <w:rsid w:val="00511A85"/>
    <w:rsid w:val="00511F1C"/>
    <w:rsid w:val="00512DC7"/>
    <w:rsid w:val="005133A4"/>
    <w:rsid w:val="00513CDF"/>
    <w:rsid w:val="00513F4C"/>
    <w:rsid w:val="00513FC5"/>
    <w:rsid w:val="0051460B"/>
    <w:rsid w:val="00517193"/>
    <w:rsid w:val="005201F2"/>
    <w:rsid w:val="00525A7D"/>
    <w:rsid w:val="00525B2F"/>
    <w:rsid w:val="00526378"/>
    <w:rsid w:val="005307F5"/>
    <w:rsid w:val="0053168E"/>
    <w:rsid w:val="0053202C"/>
    <w:rsid w:val="00532AC4"/>
    <w:rsid w:val="00532DEB"/>
    <w:rsid w:val="00532EA1"/>
    <w:rsid w:val="00533CAA"/>
    <w:rsid w:val="00534CC8"/>
    <w:rsid w:val="00534DE9"/>
    <w:rsid w:val="00542B27"/>
    <w:rsid w:val="00544753"/>
    <w:rsid w:val="00545E25"/>
    <w:rsid w:val="005473B8"/>
    <w:rsid w:val="00547DE5"/>
    <w:rsid w:val="005509F9"/>
    <w:rsid w:val="00550AA4"/>
    <w:rsid w:val="0055163E"/>
    <w:rsid w:val="005518FC"/>
    <w:rsid w:val="00555E20"/>
    <w:rsid w:val="0055650A"/>
    <w:rsid w:val="005565E2"/>
    <w:rsid w:val="00556902"/>
    <w:rsid w:val="005576DE"/>
    <w:rsid w:val="00557EC8"/>
    <w:rsid w:val="0056157D"/>
    <w:rsid w:val="0056335A"/>
    <w:rsid w:val="00564AAD"/>
    <w:rsid w:val="00565E2C"/>
    <w:rsid w:val="00567B4A"/>
    <w:rsid w:val="00573576"/>
    <w:rsid w:val="00574A32"/>
    <w:rsid w:val="00574AC0"/>
    <w:rsid w:val="005752AA"/>
    <w:rsid w:val="00575E2C"/>
    <w:rsid w:val="005762B3"/>
    <w:rsid w:val="005764CB"/>
    <w:rsid w:val="0057772B"/>
    <w:rsid w:val="00580CD8"/>
    <w:rsid w:val="00581BCF"/>
    <w:rsid w:val="0058389F"/>
    <w:rsid w:val="005869D6"/>
    <w:rsid w:val="005874F3"/>
    <w:rsid w:val="005907FB"/>
    <w:rsid w:val="005929F2"/>
    <w:rsid w:val="0059354C"/>
    <w:rsid w:val="005959A0"/>
    <w:rsid w:val="00596378"/>
    <w:rsid w:val="005A27B7"/>
    <w:rsid w:val="005A4A51"/>
    <w:rsid w:val="005A50AE"/>
    <w:rsid w:val="005A7886"/>
    <w:rsid w:val="005A7C72"/>
    <w:rsid w:val="005B61DC"/>
    <w:rsid w:val="005B6988"/>
    <w:rsid w:val="005B71E5"/>
    <w:rsid w:val="005B7CF3"/>
    <w:rsid w:val="005B7F30"/>
    <w:rsid w:val="005C12C8"/>
    <w:rsid w:val="005C1918"/>
    <w:rsid w:val="005C5782"/>
    <w:rsid w:val="005C6B82"/>
    <w:rsid w:val="005C6F86"/>
    <w:rsid w:val="005C7C7B"/>
    <w:rsid w:val="005D04B5"/>
    <w:rsid w:val="005D2CA2"/>
    <w:rsid w:val="005D3CEE"/>
    <w:rsid w:val="005D5081"/>
    <w:rsid w:val="005D78F3"/>
    <w:rsid w:val="005E004E"/>
    <w:rsid w:val="005E13B1"/>
    <w:rsid w:val="005E21DF"/>
    <w:rsid w:val="005E79C8"/>
    <w:rsid w:val="005E7DC6"/>
    <w:rsid w:val="005E7F62"/>
    <w:rsid w:val="005F1D67"/>
    <w:rsid w:val="005F4135"/>
    <w:rsid w:val="005F473C"/>
    <w:rsid w:val="005F522A"/>
    <w:rsid w:val="005F54C3"/>
    <w:rsid w:val="005F6E72"/>
    <w:rsid w:val="0060219F"/>
    <w:rsid w:val="0060368E"/>
    <w:rsid w:val="00604376"/>
    <w:rsid w:val="00606ADA"/>
    <w:rsid w:val="006071E4"/>
    <w:rsid w:val="00610964"/>
    <w:rsid w:val="0061245E"/>
    <w:rsid w:val="00612C00"/>
    <w:rsid w:val="00613AAD"/>
    <w:rsid w:val="00614AC1"/>
    <w:rsid w:val="00621547"/>
    <w:rsid w:val="00622418"/>
    <w:rsid w:val="00623984"/>
    <w:rsid w:val="0062434E"/>
    <w:rsid w:val="006267B2"/>
    <w:rsid w:val="0063123B"/>
    <w:rsid w:val="00631500"/>
    <w:rsid w:val="006349C6"/>
    <w:rsid w:val="006360CB"/>
    <w:rsid w:val="0063626D"/>
    <w:rsid w:val="00637464"/>
    <w:rsid w:val="006407B5"/>
    <w:rsid w:val="00642720"/>
    <w:rsid w:val="00642D6F"/>
    <w:rsid w:val="00643E6C"/>
    <w:rsid w:val="006455B2"/>
    <w:rsid w:val="006455F3"/>
    <w:rsid w:val="00647990"/>
    <w:rsid w:val="006528C9"/>
    <w:rsid w:val="00654B42"/>
    <w:rsid w:val="00655EF2"/>
    <w:rsid w:val="00656625"/>
    <w:rsid w:val="00665909"/>
    <w:rsid w:val="00666AFD"/>
    <w:rsid w:val="006673D1"/>
    <w:rsid w:val="006715B5"/>
    <w:rsid w:val="00672F87"/>
    <w:rsid w:val="006761B3"/>
    <w:rsid w:val="00677275"/>
    <w:rsid w:val="00680544"/>
    <w:rsid w:val="00685E0F"/>
    <w:rsid w:val="006903EF"/>
    <w:rsid w:val="00690654"/>
    <w:rsid w:val="00691181"/>
    <w:rsid w:val="00692CBD"/>
    <w:rsid w:val="006945F5"/>
    <w:rsid w:val="006947E3"/>
    <w:rsid w:val="00695ACD"/>
    <w:rsid w:val="006966F5"/>
    <w:rsid w:val="006972AD"/>
    <w:rsid w:val="00697FD4"/>
    <w:rsid w:val="006A5009"/>
    <w:rsid w:val="006A55A8"/>
    <w:rsid w:val="006A582F"/>
    <w:rsid w:val="006B23F0"/>
    <w:rsid w:val="006B2BFC"/>
    <w:rsid w:val="006B6EB7"/>
    <w:rsid w:val="006B7D01"/>
    <w:rsid w:val="006B7FAA"/>
    <w:rsid w:val="006C4A16"/>
    <w:rsid w:val="006C5533"/>
    <w:rsid w:val="006D161F"/>
    <w:rsid w:val="006D214D"/>
    <w:rsid w:val="006D22B3"/>
    <w:rsid w:val="006D4955"/>
    <w:rsid w:val="006D5498"/>
    <w:rsid w:val="006D5846"/>
    <w:rsid w:val="006D5E10"/>
    <w:rsid w:val="006D6596"/>
    <w:rsid w:val="006D660F"/>
    <w:rsid w:val="006D75EA"/>
    <w:rsid w:val="006E10A5"/>
    <w:rsid w:val="006E1CD0"/>
    <w:rsid w:val="006E57AE"/>
    <w:rsid w:val="006E5D9C"/>
    <w:rsid w:val="006E68A7"/>
    <w:rsid w:val="006F18EE"/>
    <w:rsid w:val="006F3053"/>
    <w:rsid w:val="006F3F08"/>
    <w:rsid w:val="006F6B7F"/>
    <w:rsid w:val="006F6D6C"/>
    <w:rsid w:val="007002C8"/>
    <w:rsid w:val="00701793"/>
    <w:rsid w:val="007019DD"/>
    <w:rsid w:val="00702157"/>
    <w:rsid w:val="0070543C"/>
    <w:rsid w:val="00705875"/>
    <w:rsid w:val="007066A0"/>
    <w:rsid w:val="00706B0F"/>
    <w:rsid w:val="0070739A"/>
    <w:rsid w:val="00711F89"/>
    <w:rsid w:val="00715C56"/>
    <w:rsid w:val="0071603A"/>
    <w:rsid w:val="00716E94"/>
    <w:rsid w:val="0072195E"/>
    <w:rsid w:val="00725B35"/>
    <w:rsid w:val="007279EB"/>
    <w:rsid w:val="00731599"/>
    <w:rsid w:val="00731C06"/>
    <w:rsid w:val="007324BC"/>
    <w:rsid w:val="0073266A"/>
    <w:rsid w:val="00733BD9"/>
    <w:rsid w:val="00736546"/>
    <w:rsid w:val="00737007"/>
    <w:rsid w:val="00737861"/>
    <w:rsid w:val="0074022E"/>
    <w:rsid w:val="00747C17"/>
    <w:rsid w:val="00747F6F"/>
    <w:rsid w:val="00747F81"/>
    <w:rsid w:val="007517A7"/>
    <w:rsid w:val="00751AB4"/>
    <w:rsid w:val="007527AE"/>
    <w:rsid w:val="007531F7"/>
    <w:rsid w:val="00754F6A"/>
    <w:rsid w:val="00757113"/>
    <w:rsid w:val="0075744E"/>
    <w:rsid w:val="0076179F"/>
    <w:rsid w:val="00761E60"/>
    <w:rsid w:val="00762586"/>
    <w:rsid w:val="00762D8D"/>
    <w:rsid w:val="00763723"/>
    <w:rsid w:val="00763AC1"/>
    <w:rsid w:val="00763C6E"/>
    <w:rsid w:val="00763C99"/>
    <w:rsid w:val="007659E7"/>
    <w:rsid w:val="00766660"/>
    <w:rsid w:val="00766C44"/>
    <w:rsid w:val="0077526D"/>
    <w:rsid w:val="00775890"/>
    <w:rsid w:val="00775D65"/>
    <w:rsid w:val="007777E1"/>
    <w:rsid w:val="007825DA"/>
    <w:rsid w:val="007827BA"/>
    <w:rsid w:val="00782BC1"/>
    <w:rsid w:val="0078336D"/>
    <w:rsid w:val="00783D1B"/>
    <w:rsid w:val="00784099"/>
    <w:rsid w:val="007841B6"/>
    <w:rsid w:val="0078446F"/>
    <w:rsid w:val="00787B77"/>
    <w:rsid w:val="00787FED"/>
    <w:rsid w:val="00790ED2"/>
    <w:rsid w:val="007926E7"/>
    <w:rsid w:val="00792B97"/>
    <w:rsid w:val="00794118"/>
    <w:rsid w:val="007941AE"/>
    <w:rsid w:val="007945C8"/>
    <w:rsid w:val="00795F73"/>
    <w:rsid w:val="00797C6E"/>
    <w:rsid w:val="007A48E0"/>
    <w:rsid w:val="007A5193"/>
    <w:rsid w:val="007A5CEF"/>
    <w:rsid w:val="007B012C"/>
    <w:rsid w:val="007B2AD9"/>
    <w:rsid w:val="007B3BDB"/>
    <w:rsid w:val="007B3BEC"/>
    <w:rsid w:val="007B6A74"/>
    <w:rsid w:val="007B6D39"/>
    <w:rsid w:val="007B7495"/>
    <w:rsid w:val="007B79EE"/>
    <w:rsid w:val="007C1276"/>
    <w:rsid w:val="007C2AA1"/>
    <w:rsid w:val="007C32B5"/>
    <w:rsid w:val="007C665F"/>
    <w:rsid w:val="007C6A37"/>
    <w:rsid w:val="007C76D9"/>
    <w:rsid w:val="007D045A"/>
    <w:rsid w:val="007D1E07"/>
    <w:rsid w:val="007D2EE0"/>
    <w:rsid w:val="007D34F9"/>
    <w:rsid w:val="007D48DB"/>
    <w:rsid w:val="007D7C8E"/>
    <w:rsid w:val="007E1CF9"/>
    <w:rsid w:val="007E49ED"/>
    <w:rsid w:val="007E4FBB"/>
    <w:rsid w:val="007E6453"/>
    <w:rsid w:val="007E716A"/>
    <w:rsid w:val="007F18EA"/>
    <w:rsid w:val="007F265C"/>
    <w:rsid w:val="007F31CB"/>
    <w:rsid w:val="007F6633"/>
    <w:rsid w:val="007F731E"/>
    <w:rsid w:val="008002C2"/>
    <w:rsid w:val="00800EE9"/>
    <w:rsid w:val="0080192E"/>
    <w:rsid w:val="0080324E"/>
    <w:rsid w:val="00803485"/>
    <w:rsid w:val="00803649"/>
    <w:rsid w:val="008044F9"/>
    <w:rsid w:val="008054D2"/>
    <w:rsid w:val="008057A5"/>
    <w:rsid w:val="008060A8"/>
    <w:rsid w:val="00807422"/>
    <w:rsid w:val="008104E5"/>
    <w:rsid w:val="008137CE"/>
    <w:rsid w:val="008160B2"/>
    <w:rsid w:val="00816E08"/>
    <w:rsid w:val="0082019F"/>
    <w:rsid w:val="008214D6"/>
    <w:rsid w:val="008227D4"/>
    <w:rsid w:val="00823A51"/>
    <w:rsid w:val="00824824"/>
    <w:rsid w:val="008265E0"/>
    <w:rsid w:val="00830E64"/>
    <w:rsid w:val="00830F5F"/>
    <w:rsid w:val="00836E95"/>
    <w:rsid w:val="0084578F"/>
    <w:rsid w:val="008507B0"/>
    <w:rsid w:val="00851C73"/>
    <w:rsid w:val="00853954"/>
    <w:rsid w:val="00854428"/>
    <w:rsid w:val="00854762"/>
    <w:rsid w:val="00855F7B"/>
    <w:rsid w:val="00860CD6"/>
    <w:rsid w:val="00861A58"/>
    <w:rsid w:val="008653E2"/>
    <w:rsid w:val="008666D6"/>
    <w:rsid w:val="00867CFE"/>
    <w:rsid w:val="00870843"/>
    <w:rsid w:val="00871384"/>
    <w:rsid w:val="00871687"/>
    <w:rsid w:val="008721B2"/>
    <w:rsid w:val="008775A7"/>
    <w:rsid w:val="00880335"/>
    <w:rsid w:val="008820A0"/>
    <w:rsid w:val="00882C00"/>
    <w:rsid w:val="00886053"/>
    <w:rsid w:val="00887A35"/>
    <w:rsid w:val="008911B6"/>
    <w:rsid w:val="008916C3"/>
    <w:rsid w:val="008917B3"/>
    <w:rsid w:val="00892695"/>
    <w:rsid w:val="00893B2F"/>
    <w:rsid w:val="00894031"/>
    <w:rsid w:val="00895542"/>
    <w:rsid w:val="0089777B"/>
    <w:rsid w:val="008A07B3"/>
    <w:rsid w:val="008A1B40"/>
    <w:rsid w:val="008A3DCF"/>
    <w:rsid w:val="008A414E"/>
    <w:rsid w:val="008A7D32"/>
    <w:rsid w:val="008B00EA"/>
    <w:rsid w:val="008B1707"/>
    <w:rsid w:val="008B5ECB"/>
    <w:rsid w:val="008B7C33"/>
    <w:rsid w:val="008C0580"/>
    <w:rsid w:val="008C0952"/>
    <w:rsid w:val="008C17F1"/>
    <w:rsid w:val="008C2C93"/>
    <w:rsid w:val="008C37D8"/>
    <w:rsid w:val="008C40C1"/>
    <w:rsid w:val="008C50E7"/>
    <w:rsid w:val="008C549D"/>
    <w:rsid w:val="008C7414"/>
    <w:rsid w:val="008D01D6"/>
    <w:rsid w:val="008D080C"/>
    <w:rsid w:val="008D1265"/>
    <w:rsid w:val="008D1E79"/>
    <w:rsid w:val="008D28CB"/>
    <w:rsid w:val="008D2BA3"/>
    <w:rsid w:val="008D3D9D"/>
    <w:rsid w:val="008D6789"/>
    <w:rsid w:val="008E1D9F"/>
    <w:rsid w:val="008E4E7F"/>
    <w:rsid w:val="008E63A9"/>
    <w:rsid w:val="008F1210"/>
    <w:rsid w:val="008F23F2"/>
    <w:rsid w:val="008F27F3"/>
    <w:rsid w:val="008F2A13"/>
    <w:rsid w:val="008F3DFF"/>
    <w:rsid w:val="008F52D8"/>
    <w:rsid w:val="009025B6"/>
    <w:rsid w:val="0090502B"/>
    <w:rsid w:val="00905481"/>
    <w:rsid w:val="00907ADB"/>
    <w:rsid w:val="00912A38"/>
    <w:rsid w:val="009137D9"/>
    <w:rsid w:val="00914721"/>
    <w:rsid w:val="00914F84"/>
    <w:rsid w:val="00915016"/>
    <w:rsid w:val="0092027A"/>
    <w:rsid w:val="00920AF8"/>
    <w:rsid w:val="00927834"/>
    <w:rsid w:val="00932BBC"/>
    <w:rsid w:val="00934856"/>
    <w:rsid w:val="0094027E"/>
    <w:rsid w:val="00940C8C"/>
    <w:rsid w:val="00941A7D"/>
    <w:rsid w:val="009424B4"/>
    <w:rsid w:val="009424F4"/>
    <w:rsid w:val="00943B0A"/>
    <w:rsid w:val="00943C81"/>
    <w:rsid w:val="00944899"/>
    <w:rsid w:val="00945039"/>
    <w:rsid w:val="0094545F"/>
    <w:rsid w:val="0094783A"/>
    <w:rsid w:val="00947C61"/>
    <w:rsid w:val="0095064E"/>
    <w:rsid w:val="00951162"/>
    <w:rsid w:val="009514C7"/>
    <w:rsid w:val="00956016"/>
    <w:rsid w:val="00961FE5"/>
    <w:rsid w:val="0096664D"/>
    <w:rsid w:val="00967B11"/>
    <w:rsid w:val="00967BFB"/>
    <w:rsid w:val="009705D8"/>
    <w:rsid w:val="00970EDD"/>
    <w:rsid w:val="0097112B"/>
    <w:rsid w:val="00971BC8"/>
    <w:rsid w:val="009724FB"/>
    <w:rsid w:val="00974781"/>
    <w:rsid w:val="00974B51"/>
    <w:rsid w:val="00976C2A"/>
    <w:rsid w:val="00977740"/>
    <w:rsid w:val="00977FB8"/>
    <w:rsid w:val="009818AD"/>
    <w:rsid w:val="00987F12"/>
    <w:rsid w:val="009902B0"/>
    <w:rsid w:val="00990508"/>
    <w:rsid w:val="009911DD"/>
    <w:rsid w:val="00991E5F"/>
    <w:rsid w:val="009927DC"/>
    <w:rsid w:val="00993814"/>
    <w:rsid w:val="00995185"/>
    <w:rsid w:val="009A05A1"/>
    <w:rsid w:val="009A2BC5"/>
    <w:rsid w:val="009A5D8C"/>
    <w:rsid w:val="009B03CB"/>
    <w:rsid w:val="009B0C23"/>
    <w:rsid w:val="009B301E"/>
    <w:rsid w:val="009B3828"/>
    <w:rsid w:val="009B4B36"/>
    <w:rsid w:val="009B6D25"/>
    <w:rsid w:val="009B781E"/>
    <w:rsid w:val="009B7BB3"/>
    <w:rsid w:val="009C04CD"/>
    <w:rsid w:val="009C074C"/>
    <w:rsid w:val="009C0BD4"/>
    <w:rsid w:val="009C4582"/>
    <w:rsid w:val="009C61BD"/>
    <w:rsid w:val="009C6475"/>
    <w:rsid w:val="009C65E3"/>
    <w:rsid w:val="009C7758"/>
    <w:rsid w:val="009D2417"/>
    <w:rsid w:val="009D33F1"/>
    <w:rsid w:val="009D3643"/>
    <w:rsid w:val="009D4EFB"/>
    <w:rsid w:val="009D6736"/>
    <w:rsid w:val="009E1032"/>
    <w:rsid w:val="009E12F4"/>
    <w:rsid w:val="009E550E"/>
    <w:rsid w:val="009F02C6"/>
    <w:rsid w:val="009F42D7"/>
    <w:rsid w:val="009F5F56"/>
    <w:rsid w:val="009F6A82"/>
    <w:rsid w:val="009F7036"/>
    <w:rsid w:val="009F79A7"/>
    <w:rsid w:val="00A00C0E"/>
    <w:rsid w:val="00A019AC"/>
    <w:rsid w:val="00A01A1F"/>
    <w:rsid w:val="00A04DE8"/>
    <w:rsid w:val="00A05164"/>
    <w:rsid w:val="00A05557"/>
    <w:rsid w:val="00A07F5A"/>
    <w:rsid w:val="00A12B9A"/>
    <w:rsid w:val="00A14613"/>
    <w:rsid w:val="00A16477"/>
    <w:rsid w:val="00A16E3E"/>
    <w:rsid w:val="00A17962"/>
    <w:rsid w:val="00A20C65"/>
    <w:rsid w:val="00A20F3F"/>
    <w:rsid w:val="00A22BFB"/>
    <w:rsid w:val="00A263A9"/>
    <w:rsid w:val="00A26ABE"/>
    <w:rsid w:val="00A26DBE"/>
    <w:rsid w:val="00A275CC"/>
    <w:rsid w:val="00A342B3"/>
    <w:rsid w:val="00A346CF"/>
    <w:rsid w:val="00A34837"/>
    <w:rsid w:val="00A3515F"/>
    <w:rsid w:val="00A3668B"/>
    <w:rsid w:val="00A41155"/>
    <w:rsid w:val="00A4472C"/>
    <w:rsid w:val="00A45A81"/>
    <w:rsid w:val="00A45FCA"/>
    <w:rsid w:val="00A52BC2"/>
    <w:rsid w:val="00A53293"/>
    <w:rsid w:val="00A54BCA"/>
    <w:rsid w:val="00A554AD"/>
    <w:rsid w:val="00A56BC5"/>
    <w:rsid w:val="00A60D07"/>
    <w:rsid w:val="00A61B1E"/>
    <w:rsid w:val="00A63D10"/>
    <w:rsid w:val="00A64CA8"/>
    <w:rsid w:val="00A67FF6"/>
    <w:rsid w:val="00A72AF9"/>
    <w:rsid w:val="00A743D6"/>
    <w:rsid w:val="00A770BA"/>
    <w:rsid w:val="00A83A8A"/>
    <w:rsid w:val="00A8404E"/>
    <w:rsid w:val="00A845D3"/>
    <w:rsid w:val="00A85344"/>
    <w:rsid w:val="00A86B08"/>
    <w:rsid w:val="00A8706D"/>
    <w:rsid w:val="00A8754C"/>
    <w:rsid w:val="00A87A18"/>
    <w:rsid w:val="00A87D7C"/>
    <w:rsid w:val="00A922E8"/>
    <w:rsid w:val="00A9329C"/>
    <w:rsid w:val="00A95F02"/>
    <w:rsid w:val="00AA0828"/>
    <w:rsid w:val="00AA3A63"/>
    <w:rsid w:val="00AA438E"/>
    <w:rsid w:val="00AA48DE"/>
    <w:rsid w:val="00AA6049"/>
    <w:rsid w:val="00AB0264"/>
    <w:rsid w:val="00AB11B1"/>
    <w:rsid w:val="00AB11D3"/>
    <w:rsid w:val="00AB1A05"/>
    <w:rsid w:val="00AB2C22"/>
    <w:rsid w:val="00AB3D7C"/>
    <w:rsid w:val="00AB4DBA"/>
    <w:rsid w:val="00AB669D"/>
    <w:rsid w:val="00AB7C01"/>
    <w:rsid w:val="00AC0C80"/>
    <w:rsid w:val="00AC26D2"/>
    <w:rsid w:val="00AC6FC0"/>
    <w:rsid w:val="00AD03A1"/>
    <w:rsid w:val="00AD1053"/>
    <w:rsid w:val="00AD1571"/>
    <w:rsid w:val="00AD338E"/>
    <w:rsid w:val="00AD36FD"/>
    <w:rsid w:val="00AD4B4E"/>
    <w:rsid w:val="00AD6BBC"/>
    <w:rsid w:val="00AD6E83"/>
    <w:rsid w:val="00AE32D1"/>
    <w:rsid w:val="00AE334B"/>
    <w:rsid w:val="00AE43A5"/>
    <w:rsid w:val="00AE6836"/>
    <w:rsid w:val="00AE70E5"/>
    <w:rsid w:val="00AF33EC"/>
    <w:rsid w:val="00AF5130"/>
    <w:rsid w:val="00B006D1"/>
    <w:rsid w:val="00B0153A"/>
    <w:rsid w:val="00B015CB"/>
    <w:rsid w:val="00B01AB0"/>
    <w:rsid w:val="00B01D43"/>
    <w:rsid w:val="00B026C2"/>
    <w:rsid w:val="00B0395B"/>
    <w:rsid w:val="00B03F31"/>
    <w:rsid w:val="00B06A32"/>
    <w:rsid w:val="00B06B5B"/>
    <w:rsid w:val="00B07F04"/>
    <w:rsid w:val="00B1374C"/>
    <w:rsid w:val="00B14911"/>
    <w:rsid w:val="00B14CE3"/>
    <w:rsid w:val="00B15008"/>
    <w:rsid w:val="00B176F8"/>
    <w:rsid w:val="00B17A8B"/>
    <w:rsid w:val="00B211B0"/>
    <w:rsid w:val="00B21B3C"/>
    <w:rsid w:val="00B22D82"/>
    <w:rsid w:val="00B22FD0"/>
    <w:rsid w:val="00B278E0"/>
    <w:rsid w:val="00B32296"/>
    <w:rsid w:val="00B32805"/>
    <w:rsid w:val="00B33616"/>
    <w:rsid w:val="00B348D7"/>
    <w:rsid w:val="00B34E4B"/>
    <w:rsid w:val="00B3556A"/>
    <w:rsid w:val="00B36323"/>
    <w:rsid w:val="00B36538"/>
    <w:rsid w:val="00B400EB"/>
    <w:rsid w:val="00B40E6C"/>
    <w:rsid w:val="00B42C68"/>
    <w:rsid w:val="00B46F80"/>
    <w:rsid w:val="00B472B0"/>
    <w:rsid w:val="00B47C29"/>
    <w:rsid w:val="00B505D8"/>
    <w:rsid w:val="00B50B05"/>
    <w:rsid w:val="00B5197B"/>
    <w:rsid w:val="00B52FFC"/>
    <w:rsid w:val="00B543B1"/>
    <w:rsid w:val="00B61533"/>
    <w:rsid w:val="00B61DF1"/>
    <w:rsid w:val="00B642BC"/>
    <w:rsid w:val="00B64C95"/>
    <w:rsid w:val="00B672A5"/>
    <w:rsid w:val="00B75EA2"/>
    <w:rsid w:val="00B76041"/>
    <w:rsid w:val="00B773EE"/>
    <w:rsid w:val="00B77D7A"/>
    <w:rsid w:val="00B83CEE"/>
    <w:rsid w:val="00B8487A"/>
    <w:rsid w:val="00B84A94"/>
    <w:rsid w:val="00B91244"/>
    <w:rsid w:val="00B93418"/>
    <w:rsid w:val="00B93A8B"/>
    <w:rsid w:val="00B95177"/>
    <w:rsid w:val="00B9524E"/>
    <w:rsid w:val="00B95819"/>
    <w:rsid w:val="00B95F15"/>
    <w:rsid w:val="00B9680D"/>
    <w:rsid w:val="00B96D2F"/>
    <w:rsid w:val="00B96DEB"/>
    <w:rsid w:val="00BA112B"/>
    <w:rsid w:val="00BA2260"/>
    <w:rsid w:val="00BA291E"/>
    <w:rsid w:val="00BA5384"/>
    <w:rsid w:val="00BA575B"/>
    <w:rsid w:val="00BA5B96"/>
    <w:rsid w:val="00BA5E11"/>
    <w:rsid w:val="00BA76E1"/>
    <w:rsid w:val="00BB1700"/>
    <w:rsid w:val="00BB3949"/>
    <w:rsid w:val="00BB5697"/>
    <w:rsid w:val="00BB60CF"/>
    <w:rsid w:val="00BB767B"/>
    <w:rsid w:val="00BB7857"/>
    <w:rsid w:val="00BC1A9B"/>
    <w:rsid w:val="00BC5766"/>
    <w:rsid w:val="00BC68E4"/>
    <w:rsid w:val="00BC6A7B"/>
    <w:rsid w:val="00BD0D15"/>
    <w:rsid w:val="00BD0E01"/>
    <w:rsid w:val="00BD31B2"/>
    <w:rsid w:val="00BD7561"/>
    <w:rsid w:val="00BD7CA5"/>
    <w:rsid w:val="00BE2BD3"/>
    <w:rsid w:val="00BE35B2"/>
    <w:rsid w:val="00BE46B8"/>
    <w:rsid w:val="00BE6592"/>
    <w:rsid w:val="00BE679B"/>
    <w:rsid w:val="00BE6D8F"/>
    <w:rsid w:val="00BF0C66"/>
    <w:rsid w:val="00BF243B"/>
    <w:rsid w:val="00BF3AFC"/>
    <w:rsid w:val="00BF5AA7"/>
    <w:rsid w:val="00C00ED1"/>
    <w:rsid w:val="00C0306D"/>
    <w:rsid w:val="00C03CA8"/>
    <w:rsid w:val="00C04A78"/>
    <w:rsid w:val="00C106D2"/>
    <w:rsid w:val="00C12856"/>
    <w:rsid w:val="00C1453C"/>
    <w:rsid w:val="00C150D8"/>
    <w:rsid w:val="00C17D13"/>
    <w:rsid w:val="00C20EDC"/>
    <w:rsid w:val="00C24BA7"/>
    <w:rsid w:val="00C25BC0"/>
    <w:rsid w:val="00C266D2"/>
    <w:rsid w:val="00C26AC5"/>
    <w:rsid w:val="00C275CF"/>
    <w:rsid w:val="00C2788F"/>
    <w:rsid w:val="00C323C7"/>
    <w:rsid w:val="00C3453D"/>
    <w:rsid w:val="00C3569F"/>
    <w:rsid w:val="00C37D37"/>
    <w:rsid w:val="00C37F87"/>
    <w:rsid w:val="00C423B9"/>
    <w:rsid w:val="00C44708"/>
    <w:rsid w:val="00C44BA8"/>
    <w:rsid w:val="00C45BCF"/>
    <w:rsid w:val="00C47560"/>
    <w:rsid w:val="00C50AAA"/>
    <w:rsid w:val="00C52847"/>
    <w:rsid w:val="00C575D0"/>
    <w:rsid w:val="00C63AEF"/>
    <w:rsid w:val="00C64618"/>
    <w:rsid w:val="00C648F3"/>
    <w:rsid w:val="00C65209"/>
    <w:rsid w:val="00C67953"/>
    <w:rsid w:val="00C703F3"/>
    <w:rsid w:val="00C711E8"/>
    <w:rsid w:val="00C71B11"/>
    <w:rsid w:val="00C74D5B"/>
    <w:rsid w:val="00C766CA"/>
    <w:rsid w:val="00C7706F"/>
    <w:rsid w:val="00C772D8"/>
    <w:rsid w:val="00C777AB"/>
    <w:rsid w:val="00C842B6"/>
    <w:rsid w:val="00C844AA"/>
    <w:rsid w:val="00C856BC"/>
    <w:rsid w:val="00C858A7"/>
    <w:rsid w:val="00C9084F"/>
    <w:rsid w:val="00C91A85"/>
    <w:rsid w:val="00C928A3"/>
    <w:rsid w:val="00C93634"/>
    <w:rsid w:val="00C939A1"/>
    <w:rsid w:val="00C94046"/>
    <w:rsid w:val="00C949BE"/>
    <w:rsid w:val="00C9706F"/>
    <w:rsid w:val="00CA03C1"/>
    <w:rsid w:val="00CA0738"/>
    <w:rsid w:val="00CA0A10"/>
    <w:rsid w:val="00CA0E27"/>
    <w:rsid w:val="00CA4BD1"/>
    <w:rsid w:val="00CA69D1"/>
    <w:rsid w:val="00CA6B53"/>
    <w:rsid w:val="00CB04AF"/>
    <w:rsid w:val="00CB33BC"/>
    <w:rsid w:val="00CB7D35"/>
    <w:rsid w:val="00CC2D05"/>
    <w:rsid w:val="00CC371C"/>
    <w:rsid w:val="00CC6498"/>
    <w:rsid w:val="00CC6AFE"/>
    <w:rsid w:val="00CC7262"/>
    <w:rsid w:val="00CC7588"/>
    <w:rsid w:val="00CD2132"/>
    <w:rsid w:val="00CD2FA7"/>
    <w:rsid w:val="00CD33A2"/>
    <w:rsid w:val="00CD3A49"/>
    <w:rsid w:val="00CD47D8"/>
    <w:rsid w:val="00CE0007"/>
    <w:rsid w:val="00CE0B2F"/>
    <w:rsid w:val="00CE3A52"/>
    <w:rsid w:val="00CF009A"/>
    <w:rsid w:val="00CF015E"/>
    <w:rsid w:val="00CF3DC9"/>
    <w:rsid w:val="00CF44FB"/>
    <w:rsid w:val="00CF7975"/>
    <w:rsid w:val="00D00C64"/>
    <w:rsid w:val="00D040D7"/>
    <w:rsid w:val="00D04DAB"/>
    <w:rsid w:val="00D04F67"/>
    <w:rsid w:val="00D05F37"/>
    <w:rsid w:val="00D06A86"/>
    <w:rsid w:val="00D10225"/>
    <w:rsid w:val="00D11DD0"/>
    <w:rsid w:val="00D12331"/>
    <w:rsid w:val="00D13594"/>
    <w:rsid w:val="00D137A5"/>
    <w:rsid w:val="00D15089"/>
    <w:rsid w:val="00D15683"/>
    <w:rsid w:val="00D1600F"/>
    <w:rsid w:val="00D16324"/>
    <w:rsid w:val="00D17ABF"/>
    <w:rsid w:val="00D23B36"/>
    <w:rsid w:val="00D23B9A"/>
    <w:rsid w:val="00D342BC"/>
    <w:rsid w:val="00D371A8"/>
    <w:rsid w:val="00D37636"/>
    <w:rsid w:val="00D4109E"/>
    <w:rsid w:val="00D41632"/>
    <w:rsid w:val="00D42639"/>
    <w:rsid w:val="00D44CED"/>
    <w:rsid w:val="00D45813"/>
    <w:rsid w:val="00D46225"/>
    <w:rsid w:val="00D4763F"/>
    <w:rsid w:val="00D47A64"/>
    <w:rsid w:val="00D50B3E"/>
    <w:rsid w:val="00D50F1C"/>
    <w:rsid w:val="00D51B90"/>
    <w:rsid w:val="00D51FEF"/>
    <w:rsid w:val="00D545A3"/>
    <w:rsid w:val="00D57B5A"/>
    <w:rsid w:val="00D6080B"/>
    <w:rsid w:val="00D61752"/>
    <w:rsid w:val="00D6202C"/>
    <w:rsid w:val="00D62BB0"/>
    <w:rsid w:val="00D6528C"/>
    <w:rsid w:val="00D65695"/>
    <w:rsid w:val="00D665D0"/>
    <w:rsid w:val="00D6677E"/>
    <w:rsid w:val="00D67530"/>
    <w:rsid w:val="00D67A6F"/>
    <w:rsid w:val="00D71539"/>
    <w:rsid w:val="00D71FDA"/>
    <w:rsid w:val="00D72809"/>
    <w:rsid w:val="00D74AF2"/>
    <w:rsid w:val="00D7583B"/>
    <w:rsid w:val="00D7625F"/>
    <w:rsid w:val="00D7715A"/>
    <w:rsid w:val="00D840F0"/>
    <w:rsid w:val="00D84ABB"/>
    <w:rsid w:val="00D85B08"/>
    <w:rsid w:val="00D9078D"/>
    <w:rsid w:val="00D9154E"/>
    <w:rsid w:val="00D95FC7"/>
    <w:rsid w:val="00D96E10"/>
    <w:rsid w:val="00D9716E"/>
    <w:rsid w:val="00DA0152"/>
    <w:rsid w:val="00DA0AB1"/>
    <w:rsid w:val="00DA12A4"/>
    <w:rsid w:val="00DA1362"/>
    <w:rsid w:val="00DA1945"/>
    <w:rsid w:val="00DA1EC9"/>
    <w:rsid w:val="00DA2F19"/>
    <w:rsid w:val="00DA4EFB"/>
    <w:rsid w:val="00DA5B39"/>
    <w:rsid w:val="00DB0AD9"/>
    <w:rsid w:val="00DB217E"/>
    <w:rsid w:val="00DB2181"/>
    <w:rsid w:val="00DB2B0A"/>
    <w:rsid w:val="00DB4021"/>
    <w:rsid w:val="00DB4BB9"/>
    <w:rsid w:val="00DB4E59"/>
    <w:rsid w:val="00DB4F2B"/>
    <w:rsid w:val="00DB72D0"/>
    <w:rsid w:val="00DC018D"/>
    <w:rsid w:val="00DC35FA"/>
    <w:rsid w:val="00DC3A53"/>
    <w:rsid w:val="00DC3DD5"/>
    <w:rsid w:val="00DC60B3"/>
    <w:rsid w:val="00DD0AEF"/>
    <w:rsid w:val="00DD202D"/>
    <w:rsid w:val="00DD3B49"/>
    <w:rsid w:val="00DD4A6C"/>
    <w:rsid w:val="00DD4F3C"/>
    <w:rsid w:val="00DD718C"/>
    <w:rsid w:val="00DE15E5"/>
    <w:rsid w:val="00DE1BFB"/>
    <w:rsid w:val="00DE1C51"/>
    <w:rsid w:val="00DE2CF5"/>
    <w:rsid w:val="00DE330A"/>
    <w:rsid w:val="00DE6E58"/>
    <w:rsid w:val="00DE720D"/>
    <w:rsid w:val="00DF0BA6"/>
    <w:rsid w:val="00DF0CE4"/>
    <w:rsid w:val="00DF33B2"/>
    <w:rsid w:val="00DF4AA2"/>
    <w:rsid w:val="00DF5C29"/>
    <w:rsid w:val="00DF6C9C"/>
    <w:rsid w:val="00DF6F43"/>
    <w:rsid w:val="00E0033D"/>
    <w:rsid w:val="00E008A3"/>
    <w:rsid w:val="00E00E36"/>
    <w:rsid w:val="00E01951"/>
    <w:rsid w:val="00E06F9D"/>
    <w:rsid w:val="00E0755C"/>
    <w:rsid w:val="00E14349"/>
    <w:rsid w:val="00E144E6"/>
    <w:rsid w:val="00E147BE"/>
    <w:rsid w:val="00E14D82"/>
    <w:rsid w:val="00E1525D"/>
    <w:rsid w:val="00E20C96"/>
    <w:rsid w:val="00E23B80"/>
    <w:rsid w:val="00E264F3"/>
    <w:rsid w:val="00E272BB"/>
    <w:rsid w:val="00E30F58"/>
    <w:rsid w:val="00E36B05"/>
    <w:rsid w:val="00E36E86"/>
    <w:rsid w:val="00E36ECB"/>
    <w:rsid w:val="00E37CD5"/>
    <w:rsid w:val="00E44782"/>
    <w:rsid w:val="00E45A06"/>
    <w:rsid w:val="00E47E55"/>
    <w:rsid w:val="00E47F81"/>
    <w:rsid w:val="00E50251"/>
    <w:rsid w:val="00E50A85"/>
    <w:rsid w:val="00E50E25"/>
    <w:rsid w:val="00E50E6F"/>
    <w:rsid w:val="00E50FF3"/>
    <w:rsid w:val="00E53609"/>
    <w:rsid w:val="00E5383B"/>
    <w:rsid w:val="00E53D06"/>
    <w:rsid w:val="00E56E35"/>
    <w:rsid w:val="00E62C25"/>
    <w:rsid w:val="00E64E0C"/>
    <w:rsid w:val="00E65416"/>
    <w:rsid w:val="00E678DE"/>
    <w:rsid w:val="00E67B85"/>
    <w:rsid w:val="00E705AB"/>
    <w:rsid w:val="00E70A79"/>
    <w:rsid w:val="00E75FFB"/>
    <w:rsid w:val="00E76271"/>
    <w:rsid w:val="00E76417"/>
    <w:rsid w:val="00E76487"/>
    <w:rsid w:val="00E77D78"/>
    <w:rsid w:val="00E829D0"/>
    <w:rsid w:val="00E861D0"/>
    <w:rsid w:val="00E867D9"/>
    <w:rsid w:val="00E86D36"/>
    <w:rsid w:val="00E86FEA"/>
    <w:rsid w:val="00E87E4D"/>
    <w:rsid w:val="00E92916"/>
    <w:rsid w:val="00E92A33"/>
    <w:rsid w:val="00E937BE"/>
    <w:rsid w:val="00E93E57"/>
    <w:rsid w:val="00E95340"/>
    <w:rsid w:val="00E9567A"/>
    <w:rsid w:val="00EA0446"/>
    <w:rsid w:val="00EA1026"/>
    <w:rsid w:val="00EA2AED"/>
    <w:rsid w:val="00EA2DF3"/>
    <w:rsid w:val="00EA400F"/>
    <w:rsid w:val="00EA40F4"/>
    <w:rsid w:val="00EA4556"/>
    <w:rsid w:val="00EA4694"/>
    <w:rsid w:val="00EA682E"/>
    <w:rsid w:val="00EB06E4"/>
    <w:rsid w:val="00EB405D"/>
    <w:rsid w:val="00EB69BA"/>
    <w:rsid w:val="00EB7A6E"/>
    <w:rsid w:val="00EC11D0"/>
    <w:rsid w:val="00EC2B67"/>
    <w:rsid w:val="00EC2C65"/>
    <w:rsid w:val="00EC30A5"/>
    <w:rsid w:val="00EC40A2"/>
    <w:rsid w:val="00EC4ECD"/>
    <w:rsid w:val="00EC6115"/>
    <w:rsid w:val="00ED327C"/>
    <w:rsid w:val="00ED49EE"/>
    <w:rsid w:val="00ED665B"/>
    <w:rsid w:val="00ED6D23"/>
    <w:rsid w:val="00EE2D02"/>
    <w:rsid w:val="00EE4ABF"/>
    <w:rsid w:val="00EE4BD7"/>
    <w:rsid w:val="00EE7658"/>
    <w:rsid w:val="00EF01E2"/>
    <w:rsid w:val="00EF4414"/>
    <w:rsid w:val="00EF6247"/>
    <w:rsid w:val="00F00FCB"/>
    <w:rsid w:val="00F01B9B"/>
    <w:rsid w:val="00F03158"/>
    <w:rsid w:val="00F05EA2"/>
    <w:rsid w:val="00F06205"/>
    <w:rsid w:val="00F06C5F"/>
    <w:rsid w:val="00F07936"/>
    <w:rsid w:val="00F13277"/>
    <w:rsid w:val="00F21B49"/>
    <w:rsid w:val="00F25675"/>
    <w:rsid w:val="00F25842"/>
    <w:rsid w:val="00F278AA"/>
    <w:rsid w:val="00F31611"/>
    <w:rsid w:val="00F36BF3"/>
    <w:rsid w:val="00F41EF5"/>
    <w:rsid w:val="00F51560"/>
    <w:rsid w:val="00F51E9E"/>
    <w:rsid w:val="00F52A34"/>
    <w:rsid w:val="00F549E4"/>
    <w:rsid w:val="00F5661B"/>
    <w:rsid w:val="00F61610"/>
    <w:rsid w:val="00F619CD"/>
    <w:rsid w:val="00F61CF7"/>
    <w:rsid w:val="00F6366B"/>
    <w:rsid w:val="00F637B7"/>
    <w:rsid w:val="00F63CD7"/>
    <w:rsid w:val="00F65C68"/>
    <w:rsid w:val="00F65CCA"/>
    <w:rsid w:val="00F671C0"/>
    <w:rsid w:val="00F70638"/>
    <w:rsid w:val="00F71870"/>
    <w:rsid w:val="00F72B6E"/>
    <w:rsid w:val="00F7384C"/>
    <w:rsid w:val="00F7630D"/>
    <w:rsid w:val="00F7787A"/>
    <w:rsid w:val="00F77D23"/>
    <w:rsid w:val="00F8035A"/>
    <w:rsid w:val="00F83F39"/>
    <w:rsid w:val="00F84752"/>
    <w:rsid w:val="00F84AA9"/>
    <w:rsid w:val="00F9059C"/>
    <w:rsid w:val="00F90907"/>
    <w:rsid w:val="00F920BA"/>
    <w:rsid w:val="00F93B54"/>
    <w:rsid w:val="00FA027E"/>
    <w:rsid w:val="00FA0B92"/>
    <w:rsid w:val="00FA0CF6"/>
    <w:rsid w:val="00FA198A"/>
    <w:rsid w:val="00FA22B3"/>
    <w:rsid w:val="00FA23D5"/>
    <w:rsid w:val="00FA2739"/>
    <w:rsid w:val="00FA38AC"/>
    <w:rsid w:val="00FA5220"/>
    <w:rsid w:val="00FA55E7"/>
    <w:rsid w:val="00FA592B"/>
    <w:rsid w:val="00FA7217"/>
    <w:rsid w:val="00FA74BA"/>
    <w:rsid w:val="00FA7ACF"/>
    <w:rsid w:val="00FA7EAF"/>
    <w:rsid w:val="00FA7F8F"/>
    <w:rsid w:val="00FB00C5"/>
    <w:rsid w:val="00FB1640"/>
    <w:rsid w:val="00FB2BF1"/>
    <w:rsid w:val="00FB30FD"/>
    <w:rsid w:val="00FB4325"/>
    <w:rsid w:val="00FB4946"/>
    <w:rsid w:val="00FC0A25"/>
    <w:rsid w:val="00FC2C8F"/>
    <w:rsid w:val="00FC2DB4"/>
    <w:rsid w:val="00FC4B76"/>
    <w:rsid w:val="00FC58F0"/>
    <w:rsid w:val="00FC6838"/>
    <w:rsid w:val="00FC6A54"/>
    <w:rsid w:val="00FD0364"/>
    <w:rsid w:val="00FD1737"/>
    <w:rsid w:val="00FD2E17"/>
    <w:rsid w:val="00FD3229"/>
    <w:rsid w:val="00FD56F7"/>
    <w:rsid w:val="00FD5F6F"/>
    <w:rsid w:val="00FD6C2B"/>
    <w:rsid w:val="00FE1C61"/>
    <w:rsid w:val="00FE3CB2"/>
    <w:rsid w:val="00FE3DB5"/>
    <w:rsid w:val="00FE59C2"/>
    <w:rsid w:val="00FE655D"/>
    <w:rsid w:val="00FE6B1A"/>
    <w:rsid w:val="00FF167E"/>
    <w:rsid w:val="00FF1C94"/>
    <w:rsid w:val="00FF4AB3"/>
    <w:rsid w:val="00FF75C7"/>
    <w:rsid w:val="01EBA232"/>
    <w:rsid w:val="0506C9D0"/>
    <w:rsid w:val="0ECB8547"/>
    <w:rsid w:val="236CECAE"/>
    <w:rsid w:val="24E3091D"/>
    <w:rsid w:val="24FF49A2"/>
    <w:rsid w:val="29836976"/>
    <w:rsid w:val="342B8C79"/>
    <w:rsid w:val="36B1BE85"/>
    <w:rsid w:val="3AAFC24A"/>
    <w:rsid w:val="447DF798"/>
    <w:rsid w:val="46241FD7"/>
    <w:rsid w:val="478931D3"/>
    <w:rsid w:val="47EB63A1"/>
    <w:rsid w:val="4AF6FDA2"/>
    <w:rsid w:val="4B14B567"/>
    <w:rsid w:val="6073B4AF"/>
    <w:rsid w:val="62F63787"/>
    <w:rsid w:val="6A95D631"/>
    <w:rsid w:val="6EC7C39A"/>
    <w:rsid w:val="740248AB"/>
    <w:rsid w:val="7828BB32"/>
    <w:rsid w:val="7C4FA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36976"/>
  <w15:chartTrackingRefBased/>
  <w15:docId w15:val="{D877928C-D77E-4845-BFCB-1F80063C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75E2C"/>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575E2C"/>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Bulleted List Paragraph,Resume Bullett,Bullet Points,Bullet Styles para,Dot pt,Indicator Text,List Paragraph - RFP,List Paragraph Char Char Char,List Paragraph1,MAIN CONTENT,No Spacing1,Numbered Para 1,TOC etc.,lp1"/>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F671C0"/>
    <w:pPr>
      <w:keepNext/>
      <w:spacing w:after="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Bulleted List Paragraph Char,Resume Bullett Char,Bullet Points Char,Bullet Styles para Char,Dot pt Char,Indicator Text Char,List Paragraph - RFP Char,List Paragraph Char Char Char Char,List Paragraph1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F671C0"/>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B278E0"/>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Webdings" w:hAnsi="Webdings"/>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hyperlink" Target="https://www.ilsag.info/evaluator-ntg-recommendations-for-2025/" TargetMode="External"/><Relationship Id="rId39" Type="http://schemas.microsoft.com/office/2020/10/relationships/intelligence" Target="intelligence2.xml"/><Relationship Id="rId21" Type="http://schemas.openxmlformats.org/officeDocument/2006/relationships/footer" Target="footer2.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harles.ampong@guidehouse.com" TargetMode="External"/><Relationship Id="rId25" Type="http://schemas.openxmlformats.org/officeDocument/2006/relationships/hyperlink" Target="https://www.ilsag.info/evaluator-ntg-recommendations-for-2025/"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ura.agapay.read@guidehouse.com" TargetMode="External"/><Relationship Id="rId20" Type="http://schemas.openxmlformats.org/officeDocument/2006/relationships/header" Target="header2.xml"/><Relationship Id="rId29" Type="http://schemas.openxmlformats.org/officeDocument/2006/relationships/hyperlink" Target="https://www.ilsag.info/evaluator-ntg-recommendations-for-2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lsag.info/evaluator-ntg-recommendations-for-2025/" TargetMode="External"/><Relationship Id="rId32" Type="http://schemas.openxmlformats.org/officeDocument/2006/relationships/hyperlink" Target="http://www.ilsag.info/technical-reference-manual.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eff.erickson@guidehouse.com" TargetMode="External"/><Relationship Id="rId23" Type="http://schemas.openxmlformats.org/officeDocument/2006/relationships/hyperlink" Target="https://www.ilsag.info/evaluator-ntg-recommendations-for-2025/" TargetMode="External"/><Relationship Id="rId28" Type="http://schemas.openxmlformats.org/officeDocument/2006/relationships/hyperlink" Target="https://www.ilsag.info/evaluator-ntg-recommendations-for-2025/"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ilsag.info/evaluator-ntg-recommendations-for-2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balbis@guidehouse.com" TargetMode="External"/><Relationship Id="rId22" Type="http://schemas.openxmlformats.org/officeDocument/2006/relationships/header" Target="header3.xml"/><Relationship Id="rId27" Type="http://schemas.openxmlformats.org/officeDocument/2006/relationships/hyperlink" Target="http://www.ilsag.info/technical-reference-manual.html" TargetMode="External"/><Relationship Id="rId30" Type="http://schemas.openxmlformats.org/officeDocument/2006/relationships/hyperlink" Target="https://www.ilsag.info/evaluator-ntg-recommendations-for-2025/"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d023fd-748d-47fb-9def-a48ce366a9e6">
      <Terms xmlns="http://schemas.microsoft.com/office/infopath/2007/PartnerControls"/>
    </lcf76f155ced4ddcb4097134ff3c332f>
    <TaxCatchAll xmlns="c7dbb18a-942d-48ab-becb-8e31551bea5d" xsi:nil="true"/>
    <_ip_UnifiedCompliancePolicyUIAction xmlns="http://schemas.microsoft.com/sharepoint/v3" xsi:nil="true"/>
    <ArchiverLinkFileType xmlns="b2d023fd-748d-47fb-9def-a48ce366a9e6"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B6DB4-CE02-46B9-8BFD-E7BF6E043A5B}">
  <ds:schemaRefs>
    <ds:schemaRef ds:uri="http://schemas.microsoft.com/office/2006/metadata/properties"/>
    <ds:schemaRef ds:uri="http://schemas.microsoft.com/office/infopath/2007/PartnerControls"/>
    <ds:schemaRef ds:uri="b2d023fd-748d-47fb-9def-a48ce366a9e6"/>
    <ds:schemaRef ds:uri="c7dbb18a-942d-48ab-becb-8e31551bea5d"/>
    <ds:schemaRef ds:uri="http://schemas.microsoft.com/sharepoint/v3"/>
  </ds:schemaRefs>
</ds:datastoreItem>
</file>

<file path=customXml/itemProps2.xml><?xml version="1.0" encoding="utf-8"?>
<ds:datastoreItem xmlns:ds="http://schemas.openxmlformats.org/officeDocument/2006/customXml" ds:itemID="{A2409177-DE2A-4B4D-8588-570032DCB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4.xml><?xml version="1.0" encoding="utf-8"?>
<ds:datastoreItem xmlns:ds="http://schemas.openxmlformats.org/officeDocument/2006/customXml" ds:itemID="{9253164F-3A94-46F9-A840-C0F7174C7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20</Pages>
  <Words>4505</Words>
  <Characters>25076</Characters>
  <Application>Microsoft Office Word</Application>
  <DocSecurity>0</DocSecurity>
  <Lines>1811</Lines>
  <Paragraphs>1354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29005</CharactersWithSpaces>
  <SharedDoc>false</SharedDoc>
  <HLinks>
    <vt:vector size="288" baseType="variant">
      <vt:variant>
        <vt:i4>524369</vt:i4>
      </vt:variant>
      <vt:variant>
        <vt:i4>339</vt:i4>
      </vt:variant>
      <vt:variant>
        <vt:i4>0</vt:i4>
      </vt:variant>
      <vt:variant>
        <vt:i4>5</vt:i4>
      </vt:variant>
      <vt:variant>
        <vt:lpwstr>http://www.ilsag.info/technical-reference-manual.html</vt:lpwstr>
      </vt:variant>
      <vt:variant>
        <vt:lpwstr/>
      </vt:variant>
      <vt:variant>
        <vt:i4>3801208</vt:i4>
      </vt:variant>
      <vt:variant>
        <vt:i4>330</vt:i4>
      </vt:variant>
      <vt:variant>
        <vt:i4>0</vt:i4>
      </vt:variant>
      <vt:variant>
        <vt:i4>5</vt:i4>
      </vt:variant>
      <vt:variant>
        <vt:lpwstr>https://www.ilsag.info/evaluator-ntg-recommendations-for-2025/</vt:lpwstr>
      </vt:variant>
      <vt:variant>
        <vt:lpwstr/>
      </vt:variant>
      <vt:variant>
        <vt:i4>3801208</vt:i4>
      </vt:variant>
      <vt:variant>
        <vt:i4>321</vt:i4>
      </vt:variant>
      <vt:variant>
        <vt:i4>0</vt:i4>
      </vt:variant>
      <vt:variant>
        <vt:i4>5</vt:i4>
      </vt:variant>
      <vt:variant>
        <vt:lpwstr>https://www.ilsag.info/evaluator-ntg-recommendations-for-2025/</vt:lpwstr>
      </vt:variant>
      <vt:variant>
        <vt:lpwstr/>
      </vt:variant>
      <vt:variant>
        <vt:i4>3801208</vt:i4>
      </vt:variant>
      <vt:variant>
        <vt:i4>312</vt:i4>
      </vt:variant>
      <vt:variant>
        <vt:i4>0</vt:i4>
      </vt:variant>
      <vt:variant>
        <vt:i4>5</vt:i4>
      </vt:variant>
      <vt:variant>
        <vt:lpwstr>https://www.ilsag.info/evaluator-ntg-recommendations-for-2025/</vt:lpwstr>
      </vt:variant>
      <vt:variant>
        <vt:lpwstr/>
      </vt:variant>
      <vt:variant>
        <vt:i4>3801208</vt:i4>
      </vt:variant>
      <vt:variant>
        <vt:i4>303</vt:i4>
      </vt:variant>
      <vt:variant>
        <vt:i4>0</vt:i4>
      </vt:variant>
      <vt:variant>
        <vt:i4>5</vt:i4>
      </vt:variant>
      <vt:variant>
        <vt:lpwstr>https://www.ilsag.info/evaluator-ntg-recommendations-for-2025/</vt:lpwstr>
      </vt:variant>
      <vt:variant>
        <vt:lpwstr/>
      </vt:variant>
      <vt:variant>
        <vt:i4>524369</vt:i4>
      </vt:variant>
      <vt:variant>
        <vt:i4>270</vt:i4>
      </vt:variant>
      <vt:variant>
        <vt:i4>0</vt:i4>
      </vt:variant>
      <vt:variant>
        <vt:i4>5</vt:i4>
      </vt:variant>
      <vt:variant>
        <vt:lpwstr>http://www.ilsag.info/technical-reference-manual.html</vt:lpwstr>
      </vt:variant>
      <vt:variant>
        <vt:lpwstr/>
      </vt:variant>
      <vt:variant>
        <vt:i4>3801208</vt:i4>
      </vt:variant>
      <vt:variant>
        <vt:i4>261</vt:i4>
      </vt:variant>
      <vt:variant>
        <vt:i4>0</vt:i4>
      </vt:variant>
      <vt:variant>
        <vt:i4>5</vt:i4>
      </vt:variant>
      <vt:variant>
        <vt:lpwstr>https://www.ilsag.info/evaluator-ntg-recommendations-for-2025/</vt:lpwstr>
      </vt:variant>
      <vt:variant>
        <vt:lpwstr/>
      </vt:variant>
      <vt:variant>
        <vt:i4>3801208</vt:i4>
      </vt:variant>
      <vt:variant>
        <vt:i4>255</vt:i4>
      </vt:variant>
      <vt:variant>
        <vt:i4>0</vt:i4>
      </vt:variant>
      <vt:variant>
        <vt:i4>5</vt:i4>
      </vt:variant>
      <vt:variant>
        <vt:lpwstr>https://www.ilsag.info/evaluator-ntg-recommendations-for-2025/</vt:lpwstr>
      </vt:variant>
      <vt:variant>
        <vt:lpwstr/>
      </vt:variant>
      <vt:variant>
        <vt:i4>3801208</vt:i4>
      </vt:variant>
      <vt:variant>
        <vt:i4>249</vt:i4>
      </vt:variant>
      <vt:variant>
        <vt:i4>0</vt:i4>
      </vt:variant>
      <vt:variant>
        <vt:i4>5</vt:i4>
      </vt:variant>
      <vt:variant>
        <vt:lpwstr>https://www.ilsag.info/evaluator-ntg-recommendations-for-2025/</vt:lpwstr>
      </vt:variant>
      <vt:variant>
        <vt:lpwstr/>
      </vt:variant>
      <vt:variant>
        <vt:i4>3801208</vt:i4>
      </vt:variant>
      <vt:variant>
        <vt:i4>240</vt:i4>
      </vt:variant>
      <vt:variant>
        <vt:i4>0</vt:i4>
      </vt:variant>
      <vt:variant>
        <vt:i4>5</vt:i4>
      </vt:variant>
      <vt:variant>
        <vt:lpwstr>https://www.ilsag.info/evaluator-ntg-recommendations-for-2025/</vt:lpwstr>
      </vt:variant>
      <vt:variant>
        <vt:lpwstr/>
      </vt:variant>
      <vt:variant>
        <vt:i4>1441844</vt:i4>
      </vt:variant>
      <vt:variant>
        <vt:i4>209</vt:i4>
      </vt:variant>
      <vt:variant>
        <vt:i4>0</vt:i4>
      </vt:variant>
      <vt:variant>
        <vt:i4>5</vt:i4>
      </vt:variant>
      <vt:variant>
        <vt:lpwstr/>
      </vt:variant>
      <vt:variant>
        <vt:lpwstr>_Toc224230116</vt:lpwstr>
      </vt:variant>
      <vt:variant>
        <vt:i4>1441844</vt:i4>
      </vt:variant>
      <vt:variant>
        <vt:i4>203</vt:i4>
      </vt:variant>
      <vt:variant>
        <vt:i4>0</vt:i4>
      </vt:variant>
      <vt:variant>
        <vt:i4>5</vt:i4>
      </vt:variant>
      <vt:variant>
        <vt:lpwstr/>
      </vt:variant>
      <vt:variant>
        <vt:lpwstr>_Toc224230115</vt:lpwstr>
      </vt:variant>
      <vt:variant>
        <vt:i4>1441844</vt:i4>
      </vt:variant>
      <vt:variant>
        <vt:i4>197</vt:i4>
      </vt:variant>
      <vt:variant>
        <vt:i4>0</vt:i4>
      </vt:variant>
      <vt:variant>
        <vt:i4>5</vt:i4>
      </vt:variant>
      <vt:variant>
        <vt:lpwstr/>
      </vt:variant>
      <vt:variant>
        <vt:lpwstr>_Toc224230114</vt:lpwstr>
      </vt:variant>
      <vt:variant>
        <vt:i4>1441844</vt:i4>
      </vt:variant>
      <vt:variant>
        <vt:i4>191</vt:i4>
      </vt:variant>
      <vt:variant>
        <vt:i4>0</vt:i4>
      </vt:variant>
      <vt:variant>
        <vt:i4>5</vt:i4>
      </vt:variant>
      <vt:variant>
        <vt:lpwstr/>
      </vt:variant>
      <vt:variant>
        <vt:lpwstr>_Toc224230113</vt:lpwstr>
      </vt:variant>
      <vt:variant>
        <vt:i4>1441844</vt:i4>
      </vt:variant>
      <vt:variant>
        <vt:i4>185</vt:i4>
      </vt:variant>
      <vt:variant>
        <vt:i4>0</vt:i4>
      </vt:variant>
      <vt:variant>
        <vt:i4>5</vt:i4>
      </vt:variant>
      <vt:variant>
        <vt:lpwstr/>
      </vt:variant>
      <vt:variant>
        <vt:lpwstr>_Toc224230112</vt:lpwstr>
      </vt:variant>
      <vt:variant>
        <vt:i4>1441844</vt:i4>
      </vt:variant>
      <vt:variant>
        <vt:i4>179</vt:i4>
      </vt:variant>
      <vt:variant>
        <vt:i4>0</vt:i4>
      </vt:variant>
      <vt:variant>
        <vt:i4>5</vt:i4>
      </vt:variant>
      <vt:variant>
        <vt:lpwstr/>
      </vt:variant>
      <vt:variant>
        <vt:lpwstr>_Toc224230111</vt:lpwstr>
      </vt:variant>
      <vt:variant>
        <vt:i4>1441844</vt:i4>
      </vt:variant>
      <vt:variant>
        <vt:i4>173</vt:i4>
      </vt:variant>
      <vt:variant>
        <vt:i4>0</vt:i4>
      </vt:variant>
      <vt:variant>
        <vt:i4>5</vt:i4>
      </vt:variant>
      <vt:variant>
        <vt:lpwstr/>
      </vt:variant>
      <vt:variant>
        <vt:lpwstr>_Toc224230110</vt:lpwstr>
      </vt:variant>
      <vt:variant>
        <vt:i4>1507380</vt:i4>
      </vt:variant>
      <vt:variant>
        <vt:i4>167</vt:i4>
      </vt:variant>
      <vt:variant>
        <vt:i4>0</vt:i4>
      </vt:variant>
      <vt:variant>
        <vt:i4>5</vt:i4>
      </vt:variant>
      <vt:variant>
        <vt:lpwstr/>
      </vt:variant>
      <vt:variant>
        <vt:lpwstr>_Toc224230109</vt:lpwstr>
      </vt:variant>
      <vt:variant>
        <vt:i4>1507380</vt:i4>
      </vt:variant>
      <vt:variant>
        <vt:i4>161</vt:i4>
      </vt:variant>
      <vt:variant>
        <vt:i4>0</vt:i4>
      </vt:variant>
      <vt:variant>
        <vt:i4>5</vt:i4>
      </vt:variant>
      <vt:variant>
        <vt:lpwstr/>
      </vt:variant>
      <vt:variant>
        <vt:lpwstr>_Toc224230108</vt:lpwstr>
      </vt:variant>
      <vt:variant>
        <vt:i4>1507380</vt:i4>
      </vt:variant>
      <vt:variant>
        <vt:i4>155</vt:i4>
      </vt:variant>
      <vt:variant>
        <vt:i4>0</vt:i4>
      </vt:variant>
      <vt:variant>
        <vt:i4>5</vt:i4>
      </vt:variant>
      <vt:variant>
        <vt:lpwstr/>
      </vt:variant>
      <vt:variant>
        <vt:lpwstr>_Toc224230107</vt:lpwstr>
      </vt:variant>
      <vt:variant>
        <vt:i4>1507380</vt:i4>
      </vt:variant>
      <vt:variant>
        <vt:i4>149</vt:i4>
      </vt:variant>
      <vt:variant>
        <vt:i4>0</vt:i4>
      </vt:variant>
      <vt:variant>
        <vt:i4>5</vt:i4>
      </vt:variant>
      <vt:variant>
        <vt:lpwstr/>
      </vt:variant>
      <vt:variant>
        <vt:lpwstr>_Toc224230106</vt:lpwstr>
      </vt:variant>
      <vt:variant>
        <vt:i4>1507380</vt:i4>
      </vt:variant>
      <vt:variant>
        <vt:i4>143</vt:i4>
      </vt:variant>
      <vt:variant>
        <vt:i4>0</vt:i4>
      </vt:variant>
      <vt:variant>
        <vt:i4>5</vt:i4>
      </vt:variant>
      <vt:variant>
        <vt:lpwstr/>
      </vt:variant>
      <vt:variant>
        <vt:lpwstr>_Toc224230105</vt:lpwstr>
      </vt:variant>
      <vt:variant>
        <vt:i4>1507380</vt:i4>
      </vt:variant>
      <vt:variant>
        <vt:i4>137</vt:i4>
      </vt:variant>
      <vt:variant>
        <vt:i4>0</vt:i4>
      </vt:variant>
      <vt:variant>
        <vt:i4>5</vt:i4>
      </vt:variant>
      <vt:variant>
        <vt:lpwstr/>
      </vt:variant>
      <vt:variant>
        <vt:lpwstr>_Toc224230104</vt:lpwstr>
      </vt:variant>
      <vt:variant>
        <vt:i4>1507380</vt:i4>
      </vt:variant>
      <vt:variant>
        <vt:i4>131</vt:i4>
      </vt:variant>
      <vt:variant>
        <vt:i4>0</vt:i4>
      </vt:variant>
      <vt:variant>
        <vt:i4>5</vt:i4>
      </vt:variant>
      <vt:variant>
        <vt:lpwstr/>
      </vt:variant>
      <vt:variant>
        <vt:lpwstr>_Toc224230103</vt:lpwstr>
      </vt:variant>
      <vt:variant>
        <vt:i4>1507380</vt:i4>
      </vt:variant>
      <vt:variant>
        <vt:i4>125</vt:i4>
      </vt:variant>
      <vt:variant>
        <vt:i4>0</vt:i4>
      </vt:variant>
      <vt:variant>
        <vt:i4>5</vt:i4>
      </vt:variant>
      <vt:variant>
        <vt:lpwstr/>
      </vt:variant>
      <vt:variant>
        <vt:lpwstr>_Toc224230102</vt:lpwstr>
      </vt:variant>
      <vt:variant>
        <vt:i4>1507380</vt:i4>
      </vt:variant>
      <vt:variant>
        <vt:i4>119</vt:i4>
      </vt:variant>
      <vt:variant>
        <vt:i4>0</vt:i4>
      </vt:variant>
      <vt:variant>
        <vt:i4>5</vt:i4>
      </vt:variant>
      <vt:variant>
        <vt:lpwstr/>
      </vt:variant>
      <vt:variant>
        <vt:lpwstr>_Toc224230101</vt:lpwstr>
      </vt:variant>
      <vt:variant>
        <vt:i4>1507380</vt:i4>
      </vt:variant>
      <vt:variant>
        <vt:i4>113</vt:i4>
      </vt:variant>
      <vt:variant>
        <vt:i4>0</vt:i4>
      </vt:variant>
      <vt:variant>
        <vt:i4>5</vt:i4>
      </vt:variant>
      <vt:variant>
        <vt:lpwstr/>
      </vt:variant>
      <vt:variant>
        <vt:lpwstr>_Toc224230100</vt:lpwstr>
      </vt:variant>
      <vt:variant>
        <vt:i4>1966133</vt:i4>
      </vt:variant>
      <vt:variant>
        <vt:i4>107</vt:i4>
      </vt:variant>
      <vt:variant>
        <vt:i4>0</vt:i4>
      </vt:variant>
      <vt:variant>
        <vt:i4>5</vt:i4>
      </vt:variant>
      <vt:variant>
        <vt:lpwstr/>
      </vt:variant>
      <vt:variant>
        <vt:lpwstr>_Toc224230099</vt:lpwstr>
      </vt:variant>
      <vt:variant>
        <vt:i4>1310771</vt:i4>
      </vt:variant>
      <vt:variant>
        <vt:i4>98</vt:i4>
      </vt:variant>
      <vt:variant>
        <vt:i4>0</vt:i4>
      </vt:variant>
      <vt:variant>
        <vt:i4>5</vt:i4>
      </vt:variant>
      <vt:variant>
        <vt:lpwstr/>
      </vt:variant>
      <vt:variant>
        <vt:lpwstr>_Toc224231625</vt:lpwstr>
      </vt:variant>
      <vt:variant>
        <vt:i4>1310771</vt:i4>
      </vt:variant>
      <vt:variant>
        <vt:i4>92</vt:i4>
      </vt:variant>
      <vt:variant>
        <vt:i4>0</vt:i4>
      </vt:variant>
      <vt:variant>
        <vt:i4>5</vt:i4>
      </vt:variant>
      <vt:variant>
        <vt:lpwstr/>
      </vt:variant>
      <vt:variant>
        <vt:lpwstr>_Toc224231624</vt:lpwstr>
      </vt:variant>
      <vt:variant>
        <vt:i4>1310771</vt:i4>
      </vt:variant>
      <vt:variant>
        <vt:i4>86</vt:i4>
      </vt:variant>
      <vt:variant>
        <vt:i4>0</vt:i4>
      </vt:variant>
      <vt:variant>
        <vt:i4>5</vt:i4>
      </vt:variant>
      <vt:variant>
        <vt:lpwstr/>
      </vt:variant>
      <vt:variant>
        <vt:lpwstr>_Toc224231623</vt:lpwstr>
      </vt:variant>
      <vt:variant>
        <vt:i4>1310771</vt:i4>
      </vt:variant>
      <vt:variant>
        <vt:i4>80</vt:i4>
      </vt:variant>
      <vt:variant>
        <vt:i4>0</vt:i4>
      </vt:variant>
      <vt:variant>
        <vt:i4>5</vt:i4>
      </vt:variant>
      <vt:variant>
        <vt:lpwstr/>
      </vt:variant>
      <vt:variant>
        <vt:lpwstr>_Toc224231622</vt:lpwstr>
      </vt:variant>
      <vt:variant>
        <vt:i4>1310771</vt:i4>
      </vt:variant>
      <vt:variant>
        <vt:i4>74</vt:i4>
      </vt:variant>
      <vt:variant>
        <vt:i4>0</vt:i4>
      </vt:variant>
      <vt:variant>
        <vt:i4>5</vt:i4>
      </vt:variant>
      <vt:variant>
        <vt:lpwstr/>
      </vt:variant>
      <vt:variant>
        <vt:lpwstr>_Toc224231621</vt:lpwstr>
      </vt:variant>
      <vt:variant>
        <vt:i4>1310771</vt:i4>
      </vt:variant>
      <vt:variant>
        <vt:i4>68</vt:i4>
      </vt:variant>
      <vt:variant>
        <vt:i4>0</vt:i4>
      </vt:variant>
      <vt:variant>
        <vt:i4>5</vt:i4>
      </vt:variant>
      <vt:variant>
        <vt:lpwstr/>
      </vt:variant>
      <vt:variant>
        <vt:lpwstr>_Toc224231620</vt:lpwstr>
      </vt:variant>
      <vt:variant>
        <vt:i4>1507379</vt:i4>
      </vt:variant>
      <vt:variant>
        <vt:i4>62</vt:i4>
      </vt:variant>
      <vt:variant>
        <vt:i4>0</vt:i4>
      </vt:variant>
      <vt:variant>
        <vt:i4>5</vt:i4>
      </vt:variant>
      <vt:variant>
        <vt:lpwstr/>
      </vt:variant>
      <vt:variant>
        <vt:lpwstr>_Toc224231619</vt:lpwstr>
      </vt:variant>
      <vt:variant>
        <vt:i4>1507379</vt:i4>
      </vt:variant>
      <vt:variant>
        <vt:i4>56</vt:i4>
      </vt:variant>
      <vt:variant>
        <vt:i4>0</vt:i4>
      </vt:variant>
      <vt:variant>
        <vt:i4>5</vt:i4>
      </vt:variant>
      <vt:variant>
        <vt:lpwstr/>
      </vt:variant>
      <vt:variant>
        <vt:lpwstr>_Toc224231618</vt:lpwstr>
      </vt:variant>
      <vt:variant>
        <vt:i4>1507379</vt:i4>
      </vt:variant>
      <vt:variant>
        <vt:i4>50</vt:i4>
      </vt:variant>
      <vt:variant>
        <vt:i4>0</vt:i4>
      </vt:variant>
      <vt:variant>
        <vt:i4>5</vt:i4>
      </vt:variant>
      <vt:variant>
        <vt:lpwstr/>
      </vt:variant>
      <vt:variant>
        <vt:lpwstr>_Toc224231617</vt:lpwstr>
      </vt:variant>
      <vt:variant>
        <vt:i4>1507379</vt:i4>
      </vt:variant>
      <vt:variant>
        <vt:i4>44</vt:i4>
      </vt:variant>
      <vt:variant>
        <vt:i4>0</vt:i4>
      </vt:variant>
      <vt:variant>
        <vt:i4>5</vt:i4>
      </vt:variant>
      <vt:variant>
        <vt:lpwstr/>
      </vt:variant>
      <vt:variant>
        <vt:lpwstr>_Toc224231616</vt:lpwstr>
      </vt:variant>
      <vt:variant>
        <vt:i4>1507379</vt:i4>
      </vt:variant>
      <vt:variant>
        <vt:i4>38</vt:i4>
      </vt:variant>
      <vt:variant>
        <vt:i4>0</vt:i4>
      </vt:variant>
      <vt:variant>
        <vt:i4>5</vt:i4>
      </vt:variant>
      <vt:variant>
        <vt:lpwstr/>
      </vt:variant>
      <vt:variant>
        <vt:lpwstr>_Toc224231615</vt:lpwstr>
      </vt:variant>
      <vt:variant>
        <vt:i4>1507379</vt:i4>
      </vt:variant>
      <vt:variant>
        <vt:i4>32</vt:i4>
      </vt:variant>
      <vt:variant>
        <vt:i4>0</vt:i4>
      </vt:variant>
      <vt:variant>
        <vt:i4>5</vt:i4>
      </vt:variant>
      <vt:variant>
        <vt:lpwstr/>
      </vt:variant>
      <vt:variant>
        <vt:lpwstr>_Toc224231614</vt:lpwstr>
      </vt:variant>
      <vt:variant>
        <vt:i4>1507379</vt:i4>
      </vt:variant>
      <vt:variant>
        <vt:i4>26</vt:i4>
      </vt:variant>
      <vt:variant>
        <vt:i4>0</vt:i4>
      </vt:variant>
      <vt:variant>
        <vt:i4>5</vt:i4>
      </vt:variant>
      <vt:variant>
        <vt:lpwstr/>
      </vt:variant>
      <vt:variant>
        <vt:lpwstr>_Toc224231613</vt:lpwstr>
      </vt:variant>
      <vt:variant>
        <vt:i4>1507379</vt:i4>
      </vt:variant>
      <vt:variant>
        <vt:i4>20</vt:i4>
      </vt:variant>
      <vt:variant>
        <vt:i4>0</vt:i4>
      </vt:variant>
      <vt:variant>
        <vt:i4>5</vt:i4>
      </vt:variant>
      <vt:variant>
        <vt:lpwstr/>
      </vt:variant>
      <vt:variant>
        <vt:lpwstr>_Toc224231612</vt:lpwstr>
      </vt:variant>
      <vt:variant>
        <vt:i4>1507379</vt:i4>
      </vt:variant>
      <vt:variant>
        <vt:i4>14</vt:i4>
      </vt:variant>
      <vt:variant>
        <vt:i4>0</vt:i4>
      </vt:variant>
      <vt:variant>
        <vt:i4>5</vt:i4>
      </vt:variant>
      <vt:variant>
        <vt:lpwstr/>
      </vt:variant>
      <vt:variant>
        <vt:lpwstr>_Toc224231611</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4259943</vt:i4>
      </vt:variant>
      <vt:variant>
        <vt:i4>0</vt:i4>
      </vt:variant>
      <vt:variant>
        <vt:i4>0</vt:i4>
      </vt:variant>
      <vt:variant>
        <vt:i4>5</vt:i4>
      </vt:variant>
      <vt:variant>
        <vt:lpwstr>mailto:ebalbis@guidehouse.com</vt:lpwstr>
      </vt:variant>
      <vt:variant>
        <vt:lpwstr/>
      </vt:variant>
      <vt:variant>
        <vt:i4>2555976</vt:i4>
      </vt:variant>
      <vt:variant>
        <vt:i4>0</vt:i4>
      </vt:variant>
      <vt:variant>
        <vt:i4>0</vt:i4>
      </vt:variant>
      <vt:variant>
        <vt:i4>5</vt:i4>
      </vt:variant>
      <vt:variant>
        <vt:lpwstr>mailto:charles.ampong@guidehouse.com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460</cp:revision>
  <dcterms:created xsi:type="dcterms:W3CDTF">2025-10-28T19:16:00Z</dcterms:created>
  <dcterms:modified xsi:type="dcterms:W3CDTF">2026-03-14T03:21:00Z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