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F04C56" w:rsidRDefault="00F04C56" w:rsidP="00284FA9"/>
    <w:p w14:paraId="02F03F72" w14:textId="77777777" w:rsidR="00F04C56" w:rsidRDefault="00F04C56" w:rsidP="00284FA9">
      <w:pPr>
        <w:pStyle w:val="Title"/>
      </w:pPr>
    </w:p>
    <w:p w14:paraId="1D2C8FD3" w14:textId="640BC0D5" w:rsidR="00F04C56" w:rsidRPr="00190360" w:rsidRDefault="00F04C56" w:rsidP="00284FA9">
      <w:pPr>
        <w:pStyle w:val="Title"/>
      </w:pPr>
      <w:bookmarkStart w:id="0" w:name="Title_Program_Name"/>
      <w:r w:rsidRPr="00E43030">
        <w:t xml:space="preserve">Home Energy Rebates </w:t>
      </w:r>
      <w:bookmarkEnd w:id="0"/>
      <w:r>
        <w:t>Program Impact Evaluation Report</w:t>
      </w:r>
    </w:p>
    <w:p w14:paraId="0506F919" w14:textId="77777777" w:rsidR="00F04C56" w:rsidRDefault="00F04C56" w:rsidP="00284FA9"/>
    <w:p w14:paraId="3A773FF2" w14:textId="0FA272C0" w:rsidR="00F04C56" w:rsidRPr="003934C7" w:rsidRDefault="00F04C56" w:rsidP="00284FA9">
      <w:pPr>
        <w:pStyle w:val="Subtitle"/>
      </w:pPr>
      <w:r w:rsidRPr="003934C7">
        <w:t xml:space="preserve">Energy Efficiency Plan: Program Year 2025 </w:t>
      </w:r>
    </w:p>
    <w:p w14:paraId="52F05965" w14:textId="4967A2B7" w:rsidR="00F04C56" w:rsidRPr="00932BBC" w:rsidRDefault="00F04C56" w:rsidP="00284FA9">
      <w:pPr>
        <w:pStyle w:val="Subtitle"/>
      </w:pPr>
      <w:r w:rsidRPr="003934C7">
        <w:t>(01/01/2025-12/31/2025)</w:t>
      </w:r>
      <w:r>
        <w:t xml:space="preserve"> </w:t>
      </w:r>
    </w:p>
    <w:p w14:paraId="2E775BE8" w14:textId="77777777" w:rsidR="00F04C56" w:rsidRPr="005B6988" w:rsidRDefault="00F04C56" w:rsidP="00284FA9"/>
    <w:p w14:paraId="4BCD3333" w14:textId="77777777" w:rsidR="00F04C56" w:rsidRPr="0056335A" w:rsidRDefault="00F04C56">
      <w:pPr>
        <w:rPr>
          <w:rStyle w:val="Strong"/>
          <w:sz w:val="28"/>
          <w:szCs w:val="28"/>
        </w:rPr>
      </w:pPr>
      <w:r w:rsidRPr="0056335A">
        <w:rPr>
          <w:rStyle w:val="Strong"/>
          <w:sz w:val="28"/>
          <w:szCs w:val="28"/>
        </w:rPr>
        <w:t>Prepared for:</w:t>
      </w:r>
    </w:p>
    <w:p w14:paraId="1ED5FE83" w14:textId="757F2B8D" w:rsidR="00F04C56" w:rsidRPr="0056335A" w:rsidRDefault="00F04C56">
      <w:pPr>
        <w:rPr>
          <w:rStyle w:val="Strong"/>
          <w:sz w:val="28"/>
          <w:szCs w:val="28"/>
        </w:rPr>
      </w:pPr>
      <w:r>
        <w:rPr>
          <w:rStyle w:val="Strong"/>
          <w:sz w:val="28"/>
          <w:szCs w:val="28"/>
        </w:rPr>
        <w:t>Peoples Gas and North Shore Gas</w:t>
      </w:r>
    </w:p>
    <w:p w14:paraId="4EB17E00" w14:textId="1D176C91" w:rsidR="00F04C56" w:rsidRDefault="00F04C56">
      <w:pPr>
        <w:rPr>
          <w:rStyle w:val="Strong"/>
          <w:sz w:val="28"/>
          <w:szCs w:val="28"/>
        </w:rPr>
      </w:pPr>
      <w:r w:rsidRPr="00DB72D0">
        <w:rPr>
          <w:rStyle w:val="Strong"/>
          <w:noProof/>
          <w:sz w:val="28"/>
          <w:szCs w:val="28"/>
        </w:rPr>
        <w:drawing>
          <wp:inline distT="0" distB="0" distL="0" distR="0" wp14:anchorId="16555AD0" wp14:editId="4364E279">
            <wp:extent cx="1628775" cy="238262"/>
            <wp:effectExtent l="0" t="0" r="0" b="9525"/>
            <wp:docPr id="1233358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58260" name=""/>
                    <pic:cNvPicPr/>
                  </pic:nvPicPr>
                  <pic:blipFill>
                    <a:blip r:embed="rId11"/>
                    <a:stretch>
                      <a:fillRect/>
                    </a:stretch>
                  </pic:blipFill>
                  <pic:spPr>
                    <a:xfrm>
                      <a:off x="0" y="0"/>
                      <a:ext cx="1905535" cy="278747"/>
                    </a:xfrm>
                    <a:prstGeom prst="rect">
                      <a:avLst/>
                    </a:prstGeom>
                  </pic:spPr>
                </pic:pic>
              </a:graphicData>
            </a:graphic>
          </wp:inline>
        </w:drawing>
      </w:r>
      <w:r>
        <w:rPr>
          <w:rStyle w:val="Strong"/>
          <w:sz w:val="28"/>
          <w:szCs w:val="28"/>
        </w:rPr>
        <w:tab/>
      </w:r>
      <w:r w:rsidRPr="0063626D">
        <w:rPr>
          <w:rStyle w:val="Strong"/>
          <w:noProof/>
          <w:sz w:val="28"/>
          <w:szCs w:val="28"/>
        </w:rPr>
        <w:drawing>
          <wp:inline distT="0" distB="0" distL="0" distR="0" wp14:anchorId="26ACB159" wp14:editId="003D31DA">
            <wp:extent cx="2028825" cy="319088"/>
            <wp:effectExtent l="0" t="0" r="0" b="5080"/>
            <wp:docPr id="327584620"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84620" name="Picture 1" descr="Blue letters on a white background&#10;&#10;AI-generated content may be incorrect."/>
                    <pic:cNvPicPr/>
                  </pic:nvPicPr>
                  <pic:blipFill>
                    <a:blip r:embed="rId12"/>
                    <a:stretch>
                      <a:fillRect/>
                    </a:stretch>
                  </pic:blipFill>
                  <pic:spPr>
                    <a:xfrm>
                      <a:off x="0" y="0"/>
                      <a:ext cx="2190892" cy="344577"/>
                    </a:xfrm>
                    <a:prstGeom prst="rect">
                      <a:avLst/>
                    </a:prstGeom>
                  </pic:spPr>
                </pic:pic>
              </a:graphicData>
            </a:graphic>
          </wp:inline>
        </w:drawing>
      </w:r>
    </w:p>
    <w:p w14:paraId="4309E08C" w14:textId="59884F70" w:rsidR="00F04C56" w:rsidRDefault="00F04C56">
      <w:pPr>
        <w:rPr>
          <w:rStyle w:val="Strong"/>
          <w:sz w:val="28"/>
          <w:szCs w:val="28"/>
        </w:rPr>
      </w:pPr>
      <w:r w:rsidRPr="0056335A">
        <w:rPr>
          <w:rStyle w:val="Strong"/>
          <w:sz w:val="28"/>
          <w:szCs w:val="28"/>
        </w:rPr>
        <w:t>DRAFT</w:t>
      </w:r>
    </w:p>
    <w:p w14:paraId="21376970" w14:textId="5A480B6B" w:rsidR="00F04C56" w:rsidRPr="0056335A" w:rsidRDefault="789207D1">
      <w:pPr>
        <w:rPr>
          <w:rStyle w:val="Strong"/>
          <w:sz w:val="28"/>
          <w:szCs w:val="28"/>
        </w:rPr>
      </w:pPr>
      <w:r w:rsidRPr="09F525F7">
        <w:rPr>
          <w:rStyle w:val="Strong"/>
          <w:sz w:val="28"/>
          <w:szCs w:val="28"/>
        </w:rPr>
        <w:t>March 27, 2026</w:t>
      </w:r>
    </w:p>
    <w:p w14:paraId="59E60A6D" w14:textId="77777777" w:rsidR="00F04C56" w:rsidRDefault="00F04C56"/>
    <w:p w14:paraId="16409EEC" w14:textId="1B81EC12" w:rsidR="00F04C56" w:rsidRPr="0010260D" w:rsidRDefault="00F04C56" w:rsidP="00284FA9">
      <w:pPr>
        <w:pStyle w:val="NoSpacing"/>
        <w:rPr>
          <w:b/>
          <w:sz w:val="22"/>
          <w:szCs w:val="22"/>
        </w:rPr>
      </w:pPr>
      <w:r w:rsidRPr="0010260D">
        <w:rPr>
          <w:b/>
          <w:bCs/>
          <w:sz w:val="22"/>
          <w:szCs w:val="22"/>
        </w:rPr>
        <w:t>Prepared</w:t>
      </w:r>
      <w:r w:rsidRPr="0010260D">
        <w:rPr>
          <w:b/>
          <w:sz w:val="22"/>
          <w:szCs w:val="22"/>
        </w:rPr>
        <w:t xml:space="preserve"> by: </w:t>
      </w:r>
    </w:p>
    <w:p w14:paraId="4E445C90" w14:textId="77777777" w:rsidR="00F04C56" w:rsidRPr="0010260D" w:rsidRDefault="00F04C56" w:rsidP="00284FA9">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284FA9" w:rsidRPr="0010260D" w14:paraId="4155AFC7" w14:textId="77777777" w:rsidTr="00284FA9">
        <w:trPr>
          <w:trHeight w:val="1134"/>
        </w:trPr>
        <w:tc>
          <w:tcPr>
            <w:tcW w:w="2337" w:type="dxa"/>
          </w:tcPr>
          <w:p w14:paraId="4F40A316" w14:textId="77777777" w:rsidR="00F04C56" w:rsidRPr="00F23AAB" w:rsidRDefault="00F23AAB" w:rsidP="00284FA9">
            <w:pPr>
              <w:pStyle w:val="NoSpacing"/>
              <w:rPr>
                <w:b/>
                <w:bCs/>
                <w:sz w:val="22"/>
                <w:szCs w:val="22"/>
              </w:rPr>
            </w:pPr>
            <w:r w:rsidRPr="00F23AAB">
              <w:rPr>
                <w:b/>
                <w:bCs/>
                <w:sz w:val="22"/>
                <w:szCs w:val="22"/>
              </w:rPr>
              <w:t>Robert Hodge</w:t>
            </w:r>
          </w:p>
          <w:p w14:paraId="54F55874" w14:textId="0D7DB443" w:rsidR="00F04C56" w:rsidRPr="00F23AAB" w:rsidRDefault="00F23AAB" w:rsidP="00284FA9">
            <w:pPr>
              <w:pStyle w:val="NoSpacing"/>
              <w:rPr>
                <w:sz w:val="22"/>
                <w:szCs w:val="22"/>
              </w:rPr>
            </w:pPr>
            <w:r w:rsidRPr="00F23AAB">
              <w:rPr>
                <w:sz w:val="22"/>
                <w:szCs w:val="22"/>
              </w:rPr>
              <w:t>Guidehouse</w:t>
            </w:r>
          </w:p>
        </w:tc>
        <w:tc>
          <w:tcPr>
            <w:tcW w:w="2337" w:type="dxa"/>
          </w:tcPr>
          <w:p w14:paraId="7DBD6A9D" w14:textId="77777777" w:rsidR="00F04C56" w:rsidRPr="00F23AAB" w:rsidRDefault="00F23AAB" w:rsidP="00284FA9">
            <w:pPr>
              <w:pStyle w:val="NoSpacing"/>
              <w:rPr>
                <w:b/>
                <w:bCs/>
                <w:sz w:val="22"/>
                <w:szCs w:val="22"/>
              </w:rPr>
            </w:pPr>
            <w:r w:rsidRPr="00F23AAB">
              <w:rPr>
                <w:b/>
                <w:bCs/>
                <w:sz w:val="22"/>
                <w:szCs w:val="22"/>
              </w:rPr>
              <w:t>Julia Kaplan</w:t>
            </w:r>
          </w:p>
          <w:p w14:paraId="634F2B36" w14:textId="2E1DDE6F" w:rsidR="00F04C56" w:rsidRPr="00F23AAB" w:rsidRDefault="00F23AAB" w:rsidP="00284FA9">
            <w:pPr>
              <w:pStyle w:val="NoSpacing"/>
              <w:rPr>
                <w:sz w:val="22"/>
                <w:szCs w:val="22"/>
              </w:rPr>
            </w:pPr>
            <w:r w:rsidRPr="00F23AAB">
              <w:rPr>
                <w:sz w:val="22"/>
                <w:szCs w:val="22"/>
              </w:rPr>
              <w:t>Guidehouse</w:t>
            </w:r>
          </w:p>
        </w:tc>
        <w:tc>
          <w:tcPr>
            <w:tcW w:w="2338" w:type="dxa"/>
          </w:tcPr>
          <w:p w14:paraId="66B01141" w14:textId="77777777" w:rsidR="00F23AAB" w:rsidRPr="00187113" w:rsidRDefault="00F23AAB" w:rsidP="00F23AAB">
            <w:pPr>
              <w:pStyle w:val="NoSpacing"/>
              <w:rPr>
                <w:sz w:val="22"/>
                <w:szCs w:val="22"/>
              </w:rPr>
            </w:pPr>
          </w:p>
          <w:p w14:paraId="6F39A4FC" w14:textId="37D5190F" w:rsidR="00F04C56" w:rsidRPr="00187113" w:rsidRDefault="00F04C56" w:rsidP="00284FA9">
            <w:pPr>
              <w:pStyle w:val="NoSpacing"/>
              <w:rPr>
                <w:sz w:val="22"/>
                <w:szCs w:val="22"/>
                <w:highlight w:val="yellow"/>
              </w:rPr>
            </w:pPr>
          </w:p>
        </w:tc>
        <w:tc>
          <w:tcPr>
            <w:tcW w:w="2338" w:type="dxa"/>
          </w:tcPr>
          <w:p w14:paraId="117B46BE" w14:textId="3FC2AFA6" w:rsidR="00F04C56" w:rsidRPr="00F23AAB" w:rsidRDefault="00F04C56" w:rsidP="00284FA9">
            <w:pPr>
              <w:pStyle w:val="NoSpacing"/>
              <w:rPr>
                <w:b/>
                <w:bCs/>
                <w:sz w:val="22"/>
                <w:szCs w:val="22"/>
                <w:highlight w:val="yellow"/>
              </w:rPr>
            </w:pPr>
          </w:p>
        </w:tc>
      </w:tr>
      <w:tr w:rsidR="00284FA9" w:rsidRPr="0010260D" w14:paraId="73DF88AA" w14:textId="77777777" w:rsidTr="00284FA9">
        <w:trPr>
          <w:trHeight w:val="1134"/>
        </w:trPr>
        <w:tc>
          <w:tcPr>
            <w:tcW w:w="2337" w:type="dxa"/>
          </w:tcPr>
          <w:p w14:paraId="7E2D130D" w14:textId="41D8734F" w:rsidR="00F04C56" w:rsidRPr="00187113" w:rsidRDefault="00F04C56" w:rsidP="00284FA9">
            <w:pPr>
              <w:pStyle w:val="NoSpacing"/>
              <w:jc w:val="center"/>
              <w:rPr>
                <w:b/>
                <w:bCs/>
                <w:sz w:val="22"/>
                <w:szCs w:val="22"/>
                <w:highlight w:val="yellow"/>
              </w:rPr>
            </w:pPr>
          </w:p>
        </w:tc>
        <w:tc>
          <w:tcPr>
            <w:tcW w:w="2337" w:type="dxa"/>
          </w:tcPr>
          <w:p w14:paraId="2240E35E" w14:textId="145739E9" w:rsidR="00F04C56" w:rsidRPr="00187113" w:rsidRDefault="00F04C56" w:rsidP="00284FA9">
            <w:pPr>
              <w:pStyle w:val="NoSpacing"/>
              <w:jc w:val="center"/>
              <w:rPr>
                <w:b/>
                <w:bCs/>
                <w:sz w:val="22"/>
                <w:szCs w:val="22"/>
                <w:highlight w:val="yellow"/>
              </w:rPr>
            </w:pPr>
          </w:p>
        </w:tc>
        <w:tc>
          <w:tcPr>
            <w:tcW w:w="2338" w:type="dxa"/>
          </w:tcPr>
          <w:p w14:paraId="2E5F5A8D" w14:textId="6EF2C94B" w:rsidR="00F04C56" w:rsidRPr="00187113" w:rsidRDefault="00F04C56" w:rsidP="00284FA9">
            <w:pPr>
              <w:pStyle w:val="NoSpacing"/>
              <w:jc w:val="center"/>
              <w:rPr>
                <w:b/>
                <w:bCs/>
                <w:sz w:val="22"/>
                <w:szCs w:val="22"/>
                <w:highlight w:val="yellow"/>
              </w:rPr>
            </w:pPr>
          </w:p>
        </w:tc>
        <w:tc>
          <w:tcPr>
            <w:tcW w:w="2338" w:type="dxa"/>
          </w:tcPr>
          <w:p w14:paraId="1B219F0D" w14:textId="55916444" w:rsidR="00F04C56" w:rsidRPr="00187113" w:rsidRDefault="00F04C56" w:rsidP="00284FA9">
            <w:pPr>
              <w:pStyle w:val="NoSpacing"/>
              <w:jc w:val="center"/>
              <w:rPr>
                <w:b/>
                <w:bCs/>
                <w:sz w:val="22"/>
                <w:szCs w:val="22"/>
                <w:highlight w:val="yellow"/>
              </w:rPr>
            </w:pPr>
          </w:p>
        </w:tc>
      </w:tr>
      <w:tr w:rsidR="00284FA9" w:rsidRPr="0010260D" w14:paraId="432CCF57" w14:textId="77777777" w:rsidTr="00284FA9">
        <w:trPr>
          <w:trHeight w:val="1134"/>
        </w:trPr>
        <w:tc>
          <w:tcPr>
            <w:tcW w:w="2337" w:type="dxa"/>
          </w:tcPr>
          <w:p w14:paraId="43372510" w14:textId="716EE940" w:rsidR="00F04C56" w:rsidRPr="00FD0661" w:rsidRDefault="00F04C56" w:rsidP="00F23AAB">
            <w:pPr>
              <w:pStyle w:val="NoSpacing"/>
              <w:rPr>
                <w:rFonts w:cs="Arial"/>
                <w:noProof/>
              </w:rPr>
            </w:pPr>
          </w:p>
        </w:tc>
        <w:tc>
          <w:tcPr>
            <w:tcW w:w="2337" w:type="dxa"/>
          </w:tcPr>
          <w:p w14:paraId="3595A7F6" w14:textId="77777777" w:rsidR="00F04C56" w:rsidRPr="00FD0661" w:rsidRDefault="00F04C56" w:rsidP="00284FA9">
            <w:pPr>
              <w:pStyle w:val="NoSpacing"/>
              <w:jc w:val="center"/>
              <w:rPr>
                <w:rFonts w:cs="Arial"/>
                <w:noProof/>
              </w:rPr>
            </w:pPr>
          </w:p>
        </w:tc>
        <w:tc>
          <w:tcPr>
            <w:tcW w:w="2338" w:type="dxa"/>
          </w:tcPr>
          <w:p w14:paraId="49595757" w14:textId="77777777" w:rsidR="00F04C56" w:rsidRPr="00FD0661" w:rsidRDefault="00F04C56" w:rsidP="00284FA9">
            <w:pPr>
              <w:pStyle w:val="NoSpacing"/>
              <w:rPr>
                <w:rFonts w:cs="Arial"/>
                <w:noProof/>
              </w:rPr>
            </w:pPr>
          </w:p>
        </w:tc>
        <w:tc>
          <w:tcPr>
            <w:tcW w:w="2338" w:type="dxa"/>
          </w:tcPr>
          <w:p w14:paraId="03788FAF" w14:textId="77777777" w:rsidR="00F04C56" w:rsidRPr="00187113" w:rsidRDefault="00F04C56" w:rsidP="00284FA9">
            <w:pPr>
              <w:pStyle w:val="NoSpacing"/>
              <w:rPr>
                <w:b/>
                <w:bCs/>
                <w:sz w:val="22"/>
                <w:szCs w:val="22"/>
                <w:highlight w:val="yellow"/>
              </w:rPr>
            </w:pPr>
          </w:p>
        </w:tc>
      </w:tr>
    </w:tbl>
    <w:p w14:paraId="25F39255" w14:textId="6A7168F2" w:rsidR="00F04C56" w:rsidRDefault="00F04C56"/>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284FA9" w:rsidRPr="009B781E" w14:paraId="42306BBE" w14:textId="77777777">
        <w:tc>
          <w:tcPr>
            <w:tcW w:w="386" w:type="dxa"/>
          </w:tcPr>
          <w:p w14:paraId="631457BC" w14:textId="1D1767BD" w:rsidR="00F04C56" w:rsidRPr="009B781E" w:rsidRDefault="00F04C56" w:rsidP="00284FA9">
            <w:pPr>
              <w:pStyle w:val="NoSpacing"/>
              <w:rPr>
                <w:i/>
                <w:iCs/>
                <w:noProof/>
              </w:rPr>
            </w:pPr>
          </w:p>
        </w:tc>
        <w:tc>
          <w:tcPr>
            <w:tcW w:w="1870" w:type="dxa"/>
          </w:tcPr>
          <w:p w14:paraId="3D34E61E" w14:textId="509A6C3B" w:rsidR="00F04C56" w:rsidRPr="009B781E" w:rsidRDefault="00F04C56" w:rsidP="00284FA9">
            <w:pPr>
              <w:pStyle w:val="NoSpacing"/>
              <w:rPr>
                <w:i/>
                <w:iCs/>
              </w:rPr>
            </w:pPr>
          </w:p>
        </w:tc>
        <w:tc>
          <w:tcPr>
            <w:tcW w:w="1870" w:type="dxa"/>
          </w:tcPr>
          <w:p w14:paraId="316CD295" w14:textId="118C5B62" w:rsidR="00F04C56" w:rsidRPr="009B781E" w:rsidRDefault="00F04C56" w:rsidP="00284FA9">
            <w:pPr>
              <w:pStyle w:val="NoSpacing"/>
              <w:rPr>
                <w:i/>
                <w:iCs/>
              </w:rPr>
            </w:pPr>
          </w:p>
        </w:tc>
        <w:tc>
          <w:tcPr>
            <w:tcW w:w="1870" w:type="dxa"/>
          </w:tcPr>
          <w:p w14:paraId="36D7751F" w14:textId="55394802" w:rsidR="00F04C56" w:rsidRPr="009B781E" w:rsidRDefault="00F04C56" w:rsidP="00284FA9">
            <w:pPr>
              <w:pStyle w:val="NoSpacing"/>
              <w:rPr>
                <w:i/>
                <w:iCs/>
              </w:rPr>
            </w:pPr>
          </w:p>
        </w:tc>
        <w:tc>
          <w:tcPr>
            <w:tcW w:w="1870" w:type="dxa"/>
          </w:tcPr>
          <w:p w14:paraId="02B4FBAF" w14:textId="424B1389" w:rsidR="00F04C56" w:rsidRPr="009B781E" w:rsidRDefault="00F04C56" w:rsidP="00284FA9">
            <w:pPr>
              <w:pStyle w:val="NoSpacing"/>
              <w:rPr>
                <w:i/>
                <w:iCs/>
              </w:rPr>
            </w:pPr>
          </w:p>
        </w:tc>
        <w:tc>
          <w:tcPr>
            <w:tcW w:w="1870" w:type="dxa"/>
          </w:tcPr>
          <w:p w14:paraId="74281EBF" w14:textId="1159EFA4" w:rsidR="00F04C56" w:rsidRPr="009B781E" w:rsidRDefault="00F04C56" w:rsidP="00284FA9">
            <w:pPr>
              <w:pStyle w:val="NoSpacing"/>
              <w:rPr>
                <w:i/>
                <w:iCs/>
              </w:rPr>
            </w:pPr>
          </w:p>
        </w:tc>
      </w:tr>
    </w:tbl>
    <w:p w14:paraId="5496EE32" w14:textId="77777777" w:rsidR="00F04C56" w:rsidRPr="00564AAD" w:rsidRDefault="00F04C56" w:rsidP="00284FA9">
      <w:pPr>
        <w:pStyle w:val="NoSpacing"/>
        <w:rPr>
          <w:b/>
          <w:bCs/>
        </w:rPr>
      </w:pPr>
      <w:r w:rsidRPr="00564AAD">
        <w:rPr>
          <w:b/>
          <w:bCs/>
        </w:rPr>
        <w:lastRenderedPageBreak/>
        <w:t>Submitted to:</w:t>
      </w:r>
    </w:p>
    <w:p w14:paraId="395C9214" w14:textId="7FE7FA88" w:rsidR="00F04C56" w:rsidRDefault="00F04C56" w:rsidP="00284FA9">
      <w:pPr>
        <w:pStyle w:val="NoSpacing"/>
      </w:pPr>
      <w:r>
        <w:t>Peoples Gas</w:t>
      </w:r>
    </w:p>
    <w:p w14:paraId="201DC7E8" w14:textId="28CDE363" w:rsidR="00F04C56" w:rsidRDefault="00F04C56" w:rsidP="00284FA9">
      <w:pPr>
        <w:pStyle w:val="NoSpacing"/>
      </w:pPr>
      <w:r>
        <w:t>North Shore Gas</w:t>
      </w:r>
    </w:p>
    <w:p w14:paraId="727BF7AB" w14:textId="5BB07E00" w:rsidR="00F04C56" w:rsidRDefault="00F04C56" w:rsidP="00284FA9">
      <w:pPr>
        <w:pStyle w:val="NoSpacing"/>
      </w:pPr>
      <w:r>
        <w:t>200 East Randolph Street</w:t>
      </w:r>
    </w:p>
    <w:p w14:paraId="26AEE9DC" w14:textId="7834244F" w:rsidR="00F04C56" w:rsidRPr="00564AAD" w:rsidRDefault="00F04C56" w:rsidP="00284FA9">
      <w:pPr>
        <w:pStyle w:val="NoSpacing"/>
      </w:pPr>
      <w:r>
        <w:t>Chicago, IL 60601</w:t>
      </w:r>
    </w:p>
    <w:p w14:paraId="52EFC8CF" w14:textId="77777777" w:rsidR="00F04C56" w:rsidRPr="00564AAD" w:rsidRDefault="00F04C56" w:rsidP="00284FA9">
      <w:pPr>
        <w:pStyle w:val="NoSpacing"/>
      </w:pPr>
    </w:p>
    <w:p w14:paraId="53F7870A" w14:textId="77777777" w:rsidR="00F04C56" w:rsidRPr="00564AAD" w:rsidRDefault="00F04C56" w:rsidP="00284FA9">
      <w:pPr>
        <w:pStyle w:val="NoSpacing"/>
        <w:rPr>
          <w:b/>
          <w:bCs/>
        </w:rPr>
      </w:pPr>
      <w:r w:rsidRPr="00564AAD">
        <w:rPr>
          <w:b/>
          <w:bCs/>
        </w:rPr>
        <w:t>Submitted by:</w:t>
      </w:r>
    </w:p>
    <w:p w14:paraId="5A045C4E" w14:textId="77777777" w:rsidR="00F04C56" w:rsidRPr="00564AAD" w:rsidRDefault="00F04C56" w:rsidP="00284FA9">
      <w:pPr>
        <w:pStyle w:val="NoSpacing"/>
      </w:pPr>
      <w:r w:rsidRPr="00564AAD">
        <w:t>Guidehouse Inc.</w:t>
      </w:r>
    </w:p>
    <w:p w14:paraId="6542356B" w14:textId="77777777" w:rsidR="00F04C56" w:rsidRDefault="00F04C56" w:rsidP="00284FA9">
      <w:pPr>
        <w:pStyle w:val="NoSpacing"/>
      </w:pPr>
      <w:r>
        <w:t>167 N. Green Street</w:t>
      </w:r>
    </w:p>
    <w:p w14:paraId="4802A659" w14:textId="3C640C8C" w:rsidR="00F04C56" w:rsidRDefault="00F04C56" w:rsidP="00284FA9">
      <w:pPr>
        <w:pStyle w:val="NoSpacing"/>
      </w:pPr>
      <w:r>
        <w:t>12th Floor</w:t>
      </w:r>
    </w:p>
    <w:p w14:paraId="5CD2CC66" w14:textId="28B47F5F" w:rsidR="00F04C56" w:rsidRPr="00564AAD" w:rsidRDefault="00F04C56" w:rsidP="00284FA9">
      <w:pPr>
        <w:pStyle w:val="NoSpacing"/>
      </w:pPr>
      <w:r>
        <w:t>Chicago, IL 60607</w:t>
      </w:r>
    </w:p>
    <w:p w14:paraId="1AFE93DD" w14:textId="77777777" w:rsidR="00F04C56" w:rsidRPr="00564AAD" w:rsidRDefault="00F04C56" w:rsidP="00284FA9">
      <w:pPr>
        <w:pStyle w:val="NoSpacing"/>
      </w:pPr>
    </w:p>
    <w:p w14:paraId="337B5143" w14:textId="77777777" w:rsidR="00F04C56" w:rsidRPr="00564AAD" w:rsidRDefault="00F04C56" w:rsidP="00284FA9">
      <w:pPr>
        <w:pStyle w:val="NoSpacing"/>
      </w:pPr>
    </w:p>
    <w:p w14:paraId="1CE95839" w14:textId="77777777" w:rsidR="00F04C56" w:rsidRPr="00631500" w:rsidRDefault="00F04C56" w:rsidP="00284FA9">
      <w:pPr>
        <w:pStyle w:val="NoSpacing"/>
        <w:rPr>
          <w:b/>
          <w:bCs/>
        </w:rPr>
      </w:pPr>
      <w:r w:rsidRPr="00631500">
        <w:rPr>
          <w:b/>
          <w:bCs/>
        </w:rPr>
        <w:t>Contact:</w:t>
      </w:r>
    </w:p>
    <w:p w14:paraId="3EEA573A" w14:textId="77777777" w:rsidR="00F04C56" w:rsidRPr="00564AAD" w:rsidRDefault="00F04C56" w:rsidP="00284FA9">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284FA9" w:rsidRPr="00564AAD" w14:paraId="439334FA" w14:textId="77777777" w:rsidTr="00284FA9">
        <w:trPr>
          <w:trHeight w:val="693"/>
        </w:trPr>
        <w:tc>
          <w:tcPr>
            <w:tcW w:w="3330" w:type="dxa"/>
          </w:tcPr>
          <w:p w14:paraId="2C883693" w14:textId="4A6B971C" w:rsidR="00F04C56" w:rsidRPr="00AE6836" w:rsidRDefault="00F04C56" w:rsidP="00284FA9">
            <w:pPr>
              <w:spacing w:after="0"/>
              <w:rPr>
                <w:rFonts w:cs="Arial"/>
                <w:sz w:val="21"/>
                <w:szCs w:val="21"/>
              </w:rPr>
            </w:pPr>
            <w:r>
              <w:rPr>
                <w:rFonts w:eastAsia="Arial" w:cs="Arial"/>
                <w:sz w:val="21"/>
                <w:szCs w:val="21"/>
              </w:rPr>
              <w:t>Charles Maglione,</w:t>
            </w:r>
            <w:r w:rsidRPr="00AE6836">
              <w:rPr>
                <w:rFonts w:eastAsia="Arial" w:cs="Arial"/>
                <w:sz w:val="21"/>
                <w:szCs w:val="21"/>
              </w:rPr>
              <w:t xml:space="preserve"> Partner</w:t>
            </w:r>
          </w:p>
          <w:p w14:paraId="00A26E03" w14:textId="458724DE" w:rsidR="00F04C56" w:rsidRPr="00AE6836" w:rsidRDefault="00F04C56" w:rsidP="00284FA9">
            <w:pPr>
              <w:spacing w:after="0"/>
              <w:rPr>
                <w:rFonts w:cs="Arial"/>
                <w:sz w:val="21"/>
                <w:szCs w:val="21"/>
              </w:rPr>
            </w:pPr>
            <w:r>
              <w:rPr>
                <w:rFonts w:eastAsia="Arial" w:cs="Arial"/>
                <w:sz w:val="21"/>
                <w:szCs w:val="21"/>
              </w:rPr>
              <w:t>202.481.7352</w:t>
            </w:r>
          </w:p>
          <w:p w14:paraId="16482BF1" w14:textId="413C22CB" w:rsidR="00F04C56" w:rsidRPr="00AE6836" w:rsidRDefault="00F04C56" w:rsidP="00284FA9">
            <w:pPr>
              <w:pStyle w:val="NoSpacing"/>
            </w:pPr>
            <w:hyperlink r:id="rId13" w:history="1">
              <w:r w:rsidRPr="000563A8">
                <w:rPr>
                  <w:rStyle w:val="Hyperlink"/>
                  <w:rFonts w:cs="Arial"/>
                  <w:b/>
                  <w:color w:val="auto"/>
                  <w:sz w:val="21"/>
                  <w:szCs w:val="21"/>
                </w:rPr>
                <w:t>cmaglione@guidehouse.com</w:t>
              </w:r>
            </w:hyperlink>
          </w:p>
        </w:tc>
        <w:tc>
          <w:tcPr>
            <w:tcW w:w="3060" w:type="dxa"/>
          </w:tcPr>
          <w:p w14:paraId="1E4C24CB" w14:textId="14C88D4E" w:rsidR="00F04C56" w:rsidRPr="00F61CF7" w:rsidRDefault="00F04C56" w:rsidP="00284FA9">
            <w:pPr>
              <w:spacing w:after="0"/>
              <w:rPr>
                <w:rFonts w:cs="Arial"/>
                <w:sz w:val="21"/>
                <w:szCs w:val="21"/>
              </w:rPr>
            </w:pPr>
            <w:r w:rsidRPr="00F61CF7">
              <w:rPr>
                <w:rFonts w:eastAsia="Arial" w:cs="Arial"/>
                <w:sz w:val="21"/>
                <w:szCs w:val="21"/>
              </w:rPr>
              <w:t>Jeff Erickson, Director</w:t>
            </w:r>
          </w:p>
          <w:p w14:paraId="6A2C2F66" w14:textId="6C2C6BE7" w:rsidR="00F04C56" w:rsidRPr="00F61CF7" w:rsidRDefault="00F04C56" w:rsidP="00284FA9">
            <w:pPr>
              <w:spacing w:after="0"/>
              <w:rPr>
                <w:rFonts w:cs="Arial"/>
                <w:sz w:val="21"/>
                <w:szCs w:val="21"/>
              </w:rPr>
            </w:pPr>
            <w:r w:rsidRPr="00F61CF7">
              <w:rPr>
                <w:rFonts w:eastAsia="Arial" w:cs="Arial"/>
                <w:sz w:val="21"/>
                <w:szCs w:val="21"/>
              </w:rPr>
              <w:t>608.616.4962</w:t>
            </w:r>
          </w:p>
          <w:p w14:paraId="2C28F0D8" w14:textId="60CC0D47" w:rsidR="00F04C56" w:rsidRPr="00F61CF7" w:rsidRDefault="00F04C56" w:rsidP="00284FA9">
            <w:pPr>
              <w:pStyle w:val="NoSpacing"/>
            </w:pPr>
            <w:hyperlink r:id="rId14" w:history="1">
              <w:r w:rsidRPr="00F61CF7">
                <w:rPr>
                  <w:rStyle w:val="Hyperlink"/>
                  <w:rFonts w:cs="Arial"/>
                  <w:b/>
                  <w:color w:val="auto"/>
                  <w:sz w:val="21"/>
                  <w:szCs w:val="21"/>
                </w:rPr>
                <w:t>jeff.erickson@guidehouse.com</w:t>
              </w:r>
            </w:hyperlink>
          </w:p>
        </w:tc>
        <w:tc>
          <w:tcPr>
            <w:tcW w:w="3870" w:type="dxa"/>
          </w:tcPr>
          <w:p w14:paraId="2CD5C960" w14:textId="434A4F14" w:rsidR="00F04C56" w:rsidRPr="00F61CF7" w:rsidRDefault="00F04C56" w:rsidP="00284FA9">
            <w:pPr>
              <w:spacing w:after="0"/>
              <w:rPr>
                <w:rFonts w:cs="Arial"/>
                <w:sz w:val="21"/>
                <w:szCs w:val="21"/>
              </w:rPr>
            </w:pPr>
            <w:r w:rsidRPr="00F61CF7">
              <w:rPr>
                <w:rFonts w:eastAsia="Arial" w:cs="Arial"/>
                <w:sz w:val="21"/>
                <w:szCs w:val="21"/>
              </w:rPr>
              <w:t>Laura Agapay-Read, Associate Director</w:t>
            </w:r>
          </w:p>
          <w:p w14:paraId="209B276B" w14:textId="551FD213" w:rsidR="00F04C56" w:rsidRPr="00F61CF7" w:rsidRDefault="00F04C56" w:rsidP="00284FA9">
            <w:pPr>
              <w:spacing w:after="0"/>
              <w:rPr>
                <w:rFonts w:cs="Arial"/>
                <w:sz w:val="21"/>
                <w:szCs w:val="21"/>
              </w:rPr>
            </w:pPr>
            <w:r w:rsidRPr="00F61CF7">
              <w:rPr>
                <w:rFonts w:eastAsia="Arial" w:cs="Arial"/>
                <w:sz w:val="21"/>
                <w:szCs w:val="21"/>
              </w:rPr>
              <w:t>312.583.4178</w:t>
            </w:r>
          </w:p>
          <w:p w14:paraId="72F5322F" w14:textId="4BD64AD0" w:rsidR="00F04C56" w:rsidRPr="00F61CF7" w:rsidRDefault="00F04C56" w:rsidP="00284FA9">
            <w:pPr>
              <w:pStyle w:val="NoSpacing"/>
              <w:rPr>
                <w:rFonts w:cs="Arial"/>
                <w:b/>
                <w:sz w:val="21"/>
                <w:szCs w:val="21"/>
                <w:u w:val="single"/>
              </w:rPr>
            </w:pPr>
            <w:hyperlink r:id="rId15" w:history="1">
              <w:r w:rsidRPr="00F61CF7">
                <w:rPr>
                  <w:rStyle w:val="Hyperlink"/>
                  <w:rFonts w:cs="Arial"/>
                  <w:b/>
                  <w:color w:val="auto"/>
                  <w:sz w:val="21"/>
                  <w:szCs w:val="21"/>
                </w:rPr>
                <w:t>laura.agapay.read@guidehouse.com</w:t>
              </w:r>
            </w:hyperlink>
          </w:p>
        </w:tc>
      </w:tr>
    </w:tbl>
    <w:p w14:paraId="01643710" w14:textId="77777777" w:rsidR="00F04C56" w:rsidRDefault="00F04C56" w:rsidP="00284FA9">
      <w:pPr>
        <w:pStyle w:val="NoSpacing"/>
      </w:pPr>
    </w:p>
    <w:p w14:paraId="5A8B3D52" w14:textId="038FF796" w:rsidR="00F04C56" w:rsidRPr="00762586" w:rsidRDefault="00F04C56" w:rsidP="00284FA9">
      <w:pPr>
        <w:pStyle w:val="NoSpacing"/>
        <w:rPr>
          <w:rFonts w:eastAsia="Arial" w:cs="Arial"/>
          <w:sz w:val="21"/>
          <w:szCs w:val="21"/>
        </w:rPr>
      </w:pPr>
      <w:r w:rsidRPr="00762586">
        <w:rPr>
          <w:rFonts w:eastAsia="Arial" w:cs="Arial"/>
          <w:sz w:val="21"/>
          <w:szCs w:val="21"/>
        </w:rPr>
        <w:t>Charles Ampong, Associate Director</w:t>
      </w:r>
    </w:p>
    <w:p w14:paraId="0290F358" w14:textId="77777777" w:rsidR="00F04C56" w:rsidRPr="00762586" w:rsidRDefault="00F04C56" w:rsidP="00284FA9">
      <w:pPr>
        <w:pStyle w:val="NoSpacing"/>
        <w:rPr>
          <w:rFonts w:eastAsia="Arial" w:cs="Arial"/>
          <w:sz w:val="21"/>
          <w:szCs w:val="21"/>
        </w:rPr>
      </w:pPr>
      <w:r w:rsidRPr="00762586">
        <w:rPr>
          <w:rFonts w:eastAsia="Arial" w:cs="Arial"/>
          <w:sz w:val="21"/>
          <w:szCs w:val="21"/>
        </w:rPr>
        <w:t>608.</w:t>
      </w:r>
      <w:r>
        <w:rPr>
          <w:rFonts w:eastAsia="Arial" w:cs="Arial"/>
          <w:sz w:val="21"/>
          <w:szCs w:val="21"/>
        </w:rPr>
        <w:t>616.4922</w:t>
      </w:r>
    </w:p>
    <w:p w14:paraId="6B447806" w14:textId="76E2C14C" w:rsidR="00F04C56" w:rsidRPr="00142E0F" w:rsidRDefault="00F04C56" w:rsidP="00284FA9">
      <w:pPr>
        <w:pStyle w:val="NoSpacing"/>
        <w:rPr>
          <w:rFonts w:eastAsia="Arial" w:cs="Arial"/>
          <w:b/>
          <w:bCs/>
          <w:sz w:val="21"/>
          <w:szCs w:val="21"/>
        </w:rPr>
      </w:pPr>
      <w:hyperlink r:id="rId16" w:history="1">
        <w:r w:rsidRPr="00142E0F">
          <w:rPr>
            <w:rStyle w:val="Hyperlink"/>
            <w:rFonts w:eastAsia="Arial" w:cs="Arial"/>
            <w:b/>
            <w:bCs/>
            <w:color w:val="auto"/>
            <w:sz w:val="21"/>
            <w:szCs w:val="21"/>
          </w:rPr>
          <w:t>charles.ampong@guidehouse.com</w:t>
        </w:r>
      </w:hyperlink>
    </w:p>
    <w:p w14:paraId="5A3FFA0E" w14:textId="77777777" w:rsidR="00F04C56" w:rsidRPr="005B7F30" w:rsidRDefault="00F04C56" w:rsidP="00284FA9">
      <w:pPr>
        <w:pStyle w:val="NoSpacing"/>
        <w:rPr>
          <w:rFonts w:eastAsia="Arial" w:cs="Arial"/>
          <w:b/>
          <w:bCs/>
          <w:sz w:val="21"/>
          <w:szCs w:val="21"/>
        </w:rPr>
      </w:pPr>
    </w:p>
    <w:p w14:paraId="246F2D01" w14:textId="77777777" w:rsidR="00F04C56" w:rsidRPr="00564AAD" w:rsidRDefault="00F04C56" w:rsidP="00284FA9">
      <w:pPr>
        <w:pStyle w:val="NoSpacing"/>
      </w:pPr>
    </w:p>
    <w:p w14:paraId="02D50774" w14:textId="78AA4083" w:rsidR="00F04C56" w:rsidRDefault="00F04C56" w:rsidP="29174678">
      <w:pPr>
        <w:pStyle w:val="NoSpacing"/>
        <w:rPr>
          <w:sz w:val="20"/>
          <w:szCs w:val="20"/>
        </w:rPr>
        <w:sectPr w:rsidR="00F04C56" w:rsidSect="00284FA9">
          <w:headerReference w:type="default" r:id="rId17"/>
          <w:footerReference w:type="default" r:id="rId18"/>
          <w:headerReference w:type="first" r:id="rId19"/>
          <w:footerReference w:type="first" r:id="rId20"/>
          <w:pgSz w:w="12240" w:h="15840"/>
          <w:pgMar w:top="1440" w:right="1440" w:bottom="1440" w:left="1440" w:header="720" w:footer="720" w:gutter="0"/>
          <w:pgNumType w:fmt="lowerRoman"/>
          <w:cols w:space="720"/>
          <w:titlePg/>
          <w:docGrid w:linePitch="360"/>
        </w:sectPr>
      </w:pPr>
      <w:r w:rsidRPr="00564AAD">
        <w:rPr>
          <w:sz w:val="20"/>
          <w:szCs w:val="20"/>
        </w:rPr>
        <w:t xml:space="preserve">This report was prepared by Guidehouse for </w:t>
      </w:r>
      <w:r>
        <w:rPr>
          <w:sz w:val="20"/>
          <w:szCs w:val="20"/>
        </w:rPr>
        <w:t>People Gas Light and Coke Company (PGL)and North Shore Gas(NSG) companies</w:t>
      </w:r>
      <w:r w:rsidRPr="00564AAD">
        <w:rPr>
          <w:sz w:val="20"/>
          <w:szCs w:val="20"/>
        </w:rPr>
        <w:t>. The work presented in this report represents Guidehouse’s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r>
        <w:br w:type="page"/>
      </w:r>
    </w:p>
    <w:p w14:paraId="258C3457" w14:textId="77777777" w:rsidR="00F04C56" w:rsidRDefault="00F04C56"/>
    <w:p w14:paraId="346103F2" w14:textId="49B22EF3" w:rsidR="00F04C56" w:rsidRPr="008C17F1" w:rsidRDefault="00F04C56">
      <w:pPr>
        <w:rPr>
          <w:sz w:val="40"/>
          <w:szCs w:val="40"/>
        </w:rPr>
      </w:pPr>
      <w:r>
        <w:rPr>
          <w:sz w:val="40"/>
          <w:szCs w:val="40"/>
        </w:rPr>
        <w:t>Table of Contents</w:t>
      </w:r>
    </w:p>
    <w:p w14:paraId="496800CA" w14:textId="3810C574" w:rsidR="001940F2" w:rsidRDefault="00F04C56">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5531522" w:history="1">
        <w:r w:rsidR="001940F2" w:rsidRPr="0028232C">
          <w:rPr>
            <w:rStyle w:val="Hyperlink"/>
            <w:noProof/>
          </w:rPr>
          <w:t>1</w:t>
        </w:r>
        <w:r w:rsidR="001940F2">
          <w:rPr>
            <w:rFonts w:cstheme="minorBidi"/>
            <w:noProof/>
            <w:kern w:val="2"/>
            <w:sz w:val="24"/>
            <w:szCs w:val="24"/>
            <w14:ligatures w14:val="standardContextual"/>
          </w:rPr>
          <w:tab/>
        </w:r>
        <w:r w:rsidR="001940F2" w:rsidRPr="0028232C">
          <w:rPr>
            <w:rStyle w:val="Hyperlink"/>
            <w:noProof/>
          </w:rPr>
          <w:t>Introduction</w:t>
        </w:r>
        <w:r w:rsidR="001940F2">
          <w:rPr>
            <w:noProof/>
            <w:webHidden/>
          </w:rPr>
          <w:tab/>
        </w:r>
        <w:r w:rsidR="001940F2">
          <w:rPr>
            <w:noProof/>
            <w:webHidden/>
          </w:rPr>
          <w:fldChar w:fldCharType="begin"/>
        </w:r>
        <w:r w:rsidR="001940F2">
          <w:rPr>
            <w:noProof/>
            <w:webHidden/>
          </w:rPr>
          <w:instrText xml:space="preserve"> PAGEREF _Toc225531522 \h </w:instrText>
        </w:r>
        <w:r w:rsidR="001940F2">
          <w:rPr>
            <w:noProof/>
            <w:webHidden/>
          </w:rPr>
        </w:r>
        <w:r w:rsidR="001940F2">
          <w:rPr>
            <w:noProof/>
            <w:webHidden/>
          </w:rPr>
          <w:fldChar w:fldCharType="separate"/>
        </w:r>
        <w:r w:rsidR="001940F2">
          <w:rPr>
            <w:noProof/>
            <w:webHidden/>
          </w:rPr>
          <w:t>1</w:t>
        </w:r>
        <w:r w:rsidR="001940F2">
          <w:rPr>
            <w:noProof/>
            <w:webHidden/>
          </w:rPr>
          <w:fldChar w:fldCharType="end"/>
        </w:r>
      </w:hyperlink>
    </w:p>
    <w:p w14:paraId="35F32D29" w14:textId="50F0A8DC" w:rsidR="001940F2" w:rsidRDefault="001940F2">
      <w:pPr>
        <w:pStyle w:val="TOC1"/>
        <w:tabs>
          <w:tab w:val="left" w:pos="440"/>
          <w:tab w:val="right" w:leader="dot" w:pos="9350"/>
        </w:tabs>
        <w:rPr>
          <w:rFonts w:cstheme="minorBidi"/>
          <w:noProof/>
          <w:kern w:val="2"/>
          <w:sz w:val="24"/>
          <w:szCs w:val="24"/>
          <w14:ligatures w14:val="standardContextual"/>
        </w:rPr>
      </w:pPr>
      <w:hyperlink w:anchor="_Toc225531523" w:history="1">
        <w:r w:rsidRPr="0028232C">
          <w:rPr>
            <w:rStyle w:val="Hyperlink"/>
            <w:noProof/>
          </w:rPr>
          <w:t>2</w:t>
        </w:r>
        <w:r>
          <w:rPr>
            <w:rFonts w:cstheme="minorBidi"/>
            <w:noProof/>
            <w:kern w:val="2"/>
            <w:sz w:val="24"/>
            <w:szCs w:val="24"/>
            <w14:ligatures w14:val="standardContextual"/>
          </w:rPr>
          <w:tab/>
        </w:r>
        <w:r w:rsidRPr="0028232C">
          <w:rPr>
            <w:rStyle w:val="Hyperlink"/>
            <w:noProof/>
          </w:rPr>
          <w:t>Program Description</w:t>
        </w:r>
        <w:r>
          <w:rPr>
            <w:noProof/>
            <w:webHidden/>
          </w:rPr>
          <w:tab/>
        </w:r>
        <w:r>
          <w:rPr>
            <w:noProof/>
            <w:webHidden/>
          </w:rPr>
          <w:fldChar w:fldCharType="begin"/>
        </w:r>
        <w:r>
          <w:rPr>
            <w:noProof/>
            <w:webHidden/>
          </w:rPr>
          <w:instrText xml:space="preserve"> PAGEREF _Toc225531523 \h </w:instrText>
        </w:r>
        <w:r>
          <w:rPr>
            <w:noProof/>
            <w:webHidden/>
          </w:rPr>
        </w:r>
        <w:r>
          <w:rPr>
            <w:noProof/>
            <w:webHidden/>
          </w:rPr>
          <w:fldChar w:fldCharType="separate"/>
        </w:r>
        <w:r>
          <w:rPr>
            <w:noProof/>
            <w:webHidden/>
          </w:rPr>
          <w:t>1</w:t>
        </w:r>
        <w:r>
          <w:rPr>
            <w:noProof/>
            <w:webHidden/>
          </w:rPr>
          <w:fldChar w:fldCharType="end"/>
        </w:r>
      </w:hyperlink>
    </w:p>
    <w:p w14:paraId="4D184753" w14:textId="58526533" w:rsidR="001940F2" w:rsidRDefault="001940F2">
      <w:pPr>
        <w:pStyle w:val="TOC1"/>
        <w:tabs>
          <w:tab w:val="left" w:pos="440"/>
          <w:tab w:val="right" w:leader="dot" w:pos="9350"/>
        </w:tabs>
        <w:rPr>
          <w:rFonts w:cstheme="minorBidi"/>
          <w:noProof/>
          <w:kern w:val="2"/>
          <w:sz w:val="24"/>
          <w:szCs w:val="24"/>
          <w14:ligatures w14:val="standardContextual"/>
        </w:rPr>
      </w:pPr>
      <w:hyperlink w:anchor="_Toc225531524" w:history="1">
        <w:r w:rsidRPr="0028232C">
          <w:rPr>
            <w:rStyle w:val="Hyperlink"/>
            <w:noProof/>
          </w:rPr>
          <w:t>3</w:t>
        </w:r>
        <w:r>
          <w:rPr>
            <w:rFonts w:cstheme="minorBidi"/>
            <w:noProof/>
            <w:kern w:val="2"/>
            <w:sz w:val="24"/>
            <w:szCs w:val="24"/>
            <w14:ligatures w14:val="standardContextual"/>
          </w:rPr>
          <w:tab/>
        </w:r>
        <w:r w:rsidRPr="0028232C">
          <w:rPr>
            <w:rStyle w:val="Hyperlink"/>
            <w:noProof/>
          </w:rPr>
          <w:t>Program Savings Detail</w:t>
        </w:r>
        <w:r>
          <w:rPr>
            <w:noProof/>
            <w:webHidden/>
          </w:rPr>
          <w:tab/>
        </w:r>
        <w:r>
          <w:rPr>
            <w:noProof/>
            <w:webHidden/>
          </w:rPr>
          <w:fldChar w:fldCharType="begin"/>
        </w:r>
        <w:r>
          <w:rPr>
            <w:noProof/>
            <w:webHidden/>
          </w:rPr>
          <w:instrText xml:space="preserve"> PAGEREF _Toc225531524 \h </w:instrText>
        </w:r>
        <w:r>
          <w:rPr>
            <w:noProof/>
            <w:webHidden/>
          </w:rPr>
        </w:r>
        <w:r>
          <w:rPr>
            <w:noProof/>
            <w:webHidden/>
          </w:rPr>
          <w:fldChar w:fldCharType="separate"/>
        </w:r>
        <w:r>
          <w:rPr>
            <w:noProof/>
            <w:webHidden/>
          </w:rPr>
          <w:t>3</w:t>
        </w:r>
        <w:r>
          <w:rPr>
            <w:noProof/>
            <w:webHidden/>
          </w:rPr>
          <w:fldChar w:fldCharType="end"/>
        </w:r>
      </w:hyperlink>
    </w:p>
    <w:p w14:paraId="3775154B" w14:textId="089F0B7E" w:rsidR="001940F2" w:rsidRDefault="001940F2">
      <w:pPr>
        <w:pStyle w:val="TOC1"/>
        <w:tabs>
          <w:tab w:val="left" w:pos="440"/>
          <w:tab w:val="right" w:leader="dot" w:pos="9350"/>
        </w:tabs>
        <w:rPr>
          <w:rFonts w:cstheme="minorBidi"/>
          <w:noProof/>
          <w:kern w:val="2"/>
          <w:sz w:val="24"/>
          <w:szCs w:val="24"/>
          <w14:ligatures w14:val="standardContextual"/>
        </w:rPr>
      </w:pPr>
      <w:hyperlink w:anchor="_Toc225531525" w:history="1">
        <w:r w:rsidRPr="0028232C">
          <w:rPr>
            <w:rStyle w:val="Hyperlink"/>
            <w:noProof/>
          </w:rPr>
          <w:t>4</w:t>
        </w:r>
        <w:r>
          <w:rPr>
            <w:rFonts w:cstheme="minorBidi"/>
            <w:noProof/>
            <w:kern w:val="2"/>
            <w:sz w:val="24"/>
            <w:szCs w:val="24"/>
            <w14:ligatures w14:val="standardContextual"/>
          </w:rPr>
          <w:tab/>
        </w:r>
        <w:r w:rsidRPr="0028232C">
          <w:rPr>
            <w:rStyle w:val="Hyperlink"/>
            <w:noProof/>
          </w:rPr>
          <w:t>Program Savings by Measure</w:t>
        </w:r>
        <w:r>
          <w:rPr>
            <w:noProof/>
            <w:webHidden/>
          </w:rPr>
          <w:tab/>
        </w:r>
        <w:r>
          <w:rPr>
            <w:noProof/>
            <w:webHidden/>
          </w:rPr>
          <w:fldChar w:fldCharType="begin"/>
        </w:r>
        <w:r>
          <w:rPr>
            <w:noProof/>
            <w:webHidden/>
          </w:rPr>
          <w:instrText xml:space="preserve"> PAGEREF _Toc225531525 \h </w:instrText>
        </w:r>
        <w:r>
          <w:rPr>
            <w:noProof/>
            <w:webHidden/>
          </w:rPr>
        </w:r>
        <w:r>
          <w:rPr>
            <w:noProof/>
            <w:webHidden/>
          </w:rPr>
          <w:fldChar w:fldCharType="separate"/>
        </w:r>
        <w:r>
          <w:rPr>
            <w:noProof/>
            <w:webHidden/>
          </w:rPr>
          <w:t>4</w:t>
        </w:r>
        <w:r>
          <w:rPr>
            <w:noProof/>
            <w:webHidden/>
          </w:rPr>
          <w:fldChar w:fldCharType="end"/>
        </w:r>
      </w:hyperlink>
    </w:p>
    <w:p w14:paraId="21BEA56E" w14:textId="08C942A7" w:rsidR="001940F2" w:rsidRDefault="001940F2">
      <w:pPr>
        <w:pStyle w:val="TOC1"/>
        <w:tabs>
          <w:tab w:val="left" w:pos="440"/>
          <w:tab w:val="right" w:leader="dot" w:pos="9350"/>
        </w:tabs>
        <w:rPr>
          <w:rFonts w:cstheme="minorBidi"/>
          <w:noProof/>
          <w:kern w:val="2"/>
          <w:sz w:val="24"/>
          <w:szCs w:val="24"/>
          <w14:ligatures w14:val="standardContextual"/>
        </w:rPr>
      </w:pPr>
      <w:hyperlink w:anchor="_Toc225531526" w:history="1">
        <w:r w:rsidRPr="0028232C">
          <w:rPr>
            <w:rStyle w:val="Hyperlink"/>
            <w:noProof/>
          </w:rPr>
          <w:t>5</w:t>
        </w:r>
        <w:r>
          <w:rPr>
            <w:rFonts w:cstheme="minorBidi"/>
            <w:noProof/>
            <w:kern w:val="2"/>
            <w:sz w:val="24"/>
            <w:szCs w:val="24"/>
            <w14:ligatures w14:val="standardContextual"/>
          </w:rPr>
          <w:tab/>
        </w:r>
        <w:r w:rsidRPr="0028232C">
          <w:rPr>
            <w:rStyle w:val="Hyperlink"/>
            <w:noProof/>
          </w:rPr>
          <w:t>Impact Analysis Findings and Recommendations</w:t>
        </w:r>
        <w:r>
          <w:rPr>
            <w:noProof/>
            <w:webHidden/>
          </w:rPr>
          <w:tab/>
        </w:r>
        <w:r>
          <w:rPr>
            <w:noProof/>
            <w:webHidden/>
          </w:rPr>
          <w:fldChar w:fldCharType="begin"/>
        </w:r>
        <w:r>
          <w:rPr>
            <w:noProof/>
            <w:webHidden/>
          </w:rPr>
          <w:instrText xml:space="preserve"> PAGEREF _Toc225531526 \h </w:instrText>
        </w:r>
        <w:r>
          <w:rPr>
            <w:noProof/>
            <w:webHidden/>
          </w:rPr>
        </w:r>
        <w:r>
          <w:rPr>
            <w:noProof/>
            <w:webHidden/>
          </w:rPr>
          <w:fldChar w:fldCharType="separate"/>
        </w:r>
        <w:r>
          <w:rPr>
            <w:noProof/>
            <w:webHidden/>
          </w:rPr>
          <w:t>7</w:t>
        </w:r>
        <w:r>
          <w:rPr>
            <w:noProof/>
            <w:webHidden/>
          </w:rPr>
          <w:fldChar w:fldCharType="end"/>
        </w:r>
      </w:hyperlink>
    </w:p>
    <w:p w14:paraId="29DD35DE" w14:textId="4B557EC9" w:rsidR="001940F2" w:rsidRDefault="001940F2">
      <w:pPr>
        <w:pStyle w:val="TOC2"/>
        <w:tabs>
          <w:tab w:val="left" w:pos="960"/>
          <w:tab w:val="right" w:leader="dot" w:pos="9350"/>
        </w:tabs>
        <w:rPr>
          <w:rFonts w:cstheme="minorBidi"/>
          <w:noProof/>
          <w:kern w:val="2"/>
          <w:sz w:val="24"/>
          <w:szCs w:val="24"/>
          <w14:ligatures w14:val="standardContextual"/>
        </w:rPr>
      </w:pPr>
      <w:hyperlink w:anchor="_Toc225531527" w:history="1">
        <w:r w:rsidRPr="0028232C">
          <w:rPr>
            <w:rStyle w:val="Hyperlink"/>
            <w:noProof/>
          </w:rPr>
          <w:t>5.1</w:t>
        </w:r>
        <w:r>
          <w:rPr>
            <w:rFonts w:cstheme="minorBidi"/>
            <w:noProof/>
            <w:kern w:val="2"/>
            <w:sz w:val="24"/>
            <w:szCs w:val="24"/>
            <w14:ligatures w14:val="standardContextual"/>
          </w:rPr>
          <w:tab/>
        </w:r>
        <w:r w:rsidRPr="0028232C">
          <w:rPr>
            <w:rStyle w:val="Hyperlink"/>
            <w:noProof/>
          </w:rPr>
          <w:t>Impact Parameter Estimates</w:t>
        </w:r>
        <w:r>
          <w:rPr>
            <w:noProof/>
            <w:webHidden/>
          </w:rPr>
          <w:tab/>
        </w:r>
        <w:r>
          <w:rPr>
            <w:noProof/>
            <w:webHidden/>
          </w:rPr>
          <w:fldChar w:fldCharType="begin"/>
        </w:r>
        <w:r>
          <w:rPr>
            <w:noProof/>
            <w:webHidden/>
          </w:rPr>
          <w:instrText xml:space="preserve"> PAGEREF _Toc225531527 \h </w:instrText>
        </w:r>
        <w:r>
          <w:rPr>
            <w:noProof/>
            <w:webHidden/>
          </w:rPr>
        </w:r>
        <w:r>
          <w:rPr>
            <w:noProof/>
            <w:webHidden/>
          </w:rPr>
          <w:fldChar w:fldCharType="separate"/>
        </w:r>
        <w:r>
          <w:rPr>
            <w:noProof/>
            <w:webHidden/>
          </w:rPr>
          <w:t>7</w:t>
        </w:r>
        <w:r>
          <w:rPr>
            <w:noProof/>
            <w:webHidden/>
          </w:rPr>
          <w:fldChar w:fldCharType="end"/>
        </w:r>
      </w:hyperlink>
    </w:p>
    <w:p w14:paraId="26685560" w14:textId="21104BFA" w:rsidR="001940F2" w:rsidRDefault="001940F2">
      <w:pPr>
        <w:pStyle w:val="TOC2"/>
        <w:tabs>
          <w:tab w:val="left" w:pos="960"/>
          <w:tab w:val="right" w:leader="dot" w:pos="9350"/>
        </w:tabs>
        <w:rPr>
          <w:rFonts w:cstheme="minorBidi"/>
          <w:noProof/>
          <w:kern w:val="2"/>
          <w:sz w:val="24"/>
          <w:szCs w:val="24"/>
          <w14:ligatures w14:val="standardContextual"/>
        </w:rPr>
      </w:pPr>
      <w:hyperlink w:anchor="_Toc225531528" w:history="1">
        <w:r w:rsidRPr="0028232C">
          <w:rPr>
            <w:rStyle w:val="Hyperlink"/>
            <w:noProof/>
          </w:rPr>
          <w:t>5.2</w:t>
        </w:r>
        <w:r>
          <w:rPr>
            <w:rFonts w:cstheme="minorBidi"/>
            <w:noProof/>
            <w:kern w:val="2"/>
            <w:sz w:val="24"/>
            <w:szCs w:val="24"/>
            <w14:ligatures w14:val="standardContextual"/>
          </w:rPr>
          <w:tab/>
        </w:r>
        <w:r w:rsidRPr="0028232C">
          <w:rPr>
            <w:rStyle w:val="Hyperlink"/>
            <w:noProof/>
          </w:rPr>
          <w:t>Findings and Recommendations</w:t>
        </w:r>
        <w:r>
          <w:rPr>
            <w:noProof/>
            <w:webHidden/>
          </w:rPr>
          <w:tab/>
        </w:r>
        <w:r>
          <w:rPr>
            <w:noProof/>
            <w:webHidden/>
          </w:rPr>
          <w:fldChar w:fldCharType="begin"/>
        </w:r>
        <w:r>
          <w:rPr>
            <w:noProof/>
            <w:webHidden/>
          </w:rPr>
          <w:instrText xml:space="preserve"> PAGEREF _Toc225531528 \h </w:instrText>
        </w:r>
        <w:r>
          <w:rPr>
            <w:noProof/>
            <w:webHidden/>
          </w:rPr>
        </w:r>
        <w:r>
          <w:rPr>
            <w:noProof/>
            <w:webHidden/>
          </w:rPr>
          <w:fldChar w:fldCharType="separate"/>
        </w:r>
        <w:r>
          <w:rPr>
            <w:noProof/>
            <w:webHidden/>
          </w:rPr>
          <w:t>8</w:t>
        </w:r>
        <w:r>
          <w:rPr>
            <w:noProof/>
            <w:webHidden/>
          </w:rPr>
          <w:fldChar w:fldCharType="end"/>
        </w:r>
      </w:hyperlink>
    </w:p>
    <w:p w14:paraId="0BA0018B" w14:textId="609A9B93" w:rsidR="001940F2" w:rsidRDefault="001940F2">
      <w:pPr>
        <w:pStyle w:val="TOC1"/>
        <w:tabs>
          <w:tab w:val="right" w:leader="dot" w:pos="9350"/>
        </w:tabs>
        <w:rPr>
          <w:rFonts w:cstheme="minorBidi"/>
          <w:noProof/>
          <w:kern w:val="2"/>
          <w:sz w:val="24"/>
          <w:szCs w:val="24"/>
          <w14:ligatures w14:val="standardContextual"/>
        </w:rPr>
      </w:pPr>
      <w:hyperlink w:anchor="_Toc225531529" w:history="1">
        <w:r w:rsidRPr="0028232C">
          <w:rPr>
            <w:rStyle w:val="Hyperlink"/>
            <w:noProof/>
          </w:rPr>
          <w:t>Appendix A. Impact Analysis Methodology</w:t>
        </w:r>
        <w:r>
          <w:rPr>
            <w:noProof/>
            <w:webHidden/>
          </w:rPr>
          <w:tab/>
        </w:r>
        <w:r>
          <w:rPr>
            <w:noProof/>
            <w:webHidden/>
          </w:rPr>
          <w:fldChar w:fldCharType="begin"/>
        </w:r>
        <w:r>
          <w:rPr>
            <w:noProof/>
            <w:webHidden/>
          </w:rPr>
          <w:instrText xml:space="preserve"> PAGEREF _Toc225531529 \h </w:instrText>
        </w:r>
        <w:r>
          <w:rPr>
            <w:noProof/>
            <w:webHidden/>
          </w:rPr>
        </w:r>
        <w:r>
          <w:rPr>
            <w:noProof/>
            <w:webHidden/>
          </w:rPr>
          <w:fldChar w:fldCharType="separate"/>
        </w:r>
        <w:r>
          <w:rPr>
            <w:noProof/>
            <w:webHidden/>
          </w:rPr>
          <w:t>9</w:t>
        </w:r>
        <w:r>
          <w:rPr>
            <w:noProof/>
            <w:webHidden/>
          </w:rPr>
          <w:fldChar w:fldCharType="end"/>
        </w:r>
      </w:hyperlink>
    </w:p>
    <w:p w14:paraId="1467F7C8" w14:textId="4756880F" w:rsidR="001940F2" w:rsidRDefault="001940F2">
      <w:pPr>
        <w:pStyle w:val="TOC1"/>
        <w:tabs>
          <w:tab w:val="right" w:leader="dot" w:pos="9350"/>
        </w:tabs>
        <w:rPr>
          <w:rFonts w:cstheme="minorBidi"/>
          <w:noProof/>
          <w:kern w:val="2"/>
          <w:sz w:val="24"/>
          <w:szCs w:val="24"/>
          <w14:ligatures w14:val="standardContextual"/>
        </w:rPr>
      </w:pPr>
      <w:hyperlink w:anchor="_Toc225531530" w:history="1">
        <w:r w:rsidRPr="0028232C">
          <w:rPr>
            <w:rStyle w:val="Hyperlink"/>
            <w:rFonts w:asciiTheme="majorHAnsi" w:eastAsiaTheme="majorEastAsia" w:hAnsiTheme="majorHAnsi" w:cstheme="majorBidi"/>
            <w:noProof/>
          </w:rPr>
          <w:t>Appendix B. Program Specific Inputs for the Illinois TRC</w:t>
        </w:r>
        <w:r>
          <w:rPr>
            <w:noProof/>
            <w:webHidden/>
          </w:rPr>
          <w:tab/>
        </w:r>
        <w:r>
          <w:rPr>
            <w:noProof/>
            <w:webHidden/>
          </w:rPr>
          <w:fldChar w:fldCharType="begin"/>
        </w:r>
        <w:r>
          <w:rPr>
            <w:noProof/>
            <w:webHidden/>
          </w:rPr>
          <w:instrText xml:space="preserve"> PAGEREF _Toc225531530 \h </w:instrText>
        </w:r>
        <w:r>
          <w:rPr>
            <w:noProof/>
            <w:webHidden/>
          </w:rPr>
        </w:r>
        <w:r>
          <w:rPr>
            <w:noProof/>
            <w:webHidden/>
          </w:rPr>
          <w:fldChar w:fldCharType="separate"/>
        </w:r>
        <w:r>
          <w:rPr>
            <w:noProof/>
            <w:webHidden/>
          </w:rPr>
          <w:t>10</w:t>
        </w:r>
        <w:r>
          <w:rPr>
            <w:noProof/>
            <w:webHidden/>
          </w:rPr>
          <w:fldChar w:fldCharType="end"/>
        </w:r>
      </w:hyperlink>
    </w:p>
    <w:p w14:paraId="46033CAD" w14:textId="739975AA" w:rsidR="00F04C56" w:rsidRDefault="00F04C56">
      <w:r>
        <w:fldChar w:fldCharType="end"/>
      </w:r>
    </w:p>
    <w:p w14:paraId="08802225" w14:textId="4D7A0146" w:rsidR="00F04C56" w:rsidRPr="008C17F1" w:rsidRDefault="00F04C56">
      <w:pPr>
        <w:rPr>
          <w:sz w:val="40"/>
          <w:szCs w:val="40"/>
        </w:rPr>
      </w:pPr>
      <w:r>
        <w:rPr>
          <w:sz w:val="40"/>
          <w:szCs w:val="40"/>
        </w:rPr>
        <w:t>Table of Tables, Figures, and Equations</w:t>
      </w:r>
    </w:p>
    <w:p w14:paraId="0EAC359B" w14:textId="56F3E63B" w:rsidR="001940F2" w:rsidRDefault="00F04C56">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5531513" w:history="1">
        <w:r w:rsidR="001940F2" w:rsidRPr="00FD1861">
          <w:rPr>
            <w:rStyle w:val="Hyperlink"/>
            <w:noProof/>
          </w:rPr>
          <w:t>Table 1. 2025 Volumetric Summary for PGL</w:t>
        </w:r>
        <w:r w:rsidR="001940F2">
          <w:rPr>
            <w:noProof/>
            <w:webHidden/>
          </w:rPr>
          <w:tab/>
        </w:r>
        <w:r w:rsidR="001940F2">
          <w:rPr>
            <w:noProof/>
            <w:webHidden/>
          </w:rPr>
          <w:fldChar w:fldCharType="begin"/>
        </w:r>
        <w:r w:rsidR="001940F2">
          <w:rPr>
            <w:noProof/>
            <w:webHidden/>
          </w:rPr>
          <w:instrText xml:space="preserve"> PAGEREF _Toc225531513 \h </w:instrText>
        </w:r>
        <w:r w:rsidR="001940F2">
          <w:rPr>
            <w:noProof/>
            <w:webHidden/>
          </w:rPr>
        </w:r>
        <w:r w:rsidR="001940F2">
          <w:rPr>
            <w:noProof/>
            <w:webHidden/>
          </w:rPr>
          <w:fldChar w:fldCharType="separate"/>
        </w:r>
        <w:r w:rsidR="001940F2">
          <w:rPr>
            <w:noProof/>
            <w:webHidden/>
          </w:rPr>
          <w:t>1</w:t>
        </w:r>
        <w:r w:rsidR="001940F2">
          <w:rPr>
            <w:noProof/>
            <w:webHidden/>
          </w:rPr>
          <w:fldChar w:fldCharType="end"/>
        </w:r>
      </w:hyperlink>
    </w:p>
    <w:p w14:paraId="7F912FE8" w14:textId="1A2796A1" w:rsidR="001940F2" w:rsidRDefault="001940F2">
      <w:pPr>
        <w:pStyle w:val="TableofFigures"/>
        <w:tabs>
          <w:tab w:val="right" w:leader="dot" w:pos="9350"/>
        </w:tabs>
        <w:rPr>
          <w:noProof/>
          <w:kern w:val="2"/>
          <w:sz w:val="24"/>
          <w:lang w:eastAsia="en-US"/>
          <w14:ligatures w14:val="standardContextual"/>
        </w:rPr>
      </w:pPr>
      <w:hyperlink w:anchor="_Toc225531514" w:history="1">
        <w:r w:rsidRPr="00FD1861">
          <w:rPr>
            <w:rStyle w:val="Hyperlink"/>
            <w:noProof/>
          </w:rPr>
          <w:t>Table 2. 2025 Installed Measure Quantities for PGL</w:t>
        </w:r>
        <w:r>
          <w:rPr>
            <w:noProof/>
            <w:webHidden/>
          </w:rPr>
          <w:tab/>
        </w:r>
        <w:r>
          <w:rPr>
            <w:noProof/>
            <w:webHidden/>
          </w:rPr>
          <w:fldChar w:fldCharType="begin"/>
        </w:r>
        <w:r>
          <w:rPr>
            <w:noProof/>
            <w:webHidden/>
          </w:rPr>
          <w:instrText xml:space="preserve"> PAGEREF _Toc225531514 \h </w:instrText>
        </w:r>
        <w:r>
          <w:rPr>
            <w:noProof/>
            <w:webHidden/>
          </w:rPr>
        </w:r>
        <w:r>
          <w:rPr>
            <w:noProof/>
            <w:webHidden/>
          </w:rPr>
          <w:fldChar w:fldCharType="separate"/>
        </w:r>
        <w:r>
          <w:rPr>
            <w:noProof/>
            <w:webHidden/>
          </w:rPr>
          <w:t>1</w:t>
        </w:r>
        <w:r>
          <w:rPr>
            <w:noProof/>
            <w:webHidden/>
          </w:rPr>
          <w:fldChar w:fldCharType="end"/>
        </w:r>
      </w:hyperlink>
    </w:p>
    <w:p w14:paraId="7FE7C4BF" w14:textId="200430DF" w:rsidR="001940F2" w:rsidRDefault="001940F2">
      <w:pPr>
        <w:pStyle w:val="TableofFigures"/>
        <w:tabs>
          <w:tab w:val="right" w:leader="dot" w:pos="9350"/>
        </w:tabs>
        <w:rPr>
          <w:noProof/>
          <w:kern w:val="2"/>
          <w:sz w:val="24"/>
          <w:lang w:eastAsia="en-US"/>
          <w14:ligatures w14:val="standardContextual"/>
        </w:rPr>
      </w:pPr>
      <w:hyperlink w:anchor="_Toc225531515" w:history="1">
        <w:r w:rsidRPr="00FD1861">
          <w:rPr>
            <w:rStyle w:val="Hyperlink"/>
            <w:noProof/>
          </w:rPr>
          <w:t>Table 3. 2025 Volumetric Summary for NSG</w:t>
        </w:r>
        <w:r>
          <w:rPr>
            <w:noProof/>
            <w:webHidden/>
          </w:rPr>
          <w:tab/>
        </w:r>
        <w:r>
          <w:rPr>
            <w:noProof/>
            <w:webHidden/>
          </w:rPr>
          <w:fldChar w:fldCharType="begin"/>
        </w:r>
        <w:r>
          <w:rPr>
            <w:noProof/>
            <w:webHidden/>
          </w:rPr>
          <w:instrText xml:space="preserve"> PAGEREF _Toc225531515 \h </w:instrText>
        </w:r>
        <w:r>
          <w:rPr>
            <w:noProof/>
            <w:webHidden/>
          </w:rPr>
        </w:r>
        <w:r>
          <w:rPr>
            <w:noProof/>
            <w:webHidden/>
          </w:rPr>
          <w:fldChar w:fldCharType="separate"/>
        </w:r>
        <w:r>
          <w:rPr>
            <w:noProof/>
            <w:webHidden/>
          </w:rPr>
          <w:t>2</w:t>
        </w:r>
        <w:r>
          <w:rPr>
            <w:noProof/>
            <w:webHidden/>
          </w:rPr>
          <w:fldChar w:fldCharType="end"/>
        </w:r>
      </w:hyperlink>
    </w:p>
    <w:p w14:paraId="7973E21F" w14:textId="62EDAAF4" w:rsidR="001940F2" w:rsidRDefault="001940F2">
      <w:pPr>
        <w:pStyle w:val="TableofFigures"/>
        <w:tabs>
          <w:tab w:val="right" w:leader="dot" w:pos="9350"/>
        </w:tabs>
        <w:rPr>
          <w:noProof/>
          <w:kern w:val="2"/>
          <w:sz w:val="24"/>
          <w:lang w:eastAsia="en-US"/>
          <w14:ligatures w14:val="standardContextual"/>
        </w:rPr>
      </w:pPr>
      <w:hyperlink w:anchor="_Toc225531516" w:history="1">
        <w:r w:rsidRPr="00FD1861">
          <w:rPr>
            <w:rStyle w:val="Hyperlink"/>
            <w:noProof/>
          </w:rPr>
          <w:t>Table 4. 2025 Installed Measure Quantities for NSG</w:t>
        </w:r>
        <w:r>
          <w:rPr>
            <w:noProof/>
            <w:webHidden/>
          </w:rPr>
          <w:tab/>
        </w:r>
        <w:r>
          <w:rPr>
            <w:noProof/>
            <w:webHidden/>
          </w:rPr>
          <w:fldChar w:fldCharType="begin"/>
        </w:r>
        <w:r>
          <w:rPr>
            <w:noProof/>
            <w:webHidden/>
          </w:rPr>
          <w:instrText xml:space="preserve"> PAGEREF _Toc225531516 \h </w:instrText>
        </w:r>
        <w:r>
          <w:rPr>
            <w:noProof/>
            <w:webHidden/>
          </w:rPr>
        </w:r>
        <w:r>
          <w:rPr>
            <w:noProof/>
            <w:webHidden/>
          </w:rPr>
          <w:fldChar w:fldCharType="separate"/>
        </w:r>
        <w:r>
          <w:rPr>
            <w:noProof/>
            <w:webHidden/>
          </w:rPr>
          <w:t>2</w:t>
        </w:r>
        <w:r>
          <w:rPr>
            <w:noProof/>
            <w:webHidden/>
          </w:rPr>
          <w:fldChar w:fldCharType="end"/>
        </w:r>
      </w:hyperlink>
    </w:p>
    <w:p w14:paraId="6DB6C083" w14:textId="4D07A40B" w:rsidR="001940F2" w:rsidRDefault="001940F2">
      <w:pPr>
        <w:pStyle w:val="TableofFigures"/>
        <w:tabs>
          <w:tab w:val="right" w:leader="dot" w:pos="9350"/>
        </w:tabs>
        <w:rPr>
          <w:noProof/>
          <w:kern w:val="2"/>
          <w:sz w:val="24"/>
          <w:lang w:eastAsia="en-US"/>
          <w14:ligatures w14:val="standardContextual"/>
        </w:rPr>
      </w:pPr>
      <w:hyperlink w:anchor="_Toc225531517" w:history="1">
        <w:r w:rsidRPr="00FD1861">
          <w:rPr>
            <w:rStyle w:val="Hyperlink"/>
            <w:noProof/>
          </w:rPr>
          <w:t>Table 5. 2025 Annual Energy Savings Summary for PGL</w:t>
        </w:r>
        <w:r>
          <w:rPr>
            <w:noProof/>
            <w:webHidden/>
          </w:rPr>
          <w:tab/>
        </w:r>
        <w:r>
          <w:rPr>
            <w:noProof/>
            <w:webHidden/>
          </w:rPr>
          <w:fldChar w:fldCharType="begin"/>
        </w:r>
        <w:r>
          <w:rPr>
            <w:noProof/>
            <w:webHidden/>
          </w:rPr>
          <w:instrText xml:space="preserve"> PAGEREF _Toc225531517 \h </w:instrText>
        </w:r>
        <w:r>
          <w:rPr>
            <w:noProof/>
            <w:webHidden/>
          </w:rPr>
        </w:r>
        <w:r>
          <w:rPr>
            <w:noProof/>
            <w:webHidden/>
          </w:rPr>
          <w:fldChar w:fldCharType="separate"/>
        </w:r>
        <w:r>
          <w:rPr>
            <w:noProof/>
            <w:webHidden/>
          </w:rPr>
          <w:t>3</w:t>
        </w:r>
        <w:r>
          <w:rPr>
            <w:noProof/>
            <w:webHidden/>
          </w:rPr>
          <w:fldChar w:fldCharType="end"/>
        </w:r>
      </w:hyperlink>
    </w:p>
    <w:p w14:paraId="1704482B" w14:textId="102E1820" w:rsidR="001940F2" w:rsidRDefault="001940F2">
      <w:pPr>
        <w:pStyle w:val="TableofFigures"/>
        <w:tabs>
          <w:tab w:val="right" w:leader="dot" w:pos="9350"/>
        </w:tabs>
        <w:rPr>
          <w:noProof/>
          <w:kern w:val="2"/>
          <w:sz w:val="24"/>
          <w:lang w:eastAsia="en-US"/>
          <w14:ligatures w14:val="standardContextual"/>
        </w:rPr>
      </w:pPr>
      <w:hyperlink w:anchor="_Toc225531518" w:history="1">
        <w:r w:rsidRPr="00FD1861">
          <w:rPr>
            <w:rStyle w:val="Hyperlink"/>
            <w:noProof/>
          </w:rPr>
          <w:t>Table 6. 2025 Annual Energy Savings Summary for NSG</w:t>
        </w:r>
        <w:r>
          <w:rPr>
            <w:noProof/>
            <w:webHidden/>
          </w:rPr>
          <w:tab/>
        </w:r>
        <w:r>
          <w:rPr>
            <w:noProof/>
            <w:webHidden/>
          </w:rPr>
          <w:fldChar w:fldCharType="begin"/>
        </w:r>
        <w:r>
          <w:rPr>
            <w:noProof/>
            <w:webHidden/>
          </w:rPr>
          <w:instrText xml:space="preserve"> PAGEREF _Toc225531518 \h </w:instrText>
        </w:r>
        <w:r>
          <w:rPr>
            <w:noProof/>
            <w:webHidden/>
          </w:rPr>
        </w:r>
        <w:r>
          <w:rPr>
            <w:noProof/>
            <w:webHidden/>
          </w:rPr>
          <w:fldChar w:fldCharType="separate"/>
        </w:r>
        <w:r>
          <w:rPr>
            <w:noProof/>
            <w:webHidden/>
          </w:rPr>
          <w:t>3</w:t>
        </w:r>
        <w:r>
          <w:rPr>
            <w:noProof/>
            <w:webHidden/>
          </w:rPr>
          <w:fldChar w:fldCharType="end"/>
        </w:r>
      </w:hyperlink>
    </w:p>
    <w:p w14:paraId="1A5166BA" w14:textId="2F56994A" w:rsidR="001940F2" w:rsidRDefault="001940F2">
      <w:pPr>
        <w:pStyle w:val="TableofFigures"/>
        <w:tabs>
          <w:tab w:val="right" w:leader="dot" w:pos="9350"/>
        </w:tabs>
        <w:rPr>
          <w:noProof/>
          <w:kern w:val="2"/>
          <w:sz w:val="24"/>
          <w:lang w:eastAsia="en-US"/>
          <w14:ligatures w14:val="standardContextual"/>
        </w:rPr>
      </w:pPr>
      <w:hyperlink w:anchor="_Toc225531519" w:history="1">
        <w:r w:rsidRPr="00FD1861">
          <w:rPr>
            <w:rStyle w:val="Hyperlink"/>
            <w:noProof/>
          </w:rPr>
          <w:t>Table 7. 2025 Annual Energy Savings by Measure for PGL</w:t>
        </w:r>
        <w:r>
          <w:rPr>
            <w:noProof/>
            <w:webHidden/>
          </w:rPr>
          <w:tab/>
        </w:r>
        <w:r>
          <w:rPr>
            <w:noProof/>
            <w:webHidden/>
          </w:rPr>
          <w:fldChar w:fldCharType="begin"/>
        </w:r>
        <w:r>
          <w:rPr>
            <w:noProof/>
            <w:webHidden/>
          </w:rPr>
          <w:instrText xml:space="preserve"> PAGEREF _Toc225531519 \h </w:instrText>
        </w:r>
        <w:r>
          <w:rPr>
            <w:noProof/>
            <w:webHidden/>
          </w:rPr>
        </w:r>
        <w:r>
          <w:rPr>
            <w:noProof/>
            <w:webHidden/>
          </w:rPr>
          <w:fldChar w:fldCharType="separate"/>
        </w:r>
        <w:r>
          <w:rPr>
            <w:noProof/>
            <w:webHidden/>
          </w:rPr>
          <w:t>4</w:t>
        </w:r>
        <w:r>
          <w:rPr>
            <w:noProof/>
            <w:webHidden/>
          </w:rPr>
          <w:fldChar w:fldCharType="end"/>
        </w:r>
      </w:hyperlink>
    </w:p>
    <w:p w14:paraId="3FDE9D86" w14:textId="3DC4C60A" w:rsidR="001940F2" w:rsidRDefault="001940F2">
      <w:pPr>
        <w:pStyle w:val="TableofFigures"/>
        <w:tabs>
          <w:tab w:val="right" w:leader="dot" w:pos="9350"/>
        </w:tabs>
        <w:rPr>
          <w:noProof/>
          <w:kern w:val="2"/>
          <w:sz w:val="24"/>
          <w:lang w:eastAsia="en-US"/>
          <w14:ligatures w14:val="standardContextual"/>
        </w:rPr>
      </w:pPr>
      <w:hyperlink w:anchor="_Toc225531520" w:history="1">
        <w:r w:rsidRPr="00FD1861">
          <w:rPr>
            <w:rStyle w:val="Hyperlink"/>
            <w:noProof/>
          </w:rPr>
          <w:t>Table 8. 2025 Annual Energy Savings by Measure for NSG</w:t>
        </w:r>
        <w:r>
          <w:rPr>
            <w:noProof/>
            <w:webHidden/>
          </w:rPr>
          <w:tab/>
        </w:r>
        <w:r>
          <w:rPr>
            <w:noProof/>
            <w:webHidden/>
          </w:rPr>
          <w:fldChar w:fldCharType="begin"/>
        </w:r>
        <w:r>
          <w:rPr>
            <w:noProof/>
            <w:webHidden/>
          </w:rPr>
          <w:instrText xml:space="preserve"> PAGEREF _Toc225531520 \h </w:instrText>
        </w:r>
        <w:r>
          <w:rPr>
            <w:noProof/>
            <w:webHidden/>
          </w:rPr>
        </w:r>
        <w:r>
          <w:rPr>
            <w:noProof/>
            <w:webHidden/>
          </w:rPr>
          <w:fldChar w:fldCharType="separate"/>
        </w:r>
        <w:r>
          <w:rPr>
            <w:noProof/>
            <w:webHidden/>
          </w:rPr>
          <w:t>6</w:t>
        </w:r>
        <w:r>
          <w:rPr>
            <w:noProof/>
            <w:webHidden/>
          </w:rPr>
          <w:fldChar w:fldCharType="end"/>
        </w:r>
      </w:hyperlink>
    </w:p>
    <w:p w14:paraId="5A4E011C" w14:textId="10443E1D" w:rsidR="001940F2" w:rsidRDefault="001940F2">
      <w:pPr>
        <w:pStyle w:val="TableofFigures"/>
        <w:tabs>
          <w:tab w:val="right" w:leader="dot" w:pos="9350"/>
        </w:tabs>
        <w:rPr>
          <w:noProof/>
          <w:kern w:val="2"/>
          <w:sz w:val="24"/>
          <w:lang w:eastAsia="en-US"/>
          <w14:ligatures w14:val="standardContextual"/>
        </w:rPr>
      </w:pPr>
      <w:hyperlink w:anchor="_Toc225531521" w:history="1">
        <w:r w:rsidRPr="00FD1861">
          <w:rPr>
            <w:rStyle w:val="Hyperlink"/>
            <w:noProof/>
          </w:rPr>
          <w:t>Table 9. Verified Gross Savings Parameters</w:t>
        </w:r>
        <w:r>
          <w:rPr>
            <w:noProof/>
            <w:webHidden/>
          </w:rPr>
          <w:tab/>
        </w:r>
        <w:r>
          <w:rPr>
            <w:noProof/>
            <w:webHidden/>
          </w:rPr>
          <w:fldChar w:fldCharType="begin"/>
        </w:r>
        <w:r>
          <w:rPr>
            <w:noProof/>
            <w:webHidden/>
          </w:rPr>
          <w:instrText xml:space="preserve"> PAGEREF _Toc225531521 \h </w:instrText>
        </w:r>
        <w:r>
          <w:rPr>
            <w:noProof/>
            <w:webHidden/>
          </w:rPr>
        </w:r>
        <w:r>
          <w:rPr>
            <w:noProof/>
            <w:webHidden/>
          </w:rPr>
          <w:fldChar w:fldCharType="separate"/>
        </w:r>
        <w:r>
          <w:rPr>
            <w:noProof/>
            <w:webHidden/>
          </w:rPr>
          <w:t>7</w:t>
        </w:r>
        <w:r>
          <w:rPr>
            <w:noProof/>
            <w:webHidden/>
          </w:rPr>
          <w:fldChar w:fldCharType="end"/>
        </w:r>
      </w:hyperlink>
    </w:p>
    <w:p w14:paraId="0B8A9F88" w14:textId="7D8D6A6E" w:rsidR="00F04C56" w:rsidRDefault="00F04C56">
      <w:r>
        <w:fldChar w:fldCharType="end"/>
      </w:r>
    </w:p>
    <w:p w14:paraId="632BE945" w14:textId="77777777" w:rsidR="00F04C56" w:rsidRDefault="00F04C56"/>
    <w:p w14:paraId="08905987" w14:textId="77777777" w:rsidR="00F04C56" w:rsidRDefault="00F04C56"/>
    <w:p w14:paraId="45B58AD7" w14:textId="2B840588" w:rsidR="00F04C56" w:rsidRDefault="00F04C56">
      <w:pPr>
        <w:sectPr w:rsidR="00F04C56" w:rsidSect="00284FA9">
          <w:headerReference w:type="first" r:id="rId21"/>
          <w:pgSz w:w="12240" w:h="15840"/>
          <w:pgMar w:top="1440" w:right="1440" w:bottom="1440" w:left="1440" w:header="720" w:footer="720" w:gutter="0"/>
          <w:pgNumType w:fmt="lowerRoman"/>
          <w:cols w:space="720"/>
          <w:titlePg/>
          <w:docGrid w:linePitch="360"/>
        </w:sectPr>
      </w:pPr>
    </w:p>
    <w:p w14:paraId="61DD9945" w14:textId="77777777" w:rsidR="00F04C56" w:rsidRDefault="00F04C56" w:rsidP="00284FA9">
      <w:pPr>
        <w:pStyle w:val="Heading1"/>
      </w:pPr>
      <w:bookmarkStart w:id="1" w:name="_Toc151976667"/>
      <w:bookmarkStart w:id="2" w:name="_Toc187399541"/>
      <w:bookmarkStart w:id="3" w:name="_Toc225531522"/>
      <w:r>
        <w:lastRenderedPageBreak/>
        <w:t>Introduction</w:t>
      </w:r>
      <w:bookmarkEnd w:id="1"/>
      <w:bookmarkEnd w:id="2"/>
      <w:bookmarkEnd w:id="3"/>
    </w:p>
    <w:p w14:paraId="0D4DE561" w14:textId="4C29735B" w:rsidR="00F04C56" w:rsidRDefault="00F04C56" w:rsidP="00284FA9">
      <w:r w:rsidRPr="00F64B8B">
        <w:t xml:space="preserve">This report presents </w:t>
      </w:r>
      <w:r>
        <w:t>the results of the impact evaluation of the Peoples Gas (PGL) and North Shore Gas (NSG) 2025</w:t>
      </w:r>
      <w:r w:rsidR="00924787">
        <w:t xml:space="preserve"> Home Energy Rebates </w:t>
      </w:r>
      <w:r>
        <w:t>program. It presents a summary of the energy impacts for the total program and broken out by relevant measure and program structure details. The appendix presents the impact analysis methodology. Program year 2025 covers January 1 to December 31, 2025</w:t>
      </w:r>
      <w:r w:rsidRPr="00B52A58">
        <w:t>.</w:t>
      </w:r>
    </w:p>
    <w:p w14:paraId="18549E79" w14:textId="46D5C7AA" w:rsidR="00F04C56" w:rsidRDefault="00F04C56" w:rsidP="00284FA9">
      <w:pPr>
        <w:pStyle w:val="Heading1"/>
      </w:pPr>
      <w:bookmarkStart w:id="4" w:name="_Toc151976668"/>
      <w:bookmarkStart w:id="5" w:name="_Toc187399542"/>
      <w:bookmarkStart w:id="6" w:name="_Toc225531523"/>
      <w:r>
        <w:t xml:space="preserve">Program </w:t>
      </w:r>
      <w:bookmarkEnd w:id="4"/>
      <w:bookmarkEnd w:id="5"/>
      <w:r>
        <w:t>Description</w:t>
      </w:r>
      <w:bookmarkEnd w:id="6"/>
    </w:p>
    <w:p w14:paraId="649ABA35" w14:textId="1DC26C47" w:rsidR="00F92253" w:rsidRDefault="00F92253" w:rsidP="00284FA9">
      <w:bookmarkStart w:id="7" w:name="_Hlk500573405"/>
      <w:r w:rsidRPr="00F92253">
        <w:t xml:space="preserve">The Home Energy Rebate Program provides rebates to PGL and NSG residential customers who make certain energy-saving improvements to their homes. The program is composed of two distinct offerings: 1) replacement of HVAC and other equipment and 2) weatherization (Wx) improvements. The </w:t>
      </w:r>
      <w:r w:rsidR="006C33DA">
        <w:t xml:space="preserve">first </w:t>
      </w:r>
      <w:r w:rsidRPr="00F92253">
        <w:t>offer</w:t>
      </w:r>
      <w:r w:rsidR="006C33DA">
        <w:t>s</w:t>
      </w:r>
      <w:r w:rsidRPr="00F92253">
        <w:t xml:space="preserve"> incentives </w:t>
      </w:r>
      <w:r w:rsidR="006C33DA">
        <w:t>for</w:t>
      </w:r>
      <w:r w:rsidRPr="00F92253">
        <w:t xml:space="preserve"> customer-installed or contractor-installed energy efficient furnaces, boilers, water heaters, and programmable thermostats. The </w:t>
      </w:r>
      <w:r w:rsidR="006C33DA">
        <w:t>second</w:t>
      </w:r>
      <w:r w:rsidR="006C33DA" w:rsidRPr="00F92253">
        <w:t xml:space="preserve"> </w:t>
      </w:r>
      <w:r w:rsidRPr="00F92253">
        <w:t xml:space="preserve">offers incentives to trade ally-installed home insulation measures, such as air sealing and duct sealing. </w:t>
      </w:r>
      <w:r w:rsidR="00332E08">
        <w:t xml:space="preserve">The program also works with </w:t>
      </w:r>
      <w:r w:rsidRPr="00F92253">
        <w:t xml:space="preserve">ComEd </w:t>
      </w:r>
      <w:r w:rsidR="00332E08">
        <w:t xml:space="preserve">to </w:t>
      </w:r>
      <w:r w:rsidRPr="00F92253">
        <w:t>process rebates for advanced thermostats, and PGL and NSG reimbursed ComEd for the gas portion (“ComEd Marketplace”), removing the need for participants to complete separate rebate applications for natural gas and electricity.</w:t>
      </w:r>
    </w:p>
    <w:p w14:paraId="2E1F28BF" w14:textId="428E8917" w:rsidR="00F04C56" w:rsidRDefault="00F04C56" w:rsidP="00284FA9">
      <w:r>
        <w:t xml:space="preserve">The </w:t>
      </w:r>
      <w:r w:rsidR="004A6D58">
        <w:t xml:space="preserve">PGL </w:t>
      </w:r>
      <w:r>
        <w:t>program had</w:t>
      </w:r>
      <w:r w:rsidR="00D07E5A">
        <w:t xml:space="preserve"> 1,812 </w:t>
      </w:r>
      <w:r>
        <w:t xml:space="preserve">participants in 2025 and completed </w:t>
      </w:r>
      <w:r w:rsidR="004A6D58">
        <w:t xml:space="preserve">1,959 </w:t>
      </w:r>
      <w:r>
        <w:t xml:space="preserve">projects as shown in the following table. </w:t>
      </w:r>
    </w:p>
    <w:p w14:paraId="7C6AECFE" w14:textId="479B7F1E" w:rsidR="00F04C56" w:rsidRDefault="00F04C56" w:rsidP="00B879AD">
      <w:pPr>
        <w:pStyle w:val="Caption"/>
        <w:spacing w:after="0"/>
      </w:pPr>
      <w:bookmarkStart w:id="8" w:name="Table_1_PGL"/>
      <w:bookmarkStart w:id="9" w:name="_Toc189750766"/>
      <w:bookmarkStart w:id="10" w:name="_Toc225531513"/>
      <w:bookmarkEnd w:id="7"/>
      <w:r>
        <w:t xml:space="preserve">Table </w:t>
      </w:r>
      <w:r>
        <w:fldChar w:fldCharType="begin"/>
      </w:r>
      <w:r>
        <w:instrText xml:space="preserve"> SEQ Table \* ARABIC </w:instrText>
      </w:r>
      <w:r>
        <w:fldChar w:fldCharType="separate"/>
      </w:r>
      <w:r>
        <w:rPr>
          <w:noProof/>
        </w:rPr>
        <w:t>1</w:t>
      </w:r>
      <w:r>
        <w:fldChar w:fldCharType="end"/>
      </w:r>
      <w:r w:rsidRPr="00F7087A">
        <w:t>.</w:t>
      </w:r>
      <w:r>
        <w:t xml:space="preserve"> </w:t>
      </w:r>
      <w:bookmarkEnd w:id="8"/>
      <w:r>
        <w:t xml:space="preserve">2025 </w:t>
      </w:r>
      <w:r w:rsidRPr="005C2837">
        <w:t>Volumetric</w:t>
      </w:r>
      <w:r>
        <w:t xml:space="preserve"> </w:t>
      </w:r>
      <w:bookmarkEnd w:id="9"/>
      <w:r>
        <w:t>Summary for PGL</w:t>
      </w:r>
      <w:bookmarkEnd w:id="10"/>
    </w:p>
    <w:tbl>
      <w:tblPr>
        <w:tblW w:w="0" w:type="auto"/>
        <w:jc w:val="center"/>
        <w:tblLayout w:type="fixed"/>
        <w:tblLook w:val="0420" w:firstRow="1" w:lastRow="0" w:firstColumn="0" w:lastColumn="0" w:noHBand="0" w:noVBand="1"/>
      </w:tblPr>
      <w:tblGrid>
        <w:gridCol w:w="1872"/>
        <w:gridCol w:w="1872"/>
        <w:gridCol w:w="1872"/>
        <w:gridCol w:w="1872"/>
        <w:gridCol w:w="1872"/>
      </w:tblGrid>
      <w:tr w:rsidR="000B54E3" w14:paraId="711D768B" w14:textId="77777777">
        <w:trPr>
          <w:tblHeader/>
          <w:jc w:val="center"/>
        </w:trPr>
        <w:tc>
          <w:tcPr>
            <w:tcW w:w="1872"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3DEDC7D"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Participation</w:t>
            </w:r>
          </w:p>
        </w:tc>
        <w:tc>
          <w:tcPr>
            <w:tcW w:w="1872"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7BD6EE4"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ComEd Marketplace</w:t>
            </w:r>
          </w:p>
        </w:tc>
        <w:tc>
          <w:tcPr>
            <w:tcW w:w="1872"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954059C"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HVAC</w:t>
            </w:r>
          </w:p>
        </w:tc>
        <w:tc>
          <w:tcPr>
            <w:tcW w:w="1872"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767F0E9"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Weatherization</w:t>
            </w:r>
          </w:p>
        </w:tc>
        <w:tc>
          <w:tcPr>
            <w:tcW w:w="1872"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992002B"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Total</w:t>
            </w:r>
          </w:p>
        </w:tc>
      </w:tr>
      <w:tr w:rsidR="000B54E3" w14:paraId="075895BB" w14:textId="77777777">
        <w:trPr>
          <w:jc w:val="center"/>
        </w:trPr>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D61C3B"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05F70D"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718</w:t>
            </w:r>
          </w:p>
        </w:tc>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E36BB0"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903</w:t>
            </w:r>
          </w:p>
        </w:tc>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A72119"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191</w:t>
            </w:r>
          </w:p>
        </w:tc>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AD6DC3" w14:textId="63B1EA11"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F9225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812</w:t>
            </w:r>
          </w:p>
        </w:tc>
      </w:tr>
      <w:tr w:rsidR="000B54E3" w14:paraId="699F3EFB" w14:textId="77777777">
        <w:trPr>
          <w:jc w:val="center"/>
        </w:trPr>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74C9C6"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6D9C87"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720</w:t>
            </w:r>
          </w:p>
        </w:tc>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1ABA97" w14:textId="0A368839"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F9225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103</w:t>
            </w:r>
          </w:p>
        </w:tc>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74FAA3"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136</w:t>
            </w:r>
          </w:p>
        </w:tc>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C01981" w14:textId="3F86CD1D"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F9225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959</w:t>
            </w:r>
          </w:p>
        </w:tc>
      </w:tr>
      <w:tr w:rsidR="000B54E3" w14:paraId="35CB9B2B" w14:textId="77777777">
        <w:trPr>
          <w:jc w:val="center"/>
        </w:trPr>
        <w:tc>
          <w:tcPr>
            <w:tcW w:w="1872"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D400A36"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1872"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CD48A17"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1872"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0C27157"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w:t>
            </w:r>
          </w:p>
        </w:tc>
        <w:tc>
          <w:tcPr>
            <w:tcW w:w="1872"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E830067"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c>
          <w:tcPr>
            <w:tcW w:w="1872"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2B35B8B" w14:textId="11236CA1"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w:t>
            </w:r>
          </w:p>
        </w:tc>
      </w:tr>
    </w:tbl>
    <w:p w14:paraId="54674EF2" w14:textId="5BC80846" w:rsidR="00F04C56" w:rsidRPr="00752E20" w:rsidRDefault="00F04C56" w:rsidP="00284FA9">
      <w:pPr>
        <w:pStyle w:val="TableFigureSourceorNote"/>
      </w:pPr>
      <w:r>
        <w:t>* Participants are defined as</w:t>
      </w:r>
      <w:r w:rsidR="443E6F9A">
        <w:t xml:space="preserve"> the number of distinct account numbers with realized gas savings.</w:t>
      </w:r>
    </w:p>
    <w:p w14:paraId="1A4C6A04" w14:textId="06197FE2" w:rsidR="00F04C56" w:rsidRPr="00752E20" w:rsidRDefault="00F04C56" w:rsidP="00284FA9">
      <w:pPr>
        <w:pStyle w:val="TableFigureSourceorNote"/>
      </w:pPr>
      <w:r>
        <w:t>† Installed Projects</w:t>
      </w:r>
      <w:r w:rsidR="6F06E31A">
        <w:t xml:space="preserve"> represent the unique count of work orders completed.</w:t>
      </w:r>
    </w:p>
    <w:p w14:paraId="047DC5A3" w14:textId="3D0B7A76" w:rsidR="6F06E31A" w:rsidRDefault="6F06E31A" w:rsidP="203CF510">
      <w:pPr>
        <w:pStyle w:val="TableFigureSourceorNote"/>
      </w:pPr>
      <w:r>
        <w:t>‡ Measure types are defined as the number of distinct measure IDs with realized gas savings.</w:t>
      </w:r>
    </w:p>
    <w:p w14:paraId="008BD59A" w14:textId="49214A3C" w:rsidR="00F04C56" w:rsidRDefault="00F04C56" w:rsidP="00284FA9">
      <w:pPr>
        <w:pStyle w:val="TableFigureSourceorNote"/>
      </w:pPr>
      <w:r w:rsidRPr="00E47345">
        <w:t xml:space="preserve">Source: </w:t>
      </w:r>
      <w:r>
        <w:t xml:space="preserve">Peoples Gas tracking data and evaluation team </w:t>
      </w:r>
      <w:r w:rsidRPr="00651E3A">
        <w:t>analysis</w:t>
      </w:r>
      <w:r w:rsidRPr="00E47345">
        <w:t>.</w:t>
      </w:r>
    </w:p>
    <w:p w14:paraId="0F8E26A0" w14:textId="77777777" w:rsidR="00F04C56" w:rsidRDefault="00F04C56" w:rsidP="00284FA9"/>
    <w:p w14:paraId="6E4423CB" w14:textId="7EBF81AF" w:rsidR="00F04C56" w:rsidRDefault="00F04C56" w:rsidP="00284FA9">
      <w:r>
        <w:fldChar w:fldCharType="begin"/>
      </w:r>
      <w:r>
        <w:instrText xml:space="preserve"> REF _Ref189735540 \h </w:instrText>
      </w:r>
      <w:r>
        <w:fldChar w:fldCharType="separate"/>
      </w:r>
      <w:r>
        <w:t xml:space="preserve">Table </w:t>
      </w:r>
      <w:r>
        <w:rPr>
          <w:noProof/>
        </w:rPr>
        <w:t>2</w:t>
      </w:r>
      <w:r>
        <w:fldChar w:fldCharType="end"/>
      </w:r>
      <w:r>
        <w:t xml:space="preserve"> </w:t>
      </w:r>
      <w:r w:rsidRPr="00A90B62">
        <w:t>summarize</w:t>
      </w:r>
      <w:r>
        <w:t>s</w:t>
      </w:r>
      <w:r w:rsidRPr="00A90B62">
        <w:t xml:space="preserve"> the</w:t>
      </w:r>
      <w:r>
        <w:t xml:space="preserve"> installed measure quantities that are the basis for verified energy savings</w:t>
      </w:r>
      <w:r w:rsidR="00FF54D9">
        <w:t xml:space="preserve"> for PGL</w:t>
      </w:r>
      <w:r>
        <w:t>.</w:t>
      </w:r>
    </w:p>
    <w:p w14:paraId="694C802A" w14:textId="02230156" w:rsidR="00F04C56" w:rsidRDefault="00F04C56" w:rsidP="00B879AD">
      <w:pPr>
        <w:pStyle w:val="Caption"/>
        <w:spacing w:after="0"/>
      </w:pPr>
      <w:bookmarkStart w:id="11" w:name="_Ref189735540"/>
      <w:bookmarkStart w:id="12" w:name="Table_2_PGL"/>
      <w:bookmarkStart w:id="13" w:name="_Toc61360846"/>
      <w:bookmarkStart w:id="14" w:name="_Toc189750767"/>
      <w:bookmarkStart w:id="15" w:name="_Toc225531514"/>
      <w:r>
        <w:t xml:space="preserve">Table </w:t>
      </w:r>
      <w:r>
        <w:fldChar w:fldCharType="begin"/>
      </w:r>
      <w:r>
        <w:instrText xml:space="preserve"> SEQ Table \* ARABIC </w:instrText>
      </w:r>
      <w:r>
        <w:fldChar w:fldCharType="separate"/>
      </w:r>
      <w:r>
        <w:rPr>
          <w:noProof/>
        </w:rPr>
        <w:t>2</w:t>
      </w:r>
      <w:r>
        <w:fldChar w:fldCharType="end"/>
      </w:r>
      <w:bookmarkEnd w:id="11"/>
      <w:r w:rsidRPr="00F7087A">
        <w:t>.</w:t>
      </w:r>
      <w:r>
        <w:t xml:space="preserve"> </w:t>
      </w:r>
      <w:bookmarkEnd w:id="12"/>
      <w:r>
        <w:t xml:space="preserve">2025 Installed </w:t>
      </w:r>
      <w:r w:rsidRPr="0084176E">
        <w:t>Measure</w:t>
      </w:r>
      <w:r>
        <w:t xml:space="preserve"> Quantities</w:t>
      </w:r>
      <w:bookmarkEnd w:id="13"/>
      <w:bookmarkEnd w:id="14"/>
      <w:r>
        <w:t xml:space="preserve"> for PGL</w:t>
      </w:r>
      <w:bookmarkEnd w:id="15"/>
    </w:p>
    <w:tbl>
      <w:tblPr>
        <w:tblW w:w="5000" w:type="pct"/>
        <w:jc w:val="center"/>
        <w:tblLook w:val="0420" w:firstRow="1" w:lastRow="0" w:firstColumn="0" w:lastColumn="0" w:noHBand="0" w:noVBand="1"/>
      </w:tblPr>
      <w:tblGrid>
        <w:gridCol w:w="2000"/>
        <w:gridCol w:w="4318"/>
        <w:gridCol w:w="1297"/>
        <w:gridCol w:w="1745"/>
      </w:tblGrid>
      <w:tr w:rsidR="00FF54D9" w14:paraId="13E031B6" w14:textId="77777777" w:rsidTr="00B879AD">
        <w:trPr>
          <w:tblHeader/>
          <w:jc w:val="center"/>
        </w:trPr>
        <w:tc>
          <w:tcPr>
            <w:tcW w:w="106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1522C43"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230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878BA1D"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69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A88D815"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 Unit</w:t>
            </w:r>
          </w:p>
        </w:tc>
        <w:tc>
          <w:tcPr>
            <w:tcW w:w="93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D671FF"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Installed Quantity</w:t>
            </w:r>
          </w:p>
        </w:tc>
      </w:tr>
      <w:tr w:rsidR="00FF54D9" w14:paraId="0CEDB2DE" w14:textId="77777777" w:rsidTr="00B879AD">
        <w:trPr>
          <w:jc w:val="center"/>
        </w:trPr>
        <w:tc>
          <w:tcPr>
            <w:tcW w:w="106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D87225"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ComEd Marketplace</w:t>
            </w:r>
          </w:p>
        </w:tc>
        <w:tc>
          <w:tcPr>
            <w:tcW w:w="230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9FB5BB"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69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0B9AED" w14:textId="4ED32513" w:rsidR="00FF54D9" w:rsidRDefault="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4367B1"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720</w:t>
            </w:r>
          </w:p>
        </w:tc>
      </w:tr>
      <w:tr w:rsidR="00FF54D9" w14:paraId="1789ECB8" w14:textId="77777777" w:rsidTr="00B879AD">
        <w:trPr>
          <w:jc w:val="center"/>
        </w:trPr>
        <w:tc>
          <w:tcPr>
            <w:tcW w:w="1068"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3E409B91"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w:t>
            </w:r>
          </w:p>
        </w:tc>
        <w:tc>
          <w:tcPr>
            <w:tcW w:w="2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9CD19B"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DHW Two-In-One &gt;=95% AFUE</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220F89" w14:textId="15421D13" w:rsidR="00FF54D9" w:rsidRDefault="001C53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BAC7A6"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w:t>
            </w:r>
          </w:p>
        </w:tc>
      </w:tr>
      <w:tr w:rsidR="00FF54D9" w14:paraId="0847E682" w14:textId="77777777" w:rsidTr="00B879AD">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8EF0F91"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351B38"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&gt;=95% AFUE</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62229D" w14:textId="24622D35" w:rsidR="00FF54D9" w:rsidRDefault="001C53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D6B0C3"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w:t>
            </w:r>
          </w:p>
        </w:tc>
      </w:tr>
      <w:tr w:rsidR="00FF54D9" w14:paraId="42F47129" w14:textId="77777777" w:rsidTr="00B879AD">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EBF9699"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016CC2"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Steam &lt;=300MBH, &gt;=82.5% AFUE</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B62E03" w14:textId="656D12C8" w:rsidR="00FF54D9" w:rsidRDefault="001C53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0FF346"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FF54D9" w14:paraId="3D5BB001" w14:textId="77777777" w:rsidTr="00B879AD">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DA3BFDF"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04A0E2"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&gt;95% &lt;97% Afue</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9CD3E6" w14:textId="24767C44" w:rsidR="00FF54D9" w:rsidRDefault="001C53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79D135"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398</w:t>
            </w:r>
          </w:p>
        </w:tc>
      </w:tr>
      <w:tr w:rsidR="00FF54D9" w14:paraId="78EBBC77" w14:textId="77777777" w:rsidTr="00B879AD">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9679BD4"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D1BA9A"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 97% Afue</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F0A032" w14:textId="708A0EF9" w:rsidR="00FF54D9" w:rsidRDefault="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3E4BB9"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328</w:t>
            </w:r>
          </w:p>
        </w:tc>
      </w:tr>
      <w:tr w:rsidR="00FF54D9" w14:paraId="5BA9CDAC" w14:textId="77777777" w:rsidTr="00B879AD">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4CC33EF"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F13B2D"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Indirect Water Heater, &gt;=88% Afue</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782802" w14:textId="7B6D513A" w:rsidR="00FF54D9" w:rsidRDefault="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A39576"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r>
      <w:tr w:rsidR="00FF54D9" w14:paraId="2738F510" w14:textId="77777777" w:rsidTr="00B879AD">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B66F881"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585577"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Programmable Thermostat-Baseline Manual</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D37F96" w14:textId="2BD21821" w:rsidR="00FF54D9" w:rsidRDefault="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D270A9"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w:t>
            </w:r>
          </w:p>
        </w:tc>
      </w:tr>
      <w:tr w:rsidR="00FF54D9" w14:paraId="58141439" w14:textId="77777777" w:rsidTr="00B879AD">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40B1637"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600E40"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0F9806" w14:textId="35F47FC8" w:rsidR="00FF54D9" w:rsidRDefault="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47F1CC"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360</w:t>
            </w:r>
          </w:p>
        </w:tc>
      </w:tr>
      <w:tr w:rsidR="00FF54D9" w14:paraId="4432431B" w14:textId="77777777" w:rsidTr="00B879AD">
        <w:trPr>
          <w:jc w:val="center"/>
        </w:trPr>
        <w:tc>
          <w:tcPr>
            <w:tcW w:w="1068"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BCDABE"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20640B"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Heater&gt;=0.95 UEF</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AADC9A" w14:textId="7FD6F4AB" w:rsidR="00FF54D9" w:rsidRDefault="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DDDB48" w14:textId="77777777" w:rsidR="00FF54D9" w:rsidRDefault="00FF54D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w:t>
            </w:r>
          </w:p>
        </w:tc>
      </w:tr>
      <w:tr w:rsidR="000D3698" w14:paraId="3FDE25A2" w14:textId="77777777" w:rsidTr="00B879AD">
        <w:trPr>
          <w:jc w:val="center"/>
        </w:trPr>
        <w:tc>
          <w:tcPr>
            <w:tcW w:w="1068"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154E8853"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Weatherization</w:t>
            </w:r>
          </w:p>
        </w:tc>
        <w:tc>
          <w:tcPr>
            <w:tcW w:w="2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D0A1F6"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 with Attic Insulation</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E20A9F" w14:textId="568F79AD"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r w:rsidR="008D21D9">
              <w:rPr>
                <w:rFonts w:ascii="Aptos Narrow" w:eastAsia="DejaVu Sans" w:hAnsi="DejaVu Sans" w:cs="DejaVu Sans"/>
                <w:color w:val="000000"/>
                <w:sz w:val="20"/>
                <w:szCs w:val="20"/>
              </w:rPr>
              <w: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BE4EB4"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50,454</w:t>
            </w:r>
          </w:p>
        </w:tc>
      </w:tr>
      <w:tr w:rsidR="000D3698" w14:paraId="45C7F798" w14:textId="77777777" w:rsidTr="00B879AD">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C84A072"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0C1805"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025328" w14:textId="58BEB306"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r w:rsidR="008D21D9">
              <w:rPr>
                <w:rFonts w:ascii="Aptos Narrow" w:eastAsia="DejaVu Sans" w:hAnsi="DejaVu Sans" w:cs="DejaVu Sans"/>
                <w:color w:val="000000"/>
                <w:sz w:val="20"/>
                <w:szCs w:val="20"/>
              </w:rPr>
              <w: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3CE91F"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98,504</w:t>
            </w:r>
          </w:p>
        </w:tc>
      </w:tr>
      <w:tr w:rsidR="000D3698" w14:paraId="599CA6D1" w14:textId="77777777" w:rsidTr="00B879AD">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4A4643B"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A627AA"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Attic Insulation</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4C84E4"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92FA65"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122,217</w:t>
            </w:r>
          </w:p>
        </w:tc>
      </w:tr>
      <w:tr w:rsidR="000D3698" w14:paraId="2FA3E1AA" w14:textId="77777777" w:rsidTr="00B879AD">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81DE39A"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B178CA"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Duct Sealing</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73C228" w14:textId="6418A916"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r w:rsidR="008D21D9">
              <w:rPr>
                <w:rFonts w:ascii="Aptos Narrow" w:eastAsia="DejaVu Sans" w:hAnsi="DejaVu Sans" w:cs="DejaVu Sans"/>
                <w:color w:val="000000"/>
                <w:sz w:val="20"/>
                <w:szCs w:val="20"/>
              </w:rPr>
              <w: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EC847E"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4,905</w:t>
            </w:r>
          </w:p>
        </w:tc>
      </w:tr>
      <w:tr w:rsidR="000D3698" w14:paraId="0AE1D28E" w14:textId="77777777" w:rsidTr="00B879AD">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CE286F9"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610301"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Foundation Insulation</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BD23A4"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0D2218" w14:textId="77777777" w:rsidR="000D3698" w:rsidRDefault="000D369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872</w:t>
            </w:r>
          </w:p>
        </w:tc>
      </w:tr>
      <w:tr w:rsidR="000D3698" w14:paraId="7EA578EB" w14:textId="77777777" w:rsidTr="00B879AD">
        <w:trPr>
          <w:jc w:val="center"/>
        </w:trPr>
        <w:tc>
          <w:tcPr>
            <w:tcW w:w="1068" w:type="pct"/>
            <w:vMerge/>
            <w:tcBorders>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E82F2C9" w14:textId="4EAB5AA9" w:rsidR="000D3698" w:rsidRDefault="000D3698" w:rsidP="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0A8EE53" w14:textId="5A237A9C" w:rsidR="000D3698" w:rsidRDefault="000D3698" w:rsidP="000D3698">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Wall Insulation</w:t>
            </w:r>
          </w:p>
        </w:tc>
        <w:tc>
          <w:tcPr>
            <w:tcW w:w="69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BCBAFCE" w14:textId="1E239CC6" w:rsidR="000D3698" w:rsidRDefault="000D3698" w:rsidP="000D369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93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02460E2" w14:textId="57421332" w:rsidR="000D3698" w:rsidRDefault="000D3698" w:rsidP="000D369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3,733</w:t>
            </w:r>
          </w:p>
        </w:tc>
      </w:tr>
    </w:tbl>
    <w:p w14:paraId="6238A4A9" w14:textId="74753C3A" w:rsidR="008D21D9" w:rsidRDefault="00F04C56" w:rsidP="00012B1A">
      <w:pPr>
        <w:pStyle w:val="TableFigureSourceorNote"/>
      </w:pPr>
      <w:r w:rsidRPr="00651E3A">
        <w:t xml:space="preserve">Source: </w:t>
      </w:r>
      <w:bookmarkStart w:id="16" w:name="_Hlk186754865"/>
      <w:r>
        <w:t xml:space="preserve">Peoples Gas tracking data and evaluation team </w:t>
      </w:r>
      <w:r w:rsidRPr="00651E3A">
        <w:t>analysis</w:t>
      </w:r>
      <w:bookmarkEnd w:id="16"/>
      <w:r w:rsidR="00012B1A">
        <w:t>.</w:t>
      </w:r>
    </w:p>
    <w:p w14:paraId="01076EBF" w14:textId="3FCF19F7" w:rsidR="00012B1A" w:rsidRDefault="00012B1A" w:rsidP="00012B1A">
      <w:pPr>
        <w:pStyle w:val="TableFigureSourceorNote"/>
      </w:pPr>
      <w:r w:rsidRPr="00012B1A">
        <w:t xml:space="preserve">* </w:t>
      </w:r>
      <w:r>
        <w:t xml:space="preserve">CFM denotes </w:t>
      </w:r>
      <w:r w:rsidR="006E732A">
        <w:t>cubic feet per minute</w:t>
      </w:r>
      <w:r w:rsidRPr="00012B1A">
        <w:t>.</w:t>
      </w:r>
    </w:p>
    <w:p w14:paraId="1D109BF3" w14:textId="77777777" w:rsidR="00F04C56" w:rsidRDefault="00F04C56" w:rsidP="00284FA9"/>
    <w:p w14:paraId="3899011D" w14:textId="2D5A951E" w:rsidR="00F04C56" w:rsidRDefault="00F04C56" w:rsidP="00284FA9">
      <w:r>
        <w:t xml:space="preserve">The NSG program had </w:t>
      </w:r>
      <w:r w:rsidR="000D3698" w:rsidRPr="00A17A38">
        <w:t>1,</w:t>
      </w:r>
      <w:r w:rsidR="00A17A38" w:rsidRPr="00A17A38">
        <w:t xml:space="preserve">192 </w:t>
      </w:r>
      <w:r w:rsidRPr="00A17A38">
        <w:t>participants</w:t>
      </w:r>
      <w:r>
        <w:t xml:space="preserve"> in 2025 and completed</w:t>
      </w:r>
      <w:r w:rsidR="00A17A38">
        <w:t xml:space="preserve"> 1,275 </w:t>
      </w:r>
      <w:r>
        <w:t xml:space="preserve">projects as shown in the following table. </w:t>
      </w:r>
    </w:p>
    <w:p w14:paraId="22492BB0" w14:textId="6E615239" w:rsidR="00F04C56" w:rsidRDefault="00F04C56" w:rsidP="00F71937">
      <w:pPr>
        <w:pStyle w:val="Caption"/>
        <w:spacing w:after="0"/>
      </w:pPr>
      <w:bookmarkStart w:id="17" w:name="Table_3_NSG"/>
      <w:bookmarkStart w:id="18" w:name="_Toc61360474"/>
      <w:bookmarkStart w:id="19" w:name="_Toc189750714"/>
      <w:bookmarkStart w:id="20" w:name="_Toc225531515"/>
      <w:r>
        <w:t xml:space="preserve">Table </w:t>
      </w:r>
      <w:r>
        <w:fldChar w:fldCharType="begin"/>
      </w:r>
      <w:r>
        <w:instrText xml:space="preserve"> SEQ Table \* ARABIC </w:instrText>
      </w:r>
      <w:r>
        <w:fldChar w:fldCharType="separate"/>
      </w:r>
      <w:r>
        <w:rPr>
          <w:noProof/>
        </w:rPr>
        <w:t>3</w:t>
      </w:r>
      <w:r>
        <w:fldChar w:fldCharType="end"/>
      </w:r>
      <w:r>
        <w:t xml:space="preserve">. </w:t>
      </w:r>
      <w:bookmarkEnd w:id="17"/>
      <w:r>
        <w:t>2025 Volumetric Summary for NSG</w:t>
      </w:r>
      <w:bookmarkEnd w:id="18"/>
      <w:bookmarkEnd w:id="19"/>
      <w:bookmarkEnd w:id="20"/>
    </w:p>
    <w:tbl>
      <w:tblPr>
        <w:tblW w:w="0" w:type="auto"/>
        <w:jc w:val="center"/>
        <w:tblLayout w:type="fixed"/>
        <w:tblLook w:val="0420" w:firstRow="1" w:lastRow="0" w:firstColumn="0" w:lastColumn="0" w:noHBand="0" w:noVBand="1"/>
      </w:tblPr>
      <w:tblGrid>
        <w:gridCol w:w="1872"/>
        <w:gridCol w:w="1872"/>
        <w:gridCol w:w="1872"/>
        <w:gridCol w:w="1872"/>
        <w:gridCol w:w="1872"/>
      </w:tblGrid>
      <w:tr w:rsidR="000B54E3" w14:paraId="0618EED7" w14:textId="77777777">
        <w:trPr>
          <w:tblHeader/>
          <w:jc w:val="center"/>
        </w:trPr>
        <w:tc>
          <w:tcPr>
            <w:tcW w:w="1872"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D1CBFC4"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Participation</w:t>
            </w:r>
          </w:p>
        </w:tc>
        <w:tc>
          <w:tcPr>
            <w:tcW w:w="1872"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2F5875D"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ComEd Marketplace</w:t>
            </w:r>
          </w:p>
        </w:tc>
        <w:tc>
          <w:tcPr>
            <w:tcW w:w="1872"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056C75C"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HVAC</w:t>
            </w:r>
          </w:p>
        </w:tc>
        <w:tc>
          <w:tcPr>
            <w:tcW w:w="1872"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2B06AF"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Weatherization</w:t>
            </w:r>
          </w:p>
        </w:tc>
        <w:tc>
          <w:tcPr>
            <w:tcW w:w="1872"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9AC67DB"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Total</w:t>
            </w:r>
          </w:p>
        </w:tc>
      </w:tr>
      <w:tr w:rsidR="000B54E3" w14:paraId="43290EA1" w14:textId="77777777">
        <w:trPr>
          <w:jc w:val="center"/>
        </w:trPr>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CB3943"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607EA7"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389</w:t>
            </w:r>
          </w:p>
        </w:tc>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E7B92B"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703</w:t>
            </w:r>
          </w:p>
        </w:tc>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B75AB3"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1F41B8" w14:textId="0D3FD9A3"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0D3698">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192</w:t>
            </w:r>
          </w:p>
        </w:tc>
      </w:tr>
      <w:tr w:rsidR="000B54E3" w14:paraId="26848850" w14:textId="77777777">
        <w:trPr>
          <w:jc w:val="center"/>
        </w:trPr>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2307B7"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EBA70F"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392</w:t>
            </w:r>
          </w:p>
        </w:tc>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74D167"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819</w:t>
            </w:r>
          </w:p>
        </w:tc>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922613"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64</w:t>
            </w:r>
          </w:p>
        </w:tc>
        <w:tc>
          <w:tcPr>
            <w:tcW w:w="1872"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CB6F95" w14:textId="41B83F0A"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0D3698">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275</w:t>
            </w:r>
          </w:p>
        </w:tc>
      </w:tr>
      <w:tr w:rsidR="000B54E3" w14:paraId="5656AF9A" w14:textId="77777777">
        <w:trPr>
          <w:jc w:val="center"/>
        </w:trPr>
        <w:tc>
          <w:tcPr>
            <w:tcW w:w="1872"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56E2F17"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1872"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F1170E1"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1872"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B243451"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c>
          <w:tcPr>
            <w:tcW w:w="1872"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6F7D354"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c>
          <w:tcPr>
            <w:tcW w:w="1872"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C73176E" w14:textId="2016D565"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r>
    </w:tbl>
    <w:p w14:paraId="37514AAE" w14:textId="33C2C15F" w:rsidR="00F04C56" w:rsidRPr="00BD0D15" w:rsidRDefault="00F04C56" w:rsidP="00284FA9">
      <w:pPr>
        <w:pStyle w:val="TableFigureSourceorNote"/>
      </w:pPr>
      <w:r>
        <w:t xml:space="preserve">* Participants are defined as </w:t>
      </w:r>
      <w:r w:rsidR="04DC6E55">
        <w:t>the number of distinct account numbers with realized gas savings.</w:t>
      </w:r>
    </w:p>
    <w:p w14:paraId="44AACF6D" w14:textId="0526DB68" w:rsidR="00F04C56" w:rsidRPr="00BD0D15" w:rsidRDefault="00F04C56" w:rsidP="00284FA9">
      <w:pPr>
        <w:pStyle w:val="TableFigureSourceorNote"/>
      </w:pPr>
      <w:r>
        <w:t>† Installed Projects</w:t>
      </w:r>
      <w:r w:rsidR="37AB4AA5">
        <w:t xml:space="preserve"> represent the unique count of work orders completed.</w:t>
      </w:r>
    </w:p>
    <w:p w14:paraId="284F69A6" w14:textId="4088F3D2" w:rsidR="37AB4AA5" w:rsidRDefault="37AB4AA5" w:rsidP="203CF510">
      <w:pPr>
        <w:pStyle w:val="TableFigureSourceorNote"/>
      </w:pPr>
      <w:r>
        <w:t>‡ Measure types are defined as the number of distinct measure IDs with realized gas savings.</w:t>
      </w:r>
    </w:p>
    <w:p w14:paraId="67E456BF" w14:textId="77777777" w:rsidR="00F04C56" w:rsidRPr="00F65903" w:rsidRDefault="00F04C56" w:rsidP="00284FA9">
      <w:pPr>
        <w:pStyle w:val="TableFigureSourceorNote"/>
      </w:pPr>
      <w:r w:rsidRPr="00F65903">
        <w:t xml:space="preserve">Source: </w:t>
      </w:r>
      <w:bookmarkStart w:id="21" w:name="_Hlk29978029"/>
      <w:r w:rsidRPr="00F65903">
        <w:t>North Shore Gas tracking data and Guidehouse evaluation team analysis</w:t>
      </w:r>
      <w:bookmarkEnd w:id="21"/>
      <w:r w:rsidRPr="00F65903">
        <w:t>.</w:t>
      </w:r>
    </w:p>
    <w:p w14:paraId="3DE0C889" w14:textId="77777777" w:rsidR="00F04C56" w:rsidRDefault="00F04C56" w:rsidP="00284FA9"/>
    <w:p w14:paraId="2A59C828" w14:textId="661652A8" w:rsidR="00F04C56" w:rsidRDefault="00F04C56" w:rsidP="00284FA9">
      <w:r>
        <w:fldChar w:fldCharType="begin"/>
      </w:r>
      <w:r>
        <w:instrText xml:space="preserve"> REF _Ref189739451 \h </w:instrText>
      </w:r>
      <w:r>
        <w:fldChar w:fldCharType="separate"/>
      </w:r>
      <w:r>
        <w:t xml:space="preserve">Table </w:t>
      </w:r>
      <w:r>
        <w:rPr>
          <w:noProof/>
        </w:rPr>
        <w:t>4</w:t>
      </w:r>
      <w:r>
        <w:fldChar w:fldCharType="end"/>
      </w:r>
      <w:r>
        <w:t xml:space="preserve"> </w:t>
      </w:r>
      <w:r w:rsidRPr="00A90B62">
        <w:t>summarize</w:t>
      </w:r>
      <w:r>
        <w:t>s</w:t>
      </w:r>
      <w:r w:rsidRPr="00A90B62">
        <w:t xml:space="preserve"> the</w:t>
      </w:r>
      <w:r>
        <w:t xml:space="preserve"> installed measure quantities that are the basis for verified energy savings</w:t>
      </w:r>
      <w:r w:rsidR="00D0287A">
        <w:t xml:space="preserve"> for NSG</w:t>
      </w:r>
      <w:r>
        <w:t>.</w:t>
      </w:r>
    </w:p>
    <w:p w14:paraId="51607E92" w14:textId="57353568" w:rsidR="00F04C56" w:rsidRDefault="00F04C56" w:rsidP="00F71937">
      <w:pPr>
        <w:pStyle w:val="Caption"/>
        <w:spacing w:after="0"/>
      </w:pPr>
      <w:bookmarkStart w:id="22" w:name="_Ref189739451"/>
      <w:bookmarkStart w:id="23" w:name="Table_4_NSG"/>
      <w:bookmarkStart w:id="24" w:name="_Toc61360475"/>
      <w:bookmarkStart w:id="25" w:name="_Toc189750715"/>
      <w:bookmarkStart w:id="26" w:name="_Toc225531516"/>
      <w:r>
        <w:t xml:space="preserve">Table </w:t>
      </w:r>
      <w:r>
        <w:fldChar w:fldCharType="begin"/>
      </w:r>
      <w:r>
        <w:instrText xml:space="preserve"> SEQ Table \* ARABIC </w:instrText>
      </w:r>
      <w:r>
        <w:fldChar w:fldCharType="separate"/>
      </w:r>
      <w:r>
        <w:rPr>
          <w:noProof/>
        </w:rPr>
        <w:t>4</w:t>
      </w:r>
      <w:r>
        <w:fldChar w:fldCharType="end"/>
      </w:r>
      <w:bookmarkEnd w:id="22"/>
      <w:r>
        <w:t xml:space="preserve">. </w:t>
      </w:r>
      <w:bookmarkEnd w:id="23"/>
      <w:r>
        <w:t xml:space="preserve">2025 Installed </w:t>
      </w:r>
      <w:r w:rsidRPr="0084176E">
        <w:t>Measure</w:t>
      </w:r>
      <w:r>
        <w:t xml:space="preserve"> Quantities for NSG</w:t>
      </w:r>
      <w:bookmarkEnd w:id="24"/>
      <w:bookmarkEnd w:id="25"/>
      <w:bookmarkEnd w:id="26"/>
    </w:p>
    <w:tbl>
      <w:tblPr>
        <w:tblW w:w="5000" w:type="pct"/>
        <w:jc w:val="center"/>
        <w:tblLook w:val="0420" w:firstRow="1" w:lastRow="0" w:firstColumn="0" w:lastColumn="0" w:noHBand="0" w:noVBand="1"/>
      </w:tblPr>
      <w:tblGrid>
        <w:gridCol w:w="1999"/>
        <w:gridCol w:w="4319"/>
        <w:gridCol w:w="1297"/>
        <w:gridCol w:w="1745"/>
      </w:tblGrid>
      <w:tr w:rsidR="00D0287A" w14:paraId="0F25D9CC" w14:textId="77777777" w:rsidTr="00016E0B">
        <w:trPr>
          <w:tblHeader/>
          <w:jc w:val="center"/>
        </w:trPr>
        <w:tc>
          <w:tcPr>
            <w:tcW w:w="106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F91895"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230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030D45C"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69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C4FAB28"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 Unit</w:t>
            </w:r>
          </w:p>
        </w:tc>
        <w:tc>
          <w:tcPr>
            <w:tcW w:w="93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766004A"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Installed Quantity</w:t>
            </w:r>
          </w:p>
        </w:tc>
      </w:tr>
      <w:tr w:rsidR="00D0287A" w14:paraId="576D2B0C" w14:textId="77777777" w:rsidTr="00016E0B">
        <w:trPr>
          <w:jc w:val="center"/>
        </w:trPr>
        <w:tc>
          <w:tcPr>
            <w:tcW w:w="106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339096"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ComEd Marketplace</w:t>
            </w:r>
          </w:p>
        </w:tc>
        <w:tc>
          <w:tcPr>
            <w:tcW w:w="230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3E992A"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69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86D5D3" w14:textId="509483DE" w:rsidR="00D0287A" w:rsidRDefault="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C5B2E7"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392</w:t>
            </w:r>
          </w:p>
        </w:tc>
      </w:tr>
      <w:tr w:rsidR="00016E0B" w14:paraId="20C00759" w14:textId="77777777" w:rsidTr="00016E0B">
        <w:trPr>
          <w:jc w:val="center"/>
        </w:trPr>
        <w:tc>
          <w:tcPr>
            <w:tcW w:w="1068"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704992A2"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w:t>
            </w:r>
          </w:p>
        </w:tc>
        <w:tc>
          <w:tcPr>
            <w:tcW w:w="23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8B4D88"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DHW Two-In-One &gt;=95% AFUE</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2A3DD5" w14:textId="6C93ACCB"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931601"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r>
      <w:tr w:rsidR="00016E0B" w14:paraId="36B18928" w14:textId="77777777" w:rsidTr="00016E0B">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599FE5E"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C00B5A"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90 to 94.9% AFUE</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807D2A" w14:textId="7858DD15"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4E7A2B"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r>
      <w:tr w:rsidR="00016E0B" w14:paraId="4CBB28AC" w14:textId="77777777" w:rsidTr="00016E0B">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509342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2297F4"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&gt;=95% AFUE</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2C591D" w14:textId="042659DB"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636F8C"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w:t>
            </w:r>
          </w:p>
        </w:tc>
      </w:tr>
      <w:tr w:rsidR="00016E0B" w14:paraId="2CAE84A1" w14:textId="77777777" w:rsidTr="00016E0B">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8363FFE"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41ECBB"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Steam &lt;=300MBH, &gt;=82.5% AFUE</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23ACB6" w14:textId="4E51D756"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A56F5F"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r>
      <w:tr w:rsidR="00016E0B" w14:paraId="48D01B46" w14:textId="77777777" w:rsidTr="00016E0B">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8FC0DC7"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A97910"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&gt;95% &lt;97% Afue</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96389F" w14:textId="34BEE199"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07157D"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275</w:t>
            </w:r>
          </w:p>
        </w:tc>
      </w:tr>
      <w:tr w:rsidR="00016E0B" w14:paraId="119A7ACF" w14:textId="77777777" w:rsidTr="00016E0B">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0177C7C"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0F81EF"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 97% Afue</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F85BFA" w14:textId="19E17EE1"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ED81D3"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443</w:t>
            </w:r>
          </w:p>
        </w:tc>
      </w:tr>
      <w:tr w:rsidR="00016E0B" w14:paraId="529B911E" w14:textId="77777777" w:rsidTr="00016E0B">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D1E9039"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8FC5ED"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Indirect Water Heater, &gt;=88% Afue</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A91287" w14:textId="7ACD3E79"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38A194"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016E0B" w14:paraId="5C9DCAFD" w14:textId="77777777" w:rsidTr="00016E0B">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96FED0E"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E6104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Programmable Thermostat-Baseline Manual</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0B0D44" w14:textId="2EE2A5C3"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08E09D"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r>
      <w:tr w:rsidR="00016E0B" w14:paraId="6E889CDC" w14:textId="77777777" w:rsidTr="00016E0B">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35833FC"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CF4B5A"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8A7876" w14:textId="47FE02C8"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3C2C9F"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176</w:t>
            </w:r>
          </w:p>
        </w:tc>
      </w:tr>
      <w:tr w:rsidR="00016E0B" w14:paraId="1A331E08" w14:textId="77777777" w:rsidTr="00016E0B">
        <w:trPr>
          <w:jc w:val="center"/>
        </w:trPr>
        <w:tc>
          <w:tcPr>
            <w:tcW w:w="1068"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7C1760"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999924"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Heater&gt;=0.95 UEF</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94B6B1" w14:textId="76BD7D6F"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31A27B"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w:t>
            </w:r>
          </w:p>
        </w:tc>
      </w:tr>
      <w:tr w:rsidR="00D0287A" w14:paraId="259F3E11" w14:textId="77777777" w:rsidTr="00016E0B">
        <w:trPr>
          <w:jc w:val="center"/>
        </w:trPr>
        <w:tc>
          <w:tcPr>
            <w:tcW w:w="1068"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2FF0C4A5" w14:textId="77777777" w:rsidR="00D0287A" w:rsidRDefault="00D0287A" w:rsidP="00D028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Weatherization</w:t>
            </w:r>
          </w:p>
        </w:tc>
        <w:tc>
          <w:tcPr>
            <w:tcW w:w="23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B4CC0D"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 with Attic Insulation</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04EDF5" w14:textId="49D92B8D"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r w:rsidR="00070385">
              <w:rPr>
                <w:rFonts w:ascii="Aptos Narrow" w:eastAsia="DejaVu Sans" w:hAnsi="DejaVu Sans" w:cs="DejaVu Sans"/>
                <w:color w:val="000000"/>
                <w:sz w:val="20"/>
                <w:szCs w:val="20"/>
              </w:rPr>
              <w: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29A4AD"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32,067</w:t>
            </w:r>
          </w:p>
        </w:tc>
      </w:tr>
      <w:tr w:rsidR="00D0287A" w14:paraId="068B286F" w14:textId="77777777" w:rsidTr="00016E0B">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224AED5" w14:textId="77777777" w:rsidR="00D0287A" w:rsidRDefault="00D0287A" w:rsidP="00D028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53D395"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E8C96E" w14:textId="02A8D193"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r w:rsidR="00070385">
              <w:rPr>
                <w:rFonts w:ascii="Aptos Narrow" w:eastAsia="DejaVu Sans" w:hAnsi="DejaVu Sans" w:cs="DejaVu Sans"/>
                <w:color w:val="000000"/>
                <w:sz w:val="20"/>
                <w:szCs w:val="20"/>
              </w:rPr>
              <w: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8453B0"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59,029</w:t>
            </w:r>
          </w:p>
        </w:tc>
      </w:tr>
      <w:tr w:rsidR="00D0287A" w14:paraId="5C7FB787" w14:textId="77777777" w:rsidTr="00016E0B">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8586658" w14:textId="77777777" w:rsidR="00D0287A" w:rsidRDefault="00D0287A" w:rsidP="00D028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5AFF02"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Attic Insulation</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F5BCAE"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542797"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74,320</w:t>
            </w:r>
          </w:p>
        </w:tc>
      </w:tr>
      <w:tr w:rsidR="00D0287A" w14:paraId="45AF7B64" w14:textId="77777777" w:rsidTr="00016E0B">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2A6819C" w14:textId="77777777" w:rsidR="00D0287A" w:rsidRDefault="00D0287A" w:rsidP="00D028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C71855"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Duct Sealing</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FD6CD6" w14:textId="5A7DFE5A"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r w:rsidR="00070385">
              <w:rPr>
                <w:rFonts w:ascii="Aptos Narrow" w:eastAsia="DejaVu Sans" w:hAnsi="DejaVu Sans" w:cs="DejaVu Sans"/>
                <w:color w:val="000000"/>
                <w:sz w:val="20"/>
                <w:szCs w:val="20"/>
              </w:rPr>
              <w: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454686"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3,692</w:t>
            </w:r>
          </w:p>
        </w:tc>
      </w:tr>
      <w:tr w:rsidR="00D0287A" w14:paraId="1AE9B113" w14:textId="77777777" w:rsidTr="00016E0B">
        <w:trPr>
          <w:jc w:val="center"/>
        </w:trPr>
        <w:tc>
          <w:tcPr>
            <w:tcW w:w="106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D5FCD41" w14:textId="77777777" w:rsidR="00D0287A" w:rsidRDefault="00D0287A" w:rsidP="00D028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5205CF"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Foundation Insulation</w:t>
            </w:r>
          </w:p>
        </w:tc>
        <w:tc>
          <w:tcPr>
            <w:tcW w:w="69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B5D62E"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9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E65F7A" w14:textId="77777777" w:rsidR="00D0287A" w:rsidRDefault="00D0287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789</w:t>
            </w:r>
          </w:p>
        </w:tc>
      </w:tr>
      <w:tr w:rsidR="00D0287A" w14:paraId="7FFCD380" w14:textId="77777777" w:rsidTr="00016E0B">
        <w:trPr>
          <w:jc w:val="center"/>
        </w:trPr>
        <w:tc>
          <w:tcPr>
            <w:tcW w:w="1068" w:type="pct"/>
            <w:vMerge/>
            <w:tcBorders>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28D2554" w14:textId="28DB4D55" w:rsidR="00D0287A" w:rsidRDefault="00D0287A" w:rsidP="00D028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30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BDDE4BB" w14:textId="53BBC920" w:rsidR="00D0287A" w:rsidRDefault="00D0287A" w:rsidP="00D0287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Wall Insulation</w:t>
            </w:r>
          </w:p>
        </w:tc>
        <w:tc>
          <w:tcPr>
            <w:tcW w:w="69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A9C8BE9" w14:textId="661FAFDB" w:rsidR="00D0287A" w:rsidRDefault="00D0287A" w:rsidP="00D0287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93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2B04967" w14:textId="68AA5F97" w:rsidR="00D0287A" w:rsidRDefault="00D0287A" w:rsidP="00D0287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w:t>
            </w:r>
          </w:p>
        </w:tc>
      </w:tr>
    </w:tbl>
    <w:p w14:paraId="07017F52" w14:textId="409AF0B6" w:rsidR="00F04C56" w:rsidRDefault="00F04C56" w:rsidP="00284FA9">
      <w:pPr>
        <w:pStyle w:val="TableFigureSourceorNote"/>
      </w:pPr>
      <w:r w:rsidRPr="00F65903">
        <w:t>Source: North Shore Gas tracking data and Guidehouse evaluation team analysis</w:t>
      </w:r>
      <w:r>
        <w:t>.</w:t>
      </w:r>
    </w:p>
    <w:p w14:paraId="06C68F8B" w14:textId="77777777" w:rsidR="00A20645" w:rsidRDefault="00A20645" w:rsidP="00A20645">
      <w:pPr>
        <w:pStyle w:val="TableFigureSourceorNote"/>
      </w:pPr>
      <w:r w:rsidRPr="00012B1A">
        <w:t xml:space="preserve">* </w:t>
      </w:r>
      <w:r>
        <w:t>CFM denotes cubic feet per minute</w:t>
      </w:r>
      <w:r w:rsidRPr="00012B1A">
        <w:t>.</w:t>
      </w:r>
    </w:p>
    <w:p w14:paraId="09AB88D5" w14:textId="77777777" w:rsidR="00A20645" w:rsidRPr="00F65903" w:rsidRDefault="00A20645" w:rsidP="00284FA9">
      <w:pPr>
        <w:pStyle w:val="TableFigureSourceorNote"/>
      </w:pPr>
    </w:p>
    <w:p w14:paraId="2CBD6F36" w14:textId="77777777" w:rsidR="00F04C56" w:rsidRDefault="00F04C56" w:rsidP="00284FA9">
      <w:pPr>
        <w:pStyle w:val="Heading1"/>
      </w:pPr>
      <w:bookmarkStart w:id="27" w:name="_Toc225531524"/>
      <w:r>
        <w:t>Program Savings Detail</w:t>
      </w:r>
      <w:bookmarkEnd w:id="27"/>
    </w:p>
    <w:p w14:paraId="0FD117C1" w14:textId="75D21706" w:rsidR="00F04C56" w:rsidRDefault="00F04C56" w:rsidP="00284FA9">
      <w:r>
        <w:fldChar w:fldCharType="begin"/>
      </w:r>
      <w:r>
        <w:instrText xml:space="preserve"> REF _Ref189739479 \h </w:instrText>
      </w:r>
      <w:r>
        <w:fldChar w:fldCharType="separate"/>
      </w:r>
      <w:r>
        <w:t xml:space="preserve">Table </w:t>
      </w:r>
      <w:r>
        <w:rPr>
          <w:noProof/>
        </w:rPr>
        <w:t>5</w:t>
      </w:r>
      <w:r>
        <w:fldChar w:fldCharType="end"/>
      </w:r>
      <w:r>
        <w:t xml:space="preserve"> </w:t>
      </w:r>
      <w:r w:rsidRPr="00A90B62">
        <w:t>summarize</w:t>
      </w:r>
      <w:r>
        <w:t>s</w:t>
      </w:r>
      <w:r w:rsidRPr="00A90B62">
        <w:t xml:space="preserve"> the </w:t>
      </w:r>
      <w:r>
        <w:t xml:space="preserve">energy </w:t>
      </w:r>
      <w:r w:rsidRPr="00A90B62">
        <w:t xml:space="preserve">savings the </w:t>
      </w:r>
      <w:r>
        <w:t>PGL</w:t>
      </w:r>
      <w:r w:rsidR="000960CE">
        <w:t xml:space="preserve"> Home Energy Rebates </w:t>
      </w:r>
      <w:r>
        <w:t>P</w:t>
      </w:r>
      <w:r w:rsidRPr="00A90B62">
        <w:t>rogram</w:t>
      </w:r>
      <w:r>
        <w:t xml:space="preserve"> achieved by path in 2025.</w:t>
      </w:r>
    </w:p>
    <w:p w14:paraId="1C523E61" w14:textId="218298FC" w:rsidR="00F04C56" w:rsidRDefault="00F04C56" w:rsidP="00404BBE">
      <w:pPr>
        <w:pStyle w:val="Caption"/>
        <w:spacing w:after="0"/>
      </w:pPr>
      <w:bookmarkStart w:id="28" w:name="_Ref189739479"/>
      <w:bookmarkStart w:id="29" w:name="Table_5_PGL"/>
      <w:bookmarkStart w:id="30" w:name="_Toc397011684"/>
      <w:bookmarkStart w:id="31" w:name="_Toc397011694"/>
      <w:bookmarkStart w:id="32" w:name="_Toc398541809"/>
      <w:bookmarkStart w:id="33" w:name="_Toc398541922"/>
      <w:bookmarkStart w:id="34" w:name="_Toc398546654"/>
      <w:bookmarkStart w:id="35" w:name="_Toc423009516"/>
      <w:bookmarkStart w:id="36" w:name="_Toc426278634"/>
      <w:bookmarkStart w:id="37" w:name="_Toc61360476"/>
      <w:bookmarkStart w:id="38" w:name="_Toc189750716"/>
      <w:bookmarkStart w:id="39" w:name="_Toc225531517"/>
      <w:r>
        <w:t xml:space="preserve">Table </w:t>
      </w:r>
      <w:r>
        <w:fldChar w:fldCharType="begin"/>
      </w:r>
      <w:r>
        <w:instrText xml:space="preserve"> SEQ Table \* ARABIC </w:instrText>
      </w:r>
      <w:r>
        <w:fldChar w:fldCharType="separate"/>
      </w:r>
      <w:r>
        <w:rPr>
          <w:noProof/>
        </w:rPr>
        <w:t>5</w:t>
      </w:r>
      <w:r>
        <w:fldChar w:fldCharType="end"/>
      </w:r>
      <w:bookmarkEnd w:id="28"/>
      <w:r>
        <w:t xml:space="preserve">. </w:t>
      </w:r>
      <w:bookmarkEnd w:id="29"/>
      <w:r>
        <w:t>2025 Annual Energy Savings Summary</w:t>
      </w:r>
      <w:bookmarkEnd w:id="30"/>
      <w:bookmarkEnd w:id="31"/>
      <w:bookmarkEnd w:id="32"/>
      <w:bookmarkEnd w:id="33"/>
      <w:bookmarkEnd w:id="34"/>
      <w:bookmarkEnd w:id="35"/>
      <w:bookmarkEnd w:id="36"/>
      <w:r>
        <w:t xml:space="preserve"> for PGL</w:t>
      </w:r>
      <w:bookmarkEnd w:id="37"/>
      <w:bookmarkEnd w:id="38"/>
      <w:bookmarkEnd w:id="39"/>
    </w:p>
    <w:tbl>
      <w:tblPr>
        <w:tblW w:w="0" w:type="auto"/>
        <w:jc w:val="center"/>
        <w:tblCellMar>
          <w:left w:w="144" w:type="dxa"/>
          <w:right w:w="144" w:type="dxa"/>
        </w:tblCellMar>
        <w:tblLook w:val="0420" w:firstRow="1" w:lastRow="0" w:firstColumn="0" w:lastColumn="0" w:noHBand="0" w:noVBand="1"/>
      </w:tblPr>
      <w:tblGrid>
        <w:gridCol w:w="2009"/>
        <w:gridCol w:w="1434"/>
        <w:gridCol w:w="1273"/>
        <w:gridCol w:w="1084"/>
        <w:gridCol w:w="1287"/>
        <w:gridCol w:w="479"/>
        <w:gridCol w:w="606"/>
        <w:gridCol w:w="1188"/>
      </w:tblGrid>
      <w:tr w:rsidR="000B54E3" w14:paraId="557BE3EC" w14:textId="77777777" w:rsidTr="00AA7784">
        <w:trPr>
          <w:tblHeader/>
          <w:jc w:val="center"/>
        </w:trPr>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14AC299"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C182D0A" w14:textId="77777777" w:rsidR="000B54E3" w:rsidRDefault="00F04C56" w:rsidP="006641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684C115" w14:textId="45A45D0F"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 xml:space="preserve">Ex Ante Gross Savings </w:t>
            </w:r>
            <w:r w:rsidR="00AA7784">
              <w:rPr>
                <w:rFonts w:ascii="Aptos Narrow" w:eastAsia="DejaVu Sans" w:hAnsi="DejaVu Sans" w:cs="DejaVu Sans"/>
                <w:color w:val="FFFFFF"/>
                <w:sz w:val="20"/>
                <w:szCs w:val="20"/>
              </w:rPr>
              <w:br/>
            </w:r>
            <w:r>
              <w:rPr>
                <w:rFonts w:ascii="Aptos Narrow" w:eastAsia="DejaVu Sans" w:hAnsi="DejaVu Sans" w:cs="DejaVu Sans"/>
                <w:color w:val="FFFFFF"/>
                <w:sz w:val="20"/>
                <w:szCs w:val="20"/>
              </w:rPr>
              <w:t>(Therms)</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DF02469"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0B1AB8F" w14:textId="13BB07B6"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 xml:space="preserve">Verified Gross Savings </w:t>
            </w:r>
            <w:r w:rsidR="00AA7784">
              <w:rPr>
                <w:rFonts w:ascii="Aptos Narrow" w:eastAsia="DejaVu Sans" w:hAnsi="DejaVu Sans" w:cs="DejaVu Sans"/>
                <w:color w:val="FFFFFF"/>
                <w:sz w:val="20"/>
                <w:szCs w:val="20"/>
              </w:rPr>
              <w:br/>
            </w:r>
            <w:r>
              <w:rPr>
                <w:rFonts w:ascii="Aptos Narrow" w:eastAsia="DejaVu Sans" w:hAnsi="DejaVu Sans" w:cs="DejaVu Sans"/>
                <w:color w:val="FFFFFF"/>
                <w:sz w:val="20"/>
                <w:szCs w:val="20"/>
              </w:rPr>
              <w:t>(Therms)</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B0F5780"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69CBF71" w14:textId="72C8CB9F"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w:t>
            </w:r>
            <w:r w:rsidR="007D445C">
              <w:rPr>
                <w:rFonts w:ascii="Aptos Narrow" w:eastAsia="DejaVu Sans" w:hAnsi="DejaVu Sans" w:cs="DejaVu Sans"/>
                <w:color w:val="FFFFFF"/>
                <w:sz w:val="20"/>
                <w:szCs w:val="20"/>
              </w:rPr>
              <w:t>PS</w:t>
            </w:r>
            <w:r>
              <w:rPr>
                <w:rFonts w:ascii="Aptos Narrow" w:eastAsia="DejaVu Sans" w:hAnsi="DejaVu Sans" w:cs="DejaVu Sans"/>
                <w:color w:val="FFFFFF"/>
                <w:sz w:val="20"/>
                <w:szCs w:val="20"/>
              </w:rPr>
              <w:t>O</w:t>
            </w:r>
            <w:r>
              <w:rPr>
                <w:rFonts w:ascii="Aptos Narrow" w:eastAsia="DejaVu Sans" w:hAnsi="DejaVu Sans" w:cs="DejaVu Sans"/>
                <w:color w:val="FFFFFF"/>
                <w:sz w:val="20"/>
                <w:szCs w:val="20"/>
              </w:rPr>
              <w:t>‡</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66901EF" w14:textId="2BE1A216"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 xml:space="preserve">Verified Net Savings </w:t>
            </w:r>
            <w:r w:rsidR="00AA7784">
              <w:rPr>
                <w:rFonts w:ascii="Aptos Narrow" w:eastAsia="DejaVu Sans" w:hAnsi="DejaVu Sans" w:cs="DejaVu Sans"/>
                <w:color w:val="FFFFFF"/>
                <w:sz w:val="20"/>
                <w:szCs w:val="20"/>
              </w:rPr>
              <w:br/>
            </w:r>
            <w:r>
              <w:rPr>
                <w:rFonts w:ascii="Aptos Narrow" w:eastAsia="DejaVu Sans" w:hAnsi="DejaVu Sans" w:cs="DejaVu Sans"/>
                <w:color w:val="FFFFFF"/>
                <w:sz w:val="20"/>
                <w:szCs w:val="20"/>
              </w:rPr>
              <w:t>(Therms)</w:t>
            </w:r>
          </w:p>
        </w:tc>
      </w:tr>
      <w:tr w:rsidR="003C5F40" w14:paraId="2D7D03EA" w14:textId="77777777" w:rsidTr="00AA7784">
        <w:trPr>
          <w:jc w:val="center"/>
        </w:trPr>
        <w:tc>
          <w:tcPr>
            <w:tcW w:w="0" w:type="auto"/>
            <w:vMerge w:val="restart"/>
            <w:tcBorders>
              <w:top w:val="single" w:sz="16" w:space="0" w:color="93D500" w:themeColor="accent1"/>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E3B41F"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Non-Disadvantaged Communities</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81C582" w14:textId="77777777" w:rsidR="003C5F40" w:rsidRDefault="003C5F40" w:rsidP="006641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ComEd Marketplace</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82C134"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40,385</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3AAB7A"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D13B05"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40,657</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D1DE2B"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0.95</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451008" w14:textId="4E63D928"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2AE6185B">
              <w:rPr>
                <w:rFonts w:ascii="Aptos Narrow" w:eastAsia="DejaVu Sans" w:hAnsi="DejaVu Sans" w:cs="DejaVu Sans"/>
                <w:color w:val="000000" w:themeColor="text1"/>
                <w:sz w:val="20"/>
                <w:szCs w:val="20"/>
              </w:rPr>
              <w:t>1.08</w:t>
            </w:r>
            <w:r w:rsidR="611C57DD" w:rsidRPr="2AE6185B">
              <w:rPr>
                <w:rFonts w:ascii="Aptos Narrow" w:eastAsia="DejaVu Sans" w:hAnsi="DejaVu Sans" w:cs="DejaVu Sans"/>
                <w:color w:val="000000" w:themeColor="text1"/>
                <w:sz w:val="20"/>
                <w:szCs w:val="20"/>
              </w:rPr>
              <w:t>3</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84D8C6"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41,829</w:t>
            </w:r>
          </w:p>
        </w:tc>
      </w:tr>
      <w:tr w:rsidR="003C5F40" w14:paraId="1DBAFE9D" w14:textId="77777777" w:rsidTr="00AA7784">
        <w:trPr>
          <w:jc w:val="center"/>
        </w:trPr>
        <w:tc>
          <w:tcPr>
            <w:tcW w:w="0" w:type="auto"/>
            <w:vMerge/>
            <w:tcMar>
              <w:top w:w="0" w:type="dxa"/>
              <w:left w:w="0" w:type="dxa"/>
              <w:bottom w:w="0" w:type="dxa"/>
              <w:right w:w="0" w:type="dxa"/>
            </w:tcMar>
            <w:vAlign w:val="center"/>
          </w:tcPr>
          <w:p w14:paraId="300BF5A3"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DB2895" w14:textId="77777777" w:rsidR="003C5F40" w:rsidRDefault="003C5F40" w:rsidP="006641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B0C913"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164,898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1EBBCA"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16FEB5"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164,853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366D26"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062D56" w14:textId="3AA9266E"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2AE6185B">
              <w:rPr>
                <w:rFonts w:ascii="Aptos Narrow" w:eastAsia="DejaVu Sans" w:hAnsi="DejaVu Sans" w:cs="DejaVu Sans"/>
                <w:color w:val="000000" w:themeColor="text1"/>
                <w:sz w:val="20"/>
                <w:szCs w:val="20"/>
              </w:rPr>
              <w:t>1.08</w:t>
            </w:r>
            <w:r w:rsidR="611C57DD" w:rsidRPr="2AE6185B">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0610AF"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135,436</w:t>
            </w:r>
          </w:p>
        </w:tc>
      </w:tr>
      <w:tr w:rsidR="003C5F40" w14:paraId="65A36E41" w14:textId="77777777" w:rsidTr="00AA7784">
        <w:trPr>
          <w:jc w:val="center"/>
        </w:trPr>
        <w:tc>
          <w:tcPr>
            <w:tcW w:w="0" w:type="auto"/>
            <w:vMerge/>
            <w:tcMar>
              <w:top w:w="0" w:type="dxa"/>
              <w:left w:w="0" w:type="dxa"/>
              <w:bottom w:w="0" w:type="dxa"/>
              <w:right w:w="0" w:type="dxa"/>
            </w:tcMar>
            <w:vAlign w:val="center"/>
          </w:tcPr>
          <w:p w14:paraId="29C69C3C"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648369" w14:textId="77777777" w:rsidR="003C5F40" w:rsidRDefault="003C5F40" w:rsidP="006641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Weatherization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123647"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24,293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B90130"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6F352D"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24,292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57ECAC"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1F367D" w14:textId="1075E3F1"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2AE6185B">
              <w:rPr>
                <w:rFonts w:ascii="Aptos Narrow" w:eastAsia="DejaVu Sans" w:hAnsi="DejaVu Sans" w:cs="DejaVu Sans"/>
                <w:color w:val="000000" w:themeColor="text1"/>
                <w:sz w:val="20"/>
                <w:szCs w:val="20"/>
              </w:rPr>
              <w:t>1.08</w:t>
            </w:r>
            <w:r w:rsidR="5D629279" w:rsidRPr="2AE6185B">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7A0F23"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23,193</w:t>
            </w:r>
          </w:p>
        </w:tc>
      </w:tr>
      <w:tr w:rsidR="000B54E3" w14:paraId="4918D45C" w14:textId="77777777" w:rsidTr="00AA7784">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C9AAD3"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3C5F40">
              <w:rPr>
                <w:rFonts w:ascii="Aptos Narrow" w:eastAsia="DejaVu Sans" w:hAnsi="DejaVu Sans" w:cs="DejaVu Sans"/>
                <w:b/>
                <w:bCs/>
                <w:i/>
                <w:iCs/>
                <w:color w:val="000000"/>
                <w:sz w:val="20"/>
                <w:szCs w:val="20"/>
              </w:rPr>
              <w:t>Non-DAC Subtotal</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AB4594" w14:textId="77777777" w:rsidR="000B54E3" w:rsidRPr="003C5F40" w:rsidRDefault="000B54E3" w:rsidP="006641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99324E"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C5F40">
              <w:rPr>
                <w:rFonts w:ascii="Aptos Narrow" w:eastAsia="DejaVu Sans" w:hAnsi="DejaVu Sans" w:cs="DejaVu Sans"/>
                <w:b/>
                <w:bCs/>
                <w:i/>
                <w:iCs/>
                <w:color w:val="000000"/>
                <w:sz w:val="20"/>
                <w:szCs w:val="20"/>
              </w:rPr>
              <w:t>229,575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2BB79F"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C5F40">
              <w:rPr>
                <w:rFonts w:ascii="Aptos Narrow" w:eastAsia="DejaVu Sans" w:hAnsi="DejaVu Sans" w:cs="DejaVu Sans"/>
                <w:b/>
                <w:bCs/>
                <w:i/>
                <w:iC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302E12"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C5F40">
              <w:rPr>
                <w:rFonts w:ascii="Aptos Narrow" w:eastAsia="DejaVu Sans" w:hAnsi="DejaVu Sans" w:cs="DejaVu Sans"/>
                <w:b/>
                <w:bCs/>
                <w:i/>
                <w:iCs/>
                <w:color w:val="000000"/>
                <w:sz w:val="20"/>
                <w:szCs w:val="20"/>
              </w:rPr>
              <w:t>229,802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64442E" w14:textId="77777777" w:rsidR="000B54E3" w:rsidRPr="003C5F40" w:rsidRDefault="000B54E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9851CE" w14:textId="77777777" w:rsidR="000B54E3" w:rsidRPr="003C5F40" w:rsidRDefault="000B54E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873568"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C5F40">
              <w:rPr>
                <w:rFonts w:ascii="Aptos Narrow" w:eastAsia="DejaVu Sans" w:hAnsi="DejaVu Sans" w:cs="DejaVu Sans"/>
                <w:b/>
                <w:bCs/>
                <w:i/>
                <w:iCs/>
                <w:color w:val="000000"/>
                <w:sz w:val="20"/>
                <w:szCs w:val="20"/>
              </w:rPr>
              <w:t>200,458</w:t>
            </w:r>
          </w:p>
        </w:tc>
      </w:tr>
      <w:tr w:rsidR="003C5F40" w14:paraId="2A38CCDE" w14:textId="77777777" w:rsidTr="00AA7784">
        <w:trPr>
          <w:jc w:val="center"/>
        </w:trPr>
        <w:tc>
          <w:tcPr>
            <w:tcW w:w="0" w:type="auto"/>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897B7BE"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Disadvantaged Communities</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70EA8F" w14:textId="77777777" w:rsidR="003C5F40" w:rsidRDefault="003C5F40" w:rsidP="006641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ComEd Marketplace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E3576D"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12,326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9DC484"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88E693"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12,326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028173"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2CEFEC" w14:textId="3B5E74D9"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2AE6185B">
              <w:rPr>
                <w:rFonts w:ascii="Aptos Narrow" w:eastAsia="DejaVu Sans" w:hAnsi="DejaVu Sans" w:cs="DejaVu Sans"/>
                <w:color w:val="000000" w:themeColor="text1"/>
                <w:sz w:val="20"/>
                <w:szCs w:val="20"/>
              </w:rPr>
              <w:t>1.08</w:t>
            </w:r>
            <w:r w:rsidR="305ED076" w:rsidRPr="2AE6185B">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FCEDBA"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12,682</w:t>
            </w:r>
          </w:p>
        </w:tc>
      </w:tr>
      <w:tr w:rsidR="003C5F40" w14:paraId="6C262622" w14:textId="77777777" w:rsidTr="00AA7784">
        <w:trPr>
          <w:jc w:val="center"/>
        </w:trPr>
        <w:tc>
          <w:tcPr>
            <w:tcW w:w="0" w:type="auto"/>
            <w:vMerge/>
            <w:tcMar>
              <w:top w:w="0" w:type="dxa"/>
              <w:left w:w="0" w:type="dxa"/>
              <w:bottom w:w="0" w:type="dxa"/>
              <w:right w:w="0" w:type="dxa"/>
            </w:tcMar>
            <w:vAlign w:val="center"/>
          </w:tcPr>
          <w:p w14:paraId="60182163"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C5AA69" w14:textId="77777777" w:rsidR="003C5F40" w:rsidRDefault="003C5F40" w:rsidP="006641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2730A5"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36,075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82141D"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4A8535"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36,075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E538F0"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C6449A" w14:textId="14D6482F" w:rsidR="003C5F40" w:rsidRDefault="00A947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42939F"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36,075</w:t>
            </w:r>
          </w:p>
        </w:tc>
      </w:tr>
      <w:tr w:rsidR="003C5F40" w14:paraId="7FF8BB1D" w14:textId="77777777" w:rsidTr="00AA7784">
        <w:trPr>
          <w:jc w:val="center"/>
        </w:trPr>
        <w:tc>
          <w:tcPr>
            <w:tcW w:w="0" w:type="auto"/>
            <w:vMerge/>
            <w:tcMar>
              <w:top w:w="0" w:type="dxa"/>
              <w:left w:w="0" w:type="dxa"/>
              <w:bottom w:w="0" w:type="dxa"/>
              <w:right w:w="0" w:type="dxa"/>
            </w:tcMar>
            <w:vAlign w:val="center"/>
          </w:tcPr>
          <w:p w14:paraId="0E91CB5C"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333635" w14:textId="77777777" w:rsidR="003C5F40" w:rsidRDefault="003C5F40" w:rsidP="006641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Weatherization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B3420E"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7,242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F9F2C6"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E347AF"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7,242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41CF6E"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BF740C" w14:textId="352727D7" w:rsidR="003C5F40" w:rsidRDefault="00A947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D3B5F8" w14:textId="77777777" w:rsidR="003C5F40" w:rsidRDefault="003C5F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7,242</w:t>
            </w:r>
          </w:p>
        </w:tc>
      </w:tr>
      <w:tr w:rsidR="000B54E3" w14:paraId="319F7005" w14:textId="77777777" w:rsidTr="00AA7784">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2F4771"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3C5F40">
              <w:rPr>
                <w:rFonts w:ascii="Aptos Narrow" w:eastAsia="DejaVu Sans" w:hAnsi="DejaVu Sans" w:cs="DejaVu Sans"/>
                <w:b/>
                <w:bCs/>
                <w:i/>
                <w:iCs/>
                <w:color w:val="000000"/>
                <w:sz w:val="20"/>
                <w:szCs w:val="20"/>
              </w:rPr>
              <w:t>DAC Subtotal</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D46FED" w14:textId="77777777" w:rsidR="000B54E3" w:rsidRPr="003C5F40" w:rsidRDefault="000B54E3" w:rsidP="006641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D6A195"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C5F40">
              <w:rPr>
                <w:rFonts w:ascii="Aptos Narrow" w:eastAsia="DejaVu Sans" w:hAnsi="DejaVu Sans" w:cs="DejaVu Sans"/>
                <w:b/>
                <w:bCs/>
                <w:i/>
                <w:iCs/>
                <w:color w:val="000000"/>
                <w:sz w:val="20"/>
                <w:szCs w:val="20"/>
              </w:rPr>
              <w:t>55,643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01735F"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C5F40">
              <w:rPr>
                <w:rFonts w:ascii="Aptos Narrow" w:eastAsia="DejaVu Sans" w:hAnsi="DejaVu Sans" w:cs="DejaVu Sans"/>
                <w:b/>
                <w:bCs/>
                <w:i/>
                <w:iC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B3DDBB"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C5F40">
              <w:rPr>
                <w:rFonts w:ascii="Aptos Narrow" w:eastAsia="DejaVu Sans" w:hAnsi="DejaVu Sans" w:cs="DejaVu Sans"/>
                <w:b/>
                <w:bCs/>
                <w:i/>
                <w:iCs/>
                <w:color w:val="000000"/>
                <w:sz w:val="20"/>
                <w:szCs w:val="20"/>
              </w:rPr>
              <w:t>55,644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4DF6B9" w14:textId="77777777" w:rsidR="000B54E3" w:rsidRPr="003C5F40" w:rsidRDefault="000B54E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FEDBFE" w14:textId="77777777" w:rsidR="000B54E3" w:rsidRPr="003C5F40" w:rsidRDefault="000B54E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4A6F5F"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C5F40">
              <w:rPr>
                <w:rFonts w:ascii="Aptos Narrow" w:eastAsia="DejaVu Sans" w:hAnsi="DejaVu Sans" w:cs="DejaVu Sans"/>
                <w:b/>
                <w:bCs/>
                <w:i/>
                <w:iCs/>
                <w:color w:val="000000"/>
                <w:sz w:val="20"/>
                <w:szCs w:val="20"/>
              </w:rPr>
              <w:t>55,999</w:t>
            </w:r>
          </w:p>
        </w:tc>
      </w:tr>
      <w:tr w:rsidR="000B54E3" w14:paraId="7630F888" w14:textId="77777777" w:rsidTr="00AA7784">
        <w:trPr>
          <w:jc w:val="center"/>
        </w:trPr>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02F79E1" w14:textId="2C7CFB8D"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3C5F40">
              <w:rPr>
                <w:rFonts w:ascii="Aptos Narrow" w:eastAsia="DejaVu Sans" w:hAnsi="DejaVu Sans" w:cs="DejaVu Sans"/>
                <w:b/>
                <w:bCs/>
                <w:color w:val="000000"/>
                <w:sz w:val="20"/>
                <w:szCs w:val="20"/>
              </w:rPr>
              <w:t>Total</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8638BAB" w14:textId="77777777" w:rsidR="000B54E3" w:rsidRPr="003C5F40" w:rsidRDefault="000B54E3" w:rsidP="0066410A">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DF224A5"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C5F40">
              <w:rPr>
                <w:rFonts w:ascii="Aptos Narrow" w:eastAsia="DejaVu Sans" w:hAnsi="DejaVu Sans" w:cs="DejaVu Sans"/>
                <w:b/>
                <w:bCs/>
                <w:color w:val="000000"/>
                <w:sz w:val="20"/>
                <w:szCs w:val="20"/>
              </w:rPr>
              <w:t>285,219</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D749BCA"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C5F40">
              <w:rPr>
                <w:rFonts w:ascii="Aptos Narrow" w:eastAsia="DejaVu Sans" w:hAnsi="DejaVu Sans" w:cs="DejaVu Sans"/>
                <w:b/>
                <w:bCs/>
                <w:color w:val="000000"/>
                <w:sz w:val="20"/>
                <w:szCs w:val="20"/>
              </w:rPr>
              <w:t>1.00</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D898A06"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C5F40">
              <w:rPr>
                <w:rFonts w:ascii="Aptos Narrow" w:eastAsia="DejaVu Sans" w:hAnsi="DejaVu Sans" w:cs="DejaVu Sans"/>
                <w:b/>
                <w:bCs/>
                <w:color w:val="000000"/>
                <w:sz w:val="20"/>
                <w:szCs w:val="20"/>
              </w:rPr>
              <w:t>285,445</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080C28D" w14:textId="77777777" w:rsidR="000B54E3" w:rsidRPr="003C5F40" w:rsidRDefault="000B54E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6B461CE" w14:textId="77777777" w:rsidR="000B54E3" w:rsidRPr="003C5F40" w:rsidRDefault="000B54E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118F9B9"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C5F40">
              <w:rPr>
                <w:rFonts w:ascii="Aptos Narrow" w:eastAsia="DejaVu Sans" w:hAnsi="DejaVu Sans" w:cs="DejaVu Sans"/>
                <w:b/>
                <w:bCs/>
                <w:color w:val="000000"/>
                <w:sz w:val="20"/>
                <w:szCs w:val="20"/>
              </w:rPr>
              <w:t>256,458</w:t>
            </w:r>
          </w:p>
        </w:tc>
      </w:tr>
    </w:tbl>
    <w:p w14:paraId="6643409B" w14:textId="77777777" w:rsidR="00F04C56" w:rsidRDefault="00F04C56" w:rsidP="00DF0B37">
      <w:pPr>
        <w:spacing w:after="0" w:line="240" w:lineRule="auto"/>
        <w:rPr>
          <w:rFonts w:eastAsia="Times New Roman" w:cs="Times New Roman"/>
          <w:i/>
          <w:color w:val="000000" w:themeColor="text1"/>
          <w:sz w:val="18"/>
          <w:szCs w:val="18"/>
          <w:lang w:eastAsia="en-US"/>
        </w:rPr>
      </w:pPr>
      <w:r>
        <w:rPr>
          <w:rFonts w:eastAsia="Times New Roman" w:cs="Times New Roman"/>
          <w:i/>
          <w:color w:val="000000" w:themeColor="text1"/>
          <w:sz w:val="18"/>
          <w:szCs w:val="18"/>
          <w:lang w:eastAsia="en-US"/>
        </w:rPr>
        <w:t>* Realization Rate (RR) is the ratio of verified gross savings to ex ante gross savings, based on evaluation research findings.</w:t>
      </w:r>
    </w:p>
    <w:p w14:paraId="3D1264C8" w14:textId="77777777" w:rsidR="00DF0B37" w:rsidRDefault="00DF0B37" w:rsidP="00DF0B37">
      <w:pPr>
        <w:spacing w:after="0" w:line="240" w:lineRule="auto"/>
        <w:rPr>
          <w:rFonts w:eastAsia="Times New Roman" w:cs="Times New Roman"/>
          <w:i/>
          <w:color w:val="000000" w:themeColor="text1"/>
          <w:sz w:val="18"/>
          <w:szCs w:val="18"/>
          <w:lang w:eastAsia="en-US"/>
        </w:rPr>
      </w:pPr>
      <w:r>
        <w:rPr>
          <w:rFonts w:eastAsia="Times New Roman" w:cs="Times New Roman"/>
          <w:i/>
          <w:color w:val="000000" w:themeColor="text1"/>
          <w:sz w:val="18"/>
          <w:szCs w:val="18"/>
          <w:lang w:eastAsia="en-US"/>
        </w:rPr>
        <w:t xml:space="preserve">† The program-level NTG value is calculated as Verified Net/Verified Gross. The program-level analysis typically used measure-level deemed NTG values (see Table 4), which are listed here: https://www.ilsag.info/evaluator-ntg-recommendations-for-2025.  </w:t>
      </w:r>
    </w:p>
    <w:p w14:paraId="647425E8" w14:textId="77777777" w:rsidR="001940F2" w:rsidRDefault="00DF0B37" w:rsidP="00DF0B37">
      <w:pPr>
        <w:spacing w:after="0" w:line="240" w:lineRule="auto"/>
        <w:rPr>
          <w:rFonts w:eastAsia="Times New Roman" w:cs="Times New Roman"/>
          <w:i/>
          <w:color w:val="000000" w:themeColor="text1"/>
          <w:sz w:val="18"/>
          <w:szCs w:val="18"/>
          <w:lang w:eastAsia="en-US"/>
        </w:rPr>
      </w:pPr>
      <w:r>
        <w:rPr>
          <w:rFonts w:eastAsia="Times New Roman" w:cs="Times New Roman"/>
          <w:i/>
          <w:color w:val="000000" w:themeColor="text1"/>
          <w:sz w:val="18"/>
          <w:szCs w:val="18"/>
          <w:lang w:eastAsia="en-US"/>
        </w:rPr>
        <w:t xml:space="preserve">‡ </w:t>
      </w:r>
      <w:r w:rsidR="001940F2" w:rsidRPr="001940F2">
        <w:rPr>
          <w:rFonts w:eastAsia="Times New Roman" w:cs="Times New Roman"/>
          <w:i/>
          <w:color w:val="000000" w:themeColor="text1"/>
          <w:sz w:val="18"/>
          <w:szCs w:val="18"/>
          <w:lang w:eastAsia="en-US"/>
        </w:rPr>
        <w:t>The market rate net savings were multiplied by a residential non-participant spillover (NPSO) factor of 1.083. Based on SAG Policy, if deemed NTG is multiplied by the NPSO and the resulted NTG value is less than 1.00, the evaluation assigned NTG of 1.00 to projects in DAC zones</w:t>
      </w:r>
      <w:r w:rsidR="001940F2">
        <w:rPr>
          <w:rFonts w:eastAsia="Times New Roman" w:cs="Times New Roman"/>
          <w:i/>
          <w:color w:val="000000" w:themeColor="text1"/>
          <w:sz w:val="18"/>
          <w:szCs w:val="18"/>
          <w:lang w:eastAsia="en-US"/>
        </w:rPr>
        <w:t xml:space="preserve"> </w:t>
      </w:r>
      <w:r w:rsidR="001940F2" w:rsidRPr="001940F2">
        <w:rPr>
          <w:rFonts w:eastAsia="Times New Roman" w:cs="Times New Roman"/>
          <w:i/>
          <w:color w:val="000000" w:themeColor="text1"/>
          <w:sz w:val="18"/>
          <w:szCs w:val="18"/>
          <w:lang w:eastAsia="en-US"/>
        </w:rPr>
        <w:t xml:space="preserve">(NPSO is shown as “N/A”). If the resulted NTG value is &gt;1.00, the evaluation used the &gt;1.00 value for calculation of net savings impact. </w:t>
      </w:r>
    </w:p>
    <w:p w14:paraId="78C2806F" w14:textId="4CD00C49" w:rsidR="00DF0B37" w:rsidRDefault="00DF0B37" w:rsidP="00DF0B37">
      <w:pPr>
        <w:spacing w:after="0" w:line="240" w:lineRule="auto"/>
        <w:rPr>
          <w:rFonts w:eastAsia="Times New Roman" w:cs="Times New Roman"/>
          <w:i/>
          <w:color w:val="000000" w:themeColor="text1"/>
          <w:sz w:val="18"/>
          <w:szCs w:val="18"/>
          <w:lang w:eastAsia="en-US"/>
        </w:rPr>
      </w:pPr>
      <w:r>
        <w:rPr>
          <w:rFonts w:eastAsia="Times New Roman" w:cs="Times New Roman"/>
          <w:i/>
          <w:color w:val="000000" w:themeColor="text1"/>
          <w:sz w:val="18"/>
          <w:szCs w:val="18"/>
          <w:lang w:eastAsia="en-US"/>
        </w:rPr>
        <w:t>Source: Evaluation team analysis.</w:t>
      </w:r>
    </w:p>
    <w:p w14:paraId="10F67E45" w14:textId="4369F8E9" w:rsidR="00F04C56" w:rsidRDefault="00F04C56" w:rsidP="00284FA9">
      <w:pPr>
        <w:pStyle w:val="TableFigureSourceorNote"/>
        <w:rPr>
          <w:rFonts w:eastAsia="Arial"/>
        </w:rPr>
      </w:pPr>
    </w:p>
    <w:p w14:paraId="5B56E7B2" w14:textId="77777777" w:rsidR="00F04C56" w:rsidRDefault="00F04C56" w:rsidP="00284FA9">
      <w:pPr>
        <w:pStyle w:val="Source"/>
        <w:keepNext/>
        <w:keepLines/>
        <w:rPr>
          <w:rFonts w:cs="Arial"/>
          <w:sz w:val="18"/>
          <w:szCs w:val="18"/>
        </w:rPr>
      </w:pPr>
    </w:p>
    <w:p w14:paraId="30036E35" w14:textId="125A6272" w:rsidR="00F04C56" w:rsidRDefault="00F04C56" w:rsidP="00284FA9">
      <w:r>
        <w:fldChar w:fldCharType="begin"/>
      </w:r>
      <w:r>
        <w:instrText xml:space="preserve"> REF _Ref189739510 \h </w:instrText>
      </w:r>
      <w:r>
        <w:fldChar w:fldCharType="separate"/>
      </w:r>
      <w:r>
        <w:t xml:space="preserve">Table </w:t>
      </w:r>
      <w:r>
        <w:rPr>
          <w:noProof/>
        </w:rPr>
        <w:t>6</w:t>
      </w:r>
      <w:r>
        <w:fldChar w:fldCharType="end"/>
      </w:r>
      <w:r>
        <w:t xml:space="preserve"> </w:t>
      </w:r>
      <w:r w:rsidRPr="00A90B62">
        <w:t>summarize</w:t>
      </w:r>
      <w:r>
        <w:t>s</w:t>
      </w:r>
      <w:r w:rsidRPr="00A90B62">
        <w:t xml:space="preserve"> the </w:t>
      </w:r>
      <w:r>
        <w:t xml:space="preserve">energy </w:t>
      </w:r>
      <w:r w:rsidRPr="00A90B62">
        <w:t xml:space="preserve">savings the </w:t>
      </w:r>
      <w:r>
        <w:t>NSG</w:t>
      </w:r>
      <w:r w:rsidR="003C5F40">
        <w:t xml:space="preserve"> Home Energy Rebates </w:t>
      </w:r>
      <w:r>
        <w:t>P</w:t>
      </w:r>
      <w:r w:rsidRPr="00A90B62">
        <w:t>rogram</w:t>
      </w:r>
      <w:r>
        <w:t xml:space="preserve"> achieved by path in 2025.</w:t>
      </w:r>
    </w:p>
    <w:p w14:paraId="5379B4F8" w14:textId="65BD5C3A" w:rsidR="00F04C56" w:rsidRDefault="00F04C56" w:rsidP="003B5810">
      <w:pPr>
        <w:pStyle w:val="Caption"/>
        <w:spacing w:after="0"/>
      </w:pPr>
      <w:bookmarkStart w:id="40" w:name="_Ref189739510"/>
      <w:bookmarkStart w:id="41" w:name="Table_6_NSG"/>
      <w:bookmarkStart w:id="42" w:name="_Toc61360477"/>
      <w:bookmarkStart w:id="43" w:name="_Toc189750717"/>
      <w:bookmarkStart w:id="44" w:name="_Toc225531518"/>
      <w:r>
        <w:t xml:space="preserve">Table </w:t>
      </w:r>
      <w:r>
        <w:fldChar w:fldCharType="begin"/>
      </w:r>
      <w:r>
        <w:instrText xml:space="preserve"> SEQ Table \* ARABIC </w:instrText>
      </w:r>
      <w:r>
        <w:fldChar w:fldCharType="separate"/>
      </w:r>
      <w:r>
        <w:rPr>
          <w:noProof/>
        </w:rPr>
        <w:t>6</w:t>
      </w:r>
      <w:r>
        <w:fldChar w:fldCharType="end"/>
      </w:r>
      <w:bookmarkEnd w:id="40"/>
      <w:r>
        <w:t xml:space="preserve">. </w:t>
      </w:r>
      <w:bookmarkEnd w:id="41"/>
      <w:r>
        <w:t>2025 Annual Energy Savings Summary for NSG</w:t>
      </w:r>
      <w:bookmarkEnd w:id="42"/>
      <w:bookmarkEnd w:id="43"/>
      <w:bookmarkEnd w:id="44"/>
    </w:p>
    <w:tbl>
      <w:tblPr>
        <w:tblW w:w="0" w:type="auto"/>
        <w:jc w:val="center"/>
        <w:tblLook w:val="0420" w:firstRow="1" w:lastRow="0" w:firstColumn="0" w:lastColumn="0" w:noHBand="0" w:noVBand="1"/>
      </w:tblPr>
      <w:tblGrid>
        <w:gridCol w:w="1778"/>
        <w:gridCol w:w="1372"/>
        <w:gridCol w:w="1408"/>
        <w:gridCol w:w="952"/>
        <w:gridCol w:w="1418"/>
        <w:gridCol w:w="479"/>
        <w:gridCol w:w="606"/>
        <w:gridCol w:w="1347"/>
      </w:tblGrid>
      <w:tr w:rsidR="000B54E3" w14:paraId="6150906A" w14:textId="77777777" w:rsidTr="3C6E1582">
        <w:trPr>
          <w:tblHeader/>
          <w:jc w:val="center"/>
        </w:trPr>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FBB80CD"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7491B00"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A9DC9BB"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250F902"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76D6EC2"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C3EE8AF"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471641B"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NSPO</w:t>
            </w:r>
            <w:r>
              <w:rPr>
                <w:rFonts w:ascii="Aptos Narrow" w:eastAsia="DejaVu Sans" w:hAnsi="DejaVu Sans" w:cs="DejaVu Sans"/>
                <w:color w:val="FFFFFF"/>
                <w:sz w:val="20"/>
                <w:szCs w:val="20"/>
              </w:rPr>
              <w:t>‡</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D1A342E"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DB1516" w14:paraId="78092079" w14:textId="77777777" w:rsidTr="3C6E1582">
        <w:trPr>
          <w:jc w:val="center"/>
        </w:trPr>
        <w:tc>
          <w:tcPr>
            <w:tcW w:w="0" w:type="auto"/>
            <w:vMerge w:val="restart"/>
            <w:tcBorders>
              <w:top w:val="single" w:sz="16" w:space="0" w:color="93D500" w:themeColor="accent1"/>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AC12C30"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Non-Disadvantaged Communities</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C92D0B"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ComEd Marketplace</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D1BF49"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29,497</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A42784"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8CBE2F"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29,497</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68D2A3"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0.95</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658E95" w14:textId="45E433DD"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C6E1582">
              <w:rPr>
                <w:rFonts w:ascii="Aptos Narrow" w:eastAsia="DejaVu Sans" w:hAnsi="DejaVu Sans" w:cs="DejaVu Sans"/>
                <w:color w:val="000000" w:themeColor="text1"/>
                <w:sz w:val="20"/>
                <w:szCs w:val="20"/>
              </w:rPr>
              <w:t>1.</w:t>
            </w:r>
            <w:r w:rsidR="0F14BCFE" w:rsidRPr="3C6E1582">
              <w:rPr>
                <w:rFonts w:ascii="Aptos Narrow" w:eastAsia="DejaVu Sans" w:hAnsi="DejaVu Sans" w:cs="DejaVu Sans"/>
                <w:color w:val="000000" w:themeColor="text1"/>
                <w:sz w:val="20"/>
                <w:szCs w:val="20"/>
              </w:rPr>
              <w:t>08</w:t>
            </w:r>
            <w:r w:rsidR="18B32938" w:rsidRPr="3C6E1582">
              <w:rPr>
                <w:rFonts w:ascii="Aptos Narrow" w:eastAsia="DejaVu Sans" w:hAnsi="DejaVu Sans" w:cs="DejaVu Sans"/>
                <w:color w:val="000000" w:themeColor="text1"/>
                <w:sz w:val="20"/>
                <w:szCs w:val="20"/>
              </w:rPr>
              <w:t>3</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1BBC07"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30,348</w:t>
            </w:r>
          </w:p>
        </w:tc>
      </w:tr>
      <w:tr w:rsidR="00DB1516" w14:paraId="67E46BA3" w14:textId="77777777" w:rsidTr="3C6E1582">
        <w:trPr>
          <w:jc w:val="center"/>
        </w:trPr>
        <w:tc>
          <w:tcPr>
            <w:tcW w:w="0" w:type="auto"/>
            <w:vMerge/>
            <w:tcMar>
              <w:top w:w="0" w:type="dxa"/>
              <w:left w:w="0" w:type="dxa"/>
              <w:bottom w:w="0" w:type="dxa"/>
              <w:right w:w="0" w:type="dxa"/>
            </w:tcMar>
            <w:vAlign w:val="center"/>
          </w:tcPr>
          <w:p w14:paraId="112FAA2F"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A09A06"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41C6EC"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179,144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79378E"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552B09"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179,145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60DA0E"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9A0023" w14:textId="74E05BF0"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904332B">
              <w:rPr>
                <w:rFonts w:ascii="Aptos Narrow" w:eastAsia="DejaVu Sans" w:hAnsi="DejaVu Sans" w:cs="DejaVu Sans"/>
                <w:color w:val="000000" w:themeColor="text1"/>
                <w:sz w:val="20"/>
                <w:szCs w:val="20"/>
              </w:rPr>
              <w:t>1.</w:t>
            </w:r>
            <w:r w:rsidR="0F14BCFE" w:rsidRPr="3904332B">
              <w:rPr>
                <w:rFonts w:ascii="Aptos Narrow" w:eastAsia="DejaVu Sans" w:hAnsi="DejaVu Sans" w:cs="DejaVu Sans"/>
                <w:color w:val="000000" w:themeColor="text1"/>
                <w:sz w:val="20"/>
                <w:szCs w:val="20"/>
              </w:rPr>
              <w:t>08</w:t>
            </w:r>
            <w:r w:rsidR="18B32938" w:rsidRPr="3904332B">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040944"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145,778</w:t>
            </w:r>
          </w:p>
        </w:tc>
      </w:tr>
      <w:tr w:rsidR="00DB1516" w14:paraId="050539D4" w14:textId="77777777" w:rsidTr="3C6E1582">
        <w:trPr>
          <w:jc w:val="center"/>
        </w:trPr>
        <w:tc>
          <w:tcPr>
            <w:tcW w:w="0" w:type="auto"/>
            <w:vMerge/>
            <w:tcMar>
              <w:top w:w="0" w:type="dxa"/>
              <w:left w:w="0" w:type="dxa"/>
              <w:bottom w:w="0" w:type="dxa"/>
              <w:right w:w="0" w:type="dxa"/>
            </w:tcMar>
            <w:vAlign w:val="center"/>
          </w:tcPr>
          <w:p w14:paraId="410248AC"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AABD03"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Weatherization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21DD5B"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18,690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35A78D"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69AE9B"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18,690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5C36BE"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ACE6F9" w14:textId="48B8689B"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904332B">
              <w:rPr>
                <w:rFonts w:ascii="Aptos Narrow" w:eastAsia="DejaVu Sans" w:hAnsi="DejaVu Sans" w:cs="DejaVu Sans"/>
                <w:color w:val="000000" w:themeColor="text1"/>
                <w:sz w:val="20"/>
                <w:szCs w:val="20"/>
              </w:rPr>
              <w:t>1.</w:t>
            </w:r>
            <w:r w:rsidR="0F14BCFE" w:rsidRPr="3904332B">
              <w:rPr>
                <w:rFonts w:ascii="Aptos Narrow" w:eastAsia="DejaVu Sans" w:hAnsi="DejaVu Sans" w:cs="DejaVu Sans"/>
                <w:color w:val="000000" w:themeColor="text1"/>
                <w:sz w:val="20"/>
                <w:szCs w:val="20"/>
              </w:rPr>
              <w:t>08</w:t>
            </w:r>
            <w:r w:rsidR="2C3914AD" w:rsidRPr="3904332B">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25B108"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17,848</w:t>
            </w:r>
          </w:p>
        </w:tc>
      </w:tr>
      <w:tr w:rsidR="000B54E3" w14:paraId="42FDB674" w14:textId="77777777" w:rsidTr="3C6E1582">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883D27" w14:textId="77777777" w:rsidR="000B54E3" w:rsidRPr="00DB1516"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DB1516">
              <w:rPr>
                <w:rFonts w:ascii="Aptos Narrow" w:eastAsia="DejaVu Sans" w:hAnsi="DejaVu Sans" w:cs="DejaVu Sans"/>
                <w:b/>
                <w:bCs/>
                <w:i/>
                <w:iCs/>
                <w:color w:val="000000"/>
                <w:sz w:val="20"/>
                <w:szCs w:val="20"/>
              </w:rPr>
              <w:lastRenderedPageBreak/>
              <w:t>Non-DAC Subtotal</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9ED16A" w14:textId="77777777" w:rsidR="000B54E3" w:rsidRPr="00DB1516" w:rsidRDefault="000B54E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D4BDF5" w14:textId="77777777" w:rsidR="000B54E3" w:rsidRPr="00DB1516"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DB1516">
              <w:rPr>
                <w:rFonts w:ascii="Aptos Narrow" w:eastAsia="DejaVu Sans" w:hAnsi="DejaVu Sans" w:cs="DejaVu Sans"/>
                <w:b/>
                <w:bCs/>
                <w:i/>
                <w:iCs/>
                <w:color w:val="000000"/>
                <w:sz w:val="20"/>
                <w:szCs w:val="20"/>
              </w:rPr>
              <w:t>227,332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880970" w14:textId="77777777" w:rsidR="000B54E3" w:rsidRPr="00DB1516"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DB1516">
              <w:rPr>
                <w:rFonts w:ascii="Aptos Narrow" w:eastAsia="DejaVu Sans" w:hAnsi="DejaVu Sans" w:cs="DejaVu Sans"/>
                <w:b/>
                <w:bCs/>
                <w:i/>
                <w:iC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DEF8AF" w14:textId="77777777" w:rsidR="000B54E3" w:rsidRPr="00DB1516"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DB1516">
              <w:rPr>
                <w:rFonts w:ascii="Aptos Narrow" w:eastAsia="DejaVu Sans" w:hAnsi="DejaVu Sans" w:cs="DejaVu Sans"/>
                <w:b/>
                <w:bCs/>
                <w:i/>
                <w:iCs/>
                <w:color w:val="000000"/>
                <w:sz w:val="20"/>
                <w:szCs w:val="20"/>
              </w:rPr>
              <w:t>227,333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F73A1A" w14:textId="77777777" w:rsidR="000B54E3" w:rsidRPr="00DB1516" w:rsidRDefault="000B54E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7CB9E7" w14:textId="77777777" w:rsidR="000B54E3" w:rsidRPr="00DB1516" w:rsidRDefault="000B54E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F4D78A" w14:textId="77777777" w:rsidR="000B54E3" w:rsidRPr="00DB1516"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DB1516">
              <w:rPr>
                <w:rFonts w:ascii="Aptos Narrow" w:eastAsia="DejaVu Sans" w:hAnsi="DejaVu Sans" w:cs="DejaVu Sans"/>
                <w:b/>
                <w:bCs/>
                <w:i/>
                <w:iCs/>
                <w:color w:val="000000"/>
                <w:sz w:val="20"/>
                <w:szCs w:val="20"/>
              </w:rPr>
              <w:t>193,974</w:t>
            </w:r>
          </w:p>
        </w:tc>
      </w:tr>
      <w:tr w:rsidR="00DB1516" w14:paraId="14696BDE" w14:textId="77777777" w:rsidTr="3C6E1582">
        <w:trPr>
          <w:jc w:val="center"/>
        </w:trPr>
        <w:tc>
          <w:tcPr>
            <w:tcW w:w="0" w:type="auto"/>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A4D5A82"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Disadvantaged Communities</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95E2F4"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ComEd Marketplace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30672F"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2,218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F346EC"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F4A533"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2,218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726AB8"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7502D7" w14:textId="7742352F"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904332B">
              <w:rPr>
                <w:rFonts w:ascii="Aptos Narrow" w:eastAsia="DejaVu Sans" w:hAnsi="DejaVu Sans" w:cs="DejaVu Sans"/>
                <w:color w:val="000000" w:themeColor="text1"/>
                <w:sz w:val="20"/>
                <w:szCs w:val="20"/>
              </w:rPr>
              <w:t>1.</w:t>
            </w:r>
            <w:r w:rsidR="0F14BCFE" w:rsidRPr="3904332B">
              <w:rPr>
                <w:rFonts w:ascii="Aptos Narrow" w:eastAsia="DejaVu Sans" w:hAnsi="DejaVu Sans" w:cs="DejaVu Sans"/>
                <w:color w:val="000000" w:themeColor="text1"/>
                <w:sz w:val="20"/>
                <w:szCs w:val="20"/>
              </w:rPr>
              <w:t>08</w:t>
            </w:r>
            <w:r w:rsidR="2B6EFD7E" w:rsidRPr="3904332B">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FABE76"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2,282</w:t>
            </w:r>
          </w:p>
        </w:tc>
      </w:tr>
      <w:tr w:rsidR="00DB1516" w14:paraId="6F1354E5" w14:textId="77777777" w:rsidTr="3C6E1582">
        <w:trPr>
          <w:jc w:val="center"/>
        </w:trPr>
        <w:tc>
          <w:tcPr>
            <w:tcW w:w="0" w:type="auto"/>
            <w:vMerge/>
            <w:tcMar>
              <w:top w:w="0" w:type="dxa"/>
              <w:left w:w="0" w:type="dxa"/>
              <w:bottom w:w="0" w:type="dxa"/>
              <w:right w:w="0" w:type="dxa"/>
            </w:tcMar>
            <w:vAlign w:val="center"/>
          </w:tcPr>
          <w:p w14:paraId="2B5BE390"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35E2D3"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4BBED9"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5,257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E570F5"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2B56F3"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5,241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B369FE"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F5F437" w14:textId="0F4D049F" w:rsidR="00DB1516" w:rsidRDefault="00A947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A6ABA3"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5,241</w:t>
            </w:r>
          </w:p>
        </w:tc>
      </w:tr>
      <w:tr w:rsidR="00DB1516" w14:paraId="385C14F0" w14:textId="77777777" w:rsidTr="3C6E1582">
        <w:trPr>
          <w:jc w:val="center"/>
        </w:trPr>
        <w:tc>
          <w:tcPr>
            <w:tcW w:w="0" w:type="auto"/>
            <w:vMerge/>
            <w:tcMar>
              <w:top w:w="0" w:type="dxa"/>
              <w:left w:w="0" w:type="dxa"/>
              <w:bottom w:w="0" w:type="dxa"/>
              <w:right w:w="0" w:type="dxa"/>
            </w:tcMar>
            <w:vAlign w:val="center"/>
          </w:tcPr>
          <w:p w14:paraId="53ACB65F"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DD4AFB"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Weatherization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924B4F"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690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600485"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9A2EAC"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FD337B"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ACDBF6" w14:textId="11FD6517" w:rsidR="00DB1516" w:rsidRDefault="00A947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7F43E3" w14:textId="77777777" w:rsidR="00DB1516" w:rsidRDefault="00DB151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690</w:t>
            </w:r>
          </w:p>
        </w:tc>
      </w:tr>
      <w:tr w:rsidR="000B54E3" w14:paraId="0BF7C552" w14:textId="77777777" w:rsidTr="3C6E1582">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9BFAE0"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3C5F40">
              <w:rPr>
                <w:rFonts w:ascii="Aptos Narrow" w:eastAsia="DejaVu Sans" w:hAnsi="DejaVu Sans" w:cs="DejaVu Sans"/>
                <w:b/>
                <w:bCs/>
                <w:i/>
                <w:iCs/>
                <w:color w:val="000000"/>
                <w:sz w:val="20"/>
                <w:szCs w:val="20"/>
              </w:rPr>
              <w:t>DAC Subtotal</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F44C59" w14:textId="77777777" w:rsidR="000B54E3" w:rsidRPr="003C5F40" w:rsidRDefault="000B54E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21DE88"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3C5F40">
              <w:rPr>
                <w:rFonts w:ascii="Aptos Narrow" w:eastAsia="DejaVu Sans" w:hAnsi="DejaVu Sans" w:cs="DejaVu Sans"/>
                <w:b/>
                <w:bCs/>
                <w:i/>
                <w:iCs/>
                <w:color w:val="000000"/>
                <w:sz w:val="20"/>
                <w:szCs w:val="20"/>
              </w:rPr>
              <w:t>8,165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62C5F9"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C5F40">
              <w:rPr>
                <w:rFonts w:ascii="Aptos Narrow" w:eastAsia="DejaVu Sans" w:hAnsi="DejaVu Sans" w:cs="DejaVu Sans"/>
                <w:b/>
                <w:bCs/>
                <w:i/>
                <w:iC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51AEA3"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C5F40">
              <w:rPr>
                <w:rFonts w:ascii="Aptos Narrow" w:eastAsia="DejaVu Sans" w:hAnsi="DejaVu Sans" w:cs="DejaVu Sans"/>
                <w:b/>
                <w:bCs/>
                <w:i/>
                <w:iCs/>
                <w:color w:val="000000"/>
                <w:sz w:val="20"/>
                <w:szCs w:val="20"/>
              </w:rPr>
              <w:t>8,149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A56886" w14:textId="77777777" w:rsidR="000B54E3" w:rsidRPr="003C5F40" w:rsidRDefault="000B54E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A7B731" w14:textId="77777777" w:rsidR="000B54E3" w:rsidRPr="003C5F40" w:rsidRDefault="000B54E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2BBCD3"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3C5F40">
              <w:rPr>
                <w:rFonts w:ascii="Aptos Narrow" w:eastAsia="DejaVu Sans" w:hAnsi="DejaVu Sans" w:cs="DejaVu Sans"/>
                <w:b/>
                <w:bCs/>
                <w:i/>
                <w:iCs/>
                <w:color w:val="000000"/>
                <w:sz w:val="20"/>
                <w:szCs w:val="20"/>
              </w:rPr>
              <w:t>8,213</w:t>
            </w:r>
          </w:p>
        </w:tc>
      </w:tr>
      <w:tr w:rsidR="000B54E3" w:rsidRPr="003C5F40" w14:paraId="225358E6" w14:textId="77777777" w:rsidTr="3C6E1582">
        <w:trPr>
          <w:jc w:val="center"/>
        </w:trPr>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9E58BC8" w14:textId="0577CE2C"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3C5F40">
              <w:rPr>
                <w:rFonts w:ascii="Aptos Narrow" w:eastAsia="DejaVu Sans" w:hAnsi="DejaVu Sans" w:cs="DejaVu Sans"/>
                <w:b/>
                <w:bCs/>
                <w:color w:val="000000"/>
                <w:sz w:val="20"/>
                <w:szCs w:val="20"/>
              </w:rPr>
              <w:t>Total</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63048A7" w14:textId="77777777" w:rsidR="000B54E3" w:rsidRPr="003C5F40" w:rsidRDefault="000B54E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5601611"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3C5F40">
              <w:rPr>
                <w:rFonts w:ascii="Aptos Narrow" w:eastAsia="DejaVu Sans" w:hAnsi="DejaVu Sans" w:cs="DejaVu Sans"/>
                <w:b/>
                <w:bCs/>
                <w:color w:val="000000"/>
                <w:sz w:val="20"/>
                <w:szCs w:val="20"/>
              </w:rPr>
              <w:t>235,497</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23B7D7E"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C5F40">
              <w:rPr>
                <w:rFonts w:ascii="Aptos Narrow" w:eastAsia="DejaVu Sans" w:hAnsi="DejaVu Sans" w:cs="DejaVu Sans"/>
                <w:b/>
                <w:bCs/>
                <w:color w:val="000000"/>
                <w:sz w:val="20"/>
                <w:szCs w:val="20"/>
              </w:rPr>
              <w:t>1.00</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F4A1328"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C5F40">
              <w:rPr>
                <w:rFonts w:ascii="Aptos Narrow" w:eastAsia="DejaVu Sans" w:hAnsi="DejaVu Sans" w:cs="DejaVu Sans"/>
                <w:b/>
                <w:bCs/>
                <w:color w:val="000000"/>
                <w:sz w:val="20"/>
                <w:szCs w:val="20"/>
              </w:rPr>
              <w:t>235,482</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7CDAAD7" w14:textId="77777777" w:rsidR="000B54E3" w:rsidRPr="003C5F40" w:rsidRDefault="000B54E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81FD49F" w14:textId="77777777" w:rsidR="000B54E3" w:rsidRPr="003C5F40" w:rsidRDefault="000B54E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82C9B6C" w14:textId="77777777" w:rsidR="000B54E3" w:rsidRPr="003C5F40"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3C5F40">
              <w:rPr>
                <w:rFonts w:ascii="Aptos Narrow" w:eastAsia="DejaVu Sans" w:hAnsi="DejaVu Sans" w:cs="DejaVu Sans"/>
                <w:b/>
                <w:bCs/>
                <w:color w:val="000000"/>
                <w:sz w:val="20"/>
                <w:szCs w:val="20"/>
              </w:rPr>
              <w:t>202,187</w:t>
            </w:r>
          </w:p>
        </w:tc>
      </w:tr>
    </w:tbl>
    <w:p w14:paraId="72887E43" w14:textId="77777777" w:rsidR="007F4467" w:rsidRDefault="007F4467" w:rsidP="007F4467">
      <w:pPr>
        <w:spacing w:after="0" w:line="240" w:lineRule="auto"/>
        <w:rPr>
          <w:rFonts w:eastAsia="Times New Roman" w:cs="Times New Roman"/>
          <w:i/>
          <w:color w:val="000000" w:themeColor="text1"/>
          <w:sz w:val="18"/>
          <w:szCs w:val="18"/>
          <w:lang w:eastAsia="en-US"/>
        </w:rPr>
      </w:pPr>
      <w:r>
        <w:rPr>
          <w:rFonts w:eastAsia="Times New Roman" w:cs="Times New Roman"/>
          <w:i/>
          <w:color w:val="000000" w:themeColor="text1"/>
          <w:sz w:val="18"/>
          <w:szCs w:val="18"/>
          <w:lang w:eastAsia="en-US"/>
        </w:rPr>
        <w:t>* Realization Rate (RR) is the ratio of verified gross savings to ex ante gross savings, based on evaluation research findings.</w:t>
      </w:r>
    </w:p>
    <w:p w14:paraId="7960D410" w14:textId="77777777" w:rsidR="007F4467" w:rsidRDefault="007F4467" w:rsidP="007F4467">
      <w:pPr>
        <w:spacing w:after="0" w:line="240" w:lineRule="auto"/>
        <w:rPr>
          <w:rFonts w:eastAsia="Times New Roman" w:cs="Times New Roman"/>
          <w:i/>
          <w:color w:val="000000" w:themeColor="text1"/>
          <w:sz w:val="18"/>
          <w:szCs w:val="18"/>
          <w:lang w:eastAsia="en-US"/>
        </w:rPr>
      </w:pPr>
      <w:r>
        <w:rPr>
          <w:rFonts w:eastAsia="Times New Roman" w:cs="Times New Roman"/>
          <w:i/>
          <w:color w:val="000000" w:themeColor="text1"/>
          <w:sz w:val="18"/>
          <w:szCs w:val="18"/>
          <w:lang w:eastAsia="en-US"/>
        </w:rPr>
        <w:t xml:space="preserve">† The program-level NTG value is calculated as Verified Net/Verified Gross. The program-level analysis typically used measure-level deemed NTG values (see Table 4), which are listed here: https://www.ilsag.info/evaluator-ntg-recommendations-for-2025.  </w:t>
      </w:r>
    </w:p>
    <w:p w14:paraId="0F96179E" w14:textId="77777777" w:rsidR="001940F2" w:rsidRDefault="007F4467" w:rsidP="007F4467">
      <w:pPr>
        <w:spacing w:after="0" w:line="240" w:lineRule="auto"/>
        <w:rPr>
          <w:rFonts w:eastAsia="Times New Roman" w:cs="Times New Roman"/>
          <w:i/>
          <w:color w:val="000000" w:themeColor="text1"/>
          <w:sz w:val="18"/>
          <w:szCs w:val="18"/>
          <w:lang w:eastAsia="en-US"/>
        </w:rPr>
      </w:pPr>
      <w:r>
        <w:rPr>
          <w:rFonts w:eastAsia="Times New Roman" w:cs="Times New Roman"/>
          <w:i/>
          <w:color w:val="000000" w:themeColor="text1"/>
          <w:sz w:val="18"/>
          <w:szCs w:val="18"/>
          <w:lang w:eastAsia="en-US"/>
        </w:rPr>
        <w:t xml:space="preserve">‡ </w:t>
      </w:r>
      <w:r w:rsidR="001940F2" w:rsidRPr="001940F2">
        <w:rPr>
          <w:rFonts w:eastAsia="Times New Roman" w:cs="Times New Roman"/>
          <w:i/>
          <w:color w:val="000000" w:themeColor="text1"/>
          <w:sz w:val="18"/>
          <w:szCs w:val="18"/>
          <w:lang w:eastAsia="en-US"/>
        </w:rPr>
        <w:t>The market rate net savings were multiplied by a residential non-participant spillover (NPSO) factor of 1.083. Based on SAG Policy, if deemed NTG is multiplied by the NPSO and the resulted NTG value is less than 1.00, the evaluation assigned NTG of 1.00 to projects in DAC zones</w:t>
      </w:r>
      <w:r w:rsidR="001940F2">
        <w:rPr>
          <w:rFonts w:eastAsia="Times New Roman" w:cs="Times New Roman"/>
          <w:i/>
          <w:color w:val="000000" w:themeColor="text1"/>
          <w:sz w:val="18"/>
          <w:szCs w:val="18"/>
          <w:lang w:eastAsia="en-US"/>
        </w:rPr>
        <w:t xml:space="preserve"> (NPSO is shown as “N/A”)</w:t>
      </w:r>
      <w:r w:rsidR="001940F2" w:rsidRPr="001940F2">
        <w:rPr>
          <w:rFonts w:eastAsia="Times New Roman" w:cs="Times New Roman"/>
          <w:i/>
          <w:color w:val="000000" w:themeColor="text1"/>
          <w:sz w:val="18"/>
          <w:szCs w:val="18"/>
          <w:lang w:eastAsia="en-US"/>
        </w:rPr>
        <w:t xml:space="preserve">. If the resulted NTG value is &gt;1.00, the evaluation used the &gt;1.00 value for calculation of net savings impact. </w:t>
      </w:r>
    </w:p>
    <w:p w14:paraId="2A7719B1" w14:textId="398A7422" w:rsidR="00F04C56" w:rsidRDefault="00F04C56" w:rsidP="007F4467">
      <w:pPr>
        <w:spacing w:after="0" w:line="240" w:lineRule="auto"/>
        <w:rPr>
          <w:rFonts w:eastAsia="Times New Roman" w:cs="Times New Roman"/>
          <w:i/>
          <w:color w:val="000000" w:themeColor="text1"/>
          <w:sz w:val="18"/>
          <w:szCs w:val="18"/>
          <w:lang w:eastAsia="en-US"/>
        </w:rPr>
      </w:pPr>
      <w:r>
        <w:rPr>
          <w:rFonts w:eastAsia="Times New Roman" w:cs="Times New Roman"/>
          <w:i/>
          <w:color w:val="000000" w:themeColor="text1"/>
          <w:sz w:val="18"/>
          <w:szCs w:val="18"/>
          <w:lang w:eastAsia="en-US"/>
        </w:rPr>
        <w:t>Source: Evaluation team analysis.</w:t>
      </w:r>
    </w:p>
    <w:p w14:paraId="492C45AC" w14:textId="3BA525D8" w:rsidR="00F04C56" w:rsidRDefault="00F04C56" w:rsidP="00284FA9">
      <w:pPr>
        <w:pStyle w:val="Heading1"/>
      </w:pPr>
      <w:bookmarkStart w:id="45" w:name="_Toc225531525"/>
      <w:r>
        <w:t>Program Savings by Measure</w:t>
      </w:r>
      <w:bookmarkEnd w:id="45"/>
    </w:p>
    <w:p w14:paraId="1F8DC23A" w14:textId="3CD163B9" w:rsidR="00F04C56" w:rsidRDefault="00F04C56" w:rsidP="00284FA9">
      <w:r>
        <w:t>The program includes</w:t>
      </w:r>
      <w:r w:rsidR="001F4437">
        <w:t xml:space="preserve"> 16 </w:t>
      </w:r>
      <w:r>
        <w:t>measures as shown in the following table. Th</w:t>
      </w:r>
      <w:r w:rsidR="00CC4ABB">
        <w:t>e Furnaces and Smart Thermostats</w:t>
      </w:r>
      <w:r w:rsidRPr="00C34677">
        <w:t xml:space="preserve"> </w:t>
      </w:r>
      <w:r>
        <w:t xml:space="preserve">contributed the most savings. </w:t>
      </w:r>
    </w:p>
    <w:p w14:paraId="361B4633" w14:textId="62C9B022" w:rsidR="00F04C56" w:rsidRPr="00A90B62" w:rsidRDefault="00F04C56" w:rsidP="000D73C6">
      <w:pPr>
        <w:pStyle w:val="Caption"/>
        <w:keepLines/>
        <w:spacing w:after="0"/>
      </w:pPr>
      <w:bookmarkStart w:id="46" w:name="Table_7_PGL"/>
      <w:bookmarkStart w:id="47" w:name="_Toc398546655"/>
      <w:bookmarkStart w:id="48" w:name="_Toc423009517"/>
      <w:bookmarkStart w:id="49" w:name="_Toc426278635"/>
      <w:bookmarkStart w:id="50" w:name="_Toc61360848"/>
      <w:bookmarkStart w:id="51" w:name="_Toc189750769"/>
      <w:bookmarkStart w:id="52" w:name="_Hlk29910940"/>
      <w:bookmarkStart w:id="53" w:name="_Toc225531519"/>
      <w:r>
        <w:t xml:space="preserve">Table </w:t>
      </w:r>
      <w:r>
        <w:fldChar w:fldCharType="begin"/>
      </w:r>
      <w:r>
        <w:instrText xml:space="preserve"> SEQ Table \* ARABIC </w:instrText>
      </w:r>
      <w:r>
        <w:fldChar w:fldCharType="separate"/>
      </w:r>
      <w:r w:rsidRPr="01EBA232">
        <w:rPr>
          <w:noProof/>
        </w:rPr>
        <w:t>7</w:t>
      </w:r>
      <w:r>
        <w:fldChar w:fldCharType="end"/>
      </w:r>
      <w:r>
        <w:t xml:space="preserve">. </w:t>
      </w:r>
      <w:bookmarkEnd w:id="46"/>
      <w:r>
        <w:t>2025 Annual Energy Savings by Measure for PGL</w:t>
      </w:r>
      <w:bookmarkEnd w:id="47"/>
      <w:bookmarkEnd w:id="48"/>
      <w:bookmarkEnd w:id="49"/>
      <w:bookmarkEnd w:id="50"/>
      <w:bookmarkEnd w:id="51"/>
      <w:bookmarkEnd w:id="53"/>
    </w:p>
    <w:tbl>
      <w:tblPr>
        <w:tblW w:w="0" w:type="auto"/>
        <w:jc w:val="center"/>
        <w:tblLook w:val="0420" w:firstRow="1" w:lastRow="0" w:firstColumn="0" w:lastColumn="0" w:noHBand="0" w:noVBand="1"/>
      </w:tblPr>
      <w:tblGrid>
        <w:gridCol w:w="1474"/>
        <w:gridCol w:w="1288"/>
        <w:gridCol w:w="1613"/>
        <w:gridCol w:w="1049"/>
        <w:gridCol w:w="777"/>
        <w:gridCol w:w="1054"/>
        <w:gridCol w:w="479"/>
        <w:gridCol w:w="606"/>
        <w:gridCol w:w="1020"/>
      </w:tblGrid>
      <w:tr w:rsidR="00673DB8" w14:paraId="0566046C" w14:textId="77777777" w:rsidTr="3904332B">
        <w:trPr>
          <w:tblHeader/>
          <w:jc w:val="center"/>
        </w:trPr>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327CC19" w14:textId="77777777" w:rsidR="00674F9A"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 xml:space="preserve">Program </w:t>
            </w:r>
          </w:p>
          <w:p w14:paraId="72864126" w14:textId="1C166B8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Category</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37E479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E8D3E3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B981C4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581529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D4953C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120B21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E5E103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NSPO</w:t>
            </w:r>
            <w:r>
              <w:rPr>
                <w:rFonts w:ascii="Aptos Narrow" w:eastAsia="DejaVu Sans" w:hAnsi="DejaVu Sans" w:cs="DejaVu Sans"/>
                <w:color w:val="FFFFFF"/>
                <w:sz w:val="20"/>
                <w:szCs w:val="20"/>
              </w:rPr>
              <w:t>‡</w:t>
            </w:r>
          </w:p>
        </w:tc>
        <w:tc>
          <w:tcPr>
            <w:tcW w:w="0" w:type="auto"/>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09A1470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673DB8" w14:paraId="07624E6C" w14:textId="77777777" w:rsidTr="3904332B">
        <w:trPr>
          <w:jc w:val="center"/>
        </w:trPr>
        <w:tc>
          <w:tcPr>
            <w:tcW w:w="0" w:type="auto"/>
            <w:vMerge w:val="restart"/>
            <w:tcBorders>
              <w:top w:val="single" w:sz="16" w:space="0" w:color="93D500" w:themeColor="accent1"/>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5C4552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Non-Disadvantaged Communities</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02F88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ComEd Marketplace</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04501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8088E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40,385</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10A88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1.01</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1E667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40,657</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4DA83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0.95</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3C112A" w14:textId="2B10E6DC"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904332B">
              <w:rPr>
                <w:rFonts w:ascii="Aptos Narrow" w:eastAsia="DejaVu Sans" w:hAnsi="DejaVu Sans" w:cs="DejaVu Sans"/>
                <w:color w:val="000000" w:themeColor="text1"/>
                <w:sz w:val="20"/>
                <w:szCs w:val="20"/>
              </w:rPr>
              <w:t>1.</w:t>
            </w:r>
            <w:r w:rsidR="30C65194" w:rsidRPr="3904332B">
              <w:rPr>
                <w:rFonts w:ascii="Aptos Narrow" w:eastAsia="DejaVu Sans" w:hAnsi="DejaVu Sans" w:cs="DejaVu Sans"/>
                <w:color w:val="000000" w:themeColor="text1"/>
                <w:sz w:val="20"/>
                <w:szCs w:val="20"/>
              </w:rPr>
              <w:t>08</w:t>
            </w:r>
            <w:r w:rsidR="423A9BA7" w:rsidRPr="3904332B">
              <w:rPr>
                <w:rFonts w:ascii="Aptos Narrow" w:eastAsia="DejaVu Sans" w:hAnsi="DejaVu Sans" w:cs="DejaVu Sans"/>
                <w:color w:val="000000" w:themeColor="text1"/>
                <w:sz w:val="20"/>
                <w:szCs w:val="20"/>
              </w:rPr>
              <w:t>3</w:t>
            </w:r>
          </w:p>
        </w:tc>
        <w:tc>
          <w:tcPr>
            <w:tcW w:w="0" w:type="auto"/>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6B4C6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41,829</w:t>
            </w:r>
          </w:p>
        </w:tc>
      </w:tr>
      <w:tr w:rsidR="00673DB8" w14:paraId="70B73BA2" w14:textId="77777777" w:rsidTr="3904332B">
        <w:trPr>
          <w:jc w:val="center"/>
        </w:trPr>
        <w:tc>
          <w:tcPr>
            <w:tcW w:w="0" w:type="auto"/>
            <w:vMerge/>
            <w:tcMar>
              <w:top w:w="0" w:type="dxa"/>
              <w:left w:w="0" w:type="dxa"/>
              <w:bottom w:w="0" w:type="dxa"/>
              <w:right w:w="0" w:type="dxa"/>
            </w:tcMar>
            <w:vAlign w:val="center"/>
          </w:tcPr>
          <w:p w14:paraId="616747D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3C15A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17FFA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DHW Two-In-One &gt;=95% AFUE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B8D01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3,149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14C5D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F5E89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3,103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E9113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4670CD" w14:textId="3C3795D8"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904332B">
              <w:rPr>
                <w:rFonts w:ascii="Aptos Narrow" w:eastAsia="DejaVu Sans" w:hAnsi="DejaVu Sans" w:cs="DejaVu Sans"/>
                <w:color w:val="000000" w:themeColor="text1"/>
                <w:sz w:val="20"/>
                <w:szCs w:val="20"/>
              </w:rPr>
              <w:t>1.</w:t>
            </w:r>
            <w:r w:rsidR="30C65194" w:rsidRPr="3904332B">
              <w:rPr>
                <w:rFonts w:ascii="Aptos Narrow" w:eastAsia="DejaVu Sans" w:hAnsi="DejaVu Sans" w:cs="DejaVu Sans"/>
                <w:color w:val="000000" w:themeColor="text1"/>
                <w:sz w:val="20"/>
                <w:szCs w:val="20"/>
              </w:rPr>
              <w:t>08</w:t>
            </w:r>
            <w:r w:rsidR="423A9BA7" w:rsidRPr="3904332B">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62520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2,487</w:t>
            </w:r>
          </w:p>
        </w:tc>
      </w:tr>
      <w:tr w:rsidR="00673DB8" w14:paraId="03BA0BDE" w14:textId="77777777" w:rsidTr="3904332B">
        <w:trPr>
          <w:jc w:val="center"/>
        </w:trPr>
        <w:tc>
          <w:tcPr>
            <w:tcW w:w="0" w:type="auto"/>
            <w:vMerge/>
            <w:tcMar>
              <w:top w:w="0" w:type="dxa"/>
              <w:left w:w="0" w:type="dxa"/>
              <w:bottom w:w="0" w:type="dxa"/>
              <w:right w:w="0" w:type="dxa"/>
            </w:tcMar>
            <w:vAlign w:val="center"/>
          </w:tcPr>
          <w:p w14:paraId="40779DC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47ECB2B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91AF2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&gt;=95% AFUE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F9A21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3,757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CB4EC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99F1A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3,757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D8407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2E539F" w14:textId="6892C5D6"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904332B">
              <w:rPr>
                <w:rFonts w:ascii="Aptos Narrow" w:eastAsia="DejaVu Sans" w:hAnsi="DejaVu Sans" w:cs="DejaVu Sans"/>
                <w:color w:val="000000" w:themeColor="text1"/>
                <w:sz w:val="20"/>
                <w:szCs w:val="20"/>
              </w:rPr>
              <w:t>1.</w:t>
            </w:r>
            <w:r w:rsidR="30C65194" w:rsidRPr="3904332B">
              <w:rPr>
                <w:rFonts w:ascii="Aptos Narrow" w:eastAsia="DejaVu Sans" w:hAnsi="DejaVu Sans" w:cs="DejaVu Sans"/>
                <w:color w:val="000000" w:themeColor="text1"/>
                <w:sz w:val="20"/>
                <w:szCs w:val="20"/>
              </w:rPr>
              <w:t>08</w:t>
            </w:r>
            <w:r w:rsidR="24A3A2F0" w:rsidRPr="3904332B">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4AE9B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3,011</w:t>
            </w:r>
          </w:p>
        </w:tc>
      </w:tr>
      <w:tr w:rsidR="00673DB8" w14:paraId="7A63121C" w14:textId="77777777" w:rsidTr="3904332B">
        <w:trPr>
          <w:jc w:val="center"/>
        </w:trPr>
        <w:tc>
          <w:tcPr>
            <w:tcW w:w="0" w:type="auto"/>
            <w:vMerge/>
            <w:tcMar>
              <w:top w:w="0" w:type="dxa"/>
              <w:left w:w="0" w:type="dxa"/>
              <w:bottom w:w="0" w:type="dxa"/>
              <w:right w:w="0" w:type="dxa"/>
            </w:tcMar>
            <w:vAlign w:val="center"/>
          </w:tcPr>
          <w:p w14:paraId="1365F46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495EDCF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4F50E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&gt;95% &lt;97% Afue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E0C7E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66,891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62A68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9BD50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66,892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4724C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5C18CE" w14:textId="103365BE"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904332B">
              <w:rPr>
                <w:rFonts w:ascii="Aptos Narrow" w:eastAsia="DejaVu Sans" w:hAnsi="DejaVu Sans" w:cs="DejaVu Sans"/>
                <w:color w:val="000000" w:themeColor="text1"/>
                <w:sz w:val="20"/>
                <w:szCs w:val="20"/>
              </w:rPr>
              <w:t>1.</w:t>
            </w:r>
            <w:r w:rsidR="30C65194" w:rsidRPr="3904332B">
              <w:rPr>
                <w:rFonts w:ascii="Aptos Narrow" w:eastAsia="DejaVu Sans" w:hAnsi="DejaVu Sans" w:cs="DejaVu Sans"/>
                <w:color w:val="000000" w:themeColor="text1"/>
                <w:sz w:val="20"/>
                <w:szCs w:val="20"/>
              </w:rPr>
              <w:t>08</w:t>
            </w:r>
            <w:r w:rsidR="24A3A2F0" w:rsidRPr="3904332B">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30573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53,609</w:t>
            </w:r>
          </w:p>
        </w:tc>
      </w:tr>
      <w:tr w:rsidR="00673DB8" w14:paraId="00BD3B5A" w14:textId="77777777" w:rsidTr="3904332B">
        <w:trPr>
          <w:jc w:val="center"/>
        </w:trPr>
        <w:tc>
          <w:tcPr>
            <w:tcW w:w="0" w:type="auto"/>
            <w:vMerge/>
            <w:tcMar>
              <w:top w:w="0" w:type="dxa"/>
              <w:left w:w="0" w:type="dxa"/>
              <w:bottom w:w="0" w:type="dxa"/>
              <w:right w:w="0" w:type="dxa"/>
            </w:tcMar>
            <w:vAlign w:val="center"/>
          </w:tcPr>
          <w:p w14:paraId="45BABD5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27FEDED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B8B4D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 97% Afue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FDFC1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66,192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BDA8F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071F8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66,192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51998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7B597D" w14:textId="724C62B2"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904332B">
              <w:rPr>
                <w:rFonts w:ascii="Aptos Narrow" w:eastAsia="DejaVu Sans" w:hAnsi="DejaVu Sans" w:cs="DejaVu Sans"/>
                <w:color w:val="000000" w:themeColor="text1"/>
                <w:sz w:val="20"/>
                <w:szCs w:val="20"/>
              </w:rPr>
              <w:t>1.</w:t>
            </w:r>
            <w:r w:rsidR="30C65194" w:rsidRPr="3904332B">
              <w:rPr>
                <w:rFonts w:ascii="Aptos Narrow" w:eastAsia="DejaVu Sans" w:hAnsi="DejaVu Sans" w:cs="DejaVu Sans"/>
                <w:color w:val="000000" w:themeColor="text1"/>
                <w:sz w:val="20"/>
                <w:szCs w:val="20"/>
              </w:rPr>
              <w:t>08</w:t>
            </w:r>
            <w:r w:rsidR="4166FF5E" w:rsidRPr="3904332B">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24BF8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53,047</w:t>
            </w:r>
          </w:p>
        </w:tc>
      </w:tr>
      <w:tr w:rsidR="00673DB8" w14:paraId="1FD173ED" w14:textId="77777777" w:rsidTr="3904332B">
        <w:trPr>
          <w:jc w:val="center"/>
        </w:trPr>
        <w:tc>
          <w:tcPr>
            <w:tcW w:w="0" w:type="auto"/>
            <w:vMerge/>
            <w:tcMar>
              <w:top w:w="0" w:type="dxa"/>
              <w:left w:w="0" w:type="dxa"/>
              <w:bottom w:w="0" w:type="dxa"/>
              <w:right w:w="0" w:type="dxa"/>
            </w:tcMar>
            <w:vAlign w:val="center"/>
          </w:tcPr>
          <w:p w14:paraId="769AA47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25A5437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1A6C4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Indirect Water Heater, &gt;=88% Afue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B881D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58CDD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DEBE8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4004B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01480F" w14:textId="5209DAE1"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904332B">
              <w:rPr>
                <w:rFonts w:ascii="Aptos Narrow" w:eastAsia="DejaVu Sans" w:hAnsi="DejaVu Sans" w:cs="DejaVu Sans"/>
                <w:color w:val="000000" w:themeColor="text1"/>
                <w:sz w:val="20"/>
                <w:szCs w:val="20"/>
              </w:rPr>
              <w:t>1.</w:t>
            </w:r>
            <w:r w:rsidR="30C65194" w:rsidRPr="3904332B">
              <w:rPr>
                <w:rFonts w:ascii="Aptos Narrow" w:eastAsia="DejaVu Sans" w:hAnsi="DejaVu Sans" w:cs="DejaVu Sans"/>
                <w:color w:val="000000" w:themeColor="text1"/>
                <w:sz w:val="20"/>
                <w:szCs w:val="20"/>
              </w:rPr>
              <w:t>08</w:t>
            </w:r>
            <w:r w:rsidR="4166FF5E" w:rsidRPr="3904332B">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3612A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96.09</w:t>
            </w:r>
          </w:p>
        </w:tc>
      </w:tr>
      <w:tr w:rsidR="00673DB8" w14:paraId="3C3BA441" w14:textId="77777777" w:rsidTr="3904332B">
        <w:trPr>
          <w:jc w:val="center"/>
        </w:trPr>
        <w:tc>
          <w:tcPr>
            <w:tcW w:w="0" w:type="auto"/>
            <w:vMerge/>
            <w:tcMar>
              <w:top w:w="0" w:type="dxa"/>
              <w:left w:w="0" w:type="dxa"/>
              <w:bottom w:w="0" w:type="dxa"/>
              <w:right w:w="0" w:type="dxa"/>
            </w:tcMar>
            <w:vAlign w:val="center"/>
          </w:tcPr>
          <w:p w14:paraId="41591A9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125E2EB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32A86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Programmable Thermostat-Baseline Manual</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73384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419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43EDB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03561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0B0E5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330DB5" w14:textId="3237CA75"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904332B">
              <w:rPr>
                <w:rFonts w:ascii="Aptos Narrow" w:eastAsia="DejaVu Sans" w:hAnsi="DejaVu Sans" w:cs="DejaVu Sans"/>
                <w:color w:val="000000" w:themeColor="text1"/>
                <w:sz w:val="20"/>
                <w:szCs w:val="20"/>
              </w:rPr>
              <w:t>1.</w:t>
            </w:r>
            <w:r w:rsidR="30C65194" w:rsidRPr="3904332B">
              <w:rPr>
                <w:rFonts w:ascii="Aptos Narrow" w:eastAsia="DejaVu Sans" w:hAnsi="DejaVu Sans" w:cs="DejaVu Sans"/>
                <w:color w:val="000000" w:themeColor="text1"/>
                <w:sz w:val="20"/>
                <w:szCs w:val="20"/>
              </w:rPr>
              <w:t>08</w:t>
            </w:r>
            <w:r w:rsidR="387F6EF4" w:rsidRPr="3904332B">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A19F4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336</w:t>
            </w:r>
          </w:p>
        </w:tc>
      </w:tr>
      <w:tr w:rsidR="00673DB8" w14:paraId="2CDB5250" w14:textId="77777777" w:rsidTr="3904332B">
        <w:trPr>
          <w:jc w:val="center"/>
        </w:trPr>
        <w:tc>
          <w:tcPr>
            <w:tcW w:w="0" w:type="auto"/>
            <w:vMerge/>
            <w:tcMar>
              <w:top w:w="0" w:type="dxa"/>
              <w:left w:w="0" w:type="dxa"/>
              <w:bottom w:w="0" w:type="dxa"/>
              <w:right w:w="0" w:type="dxa"/>
            </w:tcMar>
            <w:vAlign w:val="center"/>
          </w:tcPr>
          <w:p w14:paraId="5719379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7D767DD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C7513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8475C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20,433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A79E0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67202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20,434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486FC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F5CED6" w14:textId="7EA6C3BC"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904332B">
              <w:rPr>
                <w:rFonts w:ascii="Aptos Narrow" w:eastAsia="DejaVu Sans" w:hAnsi="DejaVu Sans" w:cs="DejaVu Sans"/>
                <w:color w:val="000000" w:themeColor="text1"/>
                <w:sz w:val="20"/>
                <w:szCs w:val="20"/>
              </w:rPr>
              <w:t>1.</w:t>
            </w:r>
            <w:r w:rsidR="30C65194" w:rsidRPr="3904332B">
              <w:rPr>
                <w:rFonts w:ascii="Aptos Narrow" w:eastAsia="DejaVu Sans" w:hAnsi="DejaVu Sans" w:cs="DejaVu Sans"/>
                <w:color w:val="000000" w:themeColor="text1"/>
                <w:sz w:val="20"/>
                <w:szCs w:val="20"/>
              </w:rPr>
              <w:t>08</w:t>
            </w:r>
            <w:r w:rsidR="55C752FB" w:rsidRPr="3904332B">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0CA68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19,695</w:t>
            </w:r>
          </w:p>
        </w:tc>
      </w:tr>
      <w:tr w:rsidR="00673DB8" w14:paraId="1C70FFF3" w14:textId="77777777" w:rsidTr="3904332B">
        <w:trPr>
          <w:jc w:val="center"/>
        </w:trPr>
        <w:tc>
          <w:tcPr>
            <w:tcW w:w="0" w:type="auto"/>
            <w:vMerge/>
            <w:tcMar>
              <w:top w:w="0" w:type="dxa"/>
              <w:left w:w="0" w:type="dxa"/>
              <w:bottom w:w="0" w:type="dxa"/>
              <w:right w:w="0" w:type="dxa"/>
            </w:tcMar>
            <w:vAlign w:val="center"/>
          </w:tcPr>
          <w:p w14:paraId="74F1982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73663EB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81081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Heater&gt;=0.95 UEF</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21105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3,936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7C77E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0FB4E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3,936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9BC46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C99B92" w14:textId="02F8D2FD"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3904332B">
              <w:rPr>
                <w:rFonts w:ascii="Aptos Narrow" w:eastAsia="DejaVu Sans" w:hAnsi="DejaVu Sans" w:cs="DejaVu Sans"/>
                <w:color w:val="000000" w:themeColor="text1"/>
                <w:sz w:val="20"/>
                <w:szCs w:val="20"/>
              </w:rPr>
              <w:t>1.</w:t>
            </w:r>
            <w:r w:rsidR="30C65194" w:rsidRPr="3904332B">
              <w:rPr>
                <w:rFonts w:ascii="Aptos Narrow" w:eastAsia="DejaVu Sans" w:hAnsi="DejaVu Sans" w:cs="DejaVu Sans"/>
                <w:color w:val="000000" w:themeColor="text1"/>
                <w:sz w:val="20"/>
                <w:szCs w:val="20"/>
              </w:rPr>
              <w:t>08</w:t>
            </w:r>
            <w:r w:rsidR="55C752FB" w:rsidRPr="3904332B">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62242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3,154</w:t>
            </w:r>
          </w:p>
        </w:tc>
      </w:tr>
      <w:tr w:rsidR="00673DB8" w14:paraId="32F0B5A4" w14:textId="77777777" w:rsidTr="3904332B">
        <w:trPr>
          <w:jc w:val="center"/>
        </w:trPr>
        <w:tc>
          <w:tcPr>
            <w:tcW w:w="0" w:type="auto"/>
            <w:vMerge/>
            <w:tcMar>
              <w:top w:w="0" w:type="dxa"/>
              <w:left w:w="0" w:type="dxa"/>
              <w:bottom w:w="0" w:type="dxa"/>
              <w:right w:w="0" w:type="dxa"/>
            </w:tcMar>
            <w:vAlign w:val="center"/>
          </w:tcPr>
          <w:p w14:paraId="3617D15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AC5C13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Weatherization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91CB3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 with Attic Insulation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2F042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2,596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C03FD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5CE60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2,596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F08D3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66D43F" w14:textId="115799A3"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1B4FF943" w:rsidRPr="631CA313">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E9373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2,474</w:t>
            </w:r>
          </w:p>
        </w:tc>
      </w:tr>
      <w:tr w:rsidR="00673DB8" w14:paraId="0DCD8957" w14:textId="77777777" w:rsidTr="3904332B">
        <w:trPr>
          <w:jc w:val="center"/>
        </w:trPr>
        <w:tc>
          <w:tcPr>
            <w:tcW w:w="0" w:type="auto"/>
            <w:vMerge/>
            <w:tcMar>
              <w:top w:w="0" w:type="dxa"/>
              <w:left w:w="0" w:type="dxa"/>
              <w:bottom w:w="0" w:type="dxa"/>
              <w:right w:w="0" w:type="dxa"/>
            </w:tcMar>
            <w:vAlign w:val="center"/>
          </w:tcPr>
          <w:p w14:paraId="5775208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436EC87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0D781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C5C62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6,112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509DC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C2288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6,112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9963E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9BBE10" w14:textId="05F3E8D3"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1B4FF943" w:rsidRPr="631CA313">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D7376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5,825</w:t>
            </w:r>
          </w:p>
        </w:tc>
      </w:tr>
      <w:tr w:rsidR="00673DB8" w14:paraId="37F728AF" w14:textId="77777777" w:rsidTr="3904332B">
        <w:trPr>
          <w:jc w:val="center"/>
        </w:trPr>
        <w:tc>
          <w:tcPr>
            <w:tcW w:w="0" w:type="auto"/>
            <w:vMerge/>
            <w:tcMar>
              <w:top w:w="0" w:type="dxa"/>
              <w:left w:w="0" w:type="dxa"/>
              <w:bottom w:w="0" w:type="dxa"/>
              <w:right w:w="0" w:type="dxa"/>
            </w:tcMar>
            <w:vAlign w:val="center"/>
          </w:tcPr>
          <w:p w14:paraId="211A84E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116A6C6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CCE83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Attic Insulation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F515B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12,440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4EECD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E1BCE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12,440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18522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14FF48" w14:textId="4DA9A9CD"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4401259B" w:rsidRPr="631CA313">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9247D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11,990</w:t>
            </w:r>
          </w:p>
        </w:tc>
      </w:tr>
      <w:tr w:rsidR="00673DB8" w14:paraId="11D2C0FE" w14:textId="77777777" w:rsidTr="3904332B">
        <w:trPr>
          <w:jc w:val="center"/>
        </w:trPr>
        <w:tc>
          <w:tcPr>
            <w:tcW w:w="0" w:type="auto"/>
            <w:vMerge/>
            <w:tcMar>
              <w:top w:w="0" w:type="dxa"/>
              <w:left w:w="0" w:type="dxa"/>
              <w:bottom w:w="0" w:type="dxa"/>
              <w:right w:w="0" w:type="dxa"/>
            </w:tcMar>
            <w:vAlign w:val="center"/>
          </w:tcPr>
          <w:p w14:paraId="1FE088D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03EE234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CB403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Duct Sealing</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6B626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2,724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AA32B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68DD5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2,724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002F4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231E2C" w14:textId="5DF31D9F"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4401259B" w:rsidRPr="631CA313">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49543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2,567</w:t>
            </w:r>
          </w:p>
        </w:tc>
      </w:tr>
      <w:tr w:rsidR="00673DB8" w14:paraId="00699185" w14:textId="77777777" w:rsidTr="3904332B">
        <w:trPr>
          <w:jc w:val="center"/>
        </w:trPr>
        <w:tc>
          <w:tcPr>
            <w:tcW w:w="0" w:type="auto"/>
            <w:vMerge/>
            <w:tcMar>
              <w:top w:w="0" w:type="dxa"/>
              <w:left w:w="0" w:type="dxa"/>
              <w:bottom w:w="0" w:type="dxa"/>
              <w:right w:w="0" w:type="dxa"/>
            </w:tcMar>
            <w:vAlign w:val="center"/>
          </w:tcPr>
          <w:p w14:paraId="5D42853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5BFEABD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13047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Foundation Insulation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9E1267" w14:textId="7E868039"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r w:rsidR="006E5760">
              <w:rPr>
                <w:rFonts w:ascii="Aptos Narrow" w:eastAsia="DejaVu Sans" w:hAnsi="DejaVu Sans" w:cs="DejaVu Sans"/>
                <w:color w:val="000000"/>
                <w:sz w:val="20"/>
                <w:szCs w:val="20"/>
              </w:rPr>
              <w:t>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34F1D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2E27F6" w14:textId="1983E22A"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BFC8F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8D2882" w14:textId="376F05CE"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20AE16FC" w:rsidRPr="631CA313">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57EFCD" w14:textId="6255ACED"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w:t>
            </w:r>
          </w:p>
        </w:tc>
      </w:tr>
      <w:tr w:rsidR="00673DB8" w14:paraId="410E3CD8" w14:textId="77777777" w:rsidTr="3904332B">
        <w:trPr>
          <w:jc w:val="center"/>
        </w:trPr>
        <w:tc>
          <w:tcPr>
            <w:tcW w:w="0" w:type="auto"/>
            <w:vMerge/>
            <w:tcMar>
              <w:top w:w="0" w:type="dxa"/>
              <w:left w:w="0" w:type="dxa"/>
              <w:bottom w:w="0" w:type="dxa"/>
              <w:right w:w="0" w:type="dxa"/>
            </w:tcMar>
            <w:vAlign w:val="center"/>
          </w:tcPr>
          <w:p w14:paraId="6D00431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3E1B279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CAD0B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Wall Insulation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B5651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374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F47CE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675C7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5318D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EC172A" w14:textId="1C52C7B5"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20AE16FC" w:rsidRPr="631CA313">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418F2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r>
      <w:tr w:rsidR="00673DB8" w14:paraId="5260448D" w14:textId="77777777" w:rsidTr="3904332B">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410B46"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Non-DAC Subtotal</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5A7059"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94B9BD"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A62C00"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229,575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F2D982"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8F4470"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229,802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417267"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CE9AAE"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10E711"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200,458</w:t>
            </w:r>
          </w:p>
        </w:tc>
      </w:tr>
      <w:tr w:rsidR="00673DB8" w14:paraId="2D1CADA1" w14:textId="77777777" w:rsidTr="3904332B">
        <w:trPr>
          <w:jc w:val="center"/>
        </w:trPr>
        <w:tc>
          <w:tcPr>
            <w:tcW w:w="0" w:type="auto"/>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232A7CB" w14:textId="2C52D331"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Disadvantaged Communities</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5BF70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ComEd Marketplace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20B10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34C33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12,326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33100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FB4CC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12,326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BCBBB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7A4461" w14:textId="09AEBE3B"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55637134" w:rsidRPr="631CA313">
              <w:rPr>
                <w:rFonts w:ascii="Aptos Narrow" w:eastAsia="DejaVu Sans" w:hAnsi="DejaVu Sans" w:cs="DejaVu Sans"/>
                <w:color w:val="000000" w:themeColor="text1"/>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9E227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12,682</w:t>
            </w:r>
          </w:p>
        </w:tc>
      </w:tr>
      <w:tr w:rsidR="00673DB8" w14:paraId="41A49C11" w14:textId="77777777" w:rsidTr="3904332B">
        <w:trPr>
          <w:jc w:val="center"/>
        </w:trPr>
        <w:tc>
          <w:tcPr>
            <w:tcW w:w="0" w:type="auto"/>
            <w:vMerge/>
            <w:tcMar>
              <w:top w:w="0" w:type="dxa"/>
              <w:left w:w="0" w:type="dxa"/>
              <w:bottom w:w="0" w:type="dxa"/>
              <w:right w:w="0" w:type="dxa"/>
            </w:tcMar>
            <w:vAlign w:val="center"/>
          </w:tcPr>
          <w:p w14:paraId="403DC5C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CD8C69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479F9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DHW Two-In-One &gt;=95% AFUE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C3478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787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9C5C7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94FBB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787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890F7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242C37" w14:textId="77295FAA" w:rsidR="00673DB8" w:rsidRDefault="000B44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C112D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787</w:t>
            </w:r>
          </w:p>
        </w:tc>
      </w:tr>
      <w:tr w:rsidR="00673DB8" w14:paraId="796E3798" w14:textId="77777777" w:rsidTr="3904332B">
        <w:trPr>
          <w:jc w:val="center"/>
        </w:trPr>
        <w:tc>
          <w:tcPr>
            <w:tcW w:w="0" w:type="auto"/>
            <w:vMerge/>
            <w:tcMar>
              <w:top w:w="0" w:type="dxa"/>
              <w:left w:w="0" w:type="dxa"/>
              <w:bottom w:w="0" w:type="dxa"/>
              <w:right w:w="0" w:type="dxa"/>
            </w:tcMar>
            <w:vAlign w:val="center"/>
          </w:tcPr>
          <w:p w14:paraId="63040B5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2D3420A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D4D5B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&gt;=95% AFUE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18D3A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7BC01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86500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B93CF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64A573" w14:textId="1F210D3C" w:rsidR="00673DB8" w:rsidRDefault="000B44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2BFED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1,403</w:t>
            </w:r>
          </w:p>
        </w:tc>
      </w:tr>
      <w:tr w:rsidR="00673DB8" w14:paraId="355FA31A" w14:textId="77777777" w:rsidTr="3904332B">
        <w:trPr>
          <w:jc w:val="center"/>
        </w:trPr>
        <w:tc>
          <w:tcPr>
            <w:tcW w:w="0" w:type="auto"/>
            <w:vMerge/>
            <w:tcMar>
              <w:top w:w="0" w:type="dxa"/>
              <w:left w:w="0" w:type="dxa"/>
              <w:bottom w:w="0" w:type="dxa"/>
              <w:right w:w="0" w:type="dxa"/>
            </w:tcMar>
            <w:vAlign w:val="center"/>
          </w:tcPr>
          <w:p w14:paraId="1457C95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06D2EF1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2ADD7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Steam &lt;=300MBH, &gt;=82.5% AFUE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7FA441" w14:textId="4DB3150C"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r w:rsidR="007833F1">
              <w:rPr>
                <w:rFonts w:ascii="Aptos Narrow" w:eastAsia="DejaVu Sans" w:hAnsi="DejaVu Sans" w:cs="DejaVu Sans"/>
                <w:color w:val="000000"/>
                <w:sz w:val="20"/>
                <w:szCs w:val="20"/>
              </w:rPr>
              <w:t>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CD330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2B25C0" w14:textId="1E432B24"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r w:rsidR="007833F1">
              <w:rPr>
                <w:rFonts w:ascii="Aptos Narrow" w:eastAsia="DejaVu Sans" w:hAnsi="DejaVu Sans" w:cs="DejaVu Sans"/>
                <w:color w:val="000000"/>
                <w:sz w:val="20"/>
                <w:szCs w:val="20"/>
              </w:rPr>
              <w:t>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5415E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D95959" w14:textId="20E7B8B3" w:rsidR="00673DB8" w:rsidRDefault="000B44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456CAB" w14:textId="14B235A0"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r w:rsidR="007833F1">
              <w:rPr>
                <w:rFonts w:ascii="Aptos Narrow" w:eastAsia="DejaVu Sans" w:hAnsi="DejaVu Sans" w:cs="DejaVu Sans"/>
                <w:color w:val="000000"/>
                <w:sz w:val="20"/>
                <w:szCs w:val="20"/>
              </w:rPr>
              <w:t>7</w:t>
            </w:r>
          </w:p>
        </w:tc>
      </w:tr>
      <w:tr w:rsidR="00673DB8" w14:paraId="37233FAD" w14:textId="77777777" w:rsidTr="3904332B">
        <w:trPr>
          <w:jc w:val="center"/>
        </w:trPr>
        <w:tc>
          <w:tcPr>
            <w:tcW w:w="0" w:type="auto"/>
            <w:vMerge/>
            <w:tcMar>
              <w:top w:w="0" w:type="dxa"/>
              <w:left w:w="0" w:type="dxa"/>
              <w:bottom w:w="0" w:type="dxa"/>
              <w:right w:w="0" w:type="dxa"/>
            </w:tcMar>
            <w:vAlign w:val="center"/>
          </w:tcPr>
          <w:p w14:paraId="3100EBB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0B5FD26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187E9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&gt;95% &lt;97% Afue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BDE67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16,566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3E205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6B98A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16,566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CBF97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2EFA84" w14:textId="5A651801" w:rsidR="00673DB8" w:rsidRDefault="000B44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4D661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16,566</w:t>
            </w:r>
          </w:p>
        </w:tc>
      </w:tr>
      <w:tr w:rsidR="00673DB8" w14:paraId="69C220D1" w14:textId="77777777" w:rsidTr="3904332B">
        <w:trPr>
          <w:jc w:val="center"/>
        </w:trPr>
        <w:tc>
          <w:tcPr>
            <w:tcW w:w="0" w:type="auto"/>
            <w:vMerge/>
            <w:tcMar>
              <w:top w:w="0" w:type="dxa"/>
              <w:left w:w="0" w:type="dxa"/>
              <w:bottom w:w="0" w:type="dxa"/>
              <w:right w:w="0" w:type="dxa"/>
            </w:tcMar>
            <w:vAlign w:val="center"/>
          </w:tcPr>
          <w:p w14:paraId="5E4EA70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0A6A8B2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69990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 97% Afue</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1FB7E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11,905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DEA1B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ED9A1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11,905</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3CD37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8A8DFE" w14:textId="5418B48D" w:rsidR="00673DB8" w:rsidRDefault="004B1ED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7647F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11,905</w:t>
            </w:r>
          </w:p>
        </w:tc>
      </w:tr>
      <w:tr w:rsidR="00673DB8" w14:paraId="6A575094" w14:textId="77777777" w:rsidTr="3904332B">
        <w:trPr>
          <w:jc w:val="center"/>
        </w:trPr>
        <w:tc>
          <w:tcPr>
            <w:tcW w:w="0" w:type="auto"/>
            <w:vMerge/>
            <w:tcMar>
              <w:top w:w="0" w:type="dxa"/>
              <w:left w:w="0" w:type="dxa"/>
              <w:bottom w:w="0" w:type="dxa"/>
              <w:right w:w="0" w:type="dxa"/>
            </w:tcMar>
            <w:vAlign w:val="center"/>
          </w:tcPr>
          <w:p w14:paraId="5771DE1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4663303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3C94F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Programmable Thermostat-Baseline Manual</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2C181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A5A31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6F918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2F143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27DECB" w14:textId="4A578602" w:rsidR="00673DB8" w:rsidRDefault="004B1ED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9AF6E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w:t>
            </w:r>
          </w:p>
        </w:tc>
      </w:tr>
      <w:tr w:rsidR="00673DB8" w14:paraId="1E93B4D6" w14:textId="77777777" w:rsidTr="3904332B">
        <w:trPr>
          <w:jc w:val="center"/>
        </w:trPr>
        <w:tc>
          <w:tcPr>
            <w:tcW w:w="0" w:type="auto"/>
            <w:vMerge/>
            <w:tcMar>
              <w:top w:w="0" w:type="dxa"/>
              <w:left w:w="0" w:type="dxa"/>
              <w:bottom w:w="0" w:type="dxa"/>
              <w:right w:w="0" w:type="dxa"/>
            </w:tcMar>
            <w:vAlign w:val="center"/>
          </w:tcPr>
          <w:p w14:paraId="32BB352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52F1F40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2B7D7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7A398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4,956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FD68A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A39CA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4,956</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BD033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3215D2" w14:textId="7C913725" w:rsidR="00673DB8" w:rsidRDefault="004B1ED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7C114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4,956</w:t>
            </w:r>
          </w:p>
        </w:tc>
      </w:tr>
      <w:tr w:rsidR="00673DB8" w14:paraId="420B699C" w14:textId="77777777" w:rsidTr="3904332B">
        <w:trPr>
          <w:jc w:val="center"/>
        </w:trPr>
        <w:tc>
          <w:tcPr>
            <w:tcW w:w="0" w:type="auto"/>
            <w:vMerge/>
            <w:tcMar>
              <w:top w:w="0" w:type="dxa"/>
              <w:left w:w="0" w:type="dxa"/>
              <w:bottom w:w="0" w:type="dxa"/>
              <w:right w:w="0" w:type="dxa"/>
            </w:tcMar>
            <w:vAlign w:val="center"/>
          </w:tcPr>
          <w:p w14:paraId="238D25D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78F1C0D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7FA4C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Heater&gt;=0.95 UEF</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E0B09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271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E2A1E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695AE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271</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D231A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C7C1BD" w14:textId="2880ADAF" w:rsidR="00673DB8" w:rsidRDefault="004B1ED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6042F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271</w:t>
            </w:r>
          </w:p>
        </w:tc>
      </w:tr>
      <w:tr w:rsidR="00673DB8" w14:paraId="123DBB5B" w14:textId="77777777" w:rsidTr="3904332B">
        <w:trPr>
          <w:jc w:val="center"/>
        </w:trPr>
        <w:tc>
          <w:tcPr>
            <w:tcW w:w="0" w:type="auto"/>
            <w:vMerge/>
            <w:tcMar>
              <w:top w:w="0" w:type="dxa"/>
              <w:left w:w="0" w:type="dxa"/>
              <w:bottom w:w="0" w:type="dxa"/>
              <w:right w:w="0" w:type="dxa"/>
            </w:tcMar>
            <w:vAlign w:val="center"/>
          </w:tcPr>
          <w:p w14:paraId="4ADF5ED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646176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Weatherization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FD88B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 with Attic Insulation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729F5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543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576B6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C01AF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D8748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FBAC0D" w14:textId="6B38F446" w:rsidR="00673DB8" w:rsidRDefault="00286A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04210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543</w:t>
            </w:r>
          </w:p>
        </w:tc>
      </w:tr>
      <w:tr w:rsidR="00673DB8" w14:paraId="0EA102B7" w14:textId="77777777" w:rsidTr="3904332B">
        <w:trPr>
          <w:jc w:val="center"/>
        </w:trPr>
        <w:tc>
          <w:tcPr>
            <w:tcW w:w="0" w:type="auto"/>
            <w:vMerge/>
            <w:tcMar>
              <w:top w:w="0" w:type="dxa"/>
              <w:left w:w="0" w:type="dxa"/>
              <w:bottom w:w="0" w:type="dxa"/>
              <w:right w:w="0" w:type="dxa"/>
            </w:tcMar>
            <w:vAlign w:val="center"/>
          </w:tcPr>
          <w:p w14:paraId="6549496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4792E3B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36CCC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59E9D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1,952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6BF1B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25880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1,952</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E10A9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609269" w14:textId="11BBAA0B" w:rsidR="00673DB8" w:rsidRDefault="00286A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DD7F2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1,952</w:t>
            </w:r>
          </w:p>
        </w:tc>
      </w:tr>
      <w:tr w:rsidR="00673DB8" w14:paraId="1594CC72" w14:textId="77777777" w:rsidTr="3904332B">
        <w:trPr>
          <w:jc w:val="center"/>
        </w:trPr>
        <w:tc>
          <w:tcPr>
            <w:tcW w:w="0" w:type="auto"/>
            <w:vMerge/>
            <w:tcMar>
              <w:top w:w="0" w:type="dxa"/>
              <w:left w:w="0" w:type="dxa"/>
              <w:bottom w:w="0" w:type="dxa"/>
              <w:right w:w="0" w:type="dxa"/>
            </w:tcMar>
            <w:vAlign w:val="center"/>
          </w:tcPr>
          <w:p w14:paraId="51F1D3F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455D680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6C77F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Attic Insulation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43D52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3,877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55853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E3C06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3,877</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5834C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ECE96A" w14:textId="5ADA8AD6" w:rsidR="00673DB8" w:rsidRDefault="00286A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C379C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3,877</w:t>
            </w:r>
          </w:p>
        </w:tc>
      </w:tr>
      <w:tr w:rsidR="00673DB8" w14:paraId="0653B31E" w14:textId="77777777" w:rsidTr="3904332B">
        <w:trPr>
          <w:jc w:val="center"/>
        </w:trPr>
        <w:tc>
          <w:tcPr>
            <w:tcW w:w="0" w:type="auto"/>
            <w:vMerge/>
            <w:tcMar>
              <w:top w:w="0" w:type="dxa"/>
              <w:left w:w="0" w:type="dxa"/>
              <w:bottom w:w="0" w:type="dxa"/>
              <w:right w:w="0" w:type="dxa"/>
            </w:tcMar>
            <w:vAlign w:val="center"/>
          </w:tcPr>
          <w:p w14:paraId="0873F0A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62E41C3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1A88B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Duct Sealing</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FC03E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808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2DFDC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6D546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808</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4B7AC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B15D09" w14:textId="2E8FA453" w:rsidR="00673DB8" w:rsidRDefault="00286A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4B061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808</w:t>
            </w:r>
          </w:p>
        </w:tc>
      </w:tr>
      <w:tr w:rsidR="00673DB8" w14:paraId="23594BF2" w14:textId="77777777" w:rsidTr="3904332B">
        <w:trPr>
          <w:jc w:val="center"/>
        </w:trPr>
        <w:tc>
          <w:tcPr>
            <w:tcW w:w="0" w:type="auto"/>
            <w:vMerge/>
            <w:tcMar>
              <w:top w:w="0" w:type="dxa"/>
              <w:left w:w="0" w:type="dxa"/>
              <w:bottom w:w="0" w:type="dxa"/>
              <w:right w:w="0" w:type="dxa"/>
            </w:tcMar>
            <w:vAlign w:val="center"/>
          </w:tcPr>
          <w:p w14:paraId="540B49A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5014AD7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503B8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Foundation Insulation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085679" w14:textId="1173E9A1"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EA552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D14994" w14:textId="47E71359"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00842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DA1698" w14:textId="116D929D" w:rsidR="00673DB8" w:rsidRDefault="00286A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A1A3ED" w14:textId="04BB8DE3"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w:t>
            </w:r>
          </w:p>
        </w:tc>
      </w:tr>
      <w:tr w:rsidR="00673DB8" w14:paraId="2D65348B" w14:textId="77777777" w:rsidTr="3904332B">
        <w:trPr>
          <w:jc w:val="center"/>
        </w:trPr>
        <w:tc>
          <w:tcPr>
            <w:tcW w:w="0" w:type="auto"/>
            <w:vMerge/>
            <w:tcMar>
              <w:top w:w="0" w:type="dxa"/>
              <w:left w:w="0" w:type="dxa"/>
              <w:bottom w:w="0" w:type="dxa"/>
              <w:right w:w="0" w:type="dxa"/>
            </w:tcMar>
            <w:vAlign w:val="center"/>
          </w:tcPr>
          <w:p w14:paraId="33C34BD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vMerge/>
            <w:tcMar>
              <w:top w:w="0" w:type="dxa"/>
              <w:left w:w="0" w:type="dxa"/>
              <w:bottom w:w="0" w:type="dxa"/>
              <w:right w:w="0" w:type="dxa"/>
            </w:tcMar>
            <w:vAlign w:val="center"/>
          </w:tcPr>
          <w:p w14:paraId="6640870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88621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Wall Insulation</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29058C" w14:textId="03D8AE0C"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r w:rsidR="009B24A0">
              <w:rPr>
                <w:rFonts w:ascii="Aptos Narrow" w:eastAsia="DejaVu Sans" w:hAnsi="DejaVu Sans" w:cs="DejaVu Sans"/>
                <w:color w:val="000000"/>
                <w:sz w:val="20"/>
                <w:szCs w:val="20"/>
              </w:rPr>
              <w:t>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C68DD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3D7ED3" w14:textId="024C38E1"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37443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3FAF9D" w14:textId="58F6B490" w:rsidR="00673DB8" w:rsidRDefault="00286A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41137E" w14:textId="77AD76D0"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w:t>
            </w:r>
          </w:p>
        </w:tc>
      </w:tr>
      <w:tr w:rsidR="00673DB8" w14:paraId="3E64B38F" w14:textId="77777777" w:rsidTr="3904332B">
        <w:trPr>
          <w:jc w:val="center"/>
        </w:trPr>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9D8E71"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DAC Subtotal</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6E45A4"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726E16"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F5FCBD"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55,643</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EDA1B9"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1.00</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61FF7E"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55,644</w:t>
            </w: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93419E"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4910C2"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0" w:type="auto"/>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14AB75"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55,999</w:t>
            </w:r>
          </w:p>
        </w:tc>
      </w:tr>
      <w:tr w:rsidR="00673DB8" w14:paraId="5696AC5A" w14:textId="77777777" w:rsidTr="3904332B">
        <w:trPr>
          <w:jc w:val="center"/>
        </w:trPr>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84959CE" w14:textId="20C75CD6"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673DB8">
              <w:rPr>
                <w:rFonts w:ascii="Aptos Narrow" w:eastAsia="DejaVu Sans" w:hAnsi="DejaVu Sans" w:cs="DejaVu Sans"/>
                <w:b/>
                <w:bCs/>
                <w:color w:val="000000"/>
                <w:sz w:val="20"/>
                <w:szCs w:val="20"/>
              </w:rPr>
              <w:t>Total</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106FA0B"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3B35967"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279A35B"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673DB8">
              <w:rPr>
                <w:rFonts w:ascii="Aptos Narrow" w:eastAsia="DejaVu Sans" w:hAnsi="DejaVu Sans" w:cs="DejaVu Sans"/>
                <w:b/>
                <w:bCs/>
                <w:color w:val="000000"/>
                <w:sz w:val="20"/>
                <w:szCs w:val="20"/>
              </w:rPr>
              <w:t>285,219</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F7C92DC"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673DB8">
              <w:rPr>
                <w:rFonts w:ascii="Aptos Narrow" w:eastAsia="DejaVu Sans" w:hAnsi="DejaVu Sans" w:cs="DejaVu Sans"/>
                <w:b/>
                <w:bCs/>
                <w:color w:val="000000"/>
                <w:sz w:val="20"/>
                <w:szCs w:val="20"/>
              </w:rPr>
              <w:t>1.00</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91AA943"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673DB8">
              <w:rPr>
                <w:rFonts w:ascii="Aptos Narrow" w:eastAsia="DejaVu Sans" w:hAnsi="DejaVu Sans" w:cs="DejaVu Sans"/>
                <w:b/>
                <w:bCs/>
                <w:color w:val="000000"/>
                <w:sz w:val="20"/>
                <w:szCs w:val="20"/>
              </w:rPr>
              <w:t>285,445</w:t>
            </w: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EDC47AE"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3B6BDF7"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0" w:type="auto"/>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4A2B22E"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673DB8">
              <w:rPr>
                <w:rFonts w:ascii="Aptos Narrow" w:eastAsia="DejaVu Sans" w:hAnsi="DejaVu Sans" w:cs="DejaVu Sans"/>
                <w:b/>
                <w:bCs/>
                <w:color w:val="000000"/>
                <w:sz w:val="20"/>
                <w:szCs w:val="20"/>
              </w:rPr>
              <w:t>256,458</w:t>
            </w:r>
          </w:p>
        </w:tc>
      </w:tr>
    </w:tbl>
    <w:p w14:paraId="211CFFC2" w14:textId="77777777" w:rsidR="00F04C56" w:rsidRDefault="00F04C56" w:rsidP="00284FA9">
      <w:pPr>
        <w:pStyle w:val="TableFigureSourceorNote"/>
      </w:pPr>
      <w:r>
        <w:t>Source: Evaluation team analysis.</w:t>
      </w:r>
    </w:p>
    <w:p w14:paraId="708C7371" w14:textId="77777777" w:rsidR="00F04C56" w:rsidRDefault="00F04C56" w:rsidP="00284FA9">
      <w:pPr>
        <w:pStyle w:val="Source"/>
      </w:pPr>
    </w:p>
    <w:p w14:paraId="4887A37D" w14:textId="77777777" w:rsidR="00F04C56" w:rsidRDefault="00F04C56" w:rsidP="00284FA9">
      <w:pPr>
        <w:pStyle w:val="Source"/>
      </w:pPr>
    </w:p>
    <w:p w14:paraId="7F5D8F7A" w14:textId="65BDE9CD" w:rsidR="00F04C56" w:rsidRPr="00A90B62" w:rsidRDefault="00F04C56" w:rsidP="006C06A3">
      <w:pPr>
        <w:pStyle w:val="Caption"/>
        <w:keepLines/>
        <w:spacing w:after="0"/>
      </w:pPr>
      <w:bookmarkStart w:id="54" w:name="Table_8_NSG"/>
      <w:bookmarkStart w:id="55" w:name="_Toc225531520"/>
      <w:r>
        <w:lastRenderedPageBreak/>
        <w:t xml:space="preserve">Table </w:t>
      </w:r>
      <w:r>
        <w:fldChar w:fldCharType="begin"/>
      </w:r>
      <w:r>
        <w:instrText xml:space="preserve"> SEQ Table \* ARABIC </w:instrText>
      </w:r>
      <w:r>
        <w:fldChar w:fldCharType="separate"/>
      </w:r>
      <w:r>
        <w:rPr>
          <w:noProof/>
        </w:rPr>
        <w:t>8</w:t>
      </w:r>
      <w:r>
        <w:fldChar w:fldCharType="end"/>
      </w:r>
      <w:r>
        <w:t xml:space="preserve">. </w:t>
      </w:r>
      <w:bookmarkEnd w:id="54"/>
      <w:r>
        <w:t>2025 Annual Energy Savings by Measure for NSG</w:t>
      </w:r>
      <w:bookmarkEnd w:id="55"/>
    </w:p>
    <w:tbl>
      <w:tblPr>
        <w:tblW w:w="5000" w:type="pct"/>
        <w:jc w:val="center"/>
        <w:tblLook w:val="0420" w:firstRow="1" w:lastRow="0" w:firstColumn="0" w:lastColumn="0" w:noHBand="0" w:noVBand="1"/>
      </w:tblPr>
      <w:tblGrid>
        <w:gridCol w:w="1473"/>
        <w:gridCol w:w="1288"/>
        <w:gridCol w:w="1614"/>
        <w:gridCol w:w="1048"/>
        <w:gridCol w:w="777"/>
        <w:gridCol w:w="1054"/>
        <w:gridCol w:w="479"/>
        <w:gridCol w:w="607"/>
        <w:gridCol w:w="1020"/>
      </w:tblGrid>
      <w:tr w:rsidR="00673DB8" w14:paraId="71753F60" w14:textId="77777777" w:rsidTr="001940F2">
        <w:trPr>
          <w:tblHeader/>
          <w:jc w:val="center"/>
        </w:trPr>
        <w:tc>
          <w:tcPr>
            <w:tcW w:w="787"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17A778D" w14:textId="77777777" w:rsidR="00674F9A"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 xml:space="preserve">Program </w:t>
            </w:r>
          </w:p>
          <w:p w14:paraId="6D5EDAD9" w14:textId="430993DE"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Category</w:t>
            </w:r>
          </w:p>
        </w:tc>
        <w:tc>
          <w:tcPr>
            <w:tcW w:w="688"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AFEB51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862"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875E96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560"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E8706B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415"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D19FB4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56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8C9368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256"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A3E605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32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602CE8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NSPO</w:t>
            </w:r>
            <w:r>
              <w:rPr>
                <w:rFonts w:ascii="Aptos Narrow" w:eastAsia="DejaVu Sans" w:hAnsi="DejaVu Sans" w:cs="DejaVu Sans"/>
                <w:color w:val="FFFFFF"/>
                <w:sz w:val="20"/>
                <w:szCs w:val="20"/>
              </w:rPr>
              <w:t>‡</w:t>
            </w:r>
          </w:p>
        </w:tc>
        <w:tc>
          <w:tcPr>
            <w:tcW w:w="545"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4BA2AF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673DB8" w14:paraId="36912C82" w14:textId="77777777" w:rsidTr="001940F2">
        <w:trPr>
          <w:jc w:val="center"/>
        </w:trPr>
        <w:tc>
          <w:tcPr>
            <w:tcW w:w="787" w:type="pct"/>
            <w:vMerge w:val="restart"/>
            <w:tcBorders>
              <w:top w:val="single" w:sz="16" w:space="0" w:color="93D500" w:themeColor="accent1"/>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A0D4BB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Non-Disadvantaged Communities</w:t>
            </w:r>
          </w:p>
        </w:tc>
        <w:tc>
          <w:tcPr>
            <w:tcW w:w="688"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1DD56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ComEd Marketplace</w:t>
            </w:r>
          </w:p>
        </w:tc>
        <w:tc>
          <w:tcPr>
            <w:tcW w:w="862"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901C1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560"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938CFA" w14:textId="16F41DA4"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29</w:t>
            </w:r>
            <w:r w:rsidR="00211A0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497</w:t>
            </w:r>
          </w:p>
        </w:tc>
        <w:tc>
          <w:tcPr>
            <w:tcW w:w="415"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944A1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EBCE3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29,497</w:t>
            </w:r>
          </w:p>
        </w:tc>
        <w:tc>
          <w:tcPr>
            <w:tcW w:w="256"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53F19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0.95</w:t>
            </w:r>
          </w:p>
        </w:tc>
        <w:tc>
          <w:tcPr>
            <w:tcW w:w="32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684E0D" w14:textId="1F60833F"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66945D2C" w:rsidRPr="631CA313">
              <w:rPr>
                <w:rFonts w:ascii="Aptos Narrow" w:eastAsia="DejaVu Sans" w:hAnsi="DejaVu Sans" w:cs="DejaVu Sans"/>
                <w:color w:val="000000" w:themeColor="text1"/>
                <w:sz w:val="20"/>
                <w:szCs w:val="20"/>
              </w:rPr>
              <w:t>3</w:t>
            </w:r>
          </w:p>
        </w:tc>
        <w:tc>
          <w:tcPr>
            <w:tcW w:w="545"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872FE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30,348</w:t>
            </w:r>
          </w:p>
        </w:tc>
      </w:tr>
      <w:tr w:rsidR="00673DB8" w14:paraId="32954108" w14:textId="77777777" w:rsidTr="001940F2">
        <w:trPr>
          <w:jc w:val="center"/>
        </w:trPr>
        <w:tc>
          <w:tcPr>
            <w:tcW w:w="787" w:type="pct"/>
            <w:vMerge/>
            <w:tcMar>
              <w:top w:w="0" w:type="dxa"/>
              <w:left w:w="0" w:type="dxa"/>
              <w:bottom w:w="0" w:type="dxa"/>
              <w:right w:w="0" w:type="dxa"/>
            </w:tcMar>
            <w:vAlign w:val="center"/>
          </w:tcPr>
          <w:p w14:paraId="7A6535F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7D339A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w:t>
            </w: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5803C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DHW Two-In-One &gt;=95% AFUE</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96AF88" w14:textId="0037A076"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211A0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0</w:t>
            </w:r>
            <w:r w:rsidR="00211A03">
              <w:rPr>
                <w:rFonts w:ascii="Aptos Narrow" w:eastAsia="DejaVu Sans" w:hAnsi="DejaVu Sans" w:cs="DejaVu Sans"/>
                <w:color w:val="000000"/>
                <w:sz w:val="20"/>
                <w:szCs w:val="20"/>
              </w:rPr>
              <w:t>50</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D8C90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EA3E19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1,050</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130AF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998CA3" w14:textId="0BC196E4"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66945D2C"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B5254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841</w:t>
            </w:r>
          </w:p>
        </w:tc>
      </w:tr>
      <w:tr w:rsidR="00673DB8" w14:paraId="314F31CB" w14:textId="77777777" w:rsidTr="001940F2">
        <w:trPr>
          <w:jc w:val="center"/>
        </w:trPr>
        <w:tc>
          <w:tcPr>
            <w:tcW w:w="787" w:type="pct"/>
            <w:vMerge/>
            <w:tcMar>
              <w:top w:w="0" w:type="dxa"/>
              <w:left w:w="0" w:type="dxa"/>
              <w:bottom w:w="0" w:type="dxa"/>
              <w:right w:w="0" w:type="dxa"/>
            </w:tcMar>
            <w:vAlign w:val="center"/>
          </w:tcPr>
          <w:p w14:paraId="22ECAC1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6C91F20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FFA97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90 to 94.9% AFUE</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147A9E" w14:textId="587D1522"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51</w:t>
            </w:r>
            <w:r w:rsidR="00211A03">
              <w:rPr>
                <w:rFonts w:ascii="Aptos Narrow" w:eastAsia="DejaVu Sans" w:hAnsi="DejaVu Sans" w:cs="DejaVu Sans"/>
                <w:color w:val="000000"/>
                <w:sz w:val="20"/>
                <w:szCs w:val="20"/>
              </w:rPr>
              <w:t>1</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B0D11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5178E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511</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9910B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21FBB1" w14:textId="29A14780"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66945D2C"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C1814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409</w:t>
            </w:r>
          </w:p>
        </w:tc>
      </w:tr>
      <w:tr w:rsidR="00673DB8" w14:paraId="049AC1BC" w14:textId="77777777" w:rsidTr="001940F2">
        <w:trPr>
          <w:jc w:val="center"/>
        </w:trPr>
        <w:tc>
          <w:tcPr>
            <w:tcW w:w="787" w:type="pct"/>
            <w:vMerge/>
            <w:tcMar>
              <w:top w:w="0" w:type="dxa"/>
              <w:left w:w="0" w:type="dxa"/>
              <w:bottom w:w="0" w:type="dxa"/>
              <w:right w:w="0" w:type="dxa"/>
            </w:tcMar>
            <w:vAlign w:val="center"/>
          </w:tcPr>
          <w:p w14:paraId="463603D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213D8FA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BC663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&gt;=95% AFUE</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A91096" w14:textId="3E3FE141"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r w:rsidR="00211A0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48</w:t>
            </w:r>
            <w:r w:rsidR="00211A03">
              <w:rPr>
                <w:rFonts w:ascii="Aptos Narrow" w:eastAsia="DejaVu Sans" w:hAnsi="DejaVu Sans" w:cs="DejaVu Sans"/>
                <w:color w:val="000000"/>
                <w:sz w:val="20"/>
                <w:szCs w:val="20"/>
              </w:rPr>
              <w:t>4</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EE197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53D54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2,484</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2ADA7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0BEBDC" w14:textId="6141076A"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7300F183"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6642EA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1,990</w:t>
            </w:r>
          </w:p>
        </w:tc>
      </w:tr>
      <w:tr w:rsidR="00673DB8" w14:paraId="7DC3DEF3" w14:textId="77777777" w:rsidTr="001940F2">
        <w:trPr>
          <w:jc w:val="center"/>
        </w:trPr>
        <w:tc>
          <w:tcPr>
            <w:tcW w:w="787" w:type="pct"/>
            <w:vMerge/>
            <w:tcMar>
              <w:top w:w="0" w:type="dxa"/>
              <w:left w:w="0" w:type="dxa"/>
              <w:bottom w:w="0" w:type="dxa"/>
              <w:right w:w="0" w:type="dxa"/>
            </w:tcMar>
            <w:vAlign w:val="center"/>
          </w:tcPr>
          <w:p w14:paraId="4007049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6847132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B6534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Steam &lt;=300MBH, &gt;=82.5% AFUE</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A48BCD" w14:textId="3960977D"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55</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94113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661BDD" w14:textId="32D3E6CB"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47CAD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3EA1D5" w14:textId="04692676"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7300F183"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D33388" w14:textId="1B75F42E"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w:t>
            </w:r>
          </w:p>
        </w:tc>
      </w:tr>
      <w:tr w:rsidR="00673DB8" w14:paraId="2BEFF047" w14:textId="77777777" w:rsidTr="001940F2">
        <w:trPr>
          <w:jc w:val="center"/>
        </w:trPr>
        <w:tc>
          <w:tcPr>
            <w:tcW w:w="787" w:type="pct"/>
            <w:vMerge/>
            <w:tcMar>
              <w:top w:w="0" w:type="dxa"/>
              <w:left w:w="0" w:type="dxa"/>
              <w:bottom w:w="0" w:type="dxa"/>
              <w:right w:w="0" w:type="dxa"/>
            </w:tcMar>
            <w:vAlign w:val="center"/>
          </w:tcPr>
          <w:p w14:paraId="5E4D021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4B56294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79C15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&gt;95% &lt;97% Afue</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F9E8F7" w14:textId="1E79011A"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54</w:t>
            </w:r>
            <w:r w:rsidR="00211A0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729</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6B097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57343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54,730</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7AB99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2E6B5B" w14:textId="0AA4871D"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5170D5AA"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D9874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43,862</w:t>
            </w:r>
          </w:p>
        </w:tc>
      </w:tr>
      <w:tr w:rsidR="00673DB8" w14:paraId="311211DD" w14:textId="77777777" w:rsidTr="001940F2">
        <w:trPr>
          <w:jc w:val="center"/>
        </w:trPr>
        <w:tc>
          <w:tcPr>
            <w:tcW w:w="787" w:type="pct"/>
            <w:vMerge/>
            <w:tcMar>
              <w:top w:w="0" w:type="dxa"/>
              <w:left w:w="0" w:type="dxa"/>
              <w:bottom w:w="0" w:type="dxa"/>
              <w:right w:w="0" w:type="dxa"/>
            </w:tcMar>
            <w:vAlign w:val="center"/>
          </w:tcPr>
          <w:p w14:paraId="2EE19A87"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1FF1F28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F100F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 97% Afue</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BE4C0E" w14:textId="5F618C73"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w:t>
            </w:r>
            <w:r w:rsidR="00211A0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81</w:t>
            </w:r>
            <w:r w:rsidR="00211A03">
              <w:rPr>
                <w:rFonts w:ascii="Aptos Narrow" w:eastAsia="DejaVu Sans" w:hAnsi="DejaVu Sans" w:cs="DejaVu Sans"/>
                <w:color w:val="000000"/>
                <w:sz w:val="20"/>
                <w:szCs w:val="20"/>
              </w:rPr>
              <w:t>2</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78B6D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0C06D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103,811</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6F35A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6B2A4D" w14:textId="28EC520A"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30266EEC"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42C0D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83,196</w:t>
            </w:r>
          </w:p>
        </w:tc>
      </w:tr>
      <w:tr w:rsidR="00673DB8" w14:paraId="6B3FCEB5" w14:textId="77777777" w:rsidTr="001940F2">
        <w:trPr>
          <w:jc w:val="center"/>
        </w:trPr>
        <w:tc>
          <w:tcPr>
            <w:tcW w:w="787" w:type="pct"/>
            <w:vMerge/>
            <w:tcMar>
              <w:top w:w="0" w:type="dxa"/>
              <w:left w:w="0" w:type="dxa"/>
              <w:bottom w:w="0" w:type="dxa"/>
              <w:right w:w="0" w:type="dxa"/>
            </w:tcMar>
            <w:vAlign w:val="center"/>
          </w:tcPr>
          <w:p w14:paraId="1D4411B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57688FC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61315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Indirect Water Heater, &gt;=88% Afue</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ADD0B5" w14:textId="3BF35B54"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67</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2C994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0022DD" w14:textId="310443DB"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46407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72305D2" w14:textId="3B622D8B"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30266EEC"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A309CD" w14:textId="5914DC51"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w:t>
            </w:r>
          </w:p>
        </w:tc>
      </w:tr>
      <w:tr w:rsidR="00673DB8" w14:paraId="5724B26F" w14:textId="77777777" w:rsidTr="001940F2">
        <w:trPr>
          <w:jc w:val="center"/>
        </w:trPr>
        <w:tc>
          <w:tcPr>
            <w:tcW w:w="787" w:type="pct"/>
            <w:vMerge/>
            <w:tcMar>
              <w:top w:w="0" w:type="dxa"/>
              <w:left w:w="0" w:type="dxa"/>
              <w:bottom w:w="0" w:type="dxa"/>
              <w:right w:w="0" w:type="dxa"/>
            </w:tcMar>
            <w:vAlign w:val="center"/>
          </w:tcPr>
          <w:p w14:paraId="09E9E8E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6D99604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0E722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Programmable Thermostat-Baseline Manual</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3D57FF" w14:textId="11A56CE0"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225</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659CB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39F27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225</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17C53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F52D0B" w14:textId="615D067E"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30266EEC"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CDA79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180</w:t>
            </w:r>
          </w:p>
        </w:tc>
      </w:tr>
      <w:tr w:rsidR="00673DB8" w14:paraId="314262F5" w14:textId="77777777" w:rsidTr="001940F2">
        <w:trPr>
          <w:jc w:val="center"/>
        </w:trPr>
        <w:tc>
          <w:tcPr>
            <w:tcW w:w="787" w:type="pct"/>
            <w:vMerge/>
            <w:tcMar>
              <w:top w:w="0" w:type="dxa"/>
              <w:left w:w="0" w:type="dxa"/>
              <w:bottom w:w="0" w:type="dxa"/>
              <w:right w:w="0" w:type="dxa"/>
            </w:tcMar>
            <w:vAlign w:val="center"/>
          </w:tcPr>
          <w:p w14:paraId="35DE1FD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257975C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A8C70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E87963" w14:textId="78253ADE"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13</w:t>
            </w:r>
            <w:r w:rsidR="00211A0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588</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85B1F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0A2DB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13,589</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89D55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0.89</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CB8751" w14:textId="6DF320D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014CE67D"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12CDD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13,098</w:t>
            </w:r>
          </w:p>
        </w:tc>
      </w:tr>
      <w:tr w:rsidR="00673DB8" w14:paraId="1424DDFF" w14:textId="77777777" w:rsidTr="001940F2">
        <w:trPr>
          <w:jc w:val="center"/>
        </w:trPr>
        <w:tc>
          <w:tcPr>
            <w:tcW w:w="787" w:type="pct"/>
            <w:vMerge/>
            <w:tcMar>
              <w:top w:w="0" w:type="dxa"/>
              <w:left w:w="0" w:type="dxa"/>
              <w:bottom w:w="0" w:type="dxa"/>
              <w:right w:w="0" w:type="dxa"/>
            </w:tcMar>
            <w:vAlign w:val="center"/>
          </w:tcPr>
          <w:p w14:paraId="5ADB248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2415FD0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97E9A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Heater&gt;=0.95 UEF</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EB80CA" w14:textId="179753D1"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r w:rsidR="00211A0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62</w:t>
            </w:r>
            <w:r w:rsidR="00211A03">
              <w:rPr>
                <w:rFonts w:ascii="Aptos Narrow" w:eastAsia="DejaVu Sans" w:hAnsi="DejaVu Sans" w:cs="DejaVu Sans"/>
                <w:color w:val="000000"/>
                <w:sz w:val="20"/>
                <w:szCs w:val="20"/>
              </w:rPr>
              <w:t>5</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B8860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FB4AD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2,625</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72AA5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FE9B95" w14:textId="6EB2F9A0"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014CE67D"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A38F4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2,103</w:t>
            </w:r>
          </w:p>
        </w:tc>
      </w:tr>
      <w:tr w:rsidR="00673DB8" w14:paraId="63F241B7" w14:textId="77777777" w:rsidTr="001940F2">
        <w:trPr>
          <w:jc w:val="center"/>
        </w:trPr>
        <w:tc>
          <w:tcPr>
            <w:tcW w:w="787" w:type="pct"/>
            <w:vMerge/>
            <w:tcMar>
              <w:top w:w="0" w:type="dxa"/>
              <w:left w:w="0" w:type="dxa"/>
              <w:bottom w:w="0" w:type="dxa"/>
              <w:right w:w="0" w:type="dxa"/>
            </w:tcMar>
            <w:vAlign w:val="center"/>
          </w:tcPr>
          <w:p w14:paraId="6565431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CAF5A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Weatherization</w:t>
            </w: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3F325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 with Attic Insulation</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7B9E82" w14:textId="19ED5A04"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211A0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995</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7CA5B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EE11B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1,995</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2A176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0.88</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CFE125" w14:textId="6A941A0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014CE67D"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3FD1A6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1,901</w:t>
            </w:r>
          </w:p>
        </w:tc>
      </w:tr>
      <w:tr w:rsidR="00673DB8" w14:paraId="6F828B4D" w14:textId="77777777" w:rsidTr="001940F2">
        <w:trPr>
          <w:jc w:val="center"/>
        </w:trPr>
        <w:tc>
          <w:tcPr>
            <w:tcW w:w="787" w:type="pct"/>
            <w:vMerge/>
            <w:tcMar>
              <w:top w:w="0" w:type="dxa"/>
              <w:left w:w="0" w:type="dxa"/>
              <w:bottom w:w="0" w:type="dxa"/>
              <w:right w:w="0" w:type="dxa"/>
            </w:tcMar>
            <w:vAlign w:val="center"/>
          </w:tcPr>
          <w:p w14:paraId="5FCFEDB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46E0207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4B111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DA4863" w14:textId="5A63C872"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r w:rsidR="00211A0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56</w:t>
            </w:r>
            <w:r w:rsidR="00211A03">
              <w:rPr>
                <w:rFonts w:ascii="Aptos Narrow" w:eastAsia="DejaVu Sans" w:hAnsi="DejaVu Sans" w:cs="DejaVu Sans"/>
                <w:color w:val="000000"/>
                <w:sz w:val="20"/>
                <w:szCs w:val="20"/>
              </w:rPr>
              <w:t>7</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17D2E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F03F3E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4,567</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B130B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0.88</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A70571" w14:textId="3295768A"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1EB8FA59"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88B0E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4,352</w:t>
            </w:r>
          </w:p>
        </w:tc>
      </w:tr>
      <w:tr w:rsidR="00673DB8" w14:paraId="0292AA32" w14:textId="77777777" w:rsidTr="001940F2">
        <w:trPr>
          <w:jc w:val="center"/>
        </w:trPr>
        <w:tc>
          <w:tcPr>
            <w:tcW w:w="787" w:type="pct"/>
            <w:vMerge/>
            <w:tcMar>
              <w:top w:w="0" w:type="dxa"/>
              <w:left w:w="0" w:type="dxa"/>
              <w:bottom w:w="0" w:type="dxa"/>
              <w:right w:w="0" w:type="dxa"/>
            </w:tcMar>
            <w:vAlign w:val="center"/>
          </w:tcPr>
          <w:p w14:paraId="7E26F41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3770198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8F7EB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Attic Insulation</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FE3C28" w14:textId="65CF9499"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r w:rsidR="00211A0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044</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568B0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210DE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8,044</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1EEF6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0.89</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D3C4EB" w14:textId="5E48AAE6"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1EB8FA59"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365E8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7,754</w:t>
            </w:r>
          </w:p>
        </w:tc>
      </w:tr>
      <w:tr w:rsidR="00673DB8" w14:paraId="0204394A" w14:textId="77777777" w:rsidTr="001940F2">
        <w:trPr>
          <w:jc w:val="center"/>
        </w:trPr>
        <w:tc>
          <w:tcPr>
            <w:tcW w:w="787" w:type="pct"/>
            <w:vMerge/>
            <w:tcMar>
              <w:top w:w="0" w:type="dxa"/>
              <w:left w:w="0" w:type="dxa"/>
              <w:bottom w:w="0" w:type="dxa"/>
              <w:right w:w="0" w:type="dxa"/>
            </w:tcMar>
            <w:vAlign w:val="center"/>
          </w:tcPr>
          <w:p w14:paraId="4F97E48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1126066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CF75B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Duct Sealing</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E44D25" w14:textId="7977E38C"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r w:rsidR="00211A0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028</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703F8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4336D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4,028</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9C243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0.87</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26DFDE" w14:textId="5B906E3D"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3C9BEA32"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67525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3,795</w:t>
            </w:r>
          </w:p>
        </w:tc>
      </w:tr>
      <w:tr w:rsidR="00673DB8" w14:paraId="4D0667F5" w14:textId="77777777" w:rsidTr="001940F2">
        <w:trPr>
          <w:jc w:val="center"/>
        </w:trPr>
        <w:tc>
          <w:tcPr>
            <w:tcW w:w="787" w:type="pct"/>
            <w:vMerge/>
            <w:tcMar>
              <w:top w:w="0" w:type="dxa"/>
              <w:left w:w="0" w:type="dxa"/>
              <w:bottom w:w="0" w:type="dxa"/>
              <w:right w:w="0" w:type="dxa"/>
            </w:tcMar>
            <w:vAlign w:val="center"/>
          </w:tcPr>
          <w:p w14:paraId="7716854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3603D3E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E43C7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Foundation Insulation</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F0D0B7" w14:textId="1BA73EE2"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49</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83BF6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524109" w14:textId="5B0B31F2"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95CAB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8E9D27" w14:textId="3E9ABFDD"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3C9BEA32"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2FD6E1" w14:textId="74547882" w:rsidR="00673DB8" w:rsidRDefault="00211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w:t>
            </w:r>
          </w:p>
        </w:tc>
      </w:tr>
      <w:tr w:rsidR="00673DB8" w14:paraId="15910BC4" w14:textId="77777777" w:rsidTr="001940F2">
        <w:trPr>
          <w:jc w:val="center"/>
        </w:trPr>
        <w:tc>
          <w:tcPr>
            <w:tcW w:w="787" w:type="pct"/>
            <w:vMerge/>
            <w:tcMar>
              <w:top w:w="0" w:type="dxa"/>
              <w:left w:w="0" w:type="dxa"/>
              <w:bottom w:w="0" w:type="dxa"/>
              <w:right w:w="0" w:type="dxa"/>
            </w:tcMar>
            <w:vAlign w:val="center"/>
          </w:tcPr>
          <w:p w14:paraId="09CF0EC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67779E6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0567C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Wall Insulation</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6C2A1F" w14:textId="1ECD764C" w:rsidR="00673DB8" w:rsidRDefault="00211A0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7</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98AA7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D0BB2D" w14:textId="5827B422" w:rsidR="00673DB8" w:rsidRDefault="00211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A9714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0.74</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6CB3DF" w14:textId="16F32415"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714E7BD8"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3D597E" w14:textId="7F57C582"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r>
      <w:tr w:rsidR="00673DB8" w14:paraId="088ED635" w14:textId="77777777" w:rsidTr="001940F2">
        <w:trPr>
          <w:jc w:val="center"/>
        </w:trPr>
        <w:tc>
          <w:tcPr>
            <w:tcW w:w="78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7D0ED4"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Non-DAC Subtotal</w:t>
            </w:r>
          </w:p>
        </w:tc>
        <w:tc>
          <w:tcPr>
            <w:tcW w:w="68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0AED6CB"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732CA4"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849C5F" w14:textId="58013C33"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227</w:t>
            </w:r>
            <w:r w:rsidR="00211A03">
              <w:rPr>
                <w:rFonts w:ascii="Aptos Narrow" w:eastAsia="DejaVu Sans" w:hAnsi="DejaVu Sans" w:cs="DejaVu Sans"/>
                <w:b/>
                <w:bCs/>
                <w:i/>
                <w:iCs/>
                <w:color w:val="000000"/>
                <w:sz w:val="20"/>
                <w:szCs w:val="20"/>
              </w:rPr>
              <w:t>,</w:t>
            </w:r>
            <w:r w:rsidRPr="00673DB8">
              <w:rPr>
                <w:rFonts w:ascii="Aptos Narrow" w:eastAsia="DejaVu Sans" w:hAnsi="DejaVu Sans" w:cs="DejaVu Sans"/>
                <w:b/>
                <w:bCs/>
                <w:i/>
                <w:iCs/>
                <w:color w:val="000000"/>
                <w:sz w:val="20"/>
                <w:szCs w:val="20"/>
              </w:rPr>
              <w:t>332</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6FA7AD"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807669"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227,333</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4B5677"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40CF2C"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458B0D0"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193,974</w:t>
            </w:r>
          </w:p>
        </w:tc>
      </w:tr>
      <w:tr w:rsidR="00673DB8" w14:paraId="6AF9AFF6" w14:textId="77777777" w:rsidTr="001940F2">
        <w:trPr>
          <w:jc w:val="center"/>
        </w:trPr>
        <w:tc>
          <w:tcPr>
            <w:tcW w:w="787" w:type="pct"/>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ABC6EF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Disadvantaged Communities</w:t>
            </w:r>
          </w:p>
        </w:tc>
        <w:tc>
          <w:tcPr>
            <w:tcW w:w="68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F8FC8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ComEd Marketplace</w:t>
            </w: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FC8CE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B5524D" w14:textId="670F1BDE"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r w:rsidR="00211A0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218</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23478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7B49E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2,218</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CDF5A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0.95</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571636" w14:textId="1B00D8CF"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1.</w:t>
            </w:r>
            <w:r w:rsidR="30C65194" w:rsidRPr="631CA313">
              <w:rPr>
                <w:rFonts w:ascii="Aptos Narrow" w:eastAsia="DejaVu Sans" w:hAnsi="DejaVu Sans" w:cs="DejaVu Sans"/>
                <w:color w:val="000000" w:themeColor="text1"/>
                <w:sz w:val="20"/>
                <w:szCs w:val="20"/>
              </w:rPr>
              <w:t>08</w:t>
            </w:r>
            <w:r w:rsidR="2D7CB426" w:rsidRPr="631CA313">
              <w:rPr>
                <w:rFonts w:ascii="Aptos Narrow" w:eastAsia="DejaVu Sans" w:hAnsi="DejaVu Sans" w:cs="DejaVu Sans"/>
                <w:color w:val="000000" w:themeColor="text1"/>
                <w:sz w:val="20"/>
                <w:szCs w:val="20"/>
              </w:rPr>
              <w:t>3</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FBF51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2,282</w:t>
            </w:r>
          </w:p>
        </w:tc>
      </w:tr>
      <w:tr w:rsidR="00673DB8" w14:paraId="0F466F2E" w14:textId="77777777" w:rsidTr="001940F2">
        <w:trPr>
          <w:jc w:val="center"/>
        </w:trPr>
        <w:tc>
          <w:tcPr>
            <w:tcW w:w="787" w:type="pct"/>
            <w:vMerge/>
            <w:tcMar>
              <w:top w:w="0" w:type="dxa"/>
              <w:left w:w="0" w:type="dxa"/>
              <w:bottom w:w="0" w:type="dxa"/>
              <w:right w:w="0" w:type="dxa"/>
            </w:tcMar>
            <w:vAlign w:val="center"/>
          </w:tcPr>
          <w:p w14:paraId="07E062C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63A7A9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w:t>
            </w: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7D7D7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DHW Two-In-One &gt;=95% AFUE</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44430A" w14:textId="6D9615E9"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262</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CC783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0.94</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2C24C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247</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8ACCF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E6EDAF" w14:textId="3C17CCEC" w:rsidR="00673DB8" w:rsidRDefault="00286A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39427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247</w:t>
            </w:r>
          </w:p>
        </w:tc>
      </w:tr>
      <w:tr w:rsidR="00673DB8" w14:paraId="37022B0A" w14:textId="77777777" w:rsidTr="001940F2">
        <w:trPr>
          <w:jc w:val="center"/>
        </w:trPr>
        <w:tc>
          <w:tcPr>
            <w:tcW w:w="787" w:type="pct"/>
            <w:vMerge/>
            <w:tcMar>
              <w:top w:w="0" w:type="dxa"/>
              <w:left w:w="0" w:type="dxa"/>
              <w:bottom w:w="0" w:type="dxa"/>
              <w:right w:w="0" w:type="dxa"/>
            </w:tcMar>
            <w:vAlign w:val="center"/>
          </w:tcPr>
          <w:p w14:paraId="1C23DDE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2705990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CB6EE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&gt;95% &lt;97% Afue</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6ADFA6" w14:textId="26306239"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r w:rsidR="00211A0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9</w:t>
            </w:r>
            <w:r w:rsidR="00211A03">
              <w:rPr>
                <w:rFonts w:ascii="Aptos Narrow" w:eastAsia="DejaVu Sans" w:hAnsi="DejaVu Sans" w:cs="DejaVu Sans"/>
                <w:color w:val="000000"/>
                <w:sz w:val="20"/>
                <w:szCs w:val="20"/>
              </w:rPr>
              <w:t>36</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12B89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3FAE01"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2,936</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0324A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A298D4" w14:textId="1B381AC9" w:rsidR="00673DB8" w:rsidRDefault="00286A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CDB54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2,936</w:t>
            </w:r>
          </w:p>
        </w:tc>
      </w:tr>
      <w:tr w:rsidR="00673DB8" w14:paraId="7D3DFA7F" w14:textId="77777777" w:rsidTr="001940F2">
        <w:trPr>
          <w:jc w:val="center"/>
        </w:trPr>
        <w:tc>
          <w:tcPr>
            <w:tcW w:w="787" w:type="pct"/>
            <w:vMerge/>
            <w:tcMar>
              <w:top w:w="0" w:type="dxa"/>
              <w:left w:w="0" w:type="dxa"/>
              <w:bottom w:w="0" w:type="dxa"/>
              <w:right w:w="0" w:type="dxa"/>
            </w:tcMar>
            <w:vAlign w:val="center"/>
          </w:tcPr>
          <w:p w14:paraId="6939EF2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6E999BA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F5AE7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 97% Afue</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31C4E6" w14:textId="31E96019"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211A03">
              <w:rPr>
                <w:rFonts w:ascii="Aptos Narrow" w:eastAsia="DejaVu Sans" w:hAnsi="DejaVu Sans" w:cs="DejaVu Sans"/>
                <w:color w:val="000000"/>
                <w:sz w:val="20"/>
                <w:szCs w:val="20"/>
              </w:rPr>
              <w:t>,</w:t>
            </w:r>
            <w:r>
              <w:rPr>
                <w:rFonts w:ascii="Aptos Narrow" w:eastAsia="DejaVu Sans" w:hAnsi="DejaVu Sans" w:cs="DejaVu Sans"/>
                <w:color w:val="000000"/>
                <w:sz w:val="20"/>
                <w:szCs w:val="20"/>
              </w:rPr>
              <w:t>66</w:t>
            </w:r>
            <w:r w:rsidR="00211A03">
              <w:rPr>
                <w:rFonts w:ascii="Aptos Narrow" w:eastAsia="DejaVu Sans" w:hAnsi="DejaVu Sans" w:cs="DejaVu Sans"/>
                <w:color w:val="000000"/>
                <w:sz w:val="20"/>
                <w:szCs w:val="20"/>
              </w:rPr>
              <w:t>7</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5B6699"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7BDA8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1,667</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7AD91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E7FB3D" w14:textId="5064954B" w:rsidR="00673DB8" w:rsidRDefault="00286A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9E149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1,667</w:t>
            </w:r>
          </w:p>
        </w:tc>
      </w:tr>
      <w:tr w:rsidR="00673DB8" w14:paraId="21DE561A" w14:textId="77777777" w:rsidTr="001940F2">
        <w:trPr>
          <w:jc w:val="center"/>
        </w:trPr>
        <w:tc>
          <w:tcPr>
            <w:tcW w:w="787" w:type="pct"/>
            <w:vMerge/>
            <w:tcMar>
              <w:top w:w="0" w:type="dxa"/>
              <w:left w:w="0" w:type="dxa"/>
              <w:bottom w:w="0" w:type="dxa"/>
              <w:right w:w="0" w:type="dxa"/>
            </w:tcMar>
            <w:vAlign w:val="center"/>
          </w:tcPr>
          <w:p w14:paraId="4DBFC968"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519E6A9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6B9AC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1D135D" w14:textId="5614A814"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31</w:t>
            </w:r>
            <w:r w:rsidR="00211A03">
              <w:rPr>
                <w:rFonts w:ascii="Aptos Narrow" w:eastAsia="DejaVu Sans" w:hAnsi="DejaVu Sans" w:cs="DejaVu Sans"/>
                <w:color w:val="000000"/>
                <w:sz w:val="20"/>
                <w:szCs w:val="20"/>
              </w:rPr>
              <w:t>7</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7CBF8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CCC20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317</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3DAAB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CC0713" w14:textId="0E355B53" w:rsidR="00673DB8" w:rsidRDefault="00286A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384BC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317</w:t>
            </w:r>
          </w:p>
        </w:tc>
      </w:tr>
      <w:tr w:rsidR="00673DB8" w14:paraId="130FA04E" w14:textId="77777777" w:rsidTr="001940F2">
        <w:trPr>
          <w:jc w:val="center"/>
        </w:trPr>
        <w:tc>
          <w:tcPr>
            <w:tcW w:w="787" w:type="pct"/>
            <w:vMerge/>
            <w:tcMar>
              <w:top w:w="0" w:type="dxa"/>
              <w:left w:w="0" w:type="dxa"/>
              <w:bottom w:w="0" w:type="dxa"/>
              <w:right w:w="0" w:type="dxa"/>
            </w:tcMar>
            <w:vAlign w:val="center"/>
          </w:tcPr>
          <w:p w14:paraId="6999F02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519FA1D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0FED52"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Heater&gt;=0.95 UEF</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10628B" w14:textId="23804200"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75</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A13CC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A630D4" w14:textId="2E2B8934"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AC233D"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D0960F" w14:textId="1C0D4ED9" w:rsidR="00673DB8" w:rsidRDefault="00286A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196816" w14:textId="7DED686A"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w:t>
            </w:r>
          </w:p>
        </w:tc>
      </w:tr>
      <w:tr w:rsidR="00673DB8" w14:paraId="445369FF" w14:textId="77777777" w:rsidTr="001940F2">
        <w:trPr>
          <w:jc w:val="center"/>
        </w:trPr>
        <w:tc>
          <w:tcPr>
            <w:tcW w:w="787" w:type="pct"/>
            <w:vMerge/>
            <w:tcMar>
              <w:top w:w="0" w:type="dxa"/>
              <w:left w:w="0" w:type="dxa"/>
              <w:bottom w:w="0" w:type="dxa"/>
              <w:right w:w="0" w:type="dxa"/>
            </w:tcMar>
            <w:vAlign w:val="center"/>
          </w:tcPr>
          <w:p w14:paraId="598595A5"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4CAB574"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Weatherization</w:t>
            </w: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A00D2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25DEFF" w14:textId="6F8415DE"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26</w:t>
            </w:r>
            <w:r w:rsidR="00211A03">
              <w:rPr>
                <w:rFonts w:ascii="Aptos Narrow" w:eastAsia="DejaVu Sans" w:hAnsi="DejaVu Sans" w:cs="DejaVu Sans"/>
                <w:color w:val="000000"/>
                <w:sz w:val="20"/>
                <w:szCs w:val="20"/>
              </w:rPr>
              <w:t>6</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E8B53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7C5A3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266</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9CDC9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C7A87B" w14:textId="72AFCCB7" w:rsidR="00673DB8" w:rsidRDefault="00286A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975ACA"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266</w:t>
            </w:r>
          </w:p>
        </w:tc>
      </w:tr>
      <w:tr w:rsidR="00673DB8" w14:paraId="003E7230" w14:textId="77777777" w:rsidTr="001940F2">
        <w:trPr>
          <w:jc w:val="center"/>
        </w:trPr>
        <w:tc>
          <w:tcPr>
            <w:tcW w:w="787" w:type="pct"/>
            <w:vMerge/>
            <w:tcMar>
              <w:top w:w="0" w:type="dxa"/>
              <w:left w:w="0" w:type="dxa"/>
              <w:bottom w:w="0" w:type="dxa"/>
              <w:right w:w="0" w:type="dxa"/>
            </w:tcMar>
            <w:vAlign w:val="center"/>
          </w:tcPr>
          <w:p w14:paraId="4F1637A6"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88" w:type="pct"/>
            <w:vMerge/>
            <w:tcMar>
              <w:top w:w="0" w:type="dxa"/>
              <w:left w:w="0" w:type="dxa"/>
              <w:bottom w:w="0" w:type="dxa"/>
              <w:right w:w="0" w:type="dxa"/>
            </w:tcMar>
            <w:vAlign w:val="center"/>
          </w:tcPr>
          <w:p w14:paraId="2261B73E"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BF9A7F"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Attic Insulation</w:t>
            </w: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96ACDC" w14:textId="5C4E1738"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424</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727300"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B2A33C"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424</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2D25A3"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09CD2E" w14:textId="151BD427" w:rsidR="00673DB8" w:rsidRDefault="00286A5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N/A</w:t>
            </w: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115E4B" w14:textId="77777777" w:rsid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424</w:t>
            </w:r>
          </w:p>
        </w:tc>
      </w:tr>
      <w:tr w:rsidR="00673DB8" w14:paraId="27C746A5" w14:textId="77777777" w:rsidTr="001940F2">
        <w:trPr>
          <w:jc w:val="center"/>
        </w:trPr>
        <w:tc>
          <w:tcPr>
            <w:tcW w:w="78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AF5594"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DAC Subtotal</w:t>
            </w:r>
          </w:p>
        </w:tc>
        <w:tc>
          <w:tcPr>
            <w:tcW w:w="68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730D2C"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862"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CD2355"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p>
        </w:tc>
        <w:tc>
          <w:tcPr>
            <w:tcW w:w="560"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7D13F42" w14:textId="0F0DA3CD"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8</w:t>
            </w:r>
            <w:r w:rsidR="00211A03">
              <w:rPr>
                <w:rFonts w:ascii="Aptos Narrow" w:eastAsia="DejaVu Sans" w:hAnsi="DejaVu Sans" w:cs="DejaVu Sans"/>
                <w:b/>
                <w:bCs/>
                <w:i/>
                <w:iCs/>
                <w:color w:val="000000"/>
                <w:sz w:val="20"/>
                <w:szCs w:val="20"/>
              </w:rPr>
              <w:t>,</w:t>
            </w:r>
            <w:r w:rsidRPr="00673DB8">
              <w:rPr>
                <w:rFonts w:ascii="Aptos Narrow" w:eastAsia="DejaVu Sans" w:hAnsi="DejaVu Sans" w:cs="DejaVu Sans"/>
                <w:b/>
                <w:bCs/>
                <w:i/>
                <w:iCs/>
                <w:color w:val="000000"/>
                <w:sz w:val="20"/>
                <w:szCs w:val="20"/>
              </w:rPr>
              <w:t>16</w:t>
            </w:r>
            <w:r w:rsidR="00211A03">
              <w:rPr>
                <w:rFonts w:ascii="Aptos Narrow" w:eastAsia="DejaVu Sans" w:hAnsi="DejaVu Sans" w:cs="DejaVu Sans"/>
                <w:b/>
                <w:bCs/>
                <w:i/>
                <w:iCs/>
                <w:color w:val="000000"/>
                <w:sz w:val="20"/>
                <w:szCs w:val="20"/>
              </w:rPr>
              <w:t>5</w:t>
            </w:r>
          </w:p>
        </w:tc>
        <w:tc>
          <w:tcPr>
            <w:tcW w:w="41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74967A"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1.00</w:t>
            </w:r>
          </w:p>
        </w:tc>
        <w:tc>
          <w:tcPr>
            <w:tcW w:w="56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BD9572"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8,149</w:t>
            </w:r>
          </w:p>
        </w:tc>
        <w:tc>
          <w:tcPr>
            <w:tcW w:w="25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1B090F"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32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376BB3"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p>
        </w:tc>
        <w:tc>
          <w:tcPr>
            <w:tcW w:w="54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2B978F" w14:textId="77777777" w:rsidR="00673DB8" w:rsidRPr="00673DB8"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i/>
                <w:iCs/>
                <w:color w:val="000000"/>
                <w:sz w:val="20"/>
                <w:szCs w:val="20"/>
              </w:rPr>
            </w:pPr>
            <w:r w:rsidRPr="00673DB8">
              <w:rPr>
                <w:rFonts w:ascii="Aptos Narrow" w:eastAsia="DejaVu Sans" w:hAnsi="DejaVu Sans" w:cs="DejaVu Sans"/>
                <w:b/>
                <w:bCs/>
                <w:i/>
                <w:iCs/>
                <w:color w:val="000000"/>
                <w:sz w:val="20"/>
                <w:szCs w:val="20"/>
              </w:rPr>
              <w:t>8,213</w:t>
            </w:r>
          </w:p>
        </w:tc>
      </w:tr>
      <w:tr w:rsidR="00673DB8" w14:paraId="26BEB98F" w14:textId="77777777" w:rsidTr="001940F2">
        <w:trPr>
          <w:jc w:val="center"/>
        </w:trPr>
        <w:tc>
          <w:tcPr>
            <w:tcW w:w="787"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22EDEE73" w14:textId="21595B28" w:rsidR="00673DB8" w:rsidRPr="00211A03"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211A03">
              <w:rPr>
                <w:rFonts w:ascii="Aptos Narrow" w:eastAsia="DejaVu Sans" w:hAnsi="DejaVu Sans" w:cs="DejaVu Sans"/>
                <w:b/>
                <w:bCs/>
                <w:color w:val="000000"/>
                <w:sz w:val="20"/>
                <w:szCs w:val="20"/>
              </w:rPr>
              <w:t>Total</w:t>
            </w:r>
          </w:p>
        </w:tc>
        <w:tc>
          <w:tcPr>
            <w:tcW w:w="688"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CE188B2" w14:textId="77777777" w:rsidR="00673DB8" w:rsidRPr="00211A03"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862"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345E31E" w14:textId="77777777" w:rsidR="00673DB8" w:rsidRPr="00211A03"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560"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B26B030" w14:textId="1BA61913" w:rsidR="00673DB8" w:rsidRPr="00211A03" w:rsidRDefault="00673DB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211A03">
              <w:rPr>
                <w:rFonts w:ascii="Aptos Narrow" w:eastAsia="DejaVu Sans" w:hAnsi="DejaVu Sans" w:cs="DejaVu Sans"/>
                <w:b/>
                <w:bCs/>
                <w:color w:val="000000"/>
                <w:sz w:val="20"/>
                <w:szCs w:val="20"/>
              </w:rPr>
              <w:t>235</w:t>
            </w:r>
            <w:r w:rsidR="00211A03" w:rsidRPr="00211A03">
              <w:rPr>
                <w:rFonts w:ascii="Aptos Narrow" w:eastAsia="DejaVu Sans" w:hAnsi="DejaVu Sans" w:cs="DejaVu Sans"/>
                <w:b/>
                <w:bCs/>
                <w:color w:val="000000"/>
                <w:sz w:val="20"/>
                <w:szCs w:val="20"/>
              </w:rPr>
              <w:t>,</w:t>
            </w:r>
            <w:r w:rsidRPr="00211A03">
              <w:rPr>
                <w:rFonts w:ascii="Aptos Narrow" w:eastAsia="DejaVu Sans" w:hAnsi="DejaVu Sans" w:cs="DejaVu Sans"/>
                <w:b/>
                <w:bCs/>
                <w:color w:val="000000"/>
                <w:sz w:val="20"/>
                <w:szCs w:val="20"/>
              </w:rPr>
              <w:t>49</w:t>
            </w:r>
            <w:r w:rsidR="00211A03" w:rsidRPr="00211A03">
              <w:rPr>
                <w:rFonts w:ascii="Aptos Narrow" w:eastAsia="DejaVu Sans" w:hAnsi="DejaVu Sans" w:cs="DejaVu Sans"/>
                <w:b/>
                <w:bCs/>
                <w:color w:val="000000"/>
                <w:sz w:val="20"/>
                <w:szCs w:val="20"/>
              </w:rPr>
              <w:t>7</w:t>
            </w:r>
          </w:p>
        </w:tc>
        <w:tc>
          <w:tcPr>
            <w:tcW w:w="415"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6422DC8" w14:textId="77777777" w:rsidR="00673DB8" w:rsidRPr="00211A03"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11A03">
              <w:rPr>
                <w:rFonts w:ascii="Aptos Narrow" w:eastAsia="DejaVu Sans" w:hAnsi="DejaVu Sans" w:cs="DejaVu Sans"/>
                <w:b/>
                <w:bCs/>
                <w:color w:val="000000"/>
                <w:sz w:val="20"/>
                <w:szCs w:val="20"/>
              </w:rPr>
              <w:t>1.00</w:t>
            </w:r>
          </w:p>
        </w:tc>
        <w:tc>
          <w:tcPr>
            <w:tcW w:w="56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3E30D61" w14:textId="77777777" w:rsidR="00673DB8" w:rsidRPr="00211A03"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11A03">
              <w:rPr>
                <w:rFonts w:ascii="Aptos Narrow" w:eastAsia="DejaVu Sans" w:hAnsi="DejaVu Sans" w:cs="DejaVu Sans"/>
                <w:b/>
                <w:bCs/>
                <w:color w:val="000000"/>
                <w:sz w:val="20"/>
                <w:szCs w:val="20"/>
              </w:rPr>
              <w:t>235,482</w:t>
            </w:r>
          </w:p>
        </w:tc>
        <w:tc>
          <w:tcPr>
            <w:tcW w:w="256"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884ECCC" w14:textId="77777777" w:rsidR="00673DB8" w:rsidRPr="00211A03"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32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5E7D2E8A" w14:textId="77777777" w:rsidR="00673DB8" w:rsidRPr="00211A03"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545"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36F5B93" w14:textId="77777777" w:rsidR="00673DB8" w:rsidRPr="00211A03" w:rsidRDefault="00673DB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11A03">
              <w:rPr>
                <w:rFonts w:ascii="Aptos Narrow" w:eastAsia="DejaVu Sans" w:hAnsi="DejaVu Sans" w:cs="DejaVu Sans"/>
                <w:b/>
                <w:bCs/>
                <w:color w:val="000000"/>
                <w:sz w:val="20"/>
                <w:szCs w:val="20"/>
              </w:rPr>
              <w:t>202,187</w:t>
            </w:r>
          </w:p>
        </w:tc>
      </w:tr>
    </w:tbl>
    <w:p w14:paraId="6762F921" w14:textId="77777777" w:rsidR="00F04C56" w:rsidRDefault="00F04C56" w:rsidP="00284FA9">
      <w:pPr>
        <w:pStyle w:val="TableFigureSourceorNote"/>
      </w:pPr>
      <w:r>
        <w:t>Source: Evaluation team analysis.</w:t>
      </w:r>
    </w:p>
    <w:p w14:paraId="5AFC5EF2" w14:textId="77777777" w:rsidR="00F04C56" w:rsidRDefault="00F04C56" w:rsidP="00284FA9">
      <w:pPr>
        <w:pStyle w:val="Source"/>
      </w:pPr>
    </w:p>
    <w:p w14:paraId="5CFA31C9" w14:textId="0265D9D9" w:rsidR="00F04C56" w:rsidRDefault="00F04C56" w:rsidP="00284FA9">
      <w:pPr>
        <w:pStyle w:val="Heading1"/>
      </w:pPr>
      <w:bookmarkStart w:id="56" w:name="_Toc225531526"/>
      <w:bookmarkEnd w:id="52"/>
      <w:r>
        <w:t>Impact Analysis Findings and Recommendations</w:t>
      </w:r>
      <w:bookmarkEnd w:id="56"/>
    </w:p>
    <w:p w14:paraId="592A4322" w14:textId="77777777" w:rsidR="00F535FC" w:rsidRDefault="00F04C56" w:rsidP="001940F2">
      <w:pPr>
        <w:pStyle w:val="Heading2"/>
      </w:pPr>
      <w:bookmarkStart w:id="57" w:name="_Toc225531527"/>
      <w:r>
        <w:t>Impact Parameter Estimates</w:t>
      </w:r>
      <w:bookmarkStart w:id="58" w:name="_Toc381633053"/>
      <w:bookmarkEnd w:id="57"/>
      <w:r>
        <w:fldChar w:fldCharType="begin"/>
      </w:r>
      <w:r>
        <w:instrText xml:space="preserve"> REF _Ref503449693 \h </w:instrText>
      </w:r>
      <w:r>
        <w:fldChar w:fldCharType="separate"/>
      </w:r>
    </w:p>
    <w:p w14:paraId="55BBCC83" w14:textId="50C844D4" w:rsidR="001E0A45" w:rsidRDefault="00F04C56" w:rsidP="006F48AD">
      <w:pPr>
        <w:keepNext/>
        <w:keepLines/>
      </w:pPr>
      <w:r>
        <w:t xml:space="preserve">Table </w:t>
      </w:r>
      <w:r w:rsidR="00F535FC">
        <w:rPr>
          <w:noProof/>
        </w:rPr>
        <w:t>9</w:t>
      </w:r>
      <w:r>
        <w:fldChar w:fldCharType="end"/>
      </w:r>
      <w:r>
        <w:t xml:space="preserve"> </w:t>
      </w:r>
      <w:r w:rsidRPr="007367D2">
        <w:t xml:space="preserve">shows the unit </w:t>
      </w:r>
      <w:r>
        <w:t xml:space="preserve">therm </w:t>
      </w:r>
      <w:r w:rsidRPr="007367D2">
        <w:t xml:space="preserve">savings and realization rate </w:t>
      </w:r>
      <w:r>
        <w:t xml:space="preserve">findings </w:t>
      </w:r>
      <w:r w:rsidRPr="007367D2">
        <w:t xml:space="preserve">by measure from our review. </w:t>
      </w:r>
      <w:r>
        <w:t>The realization rate is the ratio of the verified savings to the ex ante savings. Following the table, we provide findings and recommendations, including discussion of all measures with realization rates above or below 100%</w:t>
      </w:r>
      <w:r w:rsidRPr="007367D2">
        <w:t>.</w:t>
      </w:r>
      <w:r>
        <w:t xml:space="preserve"> </w:t>
      </w:r>
      <w:r w:rsidRPr="00F30437">
        <w:t xml:space="preserve">Appendix </w:t>
      </w:r>
      <w:r>
        <w:t>A</w:t>
      </w:r>
      <w:r w:rsidRPr="00F30437">
        <w:t xml:space="preserve"> pr</w:t>
      </w:r>
      <w:r>
        <w:t>ovides a description of the i</w:t>
      </w:r>
      <w:r w:rsidRPr="000475D3">
        <w:t xml:space="preserve">mpact </w:t>
      </w:r>
      <w:r>
        <w:t>a</w:t>
      </w:r>
      <w:r w:rsidRPr="000475D3">
        <w:t xml:space="preserve">nalysis </w:t>
      </w:r>
      <w:r>
        <w:t>m</w:t>
      </w:r>
      <w:r w:rsidRPr="000475D3">
        <w:t>ethodology</w:t>
      </w:r>
      <w:r>
        <w:t>.</w:t>
      </w:r>
      <w:bookmarkStart w:id="59" w:name="_Ref503449693"/>
      <w:bookmarkStart w:id="60" w:name="Table_9"/>
      <w:bookmarkStart w:id="61" w:name="_Toc61360849"/>
      <w:bookmarkStart w:id="62" w:name="_Toc189750770"/>
      <w:bookmarkEnd w:id="58"/>
    </w:p>
    <w:p w14:paraId="20A1ADD6" w14:textId="7C8BD1D2" w:rsidR="00F04C56" w:rsidRPr="00E8651B" w:rsidRDefault="00F04C56" w:rsidP="006F48AD">
      <w:pPr>
        <w:pStyle w:val="Caption"/>
        <w:keepLines/>
        <w:spacing w:after="0"/>
      </w:pPr>
      <w:bookmarkStart w:id="63" w:name="_Toc225531521"/>
      <w:r>
        <w:t xml:space="preserve">Table </w:t>
      </w:r>
      <w:r>
        <w:fldChar w:fldCharType="begin"/>
      </w:r>
      <w:r>
        <w:instrText xml:space="preserve"> SEQ Table \* ARABIC </w:instrText>
      </w:r>
      <w:r>
        <w:fldChar w:fldCharType="separate"/>
      </w:r>
      <w:r>
        <w:rPr>
          <w:noProof/>
        </w:rPr>
        <w:t>9</w:t>
      </w:r>
      <w:r>
        <w:fldChar w:fldCharType="end"/>
      </w:r>
      <w:bookmarkEnd w:id="59"/>
      <w:r>
        <w:t xml:space="preserve">. </w:t>
      </w:r>
      <w:bookmarkEnd w:id="60"/>
      <w:r w:rsidRPr="00E8651B">
        <w:t>Verified Gross Savings Parameters</w:t>
      </w:r>
      <w:bookmarkEnd w:id="61"/>
      <w:bookmarkEnd w:id="62"/>
      <w:bookmarkEnd w:id="63"/>
    </w:p>
    <w:tbl>
      <w:tblPr>
        <w:tblW w:w="0" w:type="auto"/>
        <w:jc w:val="center"/>
        <w:tblLayout w:type="fixed"/>
        <w:tblLook w:val="0420" w:firstRow="1" w:lastRow="0" w:firstColumn="0" w:lastColumn="0" w:noHBand="0" w:noVBand="1"/>
      </w:tblPr>
      <w:tblGrid>
        <w:gridCol w:w="1560"/>
        <w:gridCol w:w="1560"/>
        <w:gridCol w:w="1560"/>
        <w:gridCol w:w="1560"/>
        <w:gridCol w:w="1560"/>
        <w:gridCol w:w="1560"/>
      </w:tblGrid>
      <w:tr w:rsidR="000B54E3" w14:paraId="2ACA3DC3" w14:textId="77777777" w:rsidTr="2AE6185B">
        <w:trPr>
          <w:tblHeader/>
          <w:jc w:val="center"/>
        </w:trPr>
        <w:tc>
          <w:tcPr>
            <w:tcW w:w="15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7DE164BC"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15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4AE26C91"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 Basis</w:t>
            </w:r>
          </w:p>
        </w:tc>
        <w:tc>
          <w:tcPr>
            <w:tcW w:w="15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6B6BE2A5"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(therms/unit)</w:t>
            </w:r>
          </w:p>
        </w:tc>
        <w:tc>
          <w:tcPr>
            <w:tcW w:w="15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4E2CA55" w14:textId="0F585FC2"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(therms/unit)</w:t>
            </w:r>
          </w:p>
        </w:tc>
        <w:tc>
          <w:tcPr>
            <w:tcW w:w="15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B78D20E"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Realization Rate</w:t>
            </w:r>
          </w:p>
        </w:tc>
        <w:tc>
          <w:tcPr>
            <w:tcW w:w="1560" w:type="dxa"/>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51F3F3F" w14:textId="481F06C7" w:rsidR="000B54E3" w:rsidRDefault="782D285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Aptos Narrow" w:hAnsi="Aptos Narrow" w:cs="Aptos Narrow"/>
                <w:sz w:val="20"/>
                <w:szCs w:val="20"/>
              </w:rPr>
            </w:pPr>
            <w:r w:rsidRPr="2AE6185B">
              <w:rPr>
                <w:rFonts w:ascii="Aptos Narrow" w:eastAsia="Aptos Narrow" w:hAnsi="Aptos Narrow" w:cs="Aptos Narrow"/>
                <w:color w:val="FFFFFF" w:themeColor="background1"/>
                <w:sz w:val="20"/>
                <w:szCs w:val="20"/>
              </w:rPr>
              <w:t>Il TRM v13.0 Section</w:t>
            </w:r>
          </w:p>
        </w:tc>
      </w:tr>
      <w:tr w:rsidR="000B54E3" w14:paraId="26BCE136" w14:textId="77777777" w:rsidTr="2AE6185B">
        <w:trPr>
          <w:jc w:val="center"/>
        </w:trPr>
        <w:tc>
          <w:tcPr>
            <w:tcW w:w="156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B02E91"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 with Attic Insulation</w:t>
            </w:r>
          </w:p>
        </w:tc>
        <w:tc>
          <w:tcPr>
            <w:tcW w:w="156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0F74A84" w14:textId="4A071C92" w:rsidR="000B54E3" w:rsidRDefault="00AC17BF" w:rsidP="00AC17B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p>
        </w:tc>
        <w:tc>
          <w:tcPr>
            <w:tcW w:w="156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F27BA0" w14:textId="5E81EFCD" w:rsidR="000B54E3" w:rsidRDefault="0002139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0.06</w:t>
            </w:r>
          </w:p>
        </w:tc>
        <w:tc>
          <w:tcPr>
            <w:tcW w:w="156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7D8283" w14:textId="39D97BA4" w:rsidR="000B54E3" w:rsidRDefault="0002139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0.06</w:t>
            </w:r>
          </w:p>
        </w:tc>
        <w:tc>
          <w:tcPr>
            <w:tcW w:w="156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04D02E" w14:textId="67CE6CC6" w:rsidR="000B54E3" w:rsidRDefault="00B2170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F04C56">
              <w:rPr>
                <w:rFonts w:ascii="Aptos Narrow" w:eastAsia="DejaVu Sans" w:hAnsi="DejaVu Sans" w:cs="DejaVu Sans"/>
                <w:color w:val="000000"/>
                <w:sz w:val="20"/>
                <w:szCs w:val="20"/>
              </w:rPr>
              <w:t>00</w:t>
            </w:r>
            <w:r>
              <w:rPr>
                <w:rFonts w:ascii="Aptos Narrow" w:eastAsia="DejaVu Sans" w:hAnsi="DejaVu Sans" w:cs="DejaVu Sans"/>
                <w:color w:val="000000"/>
                <w:sz w:val="20"/>
                <w:szCs w:val="20"/>
              </w:rPr>
              <w:t>%</w:t>
            </w:r>
          </w:p>
        </w:tc>
        <w:tc>
          <w:tcPr>
            <w:tcW w:w="1560" w:type="dxa"/>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B34076" w14:textId="407EEFC5" w:rsidR="000B54E3" w:rsidRDefault="00F04C56" w:rsidP="2AE6185B">
            <w:pPr>
              <w:pBdr>
                <w:top w:val="none" w:sz="0" w:space="0" w:color="000000"/>
                <w:left w:val="none" w:sz="0" w:space="0" w:color="000000"/>
                <w:bottom w:val="none" w:sz="0" w:space="0" w:color="000000"/>
                <w:right w:val="none" w:sz="0" w:space="0" w:color="000000"/>
              </w:pBdr>
              <w:spacing w:before="3" w:after="3" w:line="240" w:lineRule="auto"/>
              <w:ind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5.6.1</w:t>
            </w:r>
          </w:p>
        </w:tc>
      </w:tr>
      <w:tr w:rsidR="000B54E3" w14:paraId="780BE16A" w14:textId="77777777" w:rsidTr="2AE6185B">
        <w:trPr>
          <w:jc w:val="center"/>
        </w:trPr>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7188F49"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3DC5FA" w14:textId="627BDF3F" w:rsidR="000B54E3" w:rsidRDefault="00AC17BF" w:rsidP="00AC17B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0E0D539" w14:textId="67691931" w:rsidR="000B54E3" w:rsidRDefault="0002139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0.08</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60B789" w14:textId="45F86C1B" w:rsidR="000B54E3" w:rsidRDefault="0002139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0.08</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6DD5B7" w14:textId="1E639942" w:rsidR="000B54E3" w:rsidRDefault="00B2170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1ACAA3E" w14:textId="484276C6"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5.6.1</w:t>
            </w:r>
          </w:p>
        </w:tc>
      </w:tr>
      <w:tr w:rsidR="000B54E3" w14:paraId="1F17087B" w14:textId="77777777" w:rsidTr="2AE6185B">
        <w:trPr>
          <w:jc w:val="center"/>
        </w:trPr>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AD397FD"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Attic Insulation</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7AC81D" w14:textId="36684F51" w:rsidR="000B54E3" w:rsidRDefault="007C0727" w:rsidP="00AC17B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5BB61C" w14:textId="66581296" w:rsidR="000B54E3" w:rsidRDefault="0018361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662523" w14:textId="5BCDE8F8" w:rsidR="000B54E3" w:rsidRDefault="0018361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ABAF2B" w14:textId="72FD3F02" w:rsidR="000B54E3" w:rsidRDefault="00B2170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6BDD57" w14:textId="62024C6F"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5.6.5</w:t>
            </w:r>
          </w:p>
        </w:tc>
      </w:tr>
      <w:tr w:rsidR="000B54E3" w14:paraId="4B29C5AB" w14:textId="77777777" w:rsidTr="2AE6185B">
        <w:trPr>
          <w:jc w:val="center"/>
        </w:trPr>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AD2129"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DHW Two-In-One &gt;=95% AFUE</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DE10DC" w14:textId="056F6231" w:rsidR="007C0727" w:rsidRDefault="00B31FB4" w:rsidP="00AC17B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39C87F" w14:textId="1D169B17" w:rsidR="000B54E3" w:rsidRDefault="0024233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262.45</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CDA4A6" w14:textId="0748780F" w:rsidR="000B54E3" w:rsidRDefault="0024233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259.38</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2325F75" w14:textId="350C42DB" w:rsidR="000B54E3" w:rsidRDefault="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99%</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84B53D" w14:textId="7483499E"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5.3.17</w:t>
            </w:r>
          </w:p>
        </w:tc>
      </w:tr>
      <w:tr w:rsidR="000B54E3" w14:paraId="2B7B3CC2" w14:textId="77777777" w:rsidTr="2AE6185B">
        <w:trPr>
          <w:jc w:val="center"/>
        </w:trPr>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91092A"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90 to 94.9% AFUE</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195426" w14:textId="02327B7E" w:rsidR="000B54E3" w:rsidRDefault="00B31FB4" w:rsidP="00AC17B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BDD8A5" w14:textId="65B85269" w:rsidR="000B54E3" w:rsidRDefault="00C216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170.26</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2D1D8A" w14:textId="6B3E647B" w:rsidR="000B54E3" w:rsidRDefault="00C2165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170.26</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D321C2" w14:textId="5A43784F" w:rsidR="000B54E3" w:rsidRDefault="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6C2D53B" w14:textId="6B89CF4C"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5.3.6</w:t>
            </w:r>
          </w:p>
        </w:tc>
      </w:tr>
      <w:tr w:rsidR="000B54E3" w14:paraId="748DC6DB" w14:textId="77777777" w:rsidTr="2AE6185B">
        <w:trPr>
          <w:jc w:val="center"/>
        </w:trPr>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D6AFED"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&gt;=95% AFUE</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27DB96" w14:textId="53A1A776" w:rsidR="000B54E3" w:rsidRDefault="00B31FB4" w:rsidP="00AC17B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1FBDB7" w14:textId="7BA23F8B" w:rsidR="000B54E3" w:rsidRDefault="0018361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BE0679" w14:textId="1A6CA3FF" w:rsidR="000B54E3" w:rsidRDefault="0018361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0B2680" w14:textId="6D261E8A" w:rsidR="000B54E3" w:rsidRDefault="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D0CE78" w14:textId="6149E052"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5.3.6</w:t>
            </w:r>
          </w:p>
        </w:tc>
      </w:tr>
      <w:tr w:rsidR="000B54E3" w14:paraId="7A73081B" w14:textId="77777777" w:rsidTr="2AE6185B">
        <w:trPr>
          <w:jc w:val="center"/>
        </w:trPr>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12A3A9"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Steam &lt;=300MBH, &gt;=82.5% AFUE</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1D7E03" w14:textId="54DC21B6" w:rsidR="000B54E3" w:rsidRDefault="00B31FB4" w:rsidP="00AC17B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77F70F" w14:textId="1C06262D" w:rsidR="000B54E3" w:rsidRDefault="001A342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18.36</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4DB63E" w14:textId="32F344C5" w:rsidR="000B54E3" w:rsidRDefault="001A342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18.36</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55406A" w14:textId="7D53F16E" w:rsidR="000B54E3" w:rsidRDefault="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9515D3" w14:textId="0BBD69EE"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5.3.6</w:t>
            </w:r>
          </w:p>
        </w:tc>
      </w:tr>
      <w:tr w:rsidR="000B54E3" w14:paraId="686FA269" w14:textId="77777777" w:rsidTr="2AE6185B">
        <w:trPr>
          <w:jc w:val="center"/>
        </w:trPr>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0AE673" w14:textId="77777777"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Duct Sealing</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37A051" w14:textId="7D4983BC" w:rsidR="000B54E3" w:rsidRDefault="007C0727" w:rsidP="00AC17B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0E3BC3" w14:textId="39A20ACA" w:rsidR="000B54E3" w:rsidRDefault="007525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11776E5" w14:textId="1884BD54" w:rsidR="000B54E3" w:rsidRDefault="007525F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C38D481" w14:textId="41A81F44"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77301F">
              <w:rPr>
                <w:rFonts w:ascii="Aptos Narrow" w:eastAsia="DejaVu Sans" w:hAnsi="DejaVu Sans" w:cs="DejaVu Sans"/>
                <w:color w:val="000000"/>
                <w:sz w:val="20"/>
                <w:szCs w:val="20"/>
              </w:rPr>
              <w:t>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3D443D" w14:textId="20EA9B3D" w:rsidR="000B54E3" w:rsidRDefault="00F04C5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5.3.4</w:t>
            </w:r>
          </w:p>
        </w:tc>
      </w:tr>
      <w:tr w:rsidR="0077301F" w14:paraId="0583C5A9" w14:textId="77777777" w:rsidTr="2AE6185B">
        <w:trPr>
          <w:jc w:val="center"/>
        </w:trPr>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B69693" w14:textId="77777777"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Foundation Insulation</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BB459F" w14:textId="5E4F4B08"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6A8B6D" w14:textId="3760001B" w:rsidR="0077301F" w:rsidRDefault="000C1B41"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0.06</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73A3F3" w14:textId="78F0D54F" w:rsidR="0077301F" w:rsidRDefault="000C1B41"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0.06</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656DF8" w14:textId="6643C0CA"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A388645" w14:textId="186BEC8A" w:rsidR="0077301F" w:rsidRDefault="4F65CBE9"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5.6.6</w:t>
            </w:r>
          </w:p>
        </w:tc>
      </w:tr>
      <w:tr w:rsidR="0077301F" w14:paraId="4BE86B5A" w14:textId="77777777" w:rsidTr="2AE6185B">
        <w:trPr>
          <w:jc w:val="center"/>
        </w:trPr>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B42878A" w14:textId="10398B82"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Furnace &gt;95% &lt;97% A</w:t>
            </w:r>
            <w:r w:rsidR="0067647A">
              <w:rPr>
                <w:rFonts w:ascii="Aptos Narrow" w:eastAsia="DejaVu Sans" w:hAnsi="DejaVu Sans" w:cs="DejaVu Sans"/>
                <w:color w:val="000000"/>
                <w:sz w:val="20"/>
                <w:szCs w:val="20"/>
              </w:rPr>
              <w:t>FUE</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5673E1" w14:textId="4A343F2B" w:rsidR="0077301F" w:rsidRDefault="00B31FB4"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A841CD" w14:textId="51683E0B" w:rsidR="0077301F" w:rsidRDefault="00BA393C"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209.69</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F11EC2" w14:textId="27211BA4" w:rsidR="0077301F" w:rsidRDefault="00BA393C"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209.69</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359E50" w14:textId="72EEE0FC"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0758DB" w14:textId="3A738809" w:rsidR="0077301F" w:rsidRDefault="4F65CBE9"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5.3.7</w:t>
            </w:r>
          </w:p>
        </w:tc>
      </w:tr>
      <w:tr w:rsidR="0077301F" w14:paraId="68470891" w14:textId="77777777" w:rsidTr="2AE6185B">
        <w:trPr>
          <w:jc w:val="center"/>
        </w:trPr>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6B3277" w14:textId="05F10F38"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 97% A</w:t>
            </w:r>
            <w:r w:rsidR="0067647A">
              <w:rPr>
                <w:rFonts w:ascii="Aptos Narrow" w:eastAsia="DejaVu Sans" w:hAnsi="DejaVu Sans" w:cs="DejaVu Sans"/>
                <w:color w:val="000000"/>
                <w:sz w:val="20"/>
                <w:szCs w:val="20"/>
              </w:rPr>
              <w:t>FUE</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7BD6BF" w14:textId="3C2E2EC8" w:rsidR="0077301F" w:rsidRDefault="00B31FB4"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EA3D38" w14:textId="52C57E14" w:rsidR="0077301F" w:rsidRDefault="00363328"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238.10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3B7365" w14:textId="7D82B3C8" w:rsidR="0077301F" w:rsidRDefault="00363328"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238.10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AC6D2AA" w14:textId="3D01BF5D"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8CAFF5" w14:textId="06248984" w:rsidR="0077301F" w:rsidRDefault="4F65CBE9" w:rsidP="2AE6185B">
            <w:pPr>
              <w:pBdr>
                <w:top w:val="none" w:sz="0" w:space="0" w:color="000000"/>
                <w:left w:val="none" w:sz="0" w:space="0" w:color="000000"/>
                <w:bottom w:val="none" w:sz="0" w:space="0" w:color="000000"/>
                <w:right w:val="none" w:sz="0" w:space="0" w:color="000000"/>
              </w:pBdr>
              <w:spacing w:before="3" w:after="3" w:line="240" w:lineRule="auto"/>
              <w:ind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5.3.7</w:t>
            </w:r>
          </w:p>
        </w:tc>
      </w:tr>
      <w:tr w:rsidR="0077301F" w14:paraId="13D25002" w14:textId="77777777" w:rsidTr="2AE6185B">
        <w:trPr>
          <w:jc w:val="center"/>
        </w:trPr>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209638" w14:textId="19169B80"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Indirect Water Heater, &gt;=88% A</w:t>
            </w:r>
            <w:r w:rsidR="0067647A">
              <w:rPr>
                <w:rFonts w:ascii="Aptos Narrow" w:eastAsia="DejaVu Sans" w:hAnsi="DejaVu Sans" w:cs="DejaVu Sans"/>
                <w:color w:val="000000"/>
                <w:sz w:val="20"/>
                <w:szCs w:val="20"/>
              </w:rPr>
              <w:t>FUE</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2F9944" w14:textId="1A37FCCA" w:rsidR="0077301F" w:rsidRDefault="00592142"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E17A502" w14:textId="70E9920B" w:rsidR="0077301F" w:rsidRDefault="001B2D03"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223FBB" w14:textId="4B94A6D5" w:rsidR="0077301F" w:rsidRDefault="001B2D03"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F3A21A" w14:textId="631DE805"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9EAFFC" w14:textId="0B967098" w:rsidR="0077301F" w:rsidRDefault="4F65CBE9"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5.4.2</w:t>
            </w:r>
          </w:p>
        </w:tc>
      </w:tr>
      <w:tr w:rsidR="0077301F" w14:paraId="1F73C027" w14:textId="77777777" w:rsidTr="2AE6185B">
        <w:trPr>
          <w:jc w:val="center"/>
        </w:trPr>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542111" w14:textId="77777777"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Programmable Thermostat-Baseline Manual</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852F76" w14:textId="20D11684" w:rsidR="0077301F" w:rsidRDefault="00592142"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7ABB19" w14:textId="10599754" w:rsidR="0077301F" w:rsidRDefault="001B2D03"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68AA3D" w14:textId="580F2F08" w:rsidR="0077301F" w:rsidRDefault="00143037"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57BF2C" w14:textId="72DA7856"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4DF318" w14:textId="5B250074" w:rsidR="0077301F" w:rsidRDefault="4F65CBE9"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5.3.11</w:t>
            </w:r>
          </w:p>
        </w:tc>
      </w:tr>
      <w:tr w:rsidR="0077301F" w14:paraId="2094F85F" w14:textId="77777777" w:rsidTr="2AE6185B">
        <w:trPr>
          <w:jc w:val="center"/>
        </w:trPr>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9F693E" w14:textId="77777777"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953788" w14:textId="598C249D" w:rsidR="0077301F" w:rsidRDefault="00592142"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80253D" w14:textId="70658BA6" w:rsidR="0077301F" w:rsidRDefault="0094468C"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215DEB" w14:textId="02AB5FBC" w:rsidR="0077301F" w:rsidRDefault="0094468C"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1CC228" w14:textId="4C77093A"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5164CD" w14:textId="046434F4" w:rsidR="0077301F" w:rsidRDefault="4F65CBE9"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5.3.16</w:t>
            </w:r>
          </w:p>
        </w:tc>
      </w:tr>
      <w:tr w:rsidR="0077301F" w14:paraId="1AFB8C70" w14:textId="77777777" w:rsidTr="2AE6185B">
        <w:trPr>
          <w:jc w:val="center"/>
        </w:trPr>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091D92" w14:textId="77777777"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Heater&gt;=0.95 UEF</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C02157" w14:textId="03846FAA" w:rsidR="0077301F" w:rsidRDefault="00592142"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BCBBC07" w14:textId="0ABC815D" w:rsidR="0077301F" w:rsidRDefault="0026773D"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1F945F0" w14:textId="7CBB8485" w:rsidR="0077301F" w:rsidRDefault="0026773D"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FCE984" w14:textId="54BE399C"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1D6433">
              <w:rPr>
                <w:rFonts w:ascii="Aptos Narrow" w:eastAsia="DejaVu Sans" w:hAnsi="DejaVu Sans" w:cs="DejaVu Sans"/>
                <w:color w:val="000000"/>
                <w:sz w:val="20"/>
                <w:szCs w:val="20"/>
              </w:rPr>
              <w:t>00%</w:t>
            </w:r>
          </w:p>
        </w:tc>
        <w:tc>
          <w:tcPr>
            <w:tcW w:w="1560" w:type="dxa"/>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976B49" w14:textId="282EDFFF" w:rsidR="0077301F" w:rsidRDefault="4F65CBE9"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5.4.2</w:t>
            </w:r>
          </w:p>
        </w:tc>
      </w:tr>
      <w:tr w:rsidR="0077301F" w14:paraId="7635B9B5" w14:textId="77777777" w:rsidTr="2AE6185B">
        <w:trPr>
          <w:jc w:val="center"/>
        </w:trPr>
        <w:tc>
          <w:tcPr>
            <w:tcW w:w="15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F477204" w14:textId="77777777"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Wall Insulation</w:t>
            </w:r>
          </w:p>
        </w:tc>
        <w:tc>
          <w:tcPr>
            <w:tcW w:w="15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2EDC850" w14:textId="6EB94ABC"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15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72A7C21" w14:textId="40D7D8A8" w:rsidR="0077301F" w:rsidRDefault="003702A6"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3E8DA5F" w14:textId="339F7F05" w:rsidR="0077301F" w:rsidRDefault="003702A6"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Varies</w:t>
            </w:r>
          </w:p>
        </w:tc>
        <w:tc>
          <w:tcPr>
            <w:tcW w:w="15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70E6D4A" w14:textId="38255FC7" w:rsidR="0077301F" w:rsidRDefault="0077301F"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r w:rsidR="001D6433">
              <w:rPr>
                <w:rFonts w:ascii="Aptos Narrow" w:eastAsia="DejaVu Sans" w:hAnsi="DejaVu Sans" w:cs="DejaVu Sans"/>
                <w:color w:val="000000"/>
                <w:sz w:val="20"/>
                <w:szCs w:val="20"/>
              </w:rPr>
              <w:t>00%</w:t>
            </w:r>
          </w:p>
        </w:tc>
        <w:tc>
          <w:tcPr>
            <w:tcW w:w="1560" w:type="dxa"/>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F83969B" w14:textId="71713A63" w:rsidR="0077301F" w:rsidRDefault="4F65CBE9" w:rsidP="0077301F">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631CA313">
              <w:rPr>
                <w:rFonts w:ascii="Aptos Narrow" w:eastAsia="DejaVu Sans" w:hAnsi="DejaVu Sans" w:cs="DejaVu Sans"/>
                <w:color w:val="000000" w:themeColor="text1"/>
                <w:sz w:val="20"/>
                <w:szCs w:val="20"/>
              </w:rPr>
              <w:t>5.3.4</w:t>
            </w:r>
          </w:p>
        </w:tc>
      </w:tr>
    </w:tbl>
    <w:p w14:paraId="2F6D6AAF" w14:textId="1F92D2DA" w:rsidR="00F04C56" w:rsidRPr="00BD0D15" w:rsidRDefault="00F04C56" w:rsidP="00284FA9">
      <w:pPr>
        <w:pStyle w:val="TableFigureSourceorNote"/>
      </w:pPr>
      <w:r w:rsidRPr="00BD0D15">
        <w:t>* State of Illinois Technical Reference Manual version 1</w:t>
      </w:r>
      <w:r>
        <w:t>3</w:t>
      </w:r>
      <w:r w:rsidRPr="00BD0D15">
        <w:t xml:space="preserve">.0 from </w:t>
      </w:r>
      <w:hyperlink r:id="rId22" w:history="1">
        <w:r w:rsidRPr="00BD0D15">
          <w:t>http://www.ilsag.info/technical-reference-manual.html</w:t>
        </w:r>
      </w:hyperlink>
      <w:r w:rsidRPr="00BD0D15">
        <w:t>.</w:t>
      </w:r>
    </w:p>
    <w:p w14:paraId="2F46DC34" w14:textId="4CA59124" w:rsidR="00F04C56" w:rsidRDefault="00F04C56" w:rsidP="00284FA9"/>
    <w:p w14:paraId="510486EF" w14:textId="6B370EE2" w:rsidR="00F04C56" w:rsidRDefault="00F04C56" w:rsidP="00284FA9">
      <w:pPr>
        <w:pStyle w:val="Heading2"/>
      </w:pPr>
      <w:bookmarkStart w:id="64" w:name="_Toc225531528"/>
      <w:r>
        <w:t>Findings and Recommendations</w:t>
      </w:r>
      <w:bookmarkEnd w:id="64"/>
    </w:p>
    <w:p w14:paraId="74BA181F" w14:textId="4F1F24FD" w:rsidR="007B4818" w:rsidRDefault="2BAFDED0" w:rsidP="00284FA9">
      <w:pPr>
        <w:spacing w:line="264" w:lineRule="auto"/>
        <w:rPr>
          <w:rFonts w:ascii="Aptos Narrow" w:eastAsia="Aptos Narrow" w:hAnsi="Aptos Narrow" w:cs="Aptos Narrow"/>
          <w:szCs w:val="22"/>
        </w:rPr>
      </w:pPr>
      <w:r w:rsidRPr="2AE6185B">
        <w:rPr>
          <w:rFonts w:ascii="Aptos Narrow" w:eastAsia="Aptos Narrow" w:hAnsi="Aptos Narrow" w:cs="Aptos Narrow"/>
          <w:color w:val="000000" w:themeColor="text1"/>
        </w:rPr>
        <w:t>Overall, the findings listed below had a minor impact on the savings, with the program-level realization rate being 100%.</w:t>
      </w:r>
    </w:p>
    <w:p w14:paraId="26E86663" w14:textId="69E457CA" w:rsidR="00F04C56" w:rsidRPr="00270D0B" w:rsidRDefault="00F04C56" w:rsidP="00284FA9">
      <w:pPr>
        <w:spacing w:line="264" w:lineRule="auto"/>
        <w:rPr>
          <w:bCs/>
        </w:rPr>
      </w:pPr>
      <w:r w:rsidRPr="00915A79">
        <w:rPr>
          <w:b/>
        </w:rPr>
        <w:t>Finding 1.</w:t>
      </w:r>
      <w:r w:rsidR="00270D0B">
        <w:rPr>
          <w:b/>
        </w:rPr>
        <w:t xml:space="preserve"> </w:t>
      </w:r>
      <w:r w:rsidR="001C7E0C">
        <w:rPr>
          <w:bCs/>
          <w:szCs w:val="22"/>
        </w:rPr>
        <w:t>Four</w:t>
      </w:r>
      <w:r w:rsidR="00270D0B" w:rsidRPr="007A2A4A">
        <w:rPr>
          <w:bCs/>
          <w:szCs w:val="22"/>
        </w:rPr>
        <w:t xml:space="preserve"> Gas High Efficiency Combination Boiler </w:t>
      </w:r>
      <w:r w:rsidR="008411BC" w:rsidRPr="007A2A4A">
        <w:rPr>
          <w:bCs/>
          <w:szCs w:val="22"/>
        </w:rPr>
        <w:t xml:space="preserve">records </w:t>
      </w:r>
      <w:r w:rsidR="00D64EA3">
        <w:rPr>
          <w:bCs/>
          <w:szCs w:val="22"/>
        </w:rPr>
        <w:t>for multi-family units</w:t>
      </w:r>
      <w:r w:rsidR="008411BC" w:rsidRPr="007A2A4A">
        <w:rPr>
          <w:bCs/>
          <w:szCs w:val="22"/>
        </w:rPr>
        <w:t xml:space="preserve"> </w:t>
      </w:r>
      <w:r w:rsidR="00080DD5">
        <w:rPr>
          <w:bCs/>
          <w:szCs w:val="22"/>
        </w:rPr>
        <w:t>had</w:t>
      </w:r>
      <w:r w:rsidR="008411BC" w:rsidRPr="007A2A4A">
        <w:rPr>
          <w:bCs/>
          <w:szCs w:val="22"/>
        </w:rPr>
        <w:t xml:space="preserve"> a single-family household factor of 2.62 used in savings calculations</w:t>
      </w:r>
      <w:r w:rsidR="00EC0F95" w:rsidRPr="007A2A4A">
        <w:rPr>
          <w:bCs/>
          <w:szCs w:val="22"/>
        </w:rPr>
        <w:t>.</w:t>
      </w:r>
      <w:r w:rsidR="007A2A4A" w:rsidRPr="007A2A4A">
        <w:rPr>
          <w:bCs/>
          <w:szCs w:val="22"/>
        </w:rPr>
        <w:t xml:space="preserve"> The </w:t>
      </w:r>
      <w:r w:rsidR="001940F2" w:rsidRPr="007A2A4A">
        <w:rPr>
          <w:bCs/>
          <w:szCs w:val="22"/>
        </w:rPr>
        <w:t>affected</w:t>
      </w:r>
      <w:r w:rsidR="001940F2">
        <w:rPr>
          <w:bCs/>
          <w:szCs w:val="22"/>
        </w:rPr>
        <w:t xml:space="preserve"> project </w:t>
      </w:r>
      <w:r w:rsidR="007A2A4A" w:rsidRPr="007A2A4A">
        <w:rPr>
          <w:bCs/>
          <w:szCs w:val="22"/>
        </w:rPr>
        <w:t>IDs are a0PUp00000RmD6fMAF, a0PUp00000GZukTMAT, a0PUp00000MJ2JBMA1, and a0PUp00000VD8QwMA.</w:t>
      </w:r>
    </w:p>
    <w:p w14:paraId="44A7D6CF" w14:textId="3E0FCFFC" w:rsidR="00F04C56" w:rsidRDefault="00F04C56" w:rsidP="00EA3A86">
      <w:pPr>
        <w:tabs>
          <w:tab w:val="left" w:pos="720"/>
        </w:tabs>
        <w:spacing w:line="264" w:lineRule="auto"/>
        <w:ind w:left="900" w:hanging="360"/>
      </w:pPr>
      <w:r w:rsidRPr="00BB5CF7">
        <w:rPr>
          <w:b/>
        </w:rPr>
        <w:t>Recommendation</w:t>
      </w:r>
      <w:r w:rsidRPr="00BB5CF7">
        <w:rPr>
          <w:b/>
          <w:bCs/>
        </w:rPr>
        <w:t xml:space="preserve"> 1.</w:t>
      </w:r>
      <w:r>
        <w:rPr>
          <w:b/>
          <w:bCs/>
        </w:rPr>
        <w:t xml:space="preserve">  </w:t>
      </w:r>
      <w:r w:rsidR="001C7E0C">
        <w:t xml:space="preserve">Guidehouse recommends selecting household factors based on unit type, consistent with IL TRM v13. </w:t>
      </w:r>
    </w:p>
    <w:p w14:paraId="75E89970" w14:textId="5CDE627B" w:rsidR="00F04C56" w:rsidRPr="00B72A1F" w:rsidRDefault="00F04C56" w:rsidP="00284FA9">
      <w:r w:rsidRPr="7D4732FB">
        <w:rPr>
          <w:b/>
          <w:bCs/>
        </w:rPr>
        <w:t>Finding 2.</w:t>
      </w:r>
      <w:r w:rsidR="00B72A1F" w:rsidRPr="7D4732FB">
        <w:rPr>
          <w:b/>
          <w:bCs/>
        </w:rPr>
        <w:t xml:space="preserve"> </w:t>
      </w:r>
      <w:r w:rsidR="00B72A1F">
        <w:t xml:space="preserve">Four Smart Thermostat records from the ComEd Marketplace program path reported zero </w:t>
      </w:r>
      <w:r w:rsidR="00BA1E99">
        <w:t xml:space="preserve">savings and were not identified as duplicate or unclaimed measures. </w:t>
      </w:r>
      <w:r w:rsidR="2528A90B">
        <w:t>Guidehouse included savings for these units in</w:t>
      </w:r>
      <w:r w:rsidR="6BFFB392">
        <w:t xml:space="preserve"> this evaluation</w:t>
      </w:r>
      <w:r w:rsidR="2528A90B">
        <w:t xml:space="preserve">. </w:t>
      </w:r>
      <w:r w:rsidR="00BA1E99">
        <w:t>The affected work order IDs are</w:t>
      </w:r>
      <w:r w:rsidR="00400793">
        <w:t xml:space="preserve"> COMED_97117, COMED_97845, COMED_97868, and COMED_SI_699256.</w:t>
      </w:r>
    </w:p>
    <w:p w14:paraId="0C9B1C2B" w14:textId="16ADC2FE" w:rsidR="00F04C56" w:rsidRDefault="00F04C56" w:rsidP="005427A8">
      <w:pPr>
        <w:tabs>
          <w:tab w:val="left" w:pos="720"/>
        </w:tabs>
        <w:spacing w:line="264" w:lineRule="auto"/>
        <w:ind w:left="900" w:hanging="360"/>
        <w:sectPr w:rsidR="00F04C56" w:rsidSect="00284FA9">
          <w:headerReference w:type="default" r:id="rId23"/>
          <w:footerReference w:type="default" r:id="rId24"/>
          <w:pgSz w:w="12240" w:h="15840" w:code="1"/>
          <w:pgMar w:top="1440" w:right="1440" w:bottom="1440" w:left="1440" w:header="720" w:footer="720" w:gutter="0"/>
          <w:pgNumType w:start="1"/>
          <w:cols w:space="720"/>
          <w:docGrid w:linePitch="360"/>
        </w:sectPr>
      </w:pPr>
      <w:r w:rsidRPr="00BE1CA5">
        <w:rPr>
          <w:b/>
        </w:rPr>
        <w:t>Recommendation</w:t>
      </w:r>
      <w:r>
        <w:rPr>
          <w:b/>
          <w:bCs/>
        </w:rPr>
        <w:t xml:space="preserve"> 2.  </w:t>
      </w:r>
      <w:r w:rsidR="00B46DBE">
        <w:t>Savings flags and claim indicators for Smart Thermostat records should be reviewed to ensure they accurately reflect eligibility and savings status. Correctly marking these records will reduce the potential for misclassification in reported results</w:t>
      </w:r>
      <w:r w:rsidR="005427A8">
        <w:t>.</w:t>
      </w:r>
    </w:p>
    <w:p w14:paraId="3CDA69A4" w14:textId="607F2B9A" w:rsidR="00F04C56" w:rsidRDefault="00F04C56" w:rsidP="52249C3D">
      <w:pPr>
        <w:pStyle w:val="Heading1"/>
        <w:numPr>
          <w:ilvl w:val="0"/>
          <w:numId w:val="0"/>
        </w:numPr>
        <w:spacing w:after="240"/>
        <w:rPr>
          <w:rFonts w:ascii="Aptos Narrow" w:eastAsia="Aptos Narrow" w:hAnsi="Aptos Narrow" w:cs="Aptos Narrow"/>
          <w:sz w:val="22"/>
          <w:szCs w:val="22"/>
        </w:rPr>
      </w:pPr>
      <w:bookmarkStart w:id="65" w:name="_Toc223474635"/>
      <w:bookmarkStart w:id="66" w:name="_Toc224286391"/>
      <w:bookmarkStart w:id="67" w:name="_Toc225531529"/>
      <w:r>
        <w:lastRenderedPageBreak/>
        <w:t>Appendix A. Impact Analysis Methodology</w:t>
      </w:r>
      <w:bookmarkEnd w:id="67"/>
      <w:r w:rsidR="7200DB76" w:rsidRPr="0C3DF75C">
        <w:rPr>
          <w:rFonts w:ascii="Aptos Narrow" w:eastAsia="Aptos Narrow" w:hAnsi="Aptos Narrow" w:cs="Aptos Narrow"/>
          <w:sz w:val="22"/>
          <w:szCs w:val="22"/>
        </w:rPr>
        <w:t xml:space="preserve"> </w:t>
      </w:r>
    </w:p>
    <w:p w14:paraId="5C64A475" w14:textId="214EA00D" w:rsidR="001940F2" w:rsidRDefault="001940F2" w:rsidP="001940F2">
      <w:pPr>
        <w:spacing w:after="0" w:line="264" w:lineRule="auto"/>
        <w:ind w:left="360" w:hanging="360"/>
        <w:rPr>
          <w:rFonts w:ascii="Aptos Narrow" w:eastAsia="Aptos Narrow" w:hAnsi="Aptos Narrow" w:cs="Aptos Narrow"/>
          <w:color w:val="000000" w:themeColor="text1"/>
          <w:szCs w:val="22"/>
        </w:rPr>
      </w:pPr>
      <w:r w:rsidRPr="001940F2">
        <w:rPr>
          <w:rFonts w:ascii="Aptos Narrow" w:eastAsia="Aptos Narrow" w:hAnsi="Aptos Narrow" w:cs="Aptos Narrow"/>
          <w:color w:val="000000" w:themeColor="text1"/>
          <w:szCs w:val="22"/>
        </w:rPr>
        <w:t>The evaluation verified gross savings were determined for each program measure by:</w:t>
      </w:r>
    </w:p>
    <w:p w14:paraId="3C05C25C" w14:textId="77777777" w:rsidR="001940F2" w:rsidRPr="001940F2" w:rsidRDefault="001940F2" w:rsidP="001940F2">
      <w:pPr>
        <w:spacing w:after="0" w:line="264" w:lineRule="auto"/>
        <w:ind w:left="360" w:hanging="360"/>
        <w:rPr>
          <w:rFonts w:ascii="Aptos Narrow" w:eastAsia="Aptos Narrow" w:hAnsi="Aptos Narrow" w:cs="Aptos Narrow"/>
          <w:color w:val="000000" w:themeColor="text1"/>
          <w:szCs w:val="22"/>
        </w:rPr>
      </w:pPr>
    </w:p>
    <w:p w14:paraId="32D5A58C" w14:textId="67F27AFA" w:rsidR="00F04C56" w:rsidRDefault="7200DB76" w:rsidP="0C3DF75C">
      <w:pPr>
        <w:pStyle w:val="ListParagraph"/>
        <w:spacing w:after="0" w:line="264" w:lineRule="auto"/>
        <w:contextualSpacing w:val="0"/>
        <w:rPr>
          <w:rFonts w:ascii="Aptos Narrow" w:eastAsia="Aptos Narrow" w:hAnsi="Aptos Narrow" w:cs="Aptos Narrow"/>
          <w:color w:val="000000" w:themeColor="text1"/>
          <w:szCs w:val="22"/>
        </w:rPr>
      </w:pPr>
      <w:r w:rsidRPr="0C3DF75C">
        <w:rPr>
          <w:rFonts w:ascii="Aptos Narrow" w:eastAsia="Aptos Narrow" w:hAnsi="Aptos Narrow" w:cs="Aptos Narrow"/>
          <w:color w:val="000000" w:themeColor="text1"/>
          <w:szCs w:val="22"/>
        </w:rPr>
        <w:t xml:space="preserve">Reviewing the savings algorithm inputs in the final 2025 tracking data for agreement with the IL-TRM v13.0 and IL-TRM Errata, where applicable. </w:t>
      </w:r>
    </w:p>
    <w:p w14:paraId="1A36365B" w14:textId="1E6ADC14" w:rsidR="00F04C56" w:rsidRDefault="7200DB76" w:rsidP="0C3DF75C">
      <w:pPr>
        <w:pStyle w:val="ListParagraph"/>
        <w:spacing w:after="0" w:line="264" w:lineRule="auto"/>
        <w:contextualSpacing w:val="0"/>
        <w:rPr>
          <w:rFonts w:ascii="Aptos Narrow" w:eastAsia="Aptos Narrow" w:hAnsi="Aptos Narrow" w:cs="Aptos Narrow"/>
          <w:color w:val="000000" w:themeColor="text1"/>
          <w:szCs w:val="22"/>
        </w:rPr>
      </w:pPr>
      <w:r w:rsidRPr="0C3DF75C">
        <w:rPr>
          <w:rFonts w:ascii="Aptos Narrow" w:eastAsia="Aptos Narrow" w:hAnsi="Aptos Narrow" w:cs="Aptos Narrow"/>
          <w:color w:val="000000" w:themeColor="text1"/>
          <w:szCs w:val="22"/>
        </w:rPr>
        <w:t xml:space="preserve">Validating the savings algorithm was applied correctly. </w:t>
      </w:r>
    </w:p>
    <w:p w14:paraId="7FEA2F41" w14:textId="3BED6D76" w:rsidR="00F04C56" w:rsidRDefault="7200DB76" w:rsidP="0C3DF75C">
      <w:pPr>
        <w:pStyle w:val="ListParagraph"/>
        <w:spacing w:after="0" w:line="264" w:lineRule="auto"/>
        <w:contextualSpacing w:val="0"/>
        <w:rPr>
          <w:rFonts w:ascii="Aptos Narrow" w:eastAsia="Aptos Narrow" w:hAnsi="Aptos Narrow" w:cs="Aptos Narrow"/>
          <w:color w:val="000000" w:themeColor="text1"/>
          <w:szCs w:val="22"/>
        </w:rPr>
      </w:pPr>
      <w:r w:rsidRPr="0C3DF75C">
        <w:rPr>
          <w:rFonts w:ascii="Aptos Narrow" w:eastAsia="Aptos Narrow" w:hAnsi="Aptos Narrow" w:cs="Aptos Narrow"/>
          <w:color w:val="000000" w:themeColor="text1"/>
          <w:szCs w:val="22"/>
        </w:rPr>
        <w:t xml:space="preserve">Cross-checking per-unit savings values in the program tracking data with the verified values in Guidehouse’s calculations. </w:t>
      </w:r>
    </w:p>
    <w:p w14:paraId="47523AA6" w14:textId="3C0CD881" w:rsidR="00F04C56" w:rsidRDefault="7200DB76" w:rsidP="0C3DF75C">
      <w:pPr>
        <w:pStyle w:val="ListParagraph"/>
        <w:spacing w:after="0" w:line="264" w:lineRule="auto"/>
        <w:contextualSpacing w:val="0"/>
        <w:rPr>
          <w:rFonts w:ascii="Aptos Narrow" w:eastAsia="Aptos Narrow" w:hAnsi="Aptos Narrow" w:cs="Aptos Narrow"/>
          <w:color w:val="000000" w:themeColor="text1"/>
          <w:szCs w:val="22"/>
        </w:rPr>
      </w:pPr>
      <w:r w:rsidRPr="0C3DF75C">
        <w:rPr>
          <w:rFonts w:ascii="Aptos Narrow" w:eastAsia="Aptos Narrow" w:hAnsi="Aptos Narrow" w:cs="Aptos Narrow"/>
          <w:color w:val="000000" w:themeColor="text1"/>
          <w:szCs w:val="22"/>
        </w:rPr>
        <w:t xml:space="preserve">Multiplying the verified per-unit savings value by the quantity reported in the tracking data. The team calculated verified net savings by multiplying the verified gross savings estimates by </w:t>
      </w:r>
      <w:r w:rsidR="001940F2" w:rsidRPr="0C3DF75C">
        <w:rPr>
          <w:rFonts w:ascii="Aptos Narrow" w:eastAsia="Aptos Narrow" w:hAnsi="Aptos Narrow" w:cs="Aptos Narrow"/>
          <w:color w:val="000000" w:themeColor="text1"/>
          <w:szCs w:val="22"/>
        </w:rPr>
        <w:t>an NTG</w:t>
      </w:r>
      <w:r w:rsidRPr="0C3DF75C">
        <w:rPr>
          <w:rFonts w:ascii="Aptos Narrow" w:eastAsia="Aptos Narrow" w:hAnsi="Aptos Narrow" w:cs="Aptos Narrow"/>
          <w:color w:val="000000" w:themeColor="text1"/>
          <w:szCs w:val="22"/>
        </w:rPr>
        <w:t xml:space="preserve"> ratio. In Program Year 2024, NTG estimates used to calculate the net verified savings were based on past evaluation research and defined by a consensus process through the Illinois SAG. </w:t>
      </w:r>
    </w:p>
    <w:bookmarkEnd w:id="65"/>
    <w:bookmarkEnd w:id="66"/>
    <w:p w14:paraId="2D5B2DF9" w14:textId="0F63A196" w:rsidR="00F04C56" w:rsidRDefault="001940F2" w:rsidP="00D349D0">
      <w:pPr>
        <w:pStyle w:val="ListParagraph"/>
        <w:tabs>
          <w:tab w:val="left" w:pos="720"/>
        </w:tabs>
        <w:spacing w:after="0" w:line="264" w:lineRule="auto"/>
        <w:contextualSpacing w:val="0"/>
      </w:pPr>
      <w:r w:rsidRPr="001940F2">
        <w:rPr>
          <w:rFonts w:ascii="Aptos Narrow" w:eastAsia="Aptos Narrow" w:hAnsi="Aptos Narrow" w:cs="Aptos Narrow"/>
          <w:color w:val="000000" w:themeColor="text1"/>
          <w:szCs w:val="22"/>
        </w:rPr>
        <w:t>The market rate net savings were multiplied by a residential non-participant spillover (NPSO) factor of 1.083. Based on SAG Policy, if deemed NTG is multiplied by the NPSO and the resulted NTG value is less than 1.00, the evaluation assigned NTG of 1.00 to projects in DAC zones (NPSO is shown as “N/A”). If the resulted NTG value is &gt;1.00, the evaluation used the &gt;1.00 value for calculation of net savings impact.</w:t>
      </w:r>
    </w:p>
    <w:p w14:paraId="23E8ADC8" w14:textId="77777777" w:rsidR="00F04C56" w:rsidRPr="00F20206" w:rsidRDefault="00F04C56" w:rsidP="00284FA9">
      <w:pPr>
        <w:pStyle w:val="BodyText"/>
        <w:sectPr w:rsidR="00F04C56" w:rsidRPr="00F20206" w:rsidSect="00284FA9">
          <w:pgSz w:w="12240" w:h="15840" w:code="1"/>
          <w:pgMar w:top="1440" w:right="1440" w:bottom="1440" w:left="1440" w:header="720" w:footer="720" w:gutter="0"/>
          <w:pgNumType w:chapStyle="5"/>
          <w:cols w:space="720"/>
          <w:docGrid w:linePitch="360"/>
        </w:sectPr>
      </w:pPr>
      <w:bookmarkStart w:id="68" w:name="_Toc507870205"/>
      <w:bookmarkStart w:id="69" w:name="_Toc512873036"/>
    </w:p>
    <w:p w14:paraId="709BFC15" w14:textId="77777777" w:rsidR="00F04C56" w:rsidRPr="00142E0F" w:rsidRDefault="00F04C56" w:rsidP="00284FA9">
      <w:pPr>
        <w:keepNext/>
        <w:keepLines/>
        <w:spacing w:before="360" w:after="80"/>
        <w:ind w:left="432" w:hanging="432"/>
        <w:outlineLvl w:val="0"/>
        <w:rPr>
          <w:rFonts w:asciiTheme="majorHAnsi" w:eastAsiaTheme="majorEastAsia" w:hAnsiTheme="majorHAnsi" w:cstheme="majorBidi"/>
          <w:color w:val="000000" w:themeColor="text1"/>
          <w:sz w:val="40"/>
          <w:szCs w:val="40"/>
        </w:rPr>
      </w:pPr>
      <w:bookmarkStart w:id="70" w:name="_Toc223474636"/>
      <w:bookmarkStart w:id="71" w:name="_Toc224286392"/>
      <w:bookmarkStart w:id="72" w:name="_Toc225531530"/>
      <w:bookmarkEnd w:id="68"/>
      <w:bookmarkEnd w:id="69"/>
      <w:r w:rsidRPr="00142E0F">
        <w:rPr>
          <w:rFonts w:asciiTheme="majorHAnsi" w:eastAsiaTheme="majorEastAsia" w:hAnsiTheme="majorHAnsi" w:cstheme="majorBidi"/>
          <w:color w:val="000000" w:themeColor="text1"/>
          <w:sz w:val="40"/>
          <w:szCs w:val="40"/>
        </w:rPr>
        <w:lastRenderedPageBreak/>
        <w:t>Appendix B. Program Specific Inputs for the Illinois TRC</w:t>
      </w:r>
      <w:bookmarkEnd w:id="70"/>
      <w:bookmarkEnd w:id="71"/>
      <w:bookmarkEnd w:id="72"/>
    </w:p>
    <w:p w14:paraId="7F2D93B8" w14:textId="57E98732" w:rsidR="00F04C56" w:rsidRPr="00D12853" w:rsidRDefault="00F04C56" w:rsidP="00284FA9">
      <w:r>
        <w:t>The table below</w:t>
      </w:r>
      <w:r w:rsidRPr="00D12853">
        <w:t xml:space="preserve"> shows the Total Resource Cost (TRC) cost-effectiveness analysis inputs available at the time of </w:t>
      </w:r>
      <w:r>
        <w:t xml:space="preserve">producing </w:t>
      </w:r>
      <w:r w:rsidRPr="00D12853">
        <w:t>this impact evaluation report. Additional required cost data (e.g., measure costs, program level incentive and non-incentive costs) are not included in this table and will be provided to the evaluation team later.</w:t>
      </w:r>
      <w:r>
        <w:t xml:space="preserve"> Guidehouse will include annual and lifetime water savings and greenhouse gas reductions in the end of year summary report.</w:t>
      </w:r>
    </w:p>
    <w:p w14:paraId="2BDC30E2" w14:textId="22476BDF" w:rsidR="00F04C56" w:rsidRDefault="00F04C56" w:rsidP="00E63E67">
      <w:pPr>
        <w:pStyle w:val="Caption"/>
        <w:spacing w:after="0"/>
      </w:pPr>
      <w:bookmarkStart w:id="73" w:name="_Ref66787029"/>
      <w:bookmarkStart w:id="74" w:name="_Ref63952142"/>
      <w:bookmarkStart w:id="75" w:name="_Toc367307499"/>
      <w:bookmarkStart w:id="76" w:name="_Toc398541812"/>
      <w:bookmarkStart w:id="77" w:name="_Toc398541925"/>
      <w:bookmarkStart w:id="78" w:name="_Toc398546657"/>
      <w:bookmarkStart w:id="79" w:name="_Toc423009519"/>
      <w:bookmarkStart w:id="80" w:name="_Toc426278637"/>
      <w:bookmarkStart w:id="81" w:name="_Toc63321485"/>
      <w:bookmarkStart w:id="82" w:name="_Toc63961488"/>
      <w:bookmarkStart w:id="83" w:name="Table_B_1"/>
      <w:bookmarkStart w:id="84" w:name="_Toc61360851"/>
      <w:bookmarkStart w:id="85" w:name="_Toc189833653"/>
      <w:r>
        <w:t>Table B</w:t>
      </w:r>
      <w:r>
        <w:noBreakHyphen/>
      </w:r>
      <w:bookmarkEnd w:id="73"/>
      <w:r>
        <w:t>1.</w:t>
      </w:r>
      <w:r w:rsidDel="00146395">
        <w:t xml:space="preserve"> </w:t>
      </w:r>
      <w:bookmarkEnd w:id="74"/>
      <w:bookmarkEnd w:id="75"/>
      <w:bookmarkEnd w:id="76"/>
      <w:bookmarkEnd w:id="77"/>
      <w:bookmarkEnd w:id="78"/>
      <w:bookmarkEnd w:id="79"/>
      <w:bookmarkEnd w:id="80"/>
      <w:bookmarkEnd w:id="81"/>
      <w:bookmarkEnd w:id="82"/>
      <w:bookmarkEnd w:id="83"/>
      <w:r>
        <w:t>Verified Cost Effectiveness Inputs</w:t>
      </w:r>
      <w:bookmarkEnd w:id="84"/>
      <w:bookmarkEnd w:id="85"/>
      <w:r>
        <w:t xml:space="preserve"> - PGL</w:t>
      </w:r>
    </w:p>
    <w:tbl>
      <w:tblPr>
        <w:tblW w:w="5000" w:type="pct"/>
        <w:jc w:val="center"/>
        <w:tblLook w:val="0420" w:firstRow="1" w:lastRow="0" w:firstColumn="0" w:lastColumn="0" w:noHBand="0" w:noVBand="1"/>
      </w:tblPr>
      <w:tblGrid>
        <w:gridCol w:w="1550"/>
        <w:gridCol w:w="785"/>
        <w:gridCol w:w="791"/>
        <w:gridCol w:w="314"/>
        <w:gridCol w:w="316"/>
        <w:gridCol w:w="365"/>
        <w:gridCol w:w="368"/>
        <w:gridCol w:w="785"/>
        <w:gridCol w:w="1174"/>
        <w:gridCol w:w="1638"/>
        <w:gridCol w:w="1649"/>
        <w:gridCol w:w="1659"/>
        <w:gridCol w:w="1566"/>
      </w:tblGrid>
      <w:tr w:rsidR="00284FA9" w14:paraId="1DF260E7" w14:textId="77777777" w:rsidTr="00016E0B">
        <w:trPr>
          <w:tblHeader/>
          <w:jc w:val="center"/>
        </w:trPr>
        <w:tc>
          <w:tcPr>
            <w:tcW w:w="59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1C66FBD"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608" w:type="pct"/>
            <w:gridSpan w:val="2"/>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4B97B01"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243" w:type="pct"/>
            <w:gridSpan w:val="2"/>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AB0AAEF"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DAC Project</w:t>
            </w:r>
          </w:p>
        </w:tc>
        <w:tc>
          <w:tcPr>
            <w:tcW w:w="283" w:type="pct"/>
            <w:gridSpan w:val="2"/>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69A56F0"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Units</w:t>
            </w:r>
          </w:p>
        </w:tc>
        <w:tc>
          <w:tcPr>
            <w:tcW w:w="30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A05ECEF"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w:t>
            </w:r>
          </w:p>
        </w:tc>
        <w:tc>
          <w:tcPr>
            <w:tcW w:w="45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05F6C10"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Effective Useful Life</w:t>
            </w:r>
          </w:p>
        </w:tc>
        <w:tc>
          <w:tcPr>
            <w:tcW w:w="63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7C1501E"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Early Replacement Flag</w:t>
            </w:r>
            <w:r>
              <w:rPr>
                <w:rFonts w:ascii="Aptos Narrow" w:eastAsia="DejaVu Sans" w:hAnsi="DejaVu Sans" w:cs="DejaVu Sans"/>
                <w:color w:val="FFFFFF"/>
                <w:sz w:val="20"/>
                <w:szCs w:val="20"/>
              </w:rPr>
              <w:t>†</w:t>
            </w:r>
          </w:p>
        </w:tc>
        <w:tc>
          <w:tcPr>
            <w:tcW w:w="63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3D3A9E7"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64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A29FF39"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60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83114A9"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284FA9" w14:paraId="00109E81" w14:textId="77777777" w:rsidTr="00016E0B">
        <w:trPr>
          <w:jc w:val="center"/>
        </w:trPr>
        <w:tc>
          <w:tcPr>
            <w:tcW w:w="598"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169694D2"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ComEd Marketplace</w:t>
            </w:r>
          </w:p>
        </w:tc>
        <w:tc>
          <w:tcPr>
            <w:tcW w:w="608" w:type="pct"/>
            <w:gridSpan w:val="2"/>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D805A5"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243" w:type="pct"/>
            <w:gridSpan w:val="2"/>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5D5E1C"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3" w:type="pct"/>
            <w:gridSpan w:val="2"/>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F049D7" w14:textId="0041467D" w:rsidR="00752DE9" w:rsidRDefault="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30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4D85A2"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554</w:t>
            </w:r>
          </w:p>
        </w:tc>
        <w:tc>
          <w:tcPr>
            <w:tcW w:w="45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0C9175"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63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352E36"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CEDBDE"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40,385</w:t>
            </w:r>
          </w:p>
        </w:tc>
        <w:tc>
          <w:tcPr>
            <w:tcW w:w="64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D5A59F"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40,657</w:t>
            </w:r>
          </w:p>
        </w:tc>
        <w:tc>
          <w:tcPr>
            <w:tcW w:w="60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3F93A9"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41,829</w:t>
            </w:r>
          </w:p>
        </w:tc>
      </w:tr>
      <w:tr w:rsidR="001940F2" w14:paraId="7B20F56A" w14:textId="77777777" w:rsidTr="001940F2">
        <w:trPr>
          <w:jc w:val="center"/>
        </w:trPr>
        <w:tc>
          <w:tcPr>
            <w:tcW w:w="598"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BBE701"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99FA3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2099A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6B33957" w14:textId="6339D63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AB95C0"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166</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9CA3BE"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428451"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63587C"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12,326</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4665FE"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12,326</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C365AF"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12,682</w:t>
            </w:r>
          </w:p>
        </w:tc>
      </w:tr>
      <w:tr w:rsidR="001940F2" w14:paraId="0915E677" w14:textId="77777777" w:rsidTr="001940F2">
        <w:trPr>
          <w:jc w:val="center"/>
        </w:trPr>
        <w:tc>
          <w:tcPr>
            <w:tcW w:w="598"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088C6A8B"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w:t>
            </w: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E0100B"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DHW Two-In-One &gt;=95% AFUE</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D43CA7"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427B785" w14:textId="3CDBEDA6"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B855E4"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C3C6DF"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21.50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B137F3"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DA8C9A"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3,149</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50D7A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3,103</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6DBDC5"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2,487</w:t>
            </w:r>
          </w:p>
        </w:tc>
      </w:tr>
      <w:tr w:rsidR="001940F2" w14:paraId="5B01A9A8" w14:textId="77777777" w:rsidTr="001940F2">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7548E0F"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DAB9C8"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DHW Two-In-One &gt;=95% AFUE</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15E973"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6A9B8AA" w14:textId="5C38D038"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1E546E"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99F7C5"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21.50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C32B6B"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90B573"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787</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8DF170"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787</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744ED8"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787</w:t>
            </w:r>
          </w:p>
        </w:tc>
      </w:tr>
      <w:tr w:rsidR="001940F2" w14:paraId="494AF78E" w14:textId="77777777" w:rsidTr="001940F2">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27395FE"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4E1528"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&gt;=95% AFUE</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8E57E0"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4CE1CFE" w14:textId="0A98E929"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3B1657"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18.00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D4C7D2"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029051"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798D7C"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3,757</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358293"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3,757</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DF018B"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3,011</w:t>
            </w:r>
          </w:p>
        </w:tc>
      </w:tr>
      <w:tr w:rsidR="001940F2" w14:paraId="0F7FA636" w14:textId="77777777" w:rsidTr="001940F2">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5D3A56F"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7E59C3"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&gt;=95% AFUE</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46376C"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DC9232C" w14:textId="27358431"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57090E"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032F28"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34FFE7"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64D381"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1,403</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12E41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1,403</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C5133B"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1,403</w:t>
            </w:r>
          </w:p>
        </w:tc>
      </w:tr>
      <w:tr w:rsidR="001940F2" w14:paraId="42AED562" w14:textId="77777777" w:rsidTr="001940F2">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DD1B97F"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C62AB0"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Steam &lt;=300MBH, &gt;=82.5% AFUE</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60447B"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A2FF269" w14:textId="4B1D0B6A"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737AD1"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3B6124"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0A8B47"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4422F9"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36.71</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FE78C2"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36.71</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6B7D32"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36.71</w:t>
            </w:r>
          </w:p>
        </w:tc>
      </w:tr>
      <w:tr w:rsidR="001940F2" w14:paraId="26097FC6" w14:textId="77777777" w:rsidTr="001940F2">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51A35CA"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8E69AA"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&gt;95% &lt;97% Afue</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786C1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1D74CDA" w14:textId="344BC384"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AC1E43"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319</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11CCBA"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E7D3FD"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86C565"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66,891</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4F7AF3"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66,892</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2C8C2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53,609</w:t>
            </w:r>
          </w:p>
        </w:tc>
      </w:tr>
      <w:tr w:rsidR="001940F2" w14:paraId="4998504E" w14:textId="77777777" w:rsidTr="001940F2">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66ACF1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977502"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&gt;95% &lt;97% Afue</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70846D"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A951400" w14:textId="599868E8"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2D2BFF"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79.00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FDDA57"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ADE318"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9096DB"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16,566</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F82EA4"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16,566</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2236AC"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16,566</w:t>
            </w:r>
          </w:p>
        </w:tc>
      </w:tr>
      <w:tr w:rsidR="001940F2" w14:paraId="130E5AAF" w14:textId="77777777" w:rsidTr="001940F2">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55108CE"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CB7BF7"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 97% Afue</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5F5DE3"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AA1BF49" w14:textId="46FD70D6"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34039F"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278</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7BDC21"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B8B11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FF2C2B"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66,192</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4E577D"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66,192</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7F41DC"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53,047</w:t>
            </w:r>
          </w:p>
        </w:tc>
      </w:tr>
      <w:tr w:rsidR="001940F2" w14:paraId="311EE27A" w14:textId="77777777" w:rsidTr="001940F2">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4B5A047"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D2C710"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 97% Afue</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2BBA02"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B8BA8AF" w14:textId="03DE9272"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D2FFC3"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50.00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AAD2E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69B372"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1EE714"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11,905</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93BDA9"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11,905</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DFDC9B"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11,905</w:t>
            </w:r>
          </w:p>
        </w:tc>
      </w:tr>
      <w:tr w:rsidR="001940F2" w14:paraId="3444C36C" w14:textId="77777777" w:rsidTr="001940F2">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FB5EC03"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2BDC0C"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Indirect Water Heater, &gt;=88% Afue</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A5919A"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CCF813B" w14:textId="0CA4C495"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9DAECB"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476CF8"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14.50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2C7461"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A39DF0"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EECAF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ED4A3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96.09</w:t>
            </w:r>
          </w:p>
        </w:tc>
      </w:tr>
      <w:tr w:rsidR="001940F2" w14:paraId="280F74D9" w14:textId="77777777" w:rsidTr="001940F2">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E6A7023"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5CB97F"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Programmable Thermostat-Baseline Manual</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44FB41"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567B658" w14:textId="28163F34"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CB1D9E"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13.00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3C137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C3604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21AD84"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419</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0A485D"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419</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870675"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336</w:t>
            </w:r>
          </w:p>
        </w:tc>
      </w:tr>
      <w:tr w:rsidR="001940F2" w14:paraId="6BC0DFD6" w14:textId="77777777" w:rsidTr="001940F2">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A540C19"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60D30E"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Programmable Thermostat-Baseline Manual</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8D8DDD"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7881F97" w14:textId="788374C5"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30C88F"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8AF49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D5E1DA"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123169"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FE806D"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91DC64"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w:t>
            </w:r>
          </w:p>
        </w:tc>
      </w:tr>
      <w:tr w:rsidR="001940F2" w14:paraId="7BB8C4BC" w14:textId="77777777" w:rsidTr="001940F2">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98A6C4A"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68F880"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120105"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9BDF157" w14:textId="6623A353"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E045E3"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295</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E5E08C"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E40E7D"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30202E"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20,433</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4F6AB0"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20,434</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BCC40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19,695</w:t>
            </w:r>
          </w:p>
        </w:tc>
      </w:tr>
      <w:tr w:rsidR="001940F2" w14:paraId="69907E9D" w14:textId="77777777" w:rsidTr="001940F2">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F5FD4DD"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7617B2"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77F9B5"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8B359E9" w14:textId="003D8770"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8D3295"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65.00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DA706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16ACAD"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073F6F"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4,956</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197ABE"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4,956</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867057"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4,956</w:t>
            </w:r>
          </w:p>
        </w:tc>
      </w:tr>
      <w:tr w:rsidR="001940F2" w14:paraId="773BBDF8" w14:textId="77777777" w:rsidTr="001940F2">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0CA7DC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48147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Heater&gt;=0.95 UEF</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45AC57"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EF1454B" w14:textId="538196D3"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FC3739"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54.00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DF4B8B"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61D20F"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FBD358"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3,936</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E7C44B"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3,936</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62253F"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3,154</w:t>
            </w:r>
          </w:p>
        </w:tc>
      </w:tr>
      <w:tr w:rsidR="001940F2" w14:paraId="5057E5D6" w14:textId="77777777" w:rsidTr="001940F2">
        <w:trPr>
          <w:jc w:val="center"/>
        </w:trPr>
        <w:tc>
          <w:tcPr>
            <w:tcW w:w="598"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59ACA2"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409C51"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Heater&gt;=0.95 UEF</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B9A49F"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BED2F64" w14:textId="2D83ECE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5825C9">
              <w:rPr>
                <w:rFonts w:ascii="Aptos Narrow" w:eastAsia="DejaVu Sans" w:hAnsi="DejaVu Sans" w:cs="DejaVu Sans"/>
                <w:color w:val="000000"/>
                <w:sz w:val="20"/>
                <w:szCs w:val="20"/>
              </w:rPr>
              <w:t>Unit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40020C"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9B3D70"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909234"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159696"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271</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3EE1FD"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271</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709D85" w14:textId="77777777" w:rsidR="00016E0B" w:rsidRDefault="00016E0B" w:rsidP="00016E0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271</w:t>
            </w:r>
          </w:p>
        </w:tc>
      </w:tr>
      <w:tr w:rsidR="00284FA9" w14:paraId="5FA4CB29" w14:textId="77777777" w:rsidTr="00016E0B">
        <w:trPr>
          <w:jc w:val="center"/>
        </w:trPr>
        <w:tc>
          <w:tcPr>
            <w:tcW w:w="598"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78F4771A"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Weatherization</w:t>
            </w: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8A0958"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 with Attic Insulation</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955A33"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B21937"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7E1FC9"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41,729</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961C76"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CECEC8"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4FE1CF"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2,596</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969BBE"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2,596</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E17DD2"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2,474</w:t>
            </w:r>
          </w:p>
        </w:tc>
      </w:tr>
      <w:tr w:rsidR="00284FA9" w14:paraId="6C7430B7" w14:textId="77777777" w:rsidTr="00016E0B">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DCE5B62"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94B6A2"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 with Attic Insulation</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2F64C2"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391C59"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01732D"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8,725</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AC4E1B"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3D2399"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81294F"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543</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1A84C1"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543</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63BDC5"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543</w:t>
            </w:r>
          </w:p>
        </w:tc>
      </w:tr>
      <w:tr w:rsidR="00284FA9" w14:paraId="7B859579" w14:textId="77777777" w:rsidTr="00016E0B">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4B957A7"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647C7B"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085A38"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79E086"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A747C7"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74,661</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7961A0"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A32A25"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1A14F0"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6,112</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A23672"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6,112</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0F859C"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5,825</w:t>
            </w:r>
          </w:p>
        </w:tc>
      </w:tr>
      <w:tr w:rsidR="00284FA9" w14:paraId="1A14904E" w14:textId="77777777" w:rsidTr="00016E0B">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A00D143"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68D7FF"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33379E"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E9641F"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B2A3D3"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23,843</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438FBA"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ED88C8"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47C158"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1,952</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D1192C"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1,952</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BF7C69"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1,952</w:t>
            </w:r>
          </w:p>
        </w:tc>
      </w:tr>
      <w:tr w:rsidR="00284FA9" w14:paraId="3D9E4F05" w14:textId="77777777" w:rsidTr="00016E0B">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9B9298A"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7B55AB"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Attic Insulation</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926659"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6D4D63"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3E758D"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92,966</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3090F9"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364AF0"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C35ABA"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12,440</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7C571A"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12,440</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266FDD"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11,990</w:t>
            </w:r>
          </w:p>
        </w:tc>
      </w:tr>
      <w:tr w:rsidR="00284FA9" w14:paraId="335EB351" w14:textId="77777777" w:rsidTr="00016E0B">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7C1AB51"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D5FDD8"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Attic Insulation</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7822E1"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DF02A7"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75B6AE"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29,251</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EE0E59"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A93DB4"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4A63C7"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3,877</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E2938D"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3,877</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433BEC"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3,877</w:t>
            </w:r>
          </w:p>
        </w:tc>
      </w:tr>
      <w:tr w:rsidR="00284FA9" w14:paraId="7A02ACA8" w14:textId="77777777" w:rsidTr="00016E0B">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101A700"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70935F"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Duct Sealing</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D2A4C3"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07B359"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77FD07"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4,093</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32C905"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566CE8"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AE7F62"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2,724</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598E3F"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2,724</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B2D0D8"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2,567</w:t>
            </w:r>
          </w:p>
        </w:tc>
      </w:tr>
      <w:tr w:rsidR="00284FA9" w14:paraId="3C056755" w14:textId="77777777" w:rsidTr="00016E0B">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A588452"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D92231"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Duct Sealing</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019AED"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A149F1"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9E8634"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812</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8F6910"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BE3B25"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D8B791"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808</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071A9B"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808</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94797C"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808</w:t>
            </w:r>
          </w:p>
        </w:tc>
      </w:tr>
      <w:tr w:rsidR="00284FA9" w14:paraId="5AE5C061" w14:textId="77777777" w:rsidTr="00016E0B">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6D29813"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20F05C"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Foundation Insulation</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B1E2FF"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5E27DA"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2BC085"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732</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857E91"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5548C2"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F80A6E"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46.66</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B4E01F"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46.67</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06EE03"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37.40</w:t>
            </w:r>
          </w:p>
        </w:tc>
      </w:tr>
      <w:tr w:rsidR="00284FA9" w14:paraId="43A42DE0" w14:textId="77777777" w:rsidTr="00016E0B">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55C3F75"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FB535A"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Foundation Insulation</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B99A76"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67509A"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8BCC1B"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220F6F"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B6F72E"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CC9927"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9.22</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1C3D1E"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9.22</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617A77"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9.22</w:t>
            </w:r>
          </w:p>
        </w:tc>
      </w:tr>
      <w:tr w:rsidR="00284FA9" w14:paraId="305D2A74" w14:textId="77777777" w:rsidTr="00016E0B">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54FE87E"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971419"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Wall Insulation</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EAD342"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B74C16"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EEE247"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3,293</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6B820E"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6918C6"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69875D"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374</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7AFDB0"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374</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630900"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r>
      <w:tr w:rsidR="00284FA9" w14:paraId="715D76E8" w14:textId="77777777" w:rsidTr="00016E0B">
        <w:trPr>
          <w:jc w:val="center"/>
        </w:trPr>
        <w:tc>
          <w:tcPr>
            <w:tcW w:w="59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8C19BBD"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60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805D3C"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Wall Insulation</w:t>
            </w:r>
          </w:p>
        </w:tc>
        <w:tc>
          <w:tcPr>
            <w:tcW w:w="2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856EED"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FD24B1"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3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759167"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440</w:t>
            </w:r>
          </w:p>
        </w:tc>
        <w:tc>
          <w:tcPr>
            <w:tcW w:w="45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57D84A"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30.00</w:t>
            </w:r>
          </w:p>
        </w:tc>
        <w:tc>
          <w:tcPr>
            <w:tcW w:w="63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114760"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6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7149C8"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53.33</w:t>
            </w:r>
          </w:p>
        </w:tc>
        <w:tc>
          <w:tcPr>
            <w:tcW w:w="64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2864FC"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53.33</w:t>
            </w:r>
          </w:p>
        </w:tc>
        <w:tc>
          <w:tcPr>
            <w:tcW w:w="60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B6DD88" w14:textId="77777777" w:rsid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53.33</w:t>
            </w:r>
          </w:p>
        </w:tc>
      </w:tr>
      <w:tr w:rsidR="00284FA9" w14:paraId="55148456" w14:textId="77777777" w:rsidTr="00016E0B">
        <w:trPr>
          <w:jc w:val="center"/>
        </w:trPr>
        <w:tc>
          <w:tcPr>
            <w:tcW w:w="901" w:type="pct"/>
            <w:gridSpan w:val="2"/>
            <w:tcBorders>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BEF44CE" w14:textId="5BBB5DAE" w:rsidR="00752DE9" w:rsidRPr="00937AF5" w:rsidRDefault="00937AF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937AF5">
              <w:rPr>
                <w:rFonts w:ascii="Aptos Narrow" w:eastAsia="DejaVu Sans" w:hAnsi="DejaVu Sans" w:cs="DejaVu Sans"/>
                <w:b/>
                <w:bCs/>
                <w:color w:val="000000"/>
                <w:sz w:val="20"/>
                <w:szCs w:val="20"/>
              </w:rPr>
              <w:t>Total or Weighted Average</w:t>
            </w:r>
          </w:p>
        </w:tc>
        <w:tc>
          <w:tcPr>
            <w:tcW w:w="426"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52F44BD" w14:textId="3BC0352F" w:rsidR="00752DE9" w:rsidRPr="00937AF5" w:rsidRDefault="00752DE9" w:rsidP="00937AF5">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b/>
                <w:bCs/>
                <w:color w:val="000000"/>
                <w:sz w:val="20"/>
                <w:szCs w:val="20"/>
              </w:rPr>
            </w:pPr>
          </w:p>
        </w:tc>
        <w:tc>
          <w:tcPr>
            <w:tcW w:w="263"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16CDF73" w14:textId="77777777" w:rsidR="00752DE9" w:rsidRPr="00937AF5"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14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8C521FC" w14:textId="77777777" w:rsidR="00752DE9" w:rsidRPr="00937AF5"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30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DB586E8" w14:textId="77777777" w:rsidR="00752DE9" w:rsidRPr="00937AF5"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45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8053B44" w14:textId="77777777" w:rsidR="00752DE9" w:rsidRPr="00937AF5"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937AF5">
              <w:rPr>
                <w:rFonts w:ascii="Aptos Narrow" w:eastAsia="DejaVu Sans" w:hAnsi="DejaVu Sans" w:cs="DejaVu Sans"/>
                <w:b/>
                <w:bCs/>
                <w:color w:val="000000"/>
                <w:sz w:val="20"/>
                <w:szCs w:val="20"/>
              </w:rPr>
              <w:t>18.22</w:t>
            </w:r>
          </w:p>
        </w:tc>
        <w:tc>
          <w:tcPr>
            <w:tcW w:w="632"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BBF5008" w14:textId="77777777" w:rsidR="00752DE9" w:rsidRPr="00937AF5"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63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D3A7295" w14:textId="77777777" w:rsidR="00752DE9" w:rsidRPr="00937AF5"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937AF5">
              <w:rPr>
                <w:rFonts w:ascii="Aptos Narrow" w:eastAsia="DejaVu Sans" w:hAnsi="DejaVu Sans" w:cs="DejaVu Sans"/>
                <w:b/>
                <w:bCs/>
                <w:color w:val="000000"/>
                <w:sz w:val="20"/>
                <w:szCs w:val="20"/>
              </w:rPr>
              <w:t>285,219</w:t>
            </w:r>
          </w:p>
        </w:tc>
        <w:tc>
          <w:tcPr>
            <w:tcW w:w="64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64AA2FB" w14:textId="77777777" w:rsidR="00752DE9" w:rsidRPr="00937AF5"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937AF5">
              <w:rPr>
                <w:rFonts w:ascii="Aptos Narrow" w:eastAsia="DejaVu Sans" w:hAnsi="DejaVu Sans" w:cs="DejaVu Sans"/>
                <w:b/>
                <w:bCs/>
                <w:color w:val="000000"/>
                <w:sz w:val="20"/>
                <w:szCs w:val="20"/>
              </w:rPr>
              <w:t>285,445</w:t>
            </w:r>
          </w:p>
        </w:tc>
        <w:tc>
          <w:tcPr>
            <w:tcW w:w="60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85B63E8" w14:textId="77777777" w:rsidR="00752DE9" w:rsidRPr="00937AF5"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937AF5">
              <w:rPr>
                <w:rFonts w:ascii="Aptos Narrow" w:eastAsia="DejaVu Sans" w:hAnsi="DejaVu Sans" w:cs="DejaVu Sans"/>
                <w:b/>
                <w:bCs/>
                <w:color w:val="000000"/>
                <w:sz w:val="20"/>
                <w:szCs w:val="20"/>
              </w:rPr>
              <w:t>256,458</w:t>
            </w:r>
          </w:p>
        </w:tc>
      </w:tr>
    </w:tbl>
    <w:p w14:paraId="38940682" w14:textId="51672910" w:rsidR="00F04C56" w:rsidRPr="00D12853" w:rsidRDefault="00F04C56" w:rsidP="00284FA9">
      <w:pPr>
        <w:pStyle w:val="TableFigureSourceorNote"/>
      </w:pPr>
      <w:r w:rsidRPr="00D12853">
        <w:t xml:space="preserve">Source: </w:t>
      </w:r>
      <w:r>
        <w:t xml:space="preserve">Evaluation </w:t>
      </w:r>
      <w:r w:rsidRPr="00D12853">
        <w:t>team analysis.</w:t>
      </w:r>
    </w:p>
    <w:p w14:paraId="0BBD312D" w14:textId="77777777" w:rsidR="00284FA9" w:rsidRDefault="00284FA9" w:rsidP="00284FA9">
      <w:pPr>
        <w:pStyle w:val="Caption"/>
      </w:pPr>
      <w:bookmarkStart w:id="86" w:name="Table_B_2"/>
    </w:p>
    <w:p w14:paraId="3F850DAC" w14:textId="33B04112" w:rsidR="00F04C56" w:rsidRPr="00D9716E" w:rsidRDefault="00F04C56" w:rsidP="00F64F03">
      <w:pPr>
        <w:pStyle w:val="Caption"/>
        <w:spacing w:after="0"/>
      </w:pPr>
      <w:r w:rsidRPr="00D9716E">
        <w:t xml:space="preserve">Table B2. </w:t>
      </w:r>
      <w:bookmarkEnd w:id="86"/>
      <w:r w:rsidRPr="00D9716E">
        <w:t>Verified Cost Effectiveness Inputs – NSG </w:t>
      </w:r>
    </w:p>
    <w:tbl>
      <w:tblPr>
        <w:tblW w:w="5000" w:type="pct"/>
        <w:jc w:val="center"/>
        <w:tblLook w:val="0420" w:firstRow="1" w:lastRow="0" w:firstColumn="0" w:lastColumn="0" w:noHBand="0" w:noVBand="1"/>
      </w:tblPr>
      <w:tblGrid>
        <w:gridCol w:w="1607"/>
        <w:gridCol w:w="2227"/>
        <w:gridCol w:w="718"/>
        <w:gridCol w:w="736"/>
        <w:gridCol w:w="687"/>
        <w:gridCol w:w="1065"/>
        <w:gridCol w:w="1462"/>
        <w:gridCol w:w="1506"/>
        <w:gridCol w:w="1519"/>
        <w:gridCol w:w="1433"/>
      </w:tblGrid>
      <w:tr w:rsidR="002C3687" w14:paraId="6EAF9EA3" w14:textId="77777777" w:rsidTr="001940F2">
        <w:trPr>
          <w:tblHeader/>
          <w:jc w:val="center"/>
        </w:trPr>
        <w:tc>
          <w:tcPr>
            <w:tcW w:w="620"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499DDB5"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858"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0DDB2FCA"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277"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CC5135A"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DAC Project</w:t>
            </w:r>
          </w:p>
        </w:tc>
        <w:tc>
          <w:tcPr>
            <w:tcW w:w="28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F843BAA"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Units</w:t>
            </w:r>
          </w:p>
        </w:tc>
        <w:tc>
          <w:tcPr>
            <w:tcW w:w="265"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2EF1A5AD"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w:t>
            </w:r>
          </w:p>
        </w:tc>
        <w:tc>
          <w:tcPr>
            <w:tcW w:w="411"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076DAB2D"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Effective Useful Life</w:t>
            </w:r>
          </w:p>
        </w:tc>
        <w:tc>
          <w:tcPr>
            <w:tcW w:w="564"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54CA236"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Early Replacement Flag</w:t>
            </w:r>
            <w:r>
              <w:rPr>
                <w:rFonts w:ascii="Aptos Narrow" w:eastAsia="DejaVu Sans" w:hAnsi="DejaVu Sans" w:cs="DejaVu Sans"/>
                <w:color w:val="FFFFFF"/>
                <w:sz w:val="20"/>
                <w:szCs w:val="20"/>
              </w:rPr>
              <w:t>†</w:t>
            </w:r>
          </w:p>
        </w:tc>
        <w:tc>
          <w:tcPr>
            <w:tcW w:w="581"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321B002D"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586"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50E296C3"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553" w:type="pct"/>
            <w:tcBorders>
              <w:top w:val="single" w:sz="8" w:space="0" w:color="036479"/>
              <w:left w:val="none" w:sz="0" w:space="0" w:color="000000" w:themeColor="text1"/>
              <w:bottom w:val="single" w:sz="16" w:space="0" w:color="93D500" w:themeColor="accent1"/>
              <w:right w:val="none" w:sz="0" w:space="0" w:color="000000" w:themeColor="text1"/>
            </w:tcBorders>
            <w:shd w:val="clear" w:color="auto" w:fill="036479"/>
            <w:tcMar>
              <w:top w:w="0" w:type="dxa"/>
              <w:left w:w="0" w:type="dxa"/>
              <w:bottom w:w="0" w:type="dxa"/>
              <w:right w:w="0" w:type="dxa"/>
            </w:tcMar>
            <w:vAlign w:val="center"/>
          </w:tcPr>
          <w:p w14:paraId="1FBE9D92"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2C3687" w14:paraId="4F60BF38" w14:textId="77777777" w:rsidTr="001940F2">
        <w:trPr>
          <w:jc w:val="center"/>
        </w:trPr>
        <w:tc>
          <w:tcPr>
            <w:tcW w:w="620" w:type="pct"/>
            <w:vMerge w:val="restart"/>
            <w:tcBorders>
              <w:top w:val="single" w:sz="16" w:space="0" w:color="93D500" w:themeColor="accent1"/>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49DE1F2"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ComEd Marketplace</w:t>
            </w:r>
          </w:p>
        </w:tc>
        <w:tc>
          <w:tcPr>
            <w:tcW w:w="858"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F20217"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277"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A470BE4"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9FF402" w14:textId="39243063" w:rsidR="00752DE9" w:rsidRDefault="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Unit</w:t>
            </w:r>
          </w:p>
        </w:tc>
        <w:tc>
          <w:tcPr>
            <w:tcW w:w="265"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60C3D2"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366</w:t>
            </w:r>
          </w:p>
        </w:tc>
        <w:tc>
          <w:tcPr>
            <w:tcW w:w="411"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4539FD"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564"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CE6B8F"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81"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EE4EDE"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29,497</w:t>
            </w:r>
          </w:p>
        </w:tc>
        <w:tc>
          <w:tcPr>
            <w:tcW w:w="586"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05473AA"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29,497</w:t>
            </w:r>
          </w:p>
        </w:tc>
        <w:tc>
          <w:tcPr>
            <w:tcW w:w="553" w:type="pct"/>
            <w:tcBorders>
              <w:top w:val="single" w:sz="16" w:space="0" w:color="93D500" w:themeColor="accent1"/>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E61282"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30,348</w:t>
            </w:r>
          </w:p>
        </w:tc>
      </w:tr>
      <w:tr w:rsidR="001940F2" w14:paraId="604AFA94" w14:textId="77777777" w:rsidTr="001940F2">
        <w:trPr>
          <w:jc w:val="center"/>
        </w:trPr>
        <w:tc>
          <w:tcPr>
            <w:tcW w:w="620" w:type="pct"/>
            <w:vMerge/>
            <w:tcMar>
              <w:top w:w="0" w:type="dxa"/>
              <w:left w:w="0" w:type="dxa"/>
              <w:bottom w:w="0" w:type="dxa"/>
              <w:right w:w="0" w:type="dxa"/>
            </w:tcMar>
            <w:vAlign w:val="center"/>
          </w:tcPr>
          <w:p w14:paraId="5D5C89B1"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1B310E"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35B330"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F280EC2" w14:textId="3C6110F8"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62272">
              <w:rPr>
                <w:rFonts w:ascii="Aptos Narrow" w:eastAsia="DejaVu Sans" w:hAnsi="DejaVu Sans" w:cs="DejaVu Sans"/>
                <w:color w:val="000000"/>
                <w:sz w:val="20"/>
                <w:szCs w:val="20"/>
              </w:rPr>
              <w:t>Unit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CAE58B"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26.00</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D4E0C2"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BF5575"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5CBC23"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2,218</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FAA39EB"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2,218</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7CD6D8"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2,282</w:t>
            </w:r>
          </w:p>
        </w:tc>
      </w:tr>
      <w:tr w:rsidR="001940F2" w14:paraId="2777F868" w14:textId="77777777" w:rsidTr="001940F2">
        <w:trPr>
          <w:jc w:val="center"/>
        </w:trPr>
        <w:tc>
          <w:tcPr>
            <w:tcW w:w="620" w:type="pct"/>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626D7AC"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w:t>
            </w: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2C9EB4"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DHW Two-In-One &gt;=95% AFUE</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D1223A"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71AE5CF" w14:textId="72D4CD1D"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62272">
              <w:rPr>
                <w:rFonts w:ascii="Aptos Narrow" w:eastAsia="DejaVu Sans" w:hAnsi="DejaVu Sans" w:cs="DejaVu Sans"/>
                <w:color w:val="000000"/>
                <w:sz w:val="20"/>
                <w:szCs w:val="20"/>
              </w:rPr>
              <w:t>Unit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EF0EC4"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4.00</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164380"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21.50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C287E95"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861F96"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1,050</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76B4DB"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1,050</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04F6AC"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841</w:t>
            </w:r>
          </w:p>
        </w:tc>
      </w:tr>
      <w:tr w:rsidR="001940F2" w14:paraId="30A0BF24" w14:textId="77777777" w:rsidTr="001940F2">
        <w:trPr>
          <w:jc w:val="center"/>
        </w:trPr>
        <w:tc>
          <w:tcPr>
            <w:tcW w:w="620" w:type="pct"/>
            <w:vMerge/>
            <w:tcMar>
              <w:top w:w="0" w:type="dxa"/>
              <w:left w:w="0" w:type="dxa"/>
              <w:bottom w:w="0" w:type="dxa"/>
              <w:right w:w="0" w:type="dxa"/>
            </w:tcMar>
            <w:vAlign w:val="center"/>
          </w:tcPr>
          <w:p w14:paraId="4100D5AE"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124B34"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DHW Two-In-One &gt;=95% AFUE</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DBDF4F"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E12B63D" w14:textId="68CDB543"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62272">
              <w:rPr>
                <w:rFonts w:ascii="Aptos Narrow" w:eastAsia="DejaVu Sans" w:hAnsi="DejaVu Sans" w:cs="DejaVu Sans"/>
                <w:color w:val="000000"/>
                <w:sz w:val="20"/>
                <w:szCs w:val="20"/>
              </w:rPr>
              <w:t>Unit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EE60226"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8ED4A49"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21.50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47D498"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B2EC78"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262</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269627"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247</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25B38D9"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247</w:t>
            </w:r>
          </w:p>
        </w:tc>
      </w:tr>
      <w:tr w:rsidR="001940F2" w14:paraId="0CAE9BA1" w14:textId="77777777" w:rsidTr="001940F2">
        <w:trPr>
          <w:jc w:val="center"/>
        </w:trPr>
        <w:tc>
          <w:tcPr>
            <w:tcW w:w="620" w:type="pct"/>
            <w:vMerge/>
            <w:tcMar>
              <w:top w:w="0" w:type="dxa"/>
              <w:left w:w="0" w:type="dxa"/>
              <w:bottom w:w="0" w:type="dxa"/>
              <w:right w:w="0" w:type="dxa"/>
            </w:tcMar>
            <w:vAlign w:val="center"/>
          </w:tcPr>
          <w:p w14:paraId="7E49B390"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7A93DF"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90 to 94.9% AFUE</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87B5E4"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3259CA9D" w14:textId="36AFC28D"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62272">
              <w:rPr>
                <w:rFonts w:ascii="Aptos Narrow" w:eastAsia="DejaVu Sans" w:hAnsi="DejaVu Sans" w:cs="DejaVu Sans"/>
                <w:color w:val="000000"/>
                <w:sz w:val="20"/>
                <w:szCs w:val="20"/>
              </w:rPr>
              <w:t>Unit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BEBA42"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FC4BEB"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DF95D53"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38C823"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511</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862D024"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511</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1D7BE5C"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409</w:t>
            </w:r>
          </w:p>
        </w:tc>
      </w:tr>
      <w:tr w:rsidR="001940F2" w14:paraId="3E7A2D95" w14:textId="77777777" w:rsidTr="001940F2">
        <w:trPr>
          <w:jc w:val="center"/>
        </w:trPr>
        <w:tc>
          <w:tcPr>
            <w:tcW w:w="620" w:type="pct"/>
            <w:vMerge/>
            <w:tcMar>
              <w:top w:w="0" w:type="dxa"/>
              <w:left w:w="0" w:type="dxa"/>
              <w:bottom w:w="0" w:type="dxa"/>
              <w:right w:w="0" w:type="dxa"/>
            </w:tcMar>
            <w:vAlign w:val="center"/>
          </w:tcPr>
          <w:p w14:paraId="6FDBA160"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CADD01"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&gt;=95% AFUE</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8D5664"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5380ACC" w14:textId="0FC774B1"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62272">
              <w:rPr>
                <w:rFonts w:ascii="Aptos Narrow" w:eastAsia="DejaVu Sans" w:hAnsi="DejaVu Sans" w:cs="DejaVu Sans"/>
                <w:color w:val="000000"/>
                <w:sz w:val="20"/>
                <w:szCs w:val="20"/>
              </w:rPr>
              <w:t>Unit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033776"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9.00</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736D60"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37EEF7"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205228"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2,484</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FCB0AF"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2,484</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112EF7C"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1,990</w:t>
            </w:r>
          </w:p>
        </w:tc>
      </w:tr>
      <w:tr w:rsidR="001940F2" w14:paraId="1489B1AA" w14:textId="77777777" w:rsidTr="001940F2">
        <w:trPr>
          <w:jc w:val="center"/>
        </w:trPr>
        <w:tc>
          <w:tcPr>
            <w:tcW w:w="620" w:type="pct"/>
            <w:vMerge/>
            <w:tcMar>
              <w:top w:w="0" w:type="dxa"/>
              <w:left w:w="0" w:type="dxa"/>
              <w:bottom w:w="0" w:type="dxa"/>
              <w:right w:w="0" w:type="dxa"/>
            </w:tcMar>
            <w:vAlign w:val="center"/>
          </w:tcPr>
          <w:p w14:paraId="0149C6BD"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59F63D"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Steam &lt;=300MBH, &gt;=82.5% AFUE</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4830C4"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083B3CB" w14:textId="71D45921"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62272">
              <w:rPr>
                <w:rFonts w:ascii="Aptos Narrow" w:eastAsia="DejaVu Sans" w:hAnsi="DejaVu Sans" w:cs="DejaVu Sans"/>
                <w:color w:val="000000"/>
                <w:sz w:val="20"/>
                <w:szCs w:val="20"/>
              </w:rPr>
              <w:t>Unit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952C23"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CB402A"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695212"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025246"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55.08</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91B37F8"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55.07</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3F1EB4"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44.13</w:t>
            </w:r>
          </w:p>
        </w:tc>
      </w:tr>
      <w:tr w:rsidR="001940F2" w14:paraId="168B5BF7" w14:textId="77777777" w:rsidTr="001940F2">
        <w:trPr>
          <w:jc w:val="center"/>
        </w:trPr>
        <w:tc>
          <w:tcPr>
            <w:tcW w:w="620" w:type="pct"/>
            <w:vMerge/>
            <w:tcMar>
              <w:top w:w="0" w:type="dxa"/>
              <w:left w:w="0" w:type="dxa"/>
              <w:bottom w:w="0" w:type="dxa"/>
              <w:right w:w="0" w:type="dxa"/>
            </w:tcMar>
            <w:vAlign w:val="center"/>
          </w:tcPr>
          <w:p w14:paraId="7BF4C43D"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8194D45"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&gt;95% &lt;97% Afue</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B65835"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762EB1B" w14:textId="7A6C34FB"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62272">
              <w:rPr>
                <w:rFonts w:ascii="Aptos Narrow" w:eastAsia="DejaVu Sans" w:hAnsi="DejaVu Sans" w:cs="DejaVu Sans"/>
                <w:color w:val="000000"/>
                <w:sz w:val="20"/>
                <w:szCs w:val="20"/>
              </w:rPr>
              <w:t>Unit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E23C69"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261</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343433"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FC3813C"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5099C9"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54,729</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4286AB7"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54,730</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D92DF3F"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43,862</w:t>
            </w:r>
          </w:p>
        </w:tc>
      </w:tr>
      <w:tr w:rsidR="001940F2" w14:paraId="7428F5D2" w14:textId="77777777" w:rsidTr="001940F2">
        <w:trPr>
          <w:jc w:val="center"/>
        </w:trPr>
        <w:tc>
          <w:tcPr>
            <w:tcW w:w="620" w:type="pct"/>
            <w:vMerge/>
            <w:tcMar>
              <w:top w:w="0" w:type="dxa"/>
              <w:left w:w="0" w:type="dxa"/>
              <w:bottom w:w="0" w:type="dxa"/>
              <w:right w:w="0" w:type="dxa"/>
            </w:tcMar>
            <w:vAlign w:val="center"/>
          </w:tcPr>
          <w:p w14:paraId="599F7D23"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9096D5"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&gt;95% &lt;97% Afue</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F75189"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41FF9451" w14:textId="243973E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62272">
              <w:rPr>
                <w:rFonts w:ascii="Aptos Narrow" w:eastAsia="DejaVu Sans" w:hAnsi="DejaVu Sans" w:cs="DejaVu Sans"/>
                <w:color w:val="000000"/>
                <w:sz w:val="20"/>
                <w:szCs w:val="20"/>
              </w:rPr>
              <w:t>Unit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E9ACF7"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14.00</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39D226D"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3E66E6"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297637"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2,936</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A8FD51"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2,936</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0ABE07"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2,936</w:t>
            </w:r>
          </w:p>
        </w:tc>
      </w:tr>
      <w:tr w:rsidR="001940F2" w14:paraId="5CC2D462" w14:textId="77777777" w:rsidTr="001940F2">
        <w:trPr>
          <w:jc w:val="center"/>
        </w:trPr>
        <w:tc>
          <w:tcPr>
            <w:tcW w:w="620" w:type="pct"/>
            <w:vMerge/>
            <w:tcMar>
              <w:top w:w="0" w:type="dxa"/>
              <w:left w:w="0" w:type="dxa"/>
              <w:bottom w:w="0" w:type="dxa"/>
              <w:right w:w="0" w:type="dxa"/>
            </w:tcMar>
            <w:vAlign w:val="center"/>
          </w:tcPr>
          <w:p w14:paraId="4E409E0B"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FFBE311"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 97% Afue</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42B934"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23C7B1F2" w14:textId="4B201BFD"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62272">
              <w:rPr>
                <w:rFonts w:ascii="Aptos Narrow" w:eastAsia="DejaVu Sans" w:hAnsi="DejaVu Sans" w:cs="DejaVu Sans"/>
                <w:color w:val="000000"/>
                <w:sz w:val="20"/>
                <w:szCs w:val="20"/>
              </w:rPr>
              <w:t>Unit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F025147"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436</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6F4EBC1"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053896"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D4313CF"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103,812</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5BA97D"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103,811</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4821095"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83,196</w:t>
            </w:r>
          </w:p>
        </w:tc>
      </w:tr>
      <w:tr w:rsidR="001940F2" w14:paraId="62D867EE" w14:textId="77777777" w:rsidTr="001940F2">
        <w:trPr>
          <w:jc w:val="center"/>
        </w:trPr>
        <w:tc>
          <w:tcPr>
            <w:tcW w:w="620" w:type="pct"/>
            <w:vMerge/>
            <w:tcMar>
              <w:top w:w="0" w:type="dxa"/>
              <w:left w:w="0" w:type="dxa"/>
              <w:bottom w:w="0" w:type="dxa"/>
              <w:right w:w="0" w:type="dxa"/>
            </w:tcMar>
            <w:vAlign w:val="center"/>
          </w:tcPr>
          <w:p w14:paraId="61CE7B46"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5C10E9"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 97% Afue</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01845F"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11402687" w14:textId="29DEA628"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62272">
              <w:rPr>
                <w:rFonts w:ascii="Aptos Narrow" w:eastAsia="DejaVu Sans" w:hAnsi="DejaVu Sans" w:cs="DejaVu Sans"/>
                <w:color w:val="000000"/>
                <w:sz w:val="20"/>
                <w:szCs w:val="20"/>
              </w:rPr>
              <w:t>Unit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512BFD0"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7.00</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55864D"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0DF57D"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3EBE85"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1,667</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B1FA805"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1,667</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7D8807"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1,667</w:t>
            </w:r>
          </w:p>
        </w:tc>
      </w:tr>
      <w:tr w:rsidR="001940F2" w14:paraId="0B274863" w14:textId="77777777" w:rsidTr="001940F2">
        <w:trPr>
          <w:jc w:val="center"/>
        </w:trPr>
        <w:tc>
          <w:tcPr>
            <w:tcW w:w="620" w:type="pct"/>
            <w:vMerge/>
            <w:tcMar>
              <w:top w:w="0" w:type="dxa"/>
              <w:left w:w="0" w:type="dxa"/>
              <w:bottom w:w="0" w:type="dxa"/>
              <w:right w:w="0" w:type="dxa"/>
            </w:tcMar>
            <w:vAlign w:val="center"/>
          </w:tcPr>
          <w:p w14:paraId="6C717E88"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91028A8"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Indirect Water Heater, &gt;=88% Afue</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F49B9B"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2027CB3" w14:textId="5D991FED"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62272">
              <w:rPr>
                <w:rFonts w:ascii="Aptos Narrow" w:eastAsia="DejaVu Sans" w:hAnsi="DejaVu Sans" w:cs="DejaVu Sans"/>
                <w:color w:val="000000"/>
                <w:sz w:val="20"/>
                <w:szCs w:val="20"/>
              </w:rPr>
              <w:t>Unit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76AE60"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80C806E"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14.50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A7B07D"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46CC649"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66.70</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FF8BA0"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66.70</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9C604C"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53.45</w:t>
            </w:r>
          </w:p>
        </w:tc>
      </w:tr>
      <w:tr w:rsidR="001940F2" w14:paraId="1BF58BF5" w14:textId="77777777" w:rsidTr="001940F2">
        <w:trPr>
          <w:jc w:val="center"/>
        </w:trPr>
        <w:tc>
          <w:tcPr>
            <w:tcW w:w="620" w:type="pct"/>
            <w:vMerge/>
            <w:tcMar>
              <w:top w:w="0" w:type="dxa"/>
              <w:left w:w="0" w:type="dxa"/>
              <w:bottom w:w="0" w:type="dxa"/>
              <w:right w:w="0" w:type="dxa"/>
            </w:tcMar>
            <w:vAlign w:val="center"/>
          </w:tcPr>
          <w:p w14:paraId="03B09685"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8B2B2F"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Programmable Thermostat-Baseline Manual</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E046CC2"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0ACD41A5" w14:textId="566AA74E"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62272">
              <w:rPr>
                <w:rFonts w:ascii="Aptos Narrow" w:eastAsia="DejaVu Sans" w:hAnsi="DejaVu Sans" w:cs="DejaVu Sans"/>
                <w:color w:val="000000"/>
                <w:sz w:val="20"/>
                <w:szCs w:val="20"/>
              </w:rPr>
              <w:t>Unit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5C1175"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16B064"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799B9C"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98F1BE"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225</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7EBF45"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225</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7C8B37"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180</w:t>
            </w:r>
          </w:p>
        </w:tc>
      </w:tr>
      <w:tr w:rsidR="001940F2" w14:paraId="1D963ECF" w14:textId="77777777" w:rsidTr="001940F2">
        <w:trPr>
          <w:jc w:val="center"/>
        </w:trPr>
        <w:tc>
          <w:tcPr>
            <w:tcW w:w="620" w:type="pct"/>
            <w:vMerge/>
            <w:tcMar>
              <w:top w:w="0" w:type="dxa"/>
              <w:left w:w="0" w:type="dxa"/>
              <w:bottom w:w="0" w:type="dxa"/>
              <w:right w:w="0" w:type="dxa"/>
            </w:tcMar>
            <w:vAlign w:val="center"/>
          </w:tcPr>
          <w:p w14:paraId="44CD079C"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8A9D04E"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A8F1A3"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D4AE7FB" w14:textId="54A13DDE"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62272">
              <w:rPr>
                <w:rFonts w:ascii="Aptos Narrow" w:eastAsia="DejaVu Sans" w:hAnsi="DejaVu Sans" w:cs="DejaVu Sans"/>
                <w:color w:val="000000"/>
                <w:sz w:val="20"/>
                <w:szCs w:val="20"/>
              </w:rPr>
              <w:t>Unit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DB28C6E"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172</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5C248BA"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6CEFA5"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1588469"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13,588</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DC9B12"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13,589</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35BCBB"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13,098</w:t>
            </w:r>
          </w:p>
        </w:tc>
      </w:tr>
      <w:tr w:rsidR="001940F2" w14:paraId="108A2A32" w14:textId="77777777" w:rsidTr="001940F2">
        <w:trPr>
          <w:jc w:val="center"/>
        </w:trPr>
        <w:tc>
          <w:tcPr>
            <w:tcW w:w="620" w:type="pct"/>
            <w:vMerge/>
            <w:tcMar>
              <w:top w:w="0" w:type="dxa"/>
              <w:left w:w="0" w:type="dxa"/>
              <w:bottom w:w="0" w:type="dxa"/>
              <w:right w:w="0" w:type="dxa"/>
            </w:tcMar>
            <w:vAlign w:val="center"/>
          </w:tcPr>
          <w:p w14:paraId="5FA8096F"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C7EC3DC"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62CB546"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6C331CE9" w14:textId="48CF4204"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62272">
              <w:rPr>
                <w:rFonts w:ascii="Aptos Narrow" w:eastAsia="DejaVu Sans" w:hAnsi="DejaVu Sans" w:cs="DejaVu Sans"/>
                <w:color w:val="000000"/>
                <w:sz w:val="20"/>
                <w:szCs w:val="20"/>
              </w:rPr>
              <w:t>Unit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E918B7"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4.00</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C663146"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77D0998"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6CB6FA"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317</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B450C4"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317</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8B2EAA"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317</w:t>
            </w:r>
          </w:p>
        </w:tc>
      </w:tr>
      <w:tr w:rsidR="001940F2" w14:paraId="233AA02A" w14:textId="77777777" w:rsidTr="001940F2">
        <w:trPr>
          <w:jc w:val="center"/>
        </w:trPr>
        <w:tc>
          <w:tcPr>
            <w:tcW w:w="620" w:type="pct"/>
            <w:vMerge/>
            <w:tcMar>
              <w:top w:w="0" w:type="dxa"/>
              <w:left w:w="0" w:type="dxa"/>
              <w:bottom w:w="0" w:type="dxa"/>
              <w:right w:w="0" w:type="dxa"/>
            </w:tcMar>
            <w:vAlign w:val="center"/>
          </w:tcPr>
          <w:p w14:paraId="4318F971"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0263BCB"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Heater&gt;=0.95 UEF</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D0A91F"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70F4E3F3" w14:textId="52248186"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62272">
              <w:rPr>
                <w:rFonts w:ascii="Aptos Narrow" w:eastAsia="DejaVu Sans" w:hAnsi="DejaVu Sans" w:cs="DejaVu Sans"/>
                <w:color w:val="000000"/>
                <w:sz w:val="20"/>
                <w:szCs w:val="20"/>
              </w:rPr>
              <w:t>Unit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DD9CB5F"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35.00</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5C0382"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FF5FC8"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8BC1D27"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2,625</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B73EAD"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2,625</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7EC670F"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2,103</w:t>
            </w:r>
          </w:p>
        </w:tc>
      </w:tr>
      <w:tr w:rsidR="001940F2" w14:paraId="24868930" w14:textId="77777777" w:rsidTr="001940F2">
        <w:trPr>
          <w:jc w:val="center"/>
        </w:trPr>
        <w:tc>
          <w:tcPr>
            <w:tcW w:w="620" w:type="pct"/>
            <w:vMerge/>
            <w:tcMar>
              <w:top w:w="0" w:type="dxa"/>
              <w:left w:w="0" w:type="dxa"/>
              <w:bottom w:w="0" w:type="dxa"/>
              <w:right w:w="0" w:type="dxa"/>
            </w:tcMar>
            <w:vAlign w:val="center"/>
          </w:tcPr>
          <w:p w14:paraId="15F8EC4E"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8E2C7A"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Heater&gt;=0.95 UEF</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4D0A61"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tcPr>
          <w:p w14:paraId="5C93FEB5" w14:textId="5D89C500"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762272">
              <w:rPr>
                <w:rFonts w:ascii="Aptos Narrow" w:eastAsia="DejaVu Sans" w:hAnsi="DejaVu Sans" w:cs="DejaVu Sans"/>
                <w:color w:val="000000"/>
                <w:sz w:val="20"/>
                <w:szCs w:val="20"/>
              </w:rPr>
              <w:t>Unit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49F4CEE"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E5724DE"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2E53C1"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3C32179"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75.43</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E7FA12"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75.43</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715994" w14:textId="77777777" w:rsidR="008F49BB" w:rsidRDefault="008F49BB" w:rsidP="008F49B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75.43</w:t>
            </w:r>
          </w:p>
        </w:tc>
      </w:tr>
      <w:tr w:rsidR="002C3687" w14:paraId="501B05FE" w14:textId="77777777" w:rsidTr="001940F2">
        <w:trPr>
          <w:jc w:val="center"/>
        </w:trPr>
        <w:tc>
          <w:tcPr>
            <w:tcW w:w="620" w:type="pct"/>
            <w:vMerge w:val="restart"/>
            <w:tcBorders>
              <w:top w:val="single" w:sz="8" w:space="0" w:color="B3EFFD" w:themeColor="text2" w:themeTint="33"/>
              <w:left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2048E43"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Weatherization</w:t>
            </w: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3D25F0F"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 with Attic Insulation</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8957733"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90AB491"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BE2519"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32,067</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BA204D3"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9FFD33"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5567F80"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1,995</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2660726"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1,995</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F2D18BF"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1,901</w:t>
            </w:r>
          </w:p>
        </w:tc>
      </w:tr>
      <w:tr w:rsidR="002C3687" w14:paraId="315233E7" w14:textId="77777777" w:rsidTr="001940F2">
        <w:trPr>
          <w:jc w:val="center"/>
        </w:trPr>
        <w:tc>
          <w:tcPr>
            <w:tcW w:w="620" w:type="pct"/>
            <w:vMerge/>
            <w:tcMar>
              <w:top w:w="0" w:type="dxa"/>
              <w:left w:w="0" w:type="dxa"/>
              <w:bottom w:w="0" w:type="dxa"/>
              <w:right w:w="0" w:type="dxa"/>
            </w:tcMar>
            <w:vAlign w:val="center"/>
          </w:tcPr>
          <w:p w14:paraId="1E175A81"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0F7BCBE"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B106924"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F9E52AE"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D6E940"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55,784</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ABF28D3"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28DE1C5"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EC5EA2"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4,567</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AF73B01"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4,567</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99F5A26"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4,352</w:t>
            </w:r>
          </w:p>
        </w:tc>
      </w:tr>
      <w:tr w:rsidR="002C3687" w14:paraId="09164D14" w14:textId="77777777" w:rsidTr="001940F2">
        <w:trPr>
          <w:jc w:val="center"/>
        </w:trPr>
        <w:tc>
          <w:tcPr>
            <w:tcW w:w="620" w:type="pct"/>
            <w:vMerge/>
            <w:tcMar>
              <w:top w:w="0" w:type="dxa"/>
              <w:left w:w="0" w:type="dxa"/>
              <w:bottom w:w="0" w:type="dxa"/>
              <w:right w:w="0" w:type="dxa"/>
            </w:tcMar>
            <w:vAlign w:val="center"/>
          </w:tcPr>
          <w:p w14:paraId="7E42FEA3"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B2F9D76"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Air Sealing</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B8A796"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301F8BC"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B03CEF"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3,245</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D1E6162"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18ACE28"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1EF636A"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266</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7C588A4"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266</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017B8B8"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266</w:t>
            </w:r>
          </w:p>
        </w:tc>
      </w:tr>
      <w:tr w:rsidR="002C3687" w14:paraId="232283AD" w14:textId="77777777" w:rsidTr="001940F2">
        <w:trPr>
          <w:jc w:val="center"/>
        </w:trPr>
        <w:tc>
          <w:tcPr>
            <w:tcW w:w="620" w:type="pct"/>
            <w:vMerge/>
            <w:tcMar>
              <w:top w:w="0" w:type="dxa"/>
              <w:left w:w="0" w:type="dxa"/>
              <w:bottom w:w="0" w:type="dxa"/>
              <w:right w:w="0" w:type="dxa"/>
            </w:tcMar>
            <w:vAlign w:val="center"/>
          </w:tcPr>
          <w:p w14:paraId="51650108"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AE561BB"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Attic Insulation</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CE303E6"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C195489"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CCFEA3"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71,290</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D51783A"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97E07B6"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A2D481"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8,044</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5BF388C"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8,044</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3E92AFB"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7,754</w:t>
            </w:r>
          </w:p>
        </w:tc>
      </w:tr>
      <w:tr w:rsidR="002C3687" w14:paraId="09ED5945" w14:textId="77777777" w:rsidTr="001940F2">
        <w:trPr>
          <w:jc w:val="center"/>
        </w:trPr>
        <w:tc>
          <w:tcPr>
            <w:tcW w:w="620" w:type="pct"/>
            <w:vMerge/>
            <w:tcMar>
              <w:top w:w="0" w:type="dxa"/>
              <w:left w:w="0" w:type="dxa"/>
              <w:bottom w:w="0" w:type="dxa"/>
              <w:right w:w="0" w:type="dxa"/>
            </w:tcMar>
            <w:vAlign w:val="center"/>
          </w:tcPr>
          <w:p w14:paraId="0454BE70"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21A786C"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Attic Insulation</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C8AA7BF"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TRUE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3E51FC11"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3FDC0F"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3,030</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EEA1B05"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61B540C"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55200DA"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424</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5F75F1F"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424</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E08FD62"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424</w:t>
            </w:r>
          </w:p>
        </w:tc>
      </w:tr>
      <w:tr w:rsidR="002C3687" w14:paraId="03BD88A0" w14:textId="77777777" w:rsidTr="001940F2">
        <w:trPr>
          <w:jc w:val="center"/>
        </w:trPr>
        <w:tc>
          <w:tcPr>
            <w:tcW w:w="620" w:type="pct"/>
            <w:vMerge/>
            <w:tcMar>
              <w:top w:w="0" w:type="dxa"/>
              <w:left w:w="0" w:type="dxa"/>
              <w:bottom w:w="0" w:type="dxa"/>
              <w:right w:w="0" w:type="dxa"/>
            </w:tcMar>
            <w:vAlign w:val="center"/>
          </w:tcPr>
          <w:p w14:paraId="49A4D955"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4327BC0"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Duct Sealing</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FC267D7"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167CF2"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9C42197"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3,692</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44950E2"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BB0BC54"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46B590B"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4,028</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543DBE2"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4,028</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7571B43"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3,795</w:t>
            </w:r>
          </w:p>
        </w:tc>
      </w:tr>
      <w:tr w:rsidR="002C3687" w14:paraId="3AD5CA1E" w14:textId="77777777" w:rsidTr="001940F2">
        <w:trPr>
          <w:jc w:val="center"/>
        </w:trPr>
        <w:tc>
          <w:tcPr>
            <w:tcW w:w="620" w:type="pct"/>
            <w:vMerge/>
            <w:tcMar>
              <w:top w:w="0" w:type="dxa"/>
              <w:left w:w="0" w:type="dxa"/>
              <w:bottom w:w="0" w:type="dxa"/>
              <w:right w:w="0" w:type="dxa"/>
            </w:tcMar>
            <w:vAlign w:val="center"/>
          </w:tcPr>
          <w:p w14:paraId="3C264018"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275B854"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Foundation Insulation</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92D3FAA"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77F02BBB"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3CA9001"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789</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D0365EF"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6A470F"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535476B"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49.41</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801AE29"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49.42</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3833003"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39.61</w:t>
            </w:r>
          </w:p>
        </w:tc>
      </w:tr>
      <w:tr w:rsidR="002C3687" w14:paraId="388F5AF7" w14:textId="77777777" w:rsidTr="001940F2">
        <w:trPr>
          <w:jc w:val="center"/>
        </w:trPr>
        <w:tc>
          <w:tcPr>
            <w:tcW w:w="620" w:type="pct"/>
            <w:vMerge/>
            <w:tcMar>
              <w:top w:w="0" w:type="dxa"/>
              <w:left w:w="0" w:type="dxa"/>
              <w:bottom w:w="0" w:type="dxa"/>
              <w:right w:w="0" w:type="dxa"/>
            </w:tcMar>
            <w:vAlign w:val="center"/>
          </w:tcPr>
          <w:p w14:paraId="401C6680"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858"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C94FFF0"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Wall Insulation</w:t>
            </w:r>
          </w:p>
        </w:tc>
        <w:tc>
          <w:tcPr>
            <w:tcW w:w="277"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1B2B5FF3"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FALSE</w:t>
            </w:r>
          </w:p>
        </w:tc>
        <w:tc>
          <w:tcPr>
            <w:tcW w:w="28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6A0CA4DF"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SQFT</w:t>
            </w:r>
          </w:p>
        </w:tc>
        <w:tc>
          <w:tcPr>
            <w:tcW w:w="265"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21DF6AD"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w:t>
            </w:r>
          </w:p>
        </w:tc>
        <w:tc>
          <w:tcPr>
            <w:tcW w:w="41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28D0165"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30.00</w:t>
            </w:r>
          </w:p>
        </w:tc>
        <w:tc>
          <w:tcPr>
            <w:tcW w:w="564"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067B6287"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581"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26B35BD5"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6.63</w:t>
            </w:r>
          </w:p>
        </w:tc>
        <w:tc>
          <w:tcPr>
            <w:tcW w:w="586"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49D6D006"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6.63</w:t>
            </w:r>
          </w:p>
        </w:tc>
        <w:tc>
          <w:tcPr>
            <w:tcW w:w="553" w:type="pct"/>
            <w:tcBorders>
              <w:top w:val="single" w:sz="8" w:space="0" w:color="B3EFFD" w:themeColor="text2" w:themeTint="33"/>
              <w:left w:val="none" w:sz="0" w:space="0" w:color="000000" w:themeColor="text1"/>
              <w:bottom w:val="single" w:sz="8" w:space="0" w:color="B3EFFD" w:themeColor="text2" w:themeTint="33"/>
              <w:right w:val="none" w:sz="0" w:space="0" w:color="000000" w:themeColor="text1"/>
            </w:tcBorders>
            <w:shd w:val="clear" w:color="auto" w:fill="FFFFFF" w:themeFill="background1"/>
            <w:tcMar>
              <w:top w:w="0" w:type="dxa"/>
              <w:left w:w="0" w:type="dxa"/>
              <w:bottom w:w="0" w:type="dxa"/>
              <w:right w:w="0" w:type="dxa"/>
            </w:tcMar>
            <w:vAlign w:val="center"/>
          </w:tcPr>
          <w:p w14:paraId="50F74142" w14:textId="77777777" w:rsidR="00752DE9" w:rsidRDefault="00752DE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5.31</w:t>
            </w:r>
          </w:p>
        </w:tc>
      </w:tr>
      <w:tr w:rsidR="001940F2" w14:paraId="3B914E08" w14:textId="77777777" w:rsidTr="001940F2">
        <w:trPr>
          <w:jc w:val="center"/>
        </w:trPr>
        <w:tc>
          <w:tcPr>
            <w:tcW w:w="1479" w:type="pct"/>
            <w:gridSpan w:val="2"/>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CC8EA2A" w14:textId="5398A6CF" w:rsidR="001940F2" w:rsidRPr="00212ECF" w:rsidRDefault="001940F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212ECF">
              <w:rPr>
                <w:rFonts w:ascii="Aptos Narrow" w:eastAsia="DejaVu Sans" w:hAnsi="DejaVu Sans" w:cs="DejaVu Sans"/>
                <w:b/>
                <w:bCs/>
                <w:color w:val="000000"/>
                <w:sz w:val="20"/>
                <w:szCs w:val="20"/>
              </w:rPr>
              <w:t>Total or Weighted Average</w:t>
            </w:r>
          </w:p>
        </w:tc>
        <w:tc>
          <w:tcPr>
            <w:tcW w:w="277"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62CC18EF" w14:textId="77777777" w:rsidR="001940F2" w:rsidRPr="00212ECF" w:rsidRDefault="001940F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28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AE57432" w14:textId="77777777" w:rsidR="001940F2" w:rsidRPr="00212ECF" w:rsidRDefault="001940F2">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265"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5FA7872A" w14:textId="77777777" w:rsidR="001940F2" w:rsidRPr="00212ECF" w:rsidRDefault="001940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411"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38F950C4" w14:textId="77777777" w:rsidR="001940F2" w:rsidRPr="00212ECF" w:rsidRDefault="001940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12ECF">
              <w:rPr>
                <w:rFonts w:ascii="Aptos Narrow" w:eastAsia="DejaVu Sans" w:hAnsi="DejaVu Sans" w:cs="DejaVu Sans"/>
                <w:b/>
                <w:bCs/>
                <w:color w:val="000000"/>
                <w:sz w:val="20"/>
                <w:szCs w:val="20"/>
              </w:rPr>
              <w:t>18.69</w:t>
            </w:r>
          </w:p>
        </w:tc>
        <w:tc>
          <w:tcPr>
            <w:tcW w:w="564"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4F9C485E" w14:textId="77777777" w:rsidR="001940F2" w:rsidRPr="00212ECF" w:rsidRDefault="001940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581"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0F324C7F" w14:textId="77777777" w:rsidR="001940F2" w:rsidRPr="00212ECF" w:rsidRDefault="001940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12ECF">
              <w:rPr>
                <w:rFonts w:ascii="Aptos Narrow" w:eastAsia="DejaVu Sans" w:hAnsi="DejaVu Sans" w:cs="DejaVu Sans"/>
                <w:b/>
                <w:bCs/>
                <w:color w:val="000000"/>
                <w:sz w:val="20"/>
                <w:szCs w:val="20"/>
              </w:rPr>
              <w:t>235,497</w:t>
            </w:r>
          </w:p>
        </w:tc>
        <w:tc>
          <w:tcPr>
            <w:tcW w:w="586"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17AD6EFE" w14:textId="77777777" w:rsidR="001940F2" w:rsidRPr="00212ECF" w:rsidRDefault="001940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12ECF">
              <w:rPr>
                <w:rFonts w:ascii="Aptos Narrow" w:eastAsia="DejaVu Sans" w:hAnsi="DejaVu Sans" w:cs="DejaVu Sans"/>
                <w:b/>
                <w:bCs/>
                <w:color w:val="000000"/>
                <w:sz w:val="20"/>
                <w:szCs w:val="20"/>
              </w:rPr>
              <w:t>235,482</w:t>
            </w:r>
          </w:p>
        </w:tc>
        <w:tc>
          <w:tcPr>
            <w:tcW w:w="553" w:type="pct"/>
            <w:tcBorders>
              <w:top w:val="single" w:sz="8" w:space="0" w:color="B3EFFD" w:themeColor="text2" w:themeTint="33"/>
              <w:left w:val="none" w:sz="0" w:space="0" w:color="000000" w:themeColor="text1"/>
              <w:bottom w:val="single" w:sz="16" w:space="0" w:color="036479"/>
              <w:right w:val="none" w:sz="0" w:space="0" w:color="000000" w:themeColor="text1"/>
            </w:tcBorders>
            <w:shd w:val="clear" w:color="auto" w:fill="FFFFFF" w:themeFill="background1"/>
            <w:tcMar>
              <w:top w:w="0" w:type="dxa"/>
              <w:left w:w="0" w:type="dxa"/>
              <w:bottom w:w="0" w:type="dxa"/>
              <w:right w:w="0" w:type="dxa"/>
            </w:tcMar>
            <w:vAlign w:val="center"/>
          </w:tcPr>
          <w:p w14:paraId="7387CB5B" w14:textId="77777777" w:rsidR="001940F2" w:rsidRPr="00212ECF" w:rsidRDefault="001940F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12ECF">
              <w:rPr>
                <w:rFonts w:ascii="Aptos Narrow" w:eastAsia="DejaVu Sans" w:hAnsi="DejaVu Sans" w:cs="DejaVu Sans"/>
                <w:b/>
                <w:bCs/>
                <w:color w:val="000000"/>
                <w:sz w:val="20"/>
                <w:szCs w:val="20"/>
              </w:rPr>
              <w:t>202,187</w:t>
            </w:r>
          </w:p>
        </w:tc>
      </w:tr>
    </w:tbl>
    <w:p w14:paraId="6E6A4936" w14:textId="7D9F343C" w:rsidR="00F04C56" w:rsidRPr="00D9716E" w:rsidRDefault="00F04C56" w:rsidP="00284FA9">
      <w:pPr>
        <w:pStyle w:val="TableFigureSourceorNote"/>
        <w:rPr>
          <w:rFonts w:asciiTheme="majorHAnsi" w:hAnsiTheme="majorHAnsi"/>
        </w:rPr>
      </w:pPr>
      <w:r w:rsidRPr="00D9716E">
        <w:rPr>
          <w:rFonts w:asciiTheme="majorHAnsi" w:hAnsiTheme="majorHAnsi"/>
        </w:rPr>
        <w:t> </w:t>
      </w:r>
      <w:r w:rsidRPr="00D12853">
        <w:t xml:space="preserve">Source: </w:t>
      </w:r>
      <w:r>
        <w:t xml:space="preserve">Evaluation </w:t>
      </w:r>
      <w:r w:rsidRPr="00D12853">
        <w:t>team analysis.</w:t>
      </w:r>
    </w:p>
    <w:p w14:paraId="066A7307" w14:textId="77777777" w:rsidR="00F04C56" w:rsidRPr="00F25675" w:rsidRDefault="00F04C56" w:rsidP="00284FA9">
      <w:pPr>
        <w:rPr>
          <w:rFonts w:asciiTheme="majorHAnsi" w:hAnsiTheme="majorHAnsi"/>
        </w:rPr>
      </w:pPr>
    </w:p>
    <w:sectPr w:rsidR="00F04C56" w:rsidRPr="00F25675" w:rsidSect="00284FA9">
      <w:headerReference w:type="default" r:id="rId25"/>
      <w:footerReference w:type="default" r:id="rId2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08177" w14:textId="77777777" w:rsidR="00021F89" w:rsidRDefault="00021F89">
      <w:pPr>
        <w:spacing w:after="0" w:line="240" w:lineRule="auto"/>
      </w:pPr>
      <w:r>
        <w:separator/>
      </w:r>
    </w:p>
  </w:endnote>
  <w:endnote w:type="continuationSeparator" w:id="0">
    <w:p w14:paraId="7951C7C8" w14:textId="77777777" w:rsidR="00021F89" w:rsidRDefault="00021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Aptos Narrow">
    <w:altName w:val="Calibri"/>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284FA9" w:rsidRPr="00582062" w14:paraId="40B083D6" w14:textId="77777777" w:rsidTr="00284FA9">
      <w:trPr>
        <w:trHeight w:val="144"/>
        <w:jc w:val="center"/>
      </w:trPr>
      <w:tc>
        <w:tcPr>
          <w:tcW w:w="6681" w:type="dxa"/>
          <w:tcBorders>
            <w:top w:val="single" w:sz="8" w:space="0" w:color="8C8C8C"/>
            <w:left w:val="nil"/>
            <w:bottom w:val="nil"/>
          </w:tcBorders>
        </w:tcPr>
        <w:p w14:paraId="6EE6848C" w14:textId="77777777" w:rsidR="00F04C56" w:rsidRPr="00582062" w:rsidRDefault="00F04C56" w:rsidP="00284FA9">
          <w:pPr>
            <w:pStyle w:val="Footer"/>
            <w:spacing w:before="120"/>
            <w:rPr>
              <w:sz w:val="2"/>
              <w:szCs w:val="2"/>
            </w:rPr>
          </w:pPr>
        </w:p>
      </w:tc>
      <w:tc>
        <w:tcPr>
          <w:tcW w:w="2679" w:type="dxa"/>
          <w:tcBorders>
            <w:top w:val="single" w:sz="8" w:space="0" w:color="8C8C8C"/>
          </w:tcBorders>
        </w:tcPr>
        <w:p w14:paraId="1C77F2F6" w14:textId="77777777" w:rsidR="00F04C56" w:rsidRPr="00582062" w:rsidRDefault="00F04C56" w:rsidP="00284FA9">
          <w:pPr>
            <w:pStyle w:val="Footer"/>
            <w:spacing w:before="120"/>
            <w:jc w:val="right"/>
            <w:rPr>
              <w:sz w:val="2"/>
              <w:szCs w:val="2"/>
            </w:rPr>
          </w:pPr>
        </w:p>
      </w:tc>
    </w:tr>
    <w:tr w:rsidR="00284FA9" w:rsidRPr="00EA2FA5" w14:paraId="6565FA26" w14:textId="77777777" w:rsidTr="00284FA9">
      <w:trPr>
        <w:trHeight w:val="195"/>
        <w:jc w:val="center"/>
      </w:trPr>
      <w:tc>
        <w:tcPr>
          <w:tcW w:w="6681" w:type="dxa"/>
          <w:tcBorders>
            <w:top w:val="nil"/>
            <w:left w:val="nil"/>
            <w:bottom w:val="nil"/>
          </w:tcBorders>
          <w:vAlign w:val="center"/>
        </w:tcPr>
        <w:p w14:paraId="4EBE729F" w14:textId="3092A60F" w:rsidR="00F04C56" w:rsidRPr="0075421C" w:rsidRDefault="00F04C56" w:rsidP="00284FA9">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7B401B58" w14:textId="77777777" w:rsidR="00F04C56" w:rsidRPr="0075421C" w:rsidRDefault="00F04C56" w:rsidP="00284FA9">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F04C56" w:rsidRPr="00274E02" w:rsidRDefault="00F04C56" w:rsidP="00284FA9">
    <w:pPr>
      <w:pStyle w:val="Footer"/>
      <w:rPr>
        <w:sz w:val="16"/>
        <w:szCs w:val="16"/>
      </w:rPr>
    </w:pPr>
  </w:p>
  <w:p w14:paraId="0D225050" w14:textId="08C2F07D" w:rsidR="00F04C56" w:rsidRPr="00E87E4D" w:rsidRDefault="00F04C56" w:rsidP="00284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F04C56" w:rsidRPr="00FB30FD" w:rsidRDefault="00F04C56" w:rsidP="00284FA9">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284FA9" w:rsidRPr="00582062" w14:paraId="43C36F29" w14:textId="77777777" w:rsidTr="00284FA9">
      <w:trPr>
        <w:trHeight w:val="202"/>
        <w:jc w:val="center"/>
      </w:trPr>
      <w:tc>
        <w:tcPr>
          <w:tcW w:w="3569" w:type="pct"/>
          <w:tcBorders>
            <w:top w:val="single" w:sz="8" w:space="0" w:color="8C8C8C"/>
            <w:left w:val="nil"/>
            <w:bottom w:val="nil"/>
          </w:tcBorders>
        </w:tcPr>
        <w:p w14:paraId="4598748E" w14:textId="77777777" w:rsidR="00F04C56" w:rsidRPr="00582062" w:rsidRDefault="00F04C56" w:rsidP="00284FA9">
          <w:pPr>
            <w:pStyle w:val="Footer"/>
            <w:spacing w:before="120"/>
            <w:rPr>
              <w:sz w:val="2"/>
              <w:szCs w:val="2"/>
            </w:rPr>
          </w:pPr>
        </w:p>
      </w:tc>
      <w:tc>
        <w:tcPr>
          <w:tcW w:w="1431" w:type="pct"/>
          <w:tcBorders>
            <w:top w:val="single" w:sz="8" w:space="0" w:color="8C8C8C"/>
          </w:tcBorders>
        </w:tcPr>
        <w:p w14:paraId="04BC382B" w14:textId="77777777" w:rsidR="00F04C56" w:rsidRPr="00582062" w:rsidRDefault="00F04C56" w:rsidP="00284FA9">
          <w:pPr>
            <w:pStyle w:val="Footer"/>
            <w:spacing w:before="120"/>
            <w:jc w:val="right"/>
            <w:rPr>
              <w:sz w:val="2"/>
              <w:szCs w:val="2"/>
            </w:rPr>
          </w:pPr>
        </w:p>
      </w:tc>
    </w:tr>
    <w:tr w:rsidR="00284FA9" w:rsidRPr="00EA2FA5" w14:paraId="44E2EF60" w14:textId="77777777" w:rsidTr="00284FA9">
      <w:trPr>
        <w:trHeight w:val="274"/>
        <w:jc w:val="center"/>
      </w:trPr>
      <w:tc>
        <w:tcPr>
          <w:tcW w:w="3569" w:type="pct"/>
          <w:tcBorders>
            <w:top w:val="nil"/>
            <w:left w:val="nil"/>
            <w:bottom w:val="nil"/>
          </w:tcBorders>
          <w:vAlign w:val="center"/>
        </w:tcPr>
        <w:p w14:paraId="3B8C51CF" w14:textId="497CAB6F" w:rsidR="00F04C56" w:rsidRPr="0075421C" w:rsidRDefault="00F04C56" w:rsidP="00284FA9">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112B4AD8" w14:textId="77777777" w:rsidR="00F04C56" w:rsidRPr="0075421C" w:rsidRDefault="00F04C56" w:rsidP="00284FA9">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51060479" w14:textId="77777777" w:rsidR="00F04C56" w:rsidRPr="00274E02" w:rsidRDefault="00F04C56">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284FA9" w:rsidRPr="00582062" w14:paraId="6FEC357E" w14:textId="77777777" w:rsidTr="00284FA9">
      <w:trPr>
        <w:trHeight w:val="202"/>
        <w:jc w:val="center"/>
      </w:trPr>
      <w:tc>
        <w:tcPr>
          <w:tcW w:w="3569" w:type="pct"/>
          <w:tcBorders>
            <w:top w:val="single" w:sz="8" w:space="0" w:color="8C8C8C"/>
            <w:left w:val="nil"/>
            <w:bottom w:val="nil"/>
          </w:tcBorders>
        </w:tcPr>
        <w:p w14:paraId="590DE00D" w14:textId="17B0543E" w:rsidR="00F04C56" w:rsidRPr="00582062" w:rsidRDefault="00F04C56" w:rsidP="00284FA9">
          <w:pPr>
            <w:pStyle w:val="Footer"/>
            <w:spacing w:before="120"/>
            <w:rPr>
              <w:sz w:val="2"/>
              <w:szCs w:val="2"/>
            </w:rPr>
          </w:pPr>
        </w:p>
      </w:tc>
      <w:tc>
        <w:tcPr>
          <w:tcW w:w="1431" w:type="pct"/>
          <w:tcBorders>
            <w:top w:val="single" w:sz="8" w:space="0" w:color="8C8C8C"/>
          </w:tcBorders>
        </w:tcPr>
        <w:p w14:paraId="04594657" w14:textId="77777777" w:rsidR="00F04C56" w:rsidRPr="00582062" w:rsidRDefault="00F04C56" w:rsidP="00284FA9">
          <w:pPr>
            <w:pStyle w:val="Footer"/>
            <w:spacing w:before="120"/>
            <w:jc w:val="right"/>
            <w:rPr>
              <w:sz w:val="2"/>
              <w:szCs w:val="2"/>
            </w:rPr>
          </w:pPr>
        </w:p>
      </w:tc>
    </w:tr>
    <w:tr w:rsidR="00284FA9" w:rsidRPr="00EA2FA5" w14:paraId="5033E711" w14:textId="77777777" w:rsidTr="00284FA9">
      <w:trPr>
        <w:trHeight w:val="274"/>
        <w:jc w:val="center"/>
      </w:trPr>
      <w:tc>
        <w:tcPr>
          <w:tcW w:w="3569" w:type="pct"/>
          <w:tcBorders>
            <w:top w:val="nil"/>
            <w:left w:val="nil"/>
            <w:bottom w:val="nil"/>
          </w:tcBorders>
          <w:vAlign w:val="center"/>
        </w:tcPr>
        <w:p w14:paraId="53CD2453" w14:textId="77777777" w:rsidR="00F04C56" w:rsidRPr="0075421C" w:rsidRDefault="00F04C56" w:rsidP="00284FA9">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7FF7603C" w14:textId="77777777" w:rsidR="00F04C56" w:rsidRPr="0075421C" w:rsidRDefault="00F04C56" w:rsidP="00284FA9">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ii</w:t>
          </w:r>
          <w:r w:rsidRPr="0075421C">
            <w:rPr>
              <w:rStyle w:val="PageNumber"/>
              <w:sz w:val="18"/>
            </w:rPr>
            <w:fldChar w:fldCharType="end"/>
          </w:r>
        </w:p>
      </w:tc>
    </w:tr>
  </w:tbl>
  <w:p w14:paraId="72344805" w14:textId="77777777" w:rsidR="00F04C56" w:rsidRPr="00274E02" w:rsidRDefault="00F04C5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8C0E" w14:textId="77777777" w:rsidR="00021F89" w:rsidRDefault="00021F89">
      <w:pPr>
        <w:spacing w:after="0" w:line="240" w:lineRule="auto"/>
      </w:pPr>
      <w:r>
        <w:separator/>
      </w:r>
    </w:p>
  </w:footnote>
  <w:footnote w:type="continuationSeparator" w:id="0">
    <w:p w14:paraId="4EFF18FB" w14:textId="77777777" w:rsidR="00021F89" w:rsidRDefault="00021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284FA9" w:rsidRPr="00F77D23" w14:paraId="17E1979B" w14:textId="45D80316" w:rsidTr="00284FA9">
      <w:trPr>
        <w:jc w:val="center"/>
      </w:trPr>
      <w:tc>
        <w:tcPr>
          <w:tcW w:w="2880" w:type="dxa"/>
          <w:vAlign w:val="center"/>
        </w:tcPr>
        <w:p w14:paraId="11F0A13F" w14:textId="77777777" w:rsidR="00F04C56" w:rsidRPr="006A71F6" w:rsidRDefault="00F04C56" w:rsidP="00284FA9">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0300EA43" w:rsidR="00F04C56" w:rsidRPr="00F77D23" w:rsidRDefault="00F04C56" w:rsidP="00284FA9">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332E08">
            <w:rPr>
              <w:bCs/>
              <w:noProof/>
            </w:rPr>
            <w:t>Home Energy Rebates Program Impact Evaluation Report</w:t>
          </w:r>
          <w:r>
            <w:rPr>
              <w:bCs/>
              <w:noProof/>
            </w:rPr>
            <w:fldChar w:fldCharType="end"/>
          </w:r>
          <w:r w:rsidR="001940F2">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481D419" w14:textId="77777777" w:rsidR="00F04C56" w:rsidRDefault="00F04C56" w:rsidP="00284FA9">
    <w:pPr>
      <w:pStyle w:val="Header"/>
    </w:pPr>
    <w:r w:rsidRPr="00BA291E">
      <w:br/>
    </w:r>
  </w:p>
  <w:p w14:paraId="756D4516" w14:textId="523337CD" w:rsidR="00F04C56" w:rsidRPr="00ED327C" w:rsidRDefault="00F04C56" w:rsidP="00284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F04C56" w:rsidRDefault="00F04C56" w:rsidP="00284FA9">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F04C56" w:rsidRPr="00ED327C" w:rsidRDefault="00F04C56" w:rsidP="00284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284FA9" w:rsidRPr="00F77D23" w14:paraId="0F7D708C" w14:textId="7BCB288B" w:rsidTr="00284FA9">
      <w:trPr>
        <w:jc w:val="center"/>
      </w:trPr>
      <w:tc>
        <w:tcPr>
          <w:tcW w:w="2880" w:type="dxa"/>
          <w:vAlign w:val="center"/>
        </w:tcPr>
        <w:p w14:paraId="1ACAE345" w14:textId="77777777" w:rsidR="00F04C56" w:rsidRPr="006A71F6" w:rsidRDefault="00F04C56" w:rsidP="00284FA9">
          <w:pPr>
            <w:pStyle w:val="Header"/>
          </w:pPr>
          <w:r>
            <w:rPr>
              <w:noProof/>
            </w:rPr>
            <w:drawing>
              <wp:inline distT="0" distB="0" distL="0" distR="0" wp14:anchorId="4FCFF718" wp14:editId="7847399E">
                <wp:extent cx="1081454" cy="274320"/>
                <wp:effectExtent l="0" t="0" r="4445" b="0"/>
                <wp:docPr id="145974277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14A90495" w:rsidR="00F04C56" w:rsidRPr="00F77D23" w:rsidRDefault="00F04C56" w:rsidP="00284FA9">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332E08">
            <w:rPr>
              <w:bCs/>
              <w:noProof/>
            </w:rPr>
            <w:t>Home Energy Rebates Program Impact Evaluation Report</w:t>
          </w:r>
          <w:r>
            <w:rPr>
              <w:bCs/>
              <w:noProof/>
            </w:rPr>
            <w:fldChar w:fldCharType="end"/>
          </w:r>
          <w:r w:rsidR="001940F2">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A53726A" w14:textId="77777777" w:rsidR="00F04C56" w:rsidRDefault="00F04C56" w:rsidP="00284FA9">
    <w:pPr>
      <w:pStyle w:val="Header"/>
    </w:pPr>
    <w:r w:rsidRPr="00BA291E">
      <w:br/>
    </w:r>
  </w:p>
  <w:p w14:paraId="2A502F61" w14:textId="77777777" w:rsidR="00F04C56" w:rsidRDefault="00F04C56" w:rsidP="00284F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284FA9" w:rsidRPr="00F77D23" w14:paraId="69112D06" w14:textId="78BEB104" w:rsidTr="00284FA9">
      <w:trPr>
        <w:jc w:val="center"/>
      </w:trPr>
      <w:tc>
        <w:tcPr>
          <w:tcW w:w="1429" w:type="pct"/>
          <w:vAlign w:val="center"/>
        </w:tcPr>
        <w:p w14:paraId="45C22874" w14:textId="77777777" w:rsidR="00F04C56" w:rsidRPr="006A71F6" w:rsidRDefault="00F04C56" w:rsidP="00284FA9">
          <w:pPr>
            <w:pStyle w:val="Header"/>
          </w:pPr>
          <w:r>
            <w:rPr>
              <w:noProof/>
            </w:rPr>
            <w:drawing>
              <wp:inline distT="0" distB="0" distL="0" distR="0" wp14:anchorId="45C5D277" wp14:editId="5127E669">
                <wp:extent cx="1081454" cy="274320"/>
                <wp:effectExtent l="0" t="0" r="4445" b="0"/>
                <wp:docPr id="88647254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3F62E0A7" w:rsidR="00F04C56" w:rsidRPr="00F77D23" w:rsidRDefault="00F04C56" w:rsidP="00284FA9">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332E08">
            <w:rPr>
              <w:bCs/>
              <w:noProof/>
            </w:rPr>
            <w:t>Home Energy Rebates Program Impact Evaluation Report</w:t>
          </w:r>
          <w:r>
            <w:rPr>
              <w:bCs/>
              <w:noProof/>
            </w:rPr>
            <w:fldChar w:fldCharType="end"/>
          </w:r>
          <w:r w:rsidR="001940F2">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2F926F4" w14:textId="77777777" w:rsidR="00F04C56" w:rsidRDefault="00F04C56" w:rsidP="00284FA9">
    <w:pPr>
      <w:pStyle w:val="Header"/>
    </w:pPr>
    <w:r w:rsidRPr="00BA291E">
      <w:br/>
    </w:r>
  </w:p>
  <w:p w14:paraId="3B584E6F" w14:textId="77777777" w:rsidR="00F04C56" w:rsidRDefault="00F04C56" w:rsidP="00284F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284FA9" w:rsidRPr="00F77D23" w14:paraId="08F768C3" w14:textId="77777777" w:rsidTr="00284FA9">
      <w:trPr>
        <w:jc w:val="center"/>
      </w:trPr>
      <w:tc>
        <w:tcPr>
          <w:tcW w:w="1429" w:type="pct"/>
          <w:vAlign w:val="center"/>
        </w:tcPr>
        <w:p w14:paraId="7A4C788D" w14:textId="77777777" w:rsidR="00F04C56" w:rsidRPr="006A71F6" w:rsidRDefault="00F04C56" w:rsidP="00284FA9">
          <w:pPr>
            <w:pStyle w:val="Header"/>
          </w:pPr>
          <w:r>
            <w:rPr>
              <w:noProof/>
            </w:rPr>
            <w:drawing>
              <wp:inline distT="0" distB="0" distL="0" distR="0" wp14:anchorId="16AB1878" wp14:editId="3CD66B44">
                <wp:extent cx="1081454" cy="274320"/>
                <wp:effectExtent l="0" t="0" r="4445" b="0"/>
                <wp:docPr id="443514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62B9B23B" w14:textId="311721F3" w:rsidR="00F04C56" w:rsidRPr="00F77D23" w:rsidRDefault="00F04C56" w:rsidP="00284FA9">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332E08">
            <w:rPr>
              <w:bCs/>
              <w:noProof/>
            </w:rPr>
            <w:t>Home Energy Rebates Program Impact Evaluation Report</w:t>
          </w:r>
          <w:r>
            <w:rPr>
              <w:bCs/>
              <w:noProof/>
            </w:rPr>
            <w:fldChar w:fldCharType="end"/>
          </w:r>
          <w:r w:rsidR="001940F2">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167AC6D3" w14:textId="77777777" w:rsidR="00F04C56" w:rsidRDefault="00F04C56" w:rsidP="00284FA9">
    <w:pPr>
      <w:pStyle w:val="Header"/>
    </w:pPr>
    <w:r w:rsidRPr="00BA291E">
      <w:br/>
    </w:r>
  </w:p>
  <w:p w14:paraId="7F2A5927" w14:textId="77777777" w:rsidR="00F04C56" w:rsidRDefault="00F04C56" w:rsidP="00284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1"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12369B"/>
    <w:multiLevelType w:val="hybridMultilevel"/>
    <w:tmpl w:val="F6780678"/>
    <w:lvl w:ilvl="0" w:tplc="FCAE3D02">
      <w:start w:val="23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8"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1"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DD725C"/>
    <w:multiLevelType w:val="hybridMultilevel"/>
    <w:tmpl w:val="FFFFFFFF"/>
    <w:lvl w:ilvl="0" w:tplc="A67EE3D8">
      <w:start w:val="1"/>
      <w:numFmt w:val="bullet"/>
      <w:lvlText w:val="·"/>
      <w:lvlJc w:val="left"/>
      <w:pPr>
        <w:ind w:left="720" w:hanging="360"/>
      </w:pPr>
      <w:rPr>
        <w:rFonts w:ascii="Symbol" w:hAnsi="Symbol" w:hint="default"/>
      </w:rPr>
    </w:lvl>
    <w:lvl w:ilvl="1" w:tplc="7E725ACA">
      <w:start w:val="1"/>
      <w:numFmt w:val="bullet"/>
      <w:lvlText w:val="o"/>
      <w:lvlJc w:val="left"/>
      <w:pPr>
        <w:ind w:left="1440" w:hanging="360"/>
      </w:pPr>
      <w:rPr>
        <w:rFonts w:ascii="Courier New" w:hAnsi="Courier New" w:hint="default"/>
      </w:rPr>
    </w:lvl>
    <w:lvl w:ilvl="2" w:tplc="74CC5780">
      <w:start w:val="1"/>
      <w:numFmt w:val="bullet"/>
      <w:lvlText w:val=""/>
      <w:lvlJc w:val="left"/>
      <w:pPr>
        <w:ind w:left="2160" w:hanging="360"/>
      </w:pPr>
      <w:rPr>
        <w:rFonts w:ascii="Wingdings" w:hAnsi="Wingdings" w:hint="default"/>
      </w:rPr>
    </w:lvl>
    <w:lvl w:ilvl="3" w:tplc="21484ADA">
      <w:start w:val="1"/>
      <w:numFmt w:val="bullet"/>
      <w:lvlText w:val=""/>
      <w:lvlJc w:val="left"/>
      <w:pPr>
        <w:ind w:left="2880" w:hanging="360"/>
      </w:pPr>
      <w:rPr>
        <w:rFonts w:ascii="Symbol" w:hAnsi="Symbol" w:hint="default"/>
      </w:rPr>
    </w:lvl>
    <w:lvl w:ilvl="4" w:tplc="0E367DF6">
      <w:start w:val="1"/>
      <w:numFmt w:val="bullet"/>
      <w:lvlText w:val="o"/>
      <w:lvlJc w:val="left"/>
      <w:pPr>
        <w:ind w:left="3600" w:hanging="360"/>
      </w:pPr>
      <w:rPr>
        <w:rFonts w:ascii="Courier New" w:hAnsi="Courier New" w:hint="default"/>
      </w:rPr>
    </w:lvl>
    <w:lvl w:ilvl="5" w:tplc="CF322B0C">
      <w:start w:val="1"/>
      <w:numFmt w:val="bullet"/>
      <w:lvlText w:val=""/>
      <w:lvlJc w:val="left"/>
      <w:pPr>
        <w:ind w:left="4320" w:hanging="360"/>
      </w:pPr>
      <w:rPr>
        <w:rFonts w:ascii="Wingdings" w:hAnsi="Wingdings" w:hint="default"/>
      </w:rPr>
    </w:lvl>
    <w:lvl w:ilvl="6" w:tplc="E6644C92">
      <w:start w:val="1"/>
      <w:numFmt w:val="bullet"/>
      <w:lvlText w:val=""/>
      <w:lvlJc w:val="left"/>
      <w:pPr>
        <w:ind w:left="5040" w:hanging="360"/>
      </w:pPr>
      <w:rPr>
        <w:rFonts w:ascii="Symbol" w:hAnsi="Symbol" w:hint="default"/>
      </w:rPr>
    </w:lvl>
    <w:lvl w:ilvl="7" w:tplc="09B85B8A">
      <w:start w:val="1"/>
      <w:numFmt w:val="bullet"/>
      <w:lvlText w:val="o"/>
      <w:lvlJc w:val="left"/>
      <w:pPr>
        <w:ind w:left="5760" w:hanging="360"/>
      </w:pPr>
      <w:rPr>
        <w:rFonts w:ascii="Courier New" w:hAnsi="Courier New" w:hint="default"/>
      </w:rPr>
    </w:lvl>
    <w:lvl w:ilvl="8" w:tplc="4A7A8228">
      <w:start w:val="1"/>
      <w:numFmt w:val="bullet"/>
      <w:lvlText w:val=""/>
      <w:lvlJc w:val="left"/>
      <w:pPr>
        <w:ind w:left="6480" w:hanging="360"/>
      </w:pPr>
      <w:rPr>
        <w:rFonts w:ascii="Wingdings" w:hAnsi="Wingdings" w:hint="default"/>
      </w:rPr>
    </w:lvl>
  </w:abstractNum>
  <w:abstractNum w:abstractNumId="23"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3"/>
  </w:num>
  <w:num w:numId="2" w16cid:durableId="1897279306">
    <w:abstractNumId w:val="18"/>
  </w:num>
  <w:num w:numId="3" w16cid:durableId="1150948261">
    <w:abstractNumId w:val="2"/>
  </w:num>
  <w:num w:numId="4" w16cid:durableId="424502759">
    <w:abstractNumId w:val="3"/>
  </w:num>
  <w:num w:numId="5" w16cid:durableId="1530214667">
    <w:abstractNumId w:val="26"/>
  </w:num>
  <w:num w:numId="6" w16cid:durableId="820192695">
    <w:abstractNumId w:val="4"/>
  </w:num>
  <w:num w:numId="7" w16cid:durableId="321852425">
    <w:abstractNumId w:val="19"/>
  </w:num>
  <w:num w:numId="8" w16cid:durableId="1755586189">
    <w:abstractNumId w:val="15"/>
  </w:num>
  <w:num w:numId="9" w16cid:durableId="1790969178">
    <w:abstractNumId w:val="25"/>
  </w:num>
  <w:num w:numId="10" w16cid:durableId="1320888804">
    <w:abstractNumId w:val="5"/>
  </w:num>
  <w:num w:numId="11" w16cid:durableId="990789570">
    <w:abstractNumId w:val="11"/>
  </w:num>
  <w:num w:numId="12" w16cid:durableId="499661504">
    <w:abstractNumId w:val="8"/>
  </w:num>
  <w:num w:numId="13" w16cid:durableId="1680110921">
    <w:abstractNumId w:val="24"/>
  </w:num>
  <w:num w:numId="14" w16cid:durableId="869102195">
    <w:abstractNumId w:val="0"/>
  </w:num>
  <w:num w:numId="15" w16cid:durableId="1990472580">
    <w:abstractNumId w:val="20"/>
  </w:num>
  <w:num w:numId="16" w16cid:durableId="812452916">
    <w:abstractNumId w:val="10"/>
  </w:num>
  <w:num w:numId="17" w16cid:durableId="2117434390">
    <w:abstractNumId w:val="9"/>
  </w:num>
  <w:num w:numId="18" w16cid:durableId="913703041">
    <w:abstractNumId w:val="21"/>
  </w:num>
  <w:num w:numId="19" w16cid:durableId="1687176602">
    <w:abstractNumId w:val="17"/>
  </w:num>
  <w:num w:numId="20" w16cid:durableId="1849367968">
    <w:abstractNumId w:val="13"/>
  </w:num>
  <w:num w:numId="21" w16cid:durableId="1668821187">
    <w:abstractNumId w:val="16"/>
  </w:num>
  <w:num w:numId="22" w16cid:durableId="1729065919">
    <w:abstractNumId w:val="12"/>
  </w:num>
  <w:num w:numId="23" w16cid:durableId="380595784">
    <w:abstractNumId w:val="6"/>
  </w:num>
  <w:num w:numId="24" w16cid:durableId="1031690303">
    <w:abstractNumId w:val="1"/>
  </w:num>
  <w:num w:numId="25" w16cid:durableId="118230274">
    <w:abstractNumId w:val="7"/>
  </w:num>
  <w:num w:numId="26" w16cid:durableId="681275360">
    <w:abstractNumId w:val="22"/>
  </w:num>
  <w:num w:numId="27" w16cid:durableId="132604327">
    <w:abstractNumId w:val="14"/>
  </w:num>
  <w:num w:numId="28" w16cid:durableId="2119133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4E3"/>
    <w:rsid w:val="00010941"/>
    <w:rsid w:val="00012B1A"/>
    <w:rsid w:val="000135AA"/>
    <w:rsid w:val="00016E0B"/>
    <w:rsid w:val="0002139A"/>
    <w:rsid w:val="00021F89"/>
    <w:rsid w:val="00033096"/>
    <w:rsid w:val="00046A71"/>
    <w:rsid w:val="0005001F"/>
    <w:rsid w:val="00070385"/>
    <w:rsid w:val="00073D23"/>
    <w:rsid w:val="00080DD5"/>
    <w:rsid w:val="000960CE"/>
    <w:rsid w:val="0009702F"/>
    <w:rsid w:val="000A4BEA"/>
    <w:rsid w:val="000A6674"/>
    <w:rsid w:val="000B40BA"/>
    <w:rsid w:val="000B443C"/>
    <w:rsid w:val="000B54E3"/>
    <w:rsid w:val="000C1B41"/>
    <w:rsid w:val="000D2C45"/>
    <w:rsid w:val="000D3698"/>
    <w:rsid w:val="000D73C6"/>
    <w:rsid w:val="000E54D7"/>
    <w:rsid w:val="000E64D8"/>
    <w:rsid w:val="000E741B"/>
    <w:rsid w:val="000E7EED"/>
    <w:rsid w:val="000F2AD4"/>
    <w:rsid w:val="001001C3"/>
    <w:rsid w:val="001030CF"/>
    <w:rsid w:val="001048A3"/>
    <w:rsid w:val="00105380"/>
    <w:rsid w:val="00111617"/>
    <w:rsid w:val="00120692"/>
    <w:rsid w:val="0012499D"/>
    <w:rsid w:val="00131A2C"/>
    <w:rsid w:val="001426AD"/>
    <w:rsid w:val="00143037"/>
    <w:rsid w:val="001474B6"/>
    <w:rsid w:val="0016476E"/>
    <w:rsid w:val="001701D4"/>
    <w:rsid w:val="00183619"/>
    <w:rsid w:val="0019199B"/>
    <w:rsid w:val="00192F23"/>
    <w:rsid w:val="00193821"/>
    <w:rsid w:val="001940F2"/>
    <w:rsid w:val="001A342B"/>
    <w:rsid w:val="001B2D03"/>
    <w:rsid w:val="001C537A"/>
    <w:rsid w:val="001C7E0C"/>
    <w:rsid w:val="001D1785"/>
    <w:rsid w:val="001D6433"/>
    <w:rsid w:val="001E0A45"/>
    <w:rsid w:val="001E25C8"/>
    <w:rsid w:val="001E3422"/>
    <w:rsid w:val="001E7EC9"/>
    <w:rsid w:val="001F17E8"/>
    <w:rsid w:val="001F4437"/>
    <w:rsid w:val="00211A03"/>
    <w:rsid w:val="002126B4"/>
    <w:rsid w:val="00212ECF"/>
    <w:rsid w:val="0021362D"/>
    <w:rsid w:val="00227BF3"/>
    <w:rsid w:val="00233C8D"/>
    <w:rsid w:val="00236557"/>
    <w:rsid w:val="0024023B"/>
    <w:rsid w:val="00242339"/>
    <w:rsid w:val="0024473F"/>
    <w:rsid w:val="00246A44"/>
    <w:rsid w:val="0026173E"/>
    <w:rsid w:val="00265FBE"/>
    <w:rsid w:val="0026773D"/>
    <w:rsid w:val="00270D0B"/>
    <w:rsid w:val="00272005"/>
    <w:rsid w:val="00283B33"/>
    <w:rsid w:val="00284FA9"/>
    <w:rsid w:val="00286A52"/>
    <w:rsid w:val="002916A4"/>
    <w:rsid w:val="002A4AF0"/>
    <w:rsid w:val="002B1398"/>
    <w:rsid w:val="002B41D1"/>
    <w:rsid w:val="002C3687"/>
    <w:rsid w:val="002D4F03"/>
    <w:rsid w:val="002D7D51"/>
    <w:rsid w:val="002F442F"/>
    <w:rsid w:val="00305141"/>
    <w:rsid w:val="0031104A"/>
    <w:rsid w:val="00311100"/>
    <w:rsid w:val="003267C8"/>
    <w:rsid w:val="00332E08"/>
    <w:rsid w:val="00335001"/>
    <w:rsid w:val="00336CDA"/>
    <w:rsid w:val="00342753"/>
    <w:rsid w:val="00342C5C"/>
    <w:rsid w:val="00347EAF"/>
    <w:rsid w:val="00350944"/>
    <w:rsid w:val="00350DAF"/>
    <w:rsid w:val="003565F1"/>
    <w:rsid w:val="00363328"/>
    <w:rsid w:val="003702A6"/>
    <w:rsid w:val="00391508"/>
    <w:rsid w:val="003A0D9C"/>
    <w:rsid w:val="003A2E88"/>
    <w:rsid w:val="003B5810"/>
    <w:rsid w:val="003C5080"/>
    <w:rsid w:val="003C5F40"/>
    <w:rsid w:val="003E100A"/>
    <w:rsid w:val="003E7302"/>
    <w:rsid w:val="00400793"/>
    <w:rsid w:val="00404BBE"/>
    <w:rsid w:val="00407116"/>
    <w:rsid w:val="00436665"/>
    <w:rsid w:val="0044052C"/>
    <w:rsid w:val="0044322D"/>
    <w:rsid w:val="00460704"/>
    <w:rsid w:val="0047419B"/>
    <w:rsid w:val="004829CC"/>
    <w:rsid w:val="00483972"/>
    <w:rsid w:val="004A09D3"/>
    <w:rsid w:val="004A5546"/>
    <w:rsid w:val="004A5DF1"/>
    <w:rsid w:val="004A6D58"/>
    <w:rsid w:val="004B172C"/>
    <w:rsid w:val="004B1ED4"/>
    <w:rsid w:val="004B6E50"/>
    <w:rsid w:val="004C0C52"/>
    <w:rsid w:val="004C1A01"/>
    <w:rsid w:val="004D7D21"/>
    <w:rsid w:val="004F05A4"/>
    <w:rsid w:val="004F6476"/>
    <w:rsid w:val="00501EA3"/>
    <w:rsid w:val="0050227B"/>
    <w:rsid w:val="0051258C"/>
    <w:rsid w:val="00514087"/>
    <w:rsid w:val="00516AA7"/>
    <w:rsid w:val="0052120D"/>
    <w:rsid w:val="005218F0"/>
    <w:rsid w:val="0052237C"/>
    <w:rsid w:val="00527651"/>
    <w:rsid w:val="005427A8"/>
    <w:rsid w:val="0054305F"/>
    <w:rsid w:val="005442CD"/>
    <w:rsid w:val="00554D8B"/>
    <w:rsid w:val="00572223"/>
    <w:rsid w:val="00590313"/>
    <w:rsid w:val="00590F46"/>
    <w:rsid w:val="00592142"/>
    <w:rsid w:val="005B3EE3"/>
    <w:rsid w:val="005C201A"/>
    <w:rsid w:val="005F5389"/>
    <w:rsid w:val="00607C10"/>
    <w:rsid w:val="00612CE7"/>
    <w:rsid w:val="00637536"/>
    <w:rsid w:val="006377E9"/>
    <w:rsid w:val="00637B99"/>
    <w:rsid w:val="00650FAA"/>
    <w:rsid w:val="00652020"/>
    <w:rsid w:val="00654E0C"/>
    <w:rsid w:val="00661FDD"/>
    <w:rsid w:val="0066410A"/>
    <w:rsid w:val="0066545D"/>
    <w:rsid w:val="00670354"/>
    <w:rsid w:val="00673DB8"/>
    <w:rsid w:val="00674F9A"/>
    <w:rsid w:val="006762F6"/>
    <w:rsid w:val="0067647A"/>
    <w:rsid w:val="00680E27"/>
    <w:rsid w:val="00694D8A"/>
    <w:rsid w:val="006A66D0"/>
    <w:rsid w:val="006B564D"/>
    <w:rsid w:val="006B7926"/>
    <w:rsid w:val="006C06A3"/>
    <w:rsid w:val="006C2F95"/>
    <w:rsid w:val="006C33DA"/>
    <w:rsid w:val="006C5DA7"/>
    <w:rsid w:val="006E1E28"/>
    <w:rsid w:val="006E2D58"/>
    <w:rsid w:val="006E31E5"/>
    <w:rsid w:val="006E5760"/>
    <w:rsid w:val="006E5DD3"/>
    <w:rsid w:val="006E6C27"/>
    <w:rsid w:val="006E732A"/>
    <w:rsid w:val="006F48AD"/>
    <w:rsid w:val="00720F32"/>
    <w:rsid w:val="00722354"/>
    <w:rsid w:val="007236D8"/>
    <w:rsid w:val="00745BFD"/>
    <w:rsid w:val="0075009C"/>
    <w:rsid w:val="00750D45"/>
    <w:rsid w:val="007525F0"/>
    <w:rsid w:val="00752DE9"/>
    <w:rsid w:val="0077301F"/>
    <w:rsid w:val="007833F1"/>
    <w:rsid w:val="007A2A4A"/>
    <w:rsid w:val="007B304D"/>
    <w:rsid w:val="007B3A40"/>
    <w:rsid w:val="007B4818"/>
    <w:rsid w:val="007C0727"/>
    <w:rsid w:val="007C30E8"/>
    <w:rsid w:val="007D1380"/>
    <w:rsid w:val="007D1F50"/>
    <w:rsid w:val="007D2B00"/>
    <w:rsid w:val="007D445C"/>
    <w:rsid w:val="007E0D5B"/>
    <w:rsid w:val="007E7EDB"/>
    <w:rsid w:val="007F03FB"/>
    <w:rsid w:val="007F233A"/>
    <w:rsid w:val="007F4467"/>
    <w:rsid w:val="007F63DB"/>
    <w:rsid w:val="00800DD0"/>
    <w:rsid w:val="00806636"/>
    <w:rsid w:val="008153ED"/>
    <w:rsid w:val="008174C4"/>
    <w:rsid w:val="00821B50"/>
    <w:rsid w:val="00827972"/>
    <w:rsid w:val="00833F88"/>
    <w:rsid w:val="008411BC"/>
    <w:rsid w:val="00844ACC"/>
    <w:rsid w:val="008474F8"/>
    <w:rsid w:val="008627C6"/>
    <w:rsid w:val="00862EBB"/>
    <w:rsid w:val="00867F7D"/>
    <w:rsid w:val="00882AFB"/>
    <w:rsid w:val="008A0821"/>
    <w:rsid w:val="008A0E55"/>
    <w:rsid w:val="008A1D7F"/>
    <w:rsid w:val="008A3386"/>
    <w:rsid w:val="008A4CCB"/>
    <w:rsid w:val="008B26C7"/>
    <w:rsid w:val="008B4CC5"/>
    <w:rsid w:val="008B6B0B"/>
    <w:rsid w:val="008C41E4"/>
    <w:rsid w:val="008C6A75"/>
    <w:rsid w:val="008D21D9"/>
    <w:rsid w:val="008D3473"/>
    <w:rsid w:val="008E2100"/>
    <w:rsid w:val="008E7A7C"/>
    <w:rsid w:val="008F2157"/>
    <w:rsid w:val="008F432F"/>
    <w:rsid w:val="008F49BB"/>
    <w:rsid w:val="008F4E17"/>
    <w:rsid w:val="008F6661"/>
    <w:rsid w:val="00900281"/>
    <w:rsid w:val="00904A69"/>
    <w:rsid w:val="00924787"/>
    <w:rsid w:val="00937AF5"/>
    <w:rsid w:val="0094243F"/>
    <w:rsid w:val="0094468C"/>
    <w:rsid w:val="009519EC"/>
    <w:rsid w:val="00972381"/>
    <w:rsid w:val="00977BD7"/>
    <w:rsid w:val="009971AD"/>
    <w:rsid w:val="009B24A0"/>
    <w:rsid w:val="009B7C39"/>
    <w:rsid w:val="009D3212"/>
    <w:rsid w:val="009E0833"/>
    <w:rsid w:val="009E36FF"/>
    <w:rsid w:val="00A02D32"/>
    <w:rsid w:val="00A02EC3"/>
    <w:rsid w:val="00A04392"/>
    <w:rsid w:val="00A17A38"/>
    <w:rsid w:val="00A20645"/>
    <w:rsid w:val="00A2707E"/>
    <w:rsid w:val="00A430F6"/>
    <w:rsid w:val="00A449A9"/>
    <w:rsid w:val="00A615C8"/>
    <w:rsid w:val="00A70AE6"/>
    <w:rsid w:val="00A720FD"/>
    <w:rsid w:val="00A76600"/>
    <w:rsid w:val="00A8483E"/>
    <w:rsid w:val="00A8549C"/>
    <w:rsid w:val="00A934EA"/>
    <w:rsid w:val="00A947F7"/>
    <w:rsid w:val="00A95741"/>
    <w:rsid w:val="00AA59D7"/>
    <w:rsid w:val="00AA7784"/>
    <w:rsid w:val="00AA77C3"/>
    <w:rsid w:val="00AA7D79"/>
    <w:rsid w:val="00AB3075"/>
    <w:rsid w:val="00AC17BF"/>
    <w:rsid w:val="00AC4751"/>
    <w:rsid w:val="00AD28EF"/>
    <w:rsid w:val="00AE0D9C"/>
    <w:rsid w:val="00AE67EE"/>
    <w:rsid w:val="00AF3BCD"/>
    <w:rsid w:val="00AF6AC1"/>
    <w:rsid w:val="00B0257B"/>
    <w:rsid w:val="00B06B6C"/>
    <w:rsid w:val="00B148BE"/>
    <w:rsid w:val="00B21702"/>
    <w:rsid w:val="00B31FB4"/>
    <w:rsid w:val="00B321A0"/>
    <w:rsid w:val="00B37F0F"/>
    <w:rsid w:val="00B411A7"/>
    <w:rsid w:val="00B4149F"/>
    <w:rsid w:val="00B4240A"/>
    <w:rsid w:val="00B44BCE"/>
    <w:rsid w:val="00B45566"/>
    <w:rsid w:val="00B46DBE"/>
    <w:rsid w:val="00B50DD4"/>
    <w:rsid w:val="00B649BE"/>
    <w:rsid w:val="00B66F79"/>
    <w:rsid w:val="00B71E5E"/>
    <w:rsid w:val="00B72A1F"/>
    <w:rsid w:val="00B879AD"/>
    <w:rsid w:val="00B967E0"/>
    <w:rsid w:val="00BA1E99"/>
    <w:rsid w:val="00BA393C"/>
    <w:rsid w:val="00BD0ED5"/>
    <w:rsid w:val="00BE017E"/>
    <w:rsid w:val="00BE3237"/>
    <w:rsid w:val="00BF14C3"/>
    <w:rsid w:val="00BF4F04"/>
    <w:rsid w:val="00C03E8F"/>
    <w:rsid w:val="00C064B4"/>
    <w:rsid w:val="00C10DF2"/>
    <w:rsid w:val="00C2165D"/>
    <w:rsid w:val="00C27D69"/>
    <w:rsid w:val="00C33547"/>
    <w:rsid w:val="00C347C4"/>
    <w:rsid w:val="00C368A3"/>
    <w:rsid w:val="00C42F35"/>
    <w:rsid w:val="00C451BA"/>
    <w:rsid w:val="00C465E7"/>
    <w:rsid w:val="00C67171"/>
    <w:rsid w:val="00C71879"/>
    <w:rsid w:val="00C72A61"/>
    <w:rsid w:val="00C7529F"/>
    <w:rsid w:val="00C82621"/>
    <w:rsid w:val="00C93E62"/>
    <w:rsid w:val="00CA7FD4"/>
    <w:rsid w:val="00CB2DB8"/>
    <w:rsid w:val="00CB6ABA"/>
    <w:rsid w:val="00CC4ABB"/>
    <w:rsid w:val="00CE3DEF"/>
    <w:rsid w:val="00D01B74"/>
    <w:rsid w:val="00D0287A"/>
    <w:rsid w:val="00D07E5A"/>
    <w:rsid w:val="00D25D9C"/>
    <w:rsid w:val="00D34799"/>
    <w:rsid w:val="00D3742A"/>
    <w:rsid w:val="00D54188"/>
    <w:rsid w:val="00D6475A"/>
    <w:rsid w:val="00D64EA3"/>
    <w:rsid w:val="00D72381"/>
    <w:rsid w:val="00D7390D"/>
    <w:rsid w:val="00D75097"/>
    <w:rsid w:val="00D7742E"/>
    <w:rsid w:val="00D77B60"/>
    <w:rsid w:val="00D77D20"/>
    <w:rsid w:val="00D8546D"/>
    <w:rsid w:val="00D926BD"/>
    <w:rsid w:val="00D92BCD"/>
    <w:rsid w:val="00D93243"/>
    <w:rsid w:val="00DA0A79"/>
    <w:rsid w:val="00DA1E30"/>
    <w:rsid w:val="00DA4FF2"/>
    <w:rsid w:val="00DB07FA"/>
    <w:rsid w:val="00DB0D52"/>
    <w:rsid w:val="00DB1516"/>
    <w:rsid w:val="00DB5F7C"/>
    <w:rsid w:val="00DC6778"/>
    <w:rsid w:val="00DE615F"/>
    <w:rsid w:val="00DF0B37"/>
    <w:rsid w:val="00DF7B8F"/>
    <w:rsid w:val="00E0221F"/>
    <w:rsid w:val="00E02A41"/>
    <w:rsid w:val="00E10D4A"/>
    <w:rsid w:val="00E17843"/>
    <w:rsid w:val="00E208A9"/>
    <w:rsid w:val="00E21FE7"/>
    <w:rsid w:val="00E223D7"/>
    <w:rsid w:val="00E26436"/>
    <w:rsid w:val="00E32886"/>
    <w:rsid w:val="00E33F11"/>
    <w:rsid w:val="00E3402E"/>
    <w:rsid w:val="00E359D7"/>
    <w:rsid w:val="00E452CF"/>
    <w:rsid w:val="00E507AE"/>
    <w:rsid w:val="00E57E1A"/>
    <w:rsid w:val="00E61EC8"/>
    <w:rsid w:val="00E63E67"/>
    <w:rsid w:val="00E75F63"/>
    <w:rsid w:val="00E83A4A"/>
    <w:rsid w:val="00E8586F"/>
    <w:rsid w:val="00E85997"/>
    <w:rsid w:val="00E921D4"/>
    <w:rsid w:val="00EA0058"/>
    <w:rsid w:val="00EA3A86"/>
    <w:rsid w:val="00EB6A69"/>
    <w:rsid w:val="00EC0BD9"/>
    <w:rsid w:val="00EC0F95"/>
    <w:rsid w:val="00ED15C3"/>
    <w:rsid w:val="00EE4ACA"/>
    <w:rsid w:val="00EE51D4"/>
    <w:rsid w:val="00EE7C1B"/>
    <w:rsid w:val="00EF08E7"/>
    <w:rsid w:val="00F04C56"/>
    <w:rsid w:val="00F23AAB"/>
    <w:rsid w:val="00F350B3"/>
    <w:rsid w:val="00F3523F"/>
    <w:rsid w:val="00F51494"/>
    <w:rsid w:val="00F535FC"/>
    <w:rsid w:val="00F57594"/>
    <w:rsid w:val="00F57958"/>
    <w:rsid w:val="00F64F03"/>
    <w:rsid w:val="00F709CF"/>
    <w:rsid w:val="00F71937"/>
    <w:rsid w:val="00F759A9"/>
    <w:rsid w:val="00F86E4D"/>
    <w:rsid w:val="00F92253"/>
    <w:rsid w:val="00F9576A"/>
    <w:rsid w:val="00F970CC"/>
    <w:rsid w:val="00FA35FC"/>
    <w:rsid w:val="00FA71F8"/>
    <w:rsid w:val="00FB63EA"/>
    <w:rsid w:val="00FC2C21"/>
    <w:rsid w:val="00FC614B"/>
    <w:rsid w:val="00FC75C3"/>
    <w:rsid w:val="00FD39FF"/>
    <w:rsid w:val="00FE20FD"/>
    <w:rsid w:val="00FF334D"/>
    <w:rsid w:val="00FF54D9"/>
    <w:rsid w:val="014CE67D"/>
    <w:rsid w:val="04DC6E55"/>
    <w:rsid w:val="071DFE8E"/>
    <w:rsid w:val="09F525F7"/>
    <w:rsid w:val="0C3DC7FD"/>
    <w:rsid w:val="0C3DF75C"/>
    <w:rsid w:val="0F14BCFE"/>
    <w:rsid w:val="14FC07B8"/>
    <w:rsid w:val="15C07783"/>
    <w:rsid w:val="18B32938"/>
    <w:rsid w:val="1B4FF943"/>
    <w:rsid w:val="1EB8FA59"/>
    <w:rsid w:val="203CF510"/>
    <w:rsid w:val="20AE16FC"/>
    <w:rsid w:val="24A3A2F0"/>
    <w:rsid w:val="2528A90B"/>
    <w:rsid w:val="25AD2D1A"/>
    <w:rsid w:val="29174678"/>
    <w:rsid w:val="2AE6185B"/>
    <w:rsid w:val="2B6EFD7E"/>
    <w:rsid w:val="2BAFDED0"/>
    <w:rsid w:val="2C3914AD"/>
    <w:rsid w:val="2D7CB426"/>
    <w:rsid w:val="30266EEC"/>
    <w:rsid w:val="305ED076"/>
    <w:rsid w:val="30C65194"/>
    <w:rsid w:val="37AB4AA5"/>
    <w:rsid w:val="387F6EF4"/>
    <w:rsid w:val="3904332B"/>
    <w:rsid w:val="3C6E1582"/>
    <w:rsid w:val="3C9BEA32"/>
    <w:rsid w:val="4166FF5E"/>
    <w:rsid w:val="423A9BA7"/>
    <w:rsid w:val="4401259B"/>
    <w:rsid w:val="443E6F9A"/>
    <w:rsid w:val="476D434E"/>
    <w:rsid w:val="47A0580F"/>
    <w:rsid w:val="4D86BB95"/>
    <w:rsid w:val="4ED41162"/>
    <w:rsid w:val="4F65CBE9"/>
    <w:rsid w:val="5170D5AA"/>
    <w:rsid w:val="52249C3D"/>
    <w:rsid w:val="55637134"/>
    <w:rsid w:val="55C752FB"/>
    <w:rsid w:val="5D629279"/>
    <w:rsid w:val="611C57DD"/>
    <w:rsid w:val="631CA313"/>
    <w:rsid w:val="6642B00D"/>
    <w:rsid w:val="66945D2C"/>
    <w:rsid w:val="6BFFB392"/>
    <w:rsid w:val="6F06E31A"/>
    <w:rsid w:val="711585E3"/>
    <w:rsid w:val="714E7BD8"/>
    <w:rsid w:val="7200DB76"/>
    <w:rsid w:val="7300F183"/>
    <w:rsid w:val="782D2859"/>
    <w:rsid w:val="789207D1"/>
    <w:rsid w:val="7D4732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D80BB"/>
  <w15:docId w15:val="{BC88612A-32E2-4C9E-8BFA-DAD73D7D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B642BC"/>
    <w:pPr>
      <w:keepNext/>
      <w:spacing w:after="20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BF0C66"/>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B278E0"/>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Webdings" w:hAnsi="Webdings"/>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aglione@guidehouse.com" TargetMode="External"/><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harles.ampong@guidehous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laura.agapay.read@guidehouse.co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erickson@guidehouse.com" TargetMode="External"/><Relationship Id="rId22" Type="http://schemas.openxmlformats.org/officeDocument/2006/relationships/hyperlink" Target="http://www.ilsag.info/technical-reference-manual.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B6DB4-CE02-46B9-8BFD-E7BF6E043A5B}">
  <ds:schemaRefs>
    <ds:schemaRef ds:uri="http://schemas.microsoft.com/office/2006/metadata/properties"/>
    <ds:schemaRef ds:uri="http://schemas.microsoft.com/office/infopath/2007/PartnerControls"/>
    <ds:schemaRef ds:uri="http://schemas.microsoft.com/sharepoint/v3"/>
    <ds:schemaRef ds:uri="b2d023fd-748d-47fb-9def-a48ce366a9e6"/>
    <ds:schemaRef ds:uri="c7dbb18a-942d-48ab-becb-8e31551bea5d"/>
  </ds:schemaRefs>
</ds:datastoreItem>
</file>

<file path=customXml/itemProps2.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3.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4.xml><?xml version="1.0" encoding="utf-8"?>
<ds:datastoreItem xmlns:ds="http://schemas.openxmlformats.org/officeDocument/2006/customXml" ds:itemID="{64AD48F1-5D42-4FD0-A206-F354283A7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3922</Words>
  <Characters>21338</Characters>
  <Application>Microsoft Office Word</Application>
  <DocSecurity>0</DocSecurity>
  <Lines>2370</Lines>
  <Paragraphs>1943</Paragraphs>
  <ScaleCrop>false</ScaleCrop>
  <Company/>
  <LinksUpToDate>false</LinksUpToDate>
  <CharactersWithSpaces>23317</CharactersWithSpaces>
  <SharedDoc>false</SharedDoc>
  <HLinks>
    <vt:vector size="168" baseType="variant">
      <vt:variant>
        <vt:i4>524369</vt:i4>
      </vt:variant>
      <vt:variant>
        <vt:i4>174</vt:i4>
      </vt:variant>
      <vt:variant>
        <vt:i4>0</vt:i4>
      </vt:variant>
      <vt:variant>
        <vt:i4>5</vt:i4>
      </vt:variant>
      <vt:variant>
        <vt:lpwstr>http://www.ilsag.info/technical-reference-manual.html</vt:lpwstr>
      </vt:variant>
      <vt:variant>
        <vt:lpwstr/>
      </vt:variant>
      <vt:variant>
        <vt:i4>1900595</vt:i4>
      </vt:variant>
      <vt:variant>
        <vt:i4>125</vt:i4>
      </vt:variant>
      <vt:variant>
        <vt:i4>0</vt:i4>
      </vt:variant>
      <vt:variant>
        <vt:i4>5</vt:i4>
      </vt:variant>
      <vt:variant>
        <vt:lpwstr/>
      </vt:variant>
      <vt:variant>
        <vt:lpwstr>_Toc225449057</vt:lpwstr>
      </vt:variant>
      <vt:variant>
        <vt:i4>1900595</vt:i4>
      </vt:variant>
      <vt:variant>
        <vt:i4>119</vt:i4>
      </vt:variant>
      <vt:variant>
        <vt:i4>0</vt:i4>
      </vt:variant>
      <vt:variant>
        <vt:i4>5</vt:i4>
      </vt:variant>
      <vt:variant>
        <vt:lpwstr/>
      </vt:variant>
      <vt:variant>
        <vt:lpwstr>_Toc225449056</vt:lpwstr>
      </vt:variant>
      <vt:variant>
        <vt:i4>1900595</vt:i4>
      </vt:variant>
      <vt:variant>
        <vt:i4>113</vt:i4>
      </vt:variant>
      <vt:variant>
        <vt:i4>0</vt:i4>
      </vt:variant>
      <vt:variant>
        <vt:i4>5</vt:i4>
      </vt:variant>
      <vt:variant>
        <vt:lpwstr/>
      </vt:variant>
      <vt:variant>
        <vt:lpwstr>_Toc225449055</vt:lpwstr>
      </vt:variant>
      <vt:variant>
        <vt:i4>1900595</vt:i4>
      </vt:variant>
      <vt:variant>
        <vt:i4>107</vt:i4>
      </vt:variant>
      <vt:variant>
        <vt:i4>0</vt:i4>
      </vt:variant>
      <vt:variant>
        <vt:i4>5</vt:i4>
      </vt:variant>
      <vt:variant>
        <vt:lpwstr/>
      </vt:variant>
      <vt:variant>
        <vt:lpwstr>_Toc225449054</vt:lpwstr>
      </vt:variant>
      <vt:variant>
        <vt:i4>1900595</vt:i4>
      </vt:variant>
      <vt:variant>
        <vt:i4>101</vt:i4>
      </vt:variant>
      <vt:variant>
        <vt:i4>0</vt:i4>
      </vt:variant>
      <vt:variant>
        <vt:i4>5</vt:i4>
      </vt:variant>
      <vt:variant>
        <vt:lpwstr/>
      </vt:variant>
      <vt:variant>
        <vt:lpwstr>_Toc225449053</vt:lpwstr>
      </vt:variant>
      <vt:variant>
        <vt:i4>1900595</vt:i4>
      </vt:variant>
      <vt:variant>
        <vt:i4>95</vt:i4>
      </vt:variant>
      <vt:variant>
        <vt:i4>0</vt:i4>
      </vt:variant>
      <vt:variant>
        <vt:i4>5</vt:i4>
      </vt:variant>
      <vt:variant>
        <vt:lpwstr/>
      </vt:variant>
      <vt:variant>
        <vt:lpwstr>_Toc225449052</vt:lpwstr>
      </vt:variant>
      <vt:variant>
        <vt:i4>1900595</vt:i4>
      </vt:variant>
      <vt:variant>
        <vt:i4>89</vt:i4>
      </vt:variant>
      <vt:variant>
        <vt:i4>0</vt:i4>
      </vt:variant>
      <vt:variant>
        <vt:i4>5</vt:i4>
      </vt:variant>
      <vt:variant>
        <vt:lpwstr/>
      </vt:variant>
      <vt:variant>
        <vt:lpwstr>_Toc225449051</vt:lpwstr>
      </vt:variant>
      <vt:variant>
        <vt:i4>1900595</vt:i4>
      </vt:variant>
      <vt:variant>
        <vt:i4>83</vt:i4>
      </vt:variant>
      <vt:variant>
        <vt:i4>0</vt:i4>
      </vt:variant>
      <vt:variant>
        <vt:i4>5</vt:i4>
      </vt:variant>
      <vt:variant>
        <vt:lpwstr/>
      </vt:variant>
      <vt:variant>
        <vt:lpwstr>_Toc225449050</vt:lpwstr>
      </vt:variant>
      <vt:variant>
        <vt:i4>1835059</vt:i4>
      </vt:variant>
      <vt:variant>
        <vt:i4>77</vt:i4>
      </vt:variant>
      <vt:variant>
        <vt:i4>0</vt:i4>
      </vt:variant>
      <vt:variant>
        <vt:i4>5</vt:i4>
      </vt:variant>
      <vt:variant>
        <vt:lpwstr/>
      </vt:variant>
      <vt:variant>
        <vt:lpwstr>_Toc225449049</vt:lpwstr>
      </vt:variant>
      <vt:variant>
        <vt:i4>1835059</vt:i4>
      </vt:variant>
      <vt:variant>
        <vt:i4>68</vt:i4>
      </vt:variant>
      <vt:variant>
        <vt:i4>0</vt:i4>
      </vt:variant>
      <vt:variant>
        <vt:i4>5</vt:i4>
      </vt:variant>
      <vt:variant>
        <vt:lpwstr/>
      </vt:variant>
      <vt:variant>
        <vt:lpwstr>_Toc225449048</vt:lpwstr>
      </vt:variant>
      <vt:variant>
        <vt:i4>1835059</vt:i4>
      </vt:variant>
      <vt:variant>
        <vt:i4>62</vt:i4>
      </vt:variant>
      <vt:variant>
        <vt:i4>0</vt:i4>
      </vt:variant>
      <vt:variant>
        <vt:i4>5</vt:i4>
      </vt:variant>
      <vt:variant>
        <vt:lpwstr/>
      </vt:variant>
      <vt:variant>
        <vt:lpwstr>_Toc225449047</vt:lpwstr>
      </vt:variant>
      <vt:variant>
        <vt:i4>1835059</vt:i4>
      </vt:variant>
      <vt:variant>
        <vt:i4>56</vt:i4>
      </vt:variant>
      <vt:variant>
        <vt:i4>0</vt:i4>
      </vt:variant>
      <vt:variant>
        <vt:i4>5</vt:i4>
      </vt:variant>
      <vt:variant>
        <vt:lpwstr/>
      </vt:variant>
      <vt:variant>
        <vt:lpwstr>_Toc225449046</vt:lpwstr>
      </vt:variant>
      <vt:variant>
        <vt:i4>1835059</vt:i4>
      </vt:variant>
      <vt:variant>
        <vt:i4>50</vt:i4>
      </vt:variant>
      <vt:variant>
        <vt:i4>0</vt:i4>
      </vt:variant>
      <vt:variant>
        <vt:i4>5</vt:i4>
      </vt:variant>
      <vt:variant>
        <vt:lpwstr/>
      </vt:variant>
      <vt:variant>
        <vt:lpwstr>_Toc225449045</vt:lpwstr>
      </vt:variant>
      <vt:variant>
        <vt:i4>1835059</vt:i4>
      </vt:variant>
      <vt:variant>
        <vt:i4>44</vt:i4>
      </vt:variant>
      <vt:variant>
        <vt:i4>0</vt:i4>
      </vt:variant>
      <vt:variant>
        <vt:i4>5</vt:i4>
      </vt:variant>
      <vt:variant>
        <vt:lpwstr/>
      </vt:variant>
      <vt:variant>
        <vt:lpwstr>_Toc225449044</vt:lpwstr>
      </vt:variant>
      <vt:variant>
        <vt:i4>1835059</vt:i4>
      </vt:variant>
      <vt:variant>
        <vt:i4>38</vt:i4>
      </vt:variant>
      <vt:variant>
        <vt:i4>0</vt:i4>
      </vt:variant>
      <vt:variant>
        <vt:i4>5</vt:i4>
      </vt:variant>
      <vt:variant>
        <vt:lpwstr/>
      </vt:variant>
      <vt:variant>
        <vt:lpwstr>_Toc225449043</vt:lpwstr>
      </vt:variant>
      <vt:variant>
        <vt:i4>1835059</vt:i4>
      </vt:variant>
      <vt:variant>
        <vt:i4>32</vt:i4>
      </vt:variant>
      <vt:variant>
        <vt:i4>0</vt:i4>
      </vt:variant>
      <vt:variant>
        <vt:i4>5</vt:i4>
      </vt:variant>
      <vt:variant>
        <vt:lpwstr/>
      </vt:variant>
      <vt:variant>
        <vt:lpwstr>_Toc225449042</vt:lpwstr>
      </vt:variant>
      <vt:variant>
        <vt:i4>1835059</vt:i4>
      </vt:variant>
      <vt:variant>
        <vt:i4>26</vt:i4>
      </vt:variant>
      <vt:variant>
        <vt:i4>0</vt:i4>
      </vt:variant>
      <vt:variant>
        <vt:i4>5</vt:i4>
      </vt:variant>
      <vt:variant>
        <vt:lpwstr/>
      </vt:variant>
      <vt:variant>
        <vt:lpwstr>_Toc225449041</vt:lpwstr>
      </vt:variant>
      <vt:variant>
        <vt:i4>1835059</vt:i4>
      </vt:variant>
      <vt:variant>
        <vt:i4>20</vt:i4>
      </vt:variant>
      <vt:variant>
        <vt:i4>0</vt:i4>
      </vt:variant>
      <vt:variant>
        <vt:i4>5</vt:i4>
      </vt:variant>
      <vt:variant>
        <vt:lpwstr/>
      </vt:variant>
      <vt:variant>
        <vt:lpwstr>_Toc225449040</vt:lpwstr>
      </vt:variant>
      <vt:variant>
        <vt:i4>1769523</vt:i4>
      </vt:variant>
      <vt:variant>
        <vt:i4>14</vt:i4>
      </vt:variant>
      <vt:variant>
        <vt:i4>0</vt:i4>
      </vt:variant>
      <vt:variant>
        <vt:i4>5</vt:i4>
      </vt:variant>
      <vt:variant>
        <vt:lpwstr/>
      </vt:variant>
      <vt:variant>
        <vt:lpwstr>_Toc225449039</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ariant>
        <vt:i4>4128789</vt:i4>
      </vt:variant>
      <vt:variant>
        <vt:i4>9</vt:i4>
      </vt:variant>
      <vt:variant>
        <vt:i4>0</vt:i4>
      </vt:variant>
      <vt:variant>
        <vt:i4>5</vt:i4>
      </vt:variant>
      <vt:variant>
        <vt:lpwstr>mailto:rhodge@guidehouse.com</vt:lpwstr>
      </vt:variant>
      <vt:variant>
        <vt:lpwstr/>
      </vt:variant>
      <vt:variant>
        <vt:i4>2555976</vt:i4>
      </vt:variant>
      <vt:variant>
        <vt:i4>6</vt:i4>
      </vt:variant>
      <vt:variant>
        <vt:i4>0</vt:i4>
      </vt:variant>
      <vt:variant>
        <vt:i4>5</vt:i4>
      </vt:variant>
      <vt:variant>
        <vt:lpwstr>mailto:charles.ampong@guidehouse.com</vt:lpwstr>
      </vt:variant>
      <vt:variant>
        <vt:lpwstr/>
      </vt:variant>
      <vt:variant>
        <vt:i4>2555976</vt:i4>
      </vt:variant>
      <vt:variant>
        <vt:i4>3</vt:i4>
      </vt:variant>
      <vt:variant>
        <vt:i4>0</vt:i4>
      </vt:variant>
      <vt:variant>
        <vt:i4>5</vt:i4>
      </vt:variant>
      <vt:variant>
        <vt:lpwstr>mailto:charles.ampong@guidehouse.com</vt:lpwstr>
      </vt:variant>
      <vt:variant>
        <vt:lpwstr/>
      </vt:variant>
      <vt:variant>
        <vt:i4>4128789</vt:i4>
      </vt:variant>
      <vt:variant>
        <vt:i4>0</vt:i4>
      </vt:variant>
      <vt:variant>
        <vt:i4>0</vt:i4>
      </vt:variant>
      <vt:variant>
        <vt:i4>5</vt:i4>
      </vt:variant>
      <vt:variant>
        <vt:lpwstr>mailto:rhodge@guidehouse.com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5</cp:revision>
  <dcterms:created xsi:type="dcterms:W3CDTF">2026-03-28T00:20:00Z</dcterms:created>
  <dcterms:modified xsi:type="dcterms:W3CDTF">2026-03-28T00:23:00Z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