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110A995C" w:rsidR="009137D9" w:rsidRPr="00190360" w:rsidRDefault="00655FB0" w:rsidP="00BA112B">
      <w:pPr>
        <w:pStyle w:val="Title"/>
      </w:pPr>
      <w:r>
        <w:t>Business New Construction</w:t>
      </w:r>
      <w:r w:rsidR="006D75EA" w:rsidRPr="00190360">
        <w:t xml:space="preserve"> </w:t>
      </w:r>
      <w:r w:rsidR="001B330A">
        <w:t>Program Impact Evaluation Report</w:t>
      </w:r>
    </w:p>
    <w:p w14:paraId="0506F919" w14:textId="77777777" w:rsidR="003F708F" w:rsidRDefault="003F708F" w:rsidP="003F708F"/>
    <w:p w14:paraId="3A773FF2" w14:textId="589F138B" w:rsidR="007D1E07" w:rsidRPr="00DC6856" w:rsidRDefault="00573576" w:rsidP="00DC6856">
      <w:pPr>
        <w:rPr>
          <w:sz w:val="28"/>
          <w:szCs w:val="28"/>
        </w:rPr>
      </w:pPr>
      <w:r w:rsidRPr="00DC6856">
        <w:rPr>
          <w:sz w:val="28"/>
          <w:szCs w:val="28"/>
        </w:rPr>
        <w:t xml:space="preserve">Energy </w:t>
      </w:r>
      <w:r w:rsidR="00AD1053" w:rsidRPr="00DC6856">
        <w:rPr>
          <w:sz w:val="28"/>
          <w:szCs w:val="28"/>
        </w:rPr>
        <w:t>Efficiency Plan</w:t>
      </w:r>
      <w:r w:rsidR="00DC6856" w:rsidRPr="00DC6856">
        <w:rPr>
          <w:sz w:val="28"/>
          <w:szCs w:val="28"/>
        </w:rPr>
        <w:t xml:space="preserve">: </w:t>
      </w:r>
      <w:r w:rsidR="007531F7" w:rsidRPr="00DC6856">
        <w:rPr>
          <w:sz w:val="28"/>
          <w:szCs w:val="28"/>
        </w:rPr>
        <w:t>Program Year 20</w:t>
      </w:r>
      <w:r w:rsidR="001B330A" w:rsidRPr="00DC6856">
        <w:rPr>
          <w:sz w:val="28"/>
          <w:szCs w:val="28"/>
        </w:rPr>
        <w:t>25</w:t>
      </w:r>
      <w:r w:rsidR="007531F7" w:rsidRPr="00DC6856">
        <w:rPr>
          <w:sz w:val="28"/>
          <w:szCs w:val="28"/>
        </w:rPr>
        <w:t xml:space="preserve"> </w:t>
      </w:r>
    </w:p>
    <w:p w14:paraId="52F05965" w14:textId="4967A2B7" w:rsidR="009137D9" w:rsidRPr="00932BBC" w:rsidRDefault="001B330A" w:rsidP="00BA112B">
      <w:pPr>
        <w:pStyle w:val="Subtitle"/>
      </w:pPr>
      <w:r>
        <w:t>(01/01/2025-12/31/2025)</w:t>
      </w:r>
      <w:r w:rsidR="007531F7">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757F2B8D" w:rsidR="009137D9" w:rsidRPr="0056335A" w:rsidRDefault="00AD4B4E">
      <w:pPr>
        <w:rPr>
          <w:rStyle w:val="Strong"/>
          <w:sz w:val="28"/>
          <w:szCs w:val="28"/>
        </w:rPr>
      </w:pPr>
      <w:r>
        <w:rPr>
          <w:rStyle w:val="Strong"/>
          <w:sz w:val="28"/>
          <w:szCs w:val="28"/>
        </w:rPr>
        <w:t>Peoples Gas and North Shore Gas</w:t>
      </w:r>
    </w:p>
    <w:p w14:paraId="4EB17E00" w14:textId="1D176C91" w:rsidR="00B06A32" w:rsidRDefault="00DB72D0">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BA112B" w:rsidRDefault="003F708F">
      <w:pPr>
        <w:rPr>
          <w:rStyle w:val="Strong"/>
          <w:sz w:val="28"/>
          <w:szCs w:val="28"/>
        </w:rPr>
      </w:pPr>
      <w:r w:rsidRPr="0056335A">
        <w:rPr>
          <w:rStyle w:val="Strong"/>
          <w:sz w:val="28"/>
          <w:szCs w:val="28"/>
        </w:rPr>
        <w:t>DRAFT</w:t>
      </w:r>
    </w:p>
    <w:p w14:paraId="139BFCE7" w14:textId="77777777" w:rsidR="00B06A32" w:rsidRPr="0056335A" w:rsidRDefault="00B06A32">
      <w:pPr>
        <w:rPr>
          <w:rStyle w:val="Strong"/>
          <w:sz w:val="28"/>
          <w:szCs w:val="28"/>
        </w:rPr>
      </w:pPr>
    </w:p>
    <w:p w14:paraId="21376970" w14:textId="23AE4893" w:rsidR="00BA112B" w:rsidRPr="0056335A" w:rsidRDefault="00655FB0">
      <w:pPr>
        <w:rPr>
          <w:rStyle w:val="Strong"/>
          <w:sz w:val="28"/>
          <w:szCs w:val="28"/>
        </w:rPr>
      </w:pPr>
      <w:r>
        <w:rPr>
          <w:rStyle w:val="Strong"/>
          <w:sz w:val="28"/>
          <w:szCs w:val="28"/>
        </w:rPr>
        <w:t>March</w:t>
      </w:r>
      <w:r w:rsidR="00B727A2">
        <w:rPr>
          <w:rStyle w:val="Strong"/>
          <w:sz w:val="28"/>
          <w:szCs w:val="28"/>
        </w:rPr>
        <w:t xml:space="preserve"> 1</w:t>
      </w:r>
      <w:r w:rsidR="00DC6856">
        <w:rPr>
          <w:rStyle w:val="Strong"/>
          <w:sz w:val="28"/>
          <w:szCs w:val="28"/>
        </w:rPr>
        <w:t>9</w:t>
      </w:r>
      <w:r>
        <w:rPr>
          <w:rStyle w:val="Strong"/>
          <w:sz w:val="28"/>
          <w:szCs w:val="28"/>
        </w:rPr>
        <w:t>, 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188"/>
        <w:gridCol w:w="1635"/>
        <w:gridCol w:w="1636"/>
        <w:gridCol w:w="1636"/>
      </w:tblGrid>
      <w:tr w:rsidR="00DE1C51" w:rsidRPr="0010260D" w14:paraId="4155AFC7" w14:textId="77777777" w:rsidTr="006A4B95">
        <w:trPr>
          <w:trHeight w:val="737"/>
        </w:trPr>
        <w:tc>
          <w:tcPr>
            <w:tcW w:w="1845" w:type="dxa"/>
          </w:tcPr>
          <w:p w14:paraId="142E74E2" w14:textId="7756A5F2" w:rsidR="00DE1C51" w:rsidRPr="00655FB0" w:rsidRDefault="00655FB0" w:rsidP="00751AB4">
            <w:pPr>
              <w:pStyle w:val="NoSpacing"/>
              <w:rPr>
                <w:b/>
                <w:bCs/>
                <w:sz w:val="22"/>
                <w:szCs w:val="22"/>
              </w:rPr>
            </w:pPr>
            <w:r w:rsidRPr="00655FB0">
              <w:rPr>
                <w:b/>
                <w:bCs/>
                <w:sz w:val="22"/>
                <w:szCs w:val="22"/>
              </w:rPr>
              <w:t>Ryan Kroll</w:t>
            </w:r>
          </w:p>
          <w:p w14:paraId="54F55874" w14:textId="5965311E" w:rsidR="00DE1C51" w:rsidRPr="0010260D" w:rsidRDefault="00655FB0" w:rsidP="00751AB4">
            <w:pPr>
              <w:pStyle w:val="NoSpacing"/>
              <w:rPr>
                <w:sz w:val="22"/>
                <w:szCs w:val="22"/>
              </w:rPr>
            </w:pPr>
            <w:r>
              <w:rPr>
                <w:sz w:val="22"/>
                <w:szCs w:val="22"/>
              </w:rPr>
              <w:t>Driftless Energy</w:t>
            </w:r>
          </w:p>
        </w:tc>
        <w:tc>
          <w:tcPr>
            <w:tcW w:w="1635" w:type="dxa"/>
          </w:tcPr>
          <w:p w14:paraId="634F2B36" w14:textId="589C3B74" w:rsidR="00DE1C51" w:rsidRPr="00655FB0" w:rsidRDefault="00DE1C51" w:rsidP="00AB669D">
            <w:pPr>
              <w:pStyle w:val="NoSpacing"/>
              <w:rPr>
                <w:b/>
                <w:bCs/>
                <w:sz w:val="22"/>
                <w:szCs w:val="22"/>
                <w:highlight w:val="yellow"/>
              </w:rPr>
            </w:pPr>
          </w:p>
        </w:tc>
        <w:tc>
          <w:tcPr>
            <w:tcW w:w="1636" w:type="dxa"/>
          </w:tcPr>
          <w:p w14:paraId="1F7E854F" w14:textId="29DED864" w:rsidR="00655FB0" w:rsidRPr="00187113" w:rsidRDefault="00655FB0" w:rsidP="00655FB0">
            <w:pPr>
              <w:pStyle w:val="NoSpacing"/>
              <w:rPr>
                <w:sz w:val="22"/>
                <w:szCs w:val="22"/>
              </w:rPr>
            </w:pPr>
          </w:p>
          <w:p w14:paraId="6F39A4FC" w14:textId="42516A2C" w:rsidR="00DE1C51" w:rsidRPr="00187113" w:rsidRDefault="00DE1C51" w:rsidP="00AB669D">
            <w:pPr>
              <w:pStyle w:val="NoSpacing"/>
              <w:rPr>
                <w:sz w:val="22"/>
                <w:szCs w:val="22"/>
                <w:highlight w:val="yellow"/>
              </w:rPr>
            </w:pPr>
          </w:p>
        </w:tc>
        <w:tc>
          <w:tcPr>
            <w:tcW w:w="1636" w:type="dxa"/>
          </w:tcPr>
          <w:p w14:paraId="689004BB" w14:textId="42FDAB28" w:rsidR="00AB669D" w:rsidRPr="00655FB0" w:rsidRDefault="00655FB0" w:rsidP="00AB669D">
            <w:pPr>
              <w:pStyle w:val="NoSpacing"/>
              <w:rPr>
                <w:b/>
                <w:bCs/>
                <w:sz w:val="22"/>
                <w:szCs w:val="22"/>
              </w:rPr>
            </w:pPr>
            <w:r w:rsidRPr="00655FB0">
              <w:rPr>
                <w:b/>
                <w:bCs/>
                <w:sz w:val="22"/>
                <w:szCs w:val="22"/>
              </w:rPr>
              <w:t>Sagar Phalke</w:t>
            </w:r>
          </w:p>
          <w:p w14:paraId="117B46BE" w14:textId="280E2941" w:rsidR="00DE1C51" w:rsidRPr="00187113" w:rsidRDefault="00655FB0" w:rsidP="00AB669D">
            <w:pPr>
              <w:pStyle w:val="NoSpacing"/>
              <w:rPr>
                <w:sz w:val="22"/>
                <w:szCs w:val="22"/>
                <w:highlight w:val="yellow"/>
              </w:rPr>
            </w:pPr>
            <w:r w:rsidRPr="00655FB0">
              <w:rPr>
                <w:sz w:val="22"/>
                <w:szCs w:val="22"/>
              </w:rPr>
              <w:t>Guidehouse</w:t>
            </w:r>
          </w:p>
        </w:tc>
      </w:tr>
      <w:tr w:rsidR="00BF0C66" w:rsidRPr="0010260D" w14:paraId="73DF88AA" w14:textId="77777777" w:rsidTr="006A4B95">
        <w:trPr>
          <w:trHeight w:val="737"/>
        </w:trPr>
        <w:tc>
          <w:tcPr>
            <w:tcW w:w="1845" w:type="dxa"/>
          </w:tcPr>
          <w:p w14:paraId="7E2D130D" w14:textId="2C6EB2D3" w:rsidR="00BF0C66" w:rsidRPr="00187113" w:rsidRDefault="00BF0C66" w:rsidP="00BC68E4">
            <w:pPr>
              <w:pStyle w:val="NoSpacing"/>
              <w:jc w:val="center"/>
              <w:rPr>
                <w:b/>
                <w:bCs/>
                <w:sz w:val="22"/>
                <w:szCs w:val="22"/>
                <w:highlight w:val="yellow"/>
              </w:rPr>
            </w:pPr>
          </w:p>
        </w:tc>
        <w:tc>
          <w:tcPr>
            <w:tcW w:w="1635" w:type="dxa"/>
          </w:tcPr>
          <w:p w14:paraId="2240E35E" w14:textId="3E1A2D77" w:rsidR="00BF0C66" w:rsidRPr="00187113" w:rsidRDefault="00BF0C66" w:rsidP="00BC68E4">
            <w:pPr>
              <w:pStyle w:val="NoSpacing"/>
              <w:jc w:val="center"/>
              <w:rPr>
                <w:b/>
                <w:bCs/>
                <w:sz w:val="22"/>
                <w:szCs w:val="22"/>
                <w:highlight w:val="yellow"/>
              </w:rPr>
            </w:pPr>
          </w:p>
        </w:tc>
        <w:tc>
          <w:tcPr>
            <w:tcW w:w="1636" w:type="dxa"/>
          </w:tcPr>
          <w:p w14:paraId="2E5F5A8D" w14:textId="0D4F14E3" w:rsidR="00BF0C66" w:rsidRPr="00187113" w:rsidRDefault="00BF0C66" w:rsidP="00BC68E4">
            <w:pPr>
              <w:pStyle w:val="NoSpacing"/>
              <w:jc w:val="center"/>
              <w:rPr>
                <w:b/>
                <w:bCs/>
                <w:sz w:val="22"/>
                <w:szCs w:val="22"/>
                <w:highlight w:val="yellow"/>
              </w:rPr>
            </w:pPr>
          </w:p>
        </w:tc>
        <w:tc>
          <w:tcPr>
            <w:tcW w:w="1636" w:type="dxa"/>
          </w:tcPr>
          <w:p w14:paraId="1B219F0D" w14:textId="2DE0F619" w:rsidR="00BF0C66" w:rsidRPr="00187113" w:rsidRDefault="00BF0C66" w:rsidP="00BC68E4">
            <w:pPr>
              <w:pStyle w:val="NoSpacing"/>
              <w:jc w:val="center"/>
              <w:rPr>
                <w:b/>
                <w:bCs/>
                <w:sz w:val="22"/>
                <w:szCs w:val="22"/>
                <w:highlight w:val="yellow"/>
              </w:rPr>
            </w:pPr>
          </w:p>
        </w:tc>
      </w:tr>
      <w:tr w:rsidR="00BC68E4" w:rsidRPr="0010260D" w14:paraId="432CCF57" w14:textId="77777777" w:rsidTr="006A4B95">
        <w:trPr>
          <w:trHeight w:val="737"/>
        </w:trPr>
        <w:tc>
          <w:tcPr>
            <w:tcW w:w="1845" w:type="dxa"/>
          </w:tcPr>
          <w:p w14:paraId="43372510" w14:textId="500FDA35" w:rsidR="00BC68E4" w:rsidRPr="00FD0661" w:rsidRDefault="006A4B95" w:rsidP="00BC68E4">
            <w:pPr>
              <w:pStyle w:val="NoSpacing"/>
              <w:jc w:val="center"/>
              <w:rPr>
                <w:rFonts w:cs="Arial"/>
                <w:noProof/>
              </w:rPr>
            </w:pPr>
            <w:r w:rsidRPr="00FD0661">
              <w:rPr>
                <w:rFonts w:cs="Arial"/>
                <w:noProof/>
              </w:rPr>
              <w:drawing>
                <wp:inline distT="0" distB="0" distL="0" distR="0" wp14:anchorId="0B32F142" wp14:editId="07BD1BAF">
                  <wp:extent cx="1320800" cy="4387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0800" cy="438785"/>
                          </a:xfrm>
                          <a:prstGeom prst="rect">
                            <a:avLst/>
                          </a:prstGeom>
                          <a:noFill/>
                          <a:ln>
                            <a:noFill/>
                          </a:ln>
                        </pic:spPr>
                      </pic:pic>
                    </a:graphicData>
                  </a:graphic>
                </wp:inline>
              </w:drawing>
            </w:r>
          </w:p>
        </w:tc>
        <w:tc>
          <w:tcPr>
            <w:tcW w:w="1635" w:type="dxa"/>
          </w:tcPr>
          <w:p w14:paraId="3595A7F6" w14:textId="77777777" w:rsidR="00BC68E4" w:rsidRPr="00FD0661" w:rsidRDefault="00BC68E4" w:rsidP="00BC68E4">
            <w:pPr>
              <w:pStyle w:val="NoSpacing"/>
              <w:jc w:val="center"/>
              <w:rPr>
                <w:rFonts w:cs="Arial"/>
                <w:noProof/>
              </w:rPr>
            </w:pPr>
          </w:p>
        </w:tc>
        <w:tc>
          <w:tcPr>
            <w:tcW w:w="1636" w:type="dxa"/>
          </w:tcPr>
          <w:p w14:paraId="49595757" w14:textId="77777777" w:rsidR="00BC68E4" w:rsidRPr="00FD0661" w:rsidRDefault="00BC68E4" w:rsidP="00AB669D">
            <w:pPr>
              <w:pStyle w:val="NoSpacing"/>
              <w:rPr>
                <w:rFonts w:cs="Arial"/>
                <w:noProof/>
              </w:rPr>
            </w:pPr>
          </w:p>
        </w:tc>
        <w:tc>
          <w:tcPr>
            <w:tcW w:w="1636" w:type="dxa"/>
          </w:tcPr>
          <w:p w14:paraId="03788FAF" w14:textId="77777777" w:rsidR="00BC68E4" w:rsidRPr="00187113" w:rsidRDefault="00BC68E4" w:rsidP="00AB669D">
            <w:pPr>
              <w:pStyle w:val="NoSpacing"/>
              <w:rPr>
                <w:b/>
                <w:bCs/>
                <w:sz w:val="22"/>
                <w:szCs w:val="22"/>
                <w:highlight w:val="yellow"/>
              </w:rPr>
            </w:pPr>
          </w:p>
        </w:tc>
      </w:tr>
    </w:tbl>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15956D09" w14:textId="77777777" w:rsidR="006A4B95" w:rsidRDefault="006A4B95" w:rsidP="00564AAD">
      <w:pPr>
        <w:pStyle w:val="NoSpacing"/>
        <w:rPr>
          <w:b/>
          <w:bCs/>
        </w:rPr>
      </w:pPr>
    </w:p>
    <w:p w14:paraId="1CA0B003" w14:textId="77777777" w:rsidR="006A4B95" w:rsidRDefault="006A4B95" w:rsidP="00564AAD">
      <w:pPr>
        <w:pStyle w:val="NoSpacing"/>
      </w:pPr>
    </w:p>
    <w:p w14:paraId="5496EE32" w14:textId="2084AAFF" w:rsidR="00564AAD" w:rsidRPr="00564AAD" w:rsidRDefault="00564AAD" w:rsidP="00564AAD">
      <w:pPr>
        <w:pStyle w:val="NoSpacing"/>
        <w:rPr>
          <w:b/>
          <w:bCs/>
        </w:rPr>
      </w:pPr>
      <w:r w:rsidRPr="00564AAD">
        <w:rPr>
          <w:b/>
          <w:bCs/>
        </w:rPr>
        <w:lastRenderedPageBreak/>
        <w:t>Submitted to:</w:t>
      </w:r>
    </w:p>
    <w:p w14:paraId="395C9214" w14:textId="7FE7FA88" w:rsidR="00CF3DC9" w:rsidRDefault="005B7F30" w:rsidP="00564AAD">
      <w:pPr>
        <w:pStyle w:val="NoSpacing"/>
      </w:pPr>
      <w:proofErr w:type="gramStart"/>
      <w:r>
        <w:t>Peoples</w:t>
      </w:r>
      <w:proofErr w:type="gramEnd"/>
      <w:r>
        <w:t xml:space="preserve"> Gas</w:t>
      </w:r>
    </w:p>
    <w:p w14:paraId="201DC7E8" w14:textId="28CDE363" w:rsidR="005B7F30" w:rsidRDefault="005B7F30" w:rsidP="00564AAD">
      <w:pPr>
        <w:pStyle w:val="NoSpacing"/>
      </w:pPr>
      <w:r>
        <w:t>North Shore Gas</w:t>
      </w:r>
    </w:p>
    <w:p w14:paraId="727BF7AB" w14:textId="5BB07E00" w:rsidR="005B7F30" w:rsidRDefault="005B7F30" w:rsidP="00564AAD">
      <w:pPr>
        <w:pStyle w:val="NoSpacing"/>
      </w:pPr>
      <w:r>
        <w:t>200 East Randolph Street</w:t>
      </w:r>
    </w:p>
    <w:p w14:paraId="26AEE9DC" w14:textId="7834244F" w:rsidR="005B7F30" w:rsidRPr="00564AAD" w:rsidRDefault="005B7F30" w:rsidP="00564AAD">
      <w:pPr>
        <w:pStyle w:val="NoSpacing"/>
      </w:pPr>
      <w:r>
        <w:t>Chicago, IL 60601</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633DF16D" w14:textId="77777777" w:rsidR="00896C09" w:rsidRPr="00AE6836" w:rsidRDefault="00896C09" w:rsidP="00896C09">
            <w:pPr>
              <w:spacing w:after="0"/>
              <w:rPr>
                <w:rFonts w:cs="Arial"/>
                <w:sz w:val="21"/>
                <w:szCs w:val="21"/>
              </w:rPr>
            </w:pPr>
            <w:r>
              <w:rPr>
                <w:rFonts w:eastAsia="Arial" w:cs="Arial"/>
                <w:sz w:val="21"/>
                <w:szCs w:val="21"/>
              </w:rPr>
              <w:t>Charles Maglione, Partner</w:t>
            </w:r>
          </w:p>
          <w:p w14:paraId="5A63D3BD" w14:textId="77777777" w:rsidR="00896C09" w:rsidRDefault="00896C09" w:rsidP="00896C09">
            <w:pPr>
              <w:spacing w:after="0"/>
              <w:rPr>
                <w:rFonts w:eastAsia="Arial" w:cs="Arial"/>
                <w:sz w:val="21"/>
                <w:szCs w:val="21"/>
              </w:rPr>
            </w:pPr>
            <w:r>
              <w:rPr>
                <w:rFonts w:eastAsia="Arial" w:cs="Arial"/>
                <w:sz w:val="21"/>
                <w:szCs w:val="21"/>
              </w:rPr>
              <w:t>202.481.7352</w:t>
            </w:r>
          </w:p>
          <w:p w14:paraId="16482BF1" w14:textId="3AD8F432" w:rsidR="00FA22B3" w:rsidRPr="00AC7A6F" w:rsidRDefault="00A45A00" w:rsidP="00A45A00">
            <w:pPr>
              <w:spacing w:after="0"/>
              <w:rPr>
                <w:b/>
              </w:rPr>
            </w:pPr>
            <w:hyperlink r:id="rId14" w:history="1">
              <w:r w:rsidRPr="00AC7A6F">
                <w:rPr>
                  <w:rStyle w:val="Hyperlink"/>
                  <w:rFonts w:eastAsia="Arial" w:cs="Arial"/>
                  <w:b/>
                  <w:color w:val="auto"/>
                  <w:sz w:val="21"/>
                  <w:szCs w:val="21"/>
                </w:rPr>
                <w:t>cmaglione@guidehouse.com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6380BE16" w:rsidR="00FA22B3" w:rsidRPr="00F61CF7" w:rsidRDefault="003A2344" w:rsidP="00FA22B3">
            <w:pPr>
              <w:pStyle w:val="NoSpacing"/>
            </w:pPr>
            <w:hyperlink r:id="rId15" w:history="1">
              <w:r w:rsidRPr="00F61CF7">
                <w:rPr>
                  <w:rStyle w:val="Hyperlink"/>
                  <w:rFonts w:cs="Arial"/>
                  <w:b/>
                  <w:color w:val="auto"/>
                  <w:sz w:val="21"/>
                  <w:szCs w:val="21"/>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442858F2" w:rsidR="00FA22B3" w:rsidRPr="00F61CF7" w:rsidRDefault="00F61CF7" w:rsidP="00FA22B3">
            <w:pPr>
              <w:pStyle w:val="NoSpacing"/>
              <w:rPr>
                <w:rFonts w:cs="Arial"/>
                <w:b/>
                <w:sz w:val="21"/>
                <w:szCs w:val="21"/>
                <w:u w:val="single"/>
              </w:rPr>
            </w:pPr>
            <w:hyperlink r:id="rId16" w:history="1">
              <w:r w:rsidRPr="00F61CF7">
                <w:rPr>
                  <w:rStyle w:val="Hyperlink"/>
                  <w:rFonts w:cs="Arial"/>
                  <w:b/>
                  <w:color w:val="auto"/>
                  <w:sz w:val="21"/>
                  <w:szCs w:val="21"/>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63B86D42" w:rsidR="00762586" w:rsidRPr="00762586" w:rsidRDefault="00762586" w:rsidP="00564AAD">
      <w:pPr>
        <w:pStyle w:val="NoSpacing"/>
        <w:rPr>
          <w:rFonts w:eastAsia="Arial" w:cs="Arial"/>
          <w:sz w:val="21"/>
          <w:szCs w:val="21"/>
        </w:rPr>
      </w:pPr>
      <w:r w:rsidRPr="00762586">
        <w:rPr>
          <w:rFonts w:eastAsia="Arial" w:cs="Arial"/>
          <w:sz w:val="21"/>
          <w:szCs w:val="21"/>
        </w:rPr>
        <w:t>608.</w:t>
      </w:r>
      <w:r w:rsidR="00D922A1">
        <w:rPr>
          <w:rFonts w:eastAsia="Arial" w:cs="Arial"/>
          <w:sz w:val="21"/>
          <w:szCs w:val="21"/>
        </w:rPr>
        <w:t>616.4922</w:t>
      </w:r>
    </w:p>
    <w:p w14:paraId="6B447806" w14:textId="3D5003A1" w:rsidR="00762586" w:rsidRPr="005B7F30" w:rsidRDefault="00A45A00" w:rsidP="00564AAD">
      <w:pPr>
        <w:pStyle w:val="NoSpacing"/>
        <w:rPr>
          <w:rFonts w:eastAsia="Arial" w:cs="Arial"/>
          <w:b/>
          <w:bCs/>
          <w:sz w:val="21"/>
          <w:szCs w:val="21"/>
        </w:rPr>
      </w:pPr>
      <w:hyperlink r:id="rId17" w:history="1">
        <w:r w:rsidRPr="00AC7A6F">
          <w:rPr>
            <w:rStyle w:val="Hyperlink"/>
            <w:rFonts w:eastAsia="Arial" w:cs="Arial"/>
            <w:b/>
            <w:color w:val="auto"/>
            <w:sz w:val="21"/>
            <w:szCs w:val="21"/>
          </w:rPr>
          <w:t>charles.ampong@guidehouse.com</w:t>
        </w:r>
      </w:hyperlink>
    </w:p>
    <w:p w14:paraId="5A3FFA0E" w14:textId="77777777" w:rsidR="00AE6836" w:rsidRPr="005B7F30" w:rsidRDefault="00AE6836" w:rsidP="00564AAD">
      <w:pPr>
        <w:pStyle w:val="NoSpacing"/>
        <w:rPr>
          <w:rFonts w:eastAsia="Arial" w:cs="Arial"/>
          <w:b/>
          <w:bCs/>
          <w:sz w:val="21"/>
          <w:szCs w:val="21"/>
        </w:rPr>
      </w:pPr>
    </w:p>
    <w:p w14:paraId="246F2D01" w14:textId="77777777" w:rsidR="00631500" w:rsidRPr="00564AAD" w:rsidRDefault="00631500" w:rsidP="00564AAD">
      <w:pPr>
        <w:pStyle w:val="NoSpacing"/>
      </w:pPr>
    </w:p>
    <w:p w14:paraId="4E6E3E1B" w14:textId="3CA7562F" w:rsidR="00E62C25" w:rsidRPr="00035A6D" w:rsidRDefault="00564AAD" w:rsidP="005B6988">
      <w:pPr>
        <w:pStyle w:val="NoSpacing"/>
        <w:rPr>
          <w:sz w:val="20"/>
          <w:szCs w:val="20"/>
        </w:rPr>
      </w:pPr>
      <w:r w:rsidRPr="00564AAD">
        <w:rPr>
          <w:sz w:val="20"/>
          <w:szCs w:val="20"/>
        </w:rPr>
        <w:t xml:space="preserve">This report was prepared by Guidehouse for </w:t>
      </w:r>
      <w:r w:rsidR="00FA7ACF">
        <w:rPr>
          <w:sz w:val="20"/>
          <w:szCs w:val="20"/>
        </w:rPr>
        <w:t xml:space="preserve">People Gas </w:t>
      </w:r>
      <w:r w:rsidR="00E92A33">
        <w:rPr>
          <w:sz w:val="20"/>
          <w:szCs w:val="20"/>
        </w:rPr>
        <w:t>Light and Coke Company (PGL)</w:t>
      </w:r>
      <w:r w:rsidR="00FA7ACF">
        <w:rPr>
          <w:sz w:val="20"/>
          <w:szCs w:val="20"/>
        </w:rPr>
        <w:t xml:space="preserve">and North Shore </w:t>
      </w:r>
      <w:proofErr w:type="gramStart"/>
      <w:r w:rsidR="00FA7ACF">
        <w:rPr>
          <w:sz w:val="20"/>
          <w:szCs w:val="20"/>
        </w:rPr>
        <w:t>Gas</w:t>
      </w:r>
      <w:r w:rsidR="006E10A5">
        <w:rPr>
          <w:sz w:val="20"/>
          <w:szCs w:val="20"/>
        </w:rPr>
        <w:t>(</w:t>
      </w:r>
      <w:proofErr w:type="gramEnd"/>
      <w:r w:rsidR="006E10A5">
        <w:rPr>
          <w:sz w:val="20"/>
          <w:szCs w:val="20"/>
        </w:rPr>
        <w:t>NSG)</w:t>
      </w:r>
      <w:r w:rsidR="00FA7ACF">
        <w:rPr>
          <w:sz w:val="20"/>
          <w:szCs w:val="20"/>
        </w:rPr>
        <w:t xml:space="preserve">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rsidR="00E62C25">
        <w:br w:type="page"/>
      </w:r>
    </w:p>
    <w:p w14:paraId="02D50774" w14:textId="77777777" w:rsidR="008C17F1" w:rsidRDefault="008C17F1">
      <w:pPr>
        <w:sectPr w:rsidR="008C17F1" w:rsidSect="00FB30FD">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4B8D2AA6" w14:textId="7A7EA391" w:rsidR="00B95F40" w:rsidRDefault="008C17F1">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810298" w:history="1">
        <w:r w:rsidR="00B95F40" w:rsidRPr="004E364C">
          <w:rPr>
            <w:rStyle w:val="Hyperlink"/>
            <w:noProof/>
          </w:rPr>
          <w:t>1</w:t>
        </w:r>
        <w:r w:rsidR="00B95F40">
          <w:rPr>
            <w:rFonts w:cstheme="minorBidi"/>
            <w:noProof/>
            <w:kern w:val="2"/>
            <w:sz w:val="24"/>
            <w:szCs w:val="24"/>
            <w14:ligatures w14:val="standardContextual"/>
          </w:rPr>
          <w:tab/>
        </w:r>
        <w:r w:rsidR="00B95F40" w:rsidRPr="004E364C">
          <w:rPr>
            <w:rStyle w:val="Hyperlink"/>
            <w:noProof/>
          </w:rPr>
          <w:t>Introduction</w:t>
        </w:r>
        <w:r w:rsidR="00B95F40">
          <w:rPr>
            <w:noProof/>
            <w:webHidden/>
          </w:rPr>
          <w:tab/>
        </w:r>
        <w:r w:rsidR="00B95F40">
          <w:rPr>
            <w:noProof/>
            <w:webHidden/>
          </w:rPr>
          <w:fldChar w:fldCharType="begin"/>
        </w:r>
        <w:r w:rsidR="00B95F40">
          <w:rPr>
            <w:noProof/>
            <w:webHidden/>
          </w:rPr>
          <w:instrText xml:space="preserve"> PAGEREF _Toc224810298 \h </w:instrText>
        </w:r>
        <w:r w:rsidR="00B95F40">
          <w:rPr>
            <w:noProof/>
            <w:webHidden/>
          </w:rPr>
        </w:r>
        <w:r w:rsidR="00B95F40">
          <w:rPr>
            <w:noProof/>
            <w:webHidden/>
          </w:rPr>
          <w:fldChar w:fldCharType="separate"/>
        </w:r>
        <w:r w:rsidR="00B95F40">
          <w:rPr>
            <w:noProof/>
            <w:webHidden/>
          </w:rPr>
          <w:t>1</w:t>
        </w:r>
        <w:r w:rsidR="00B95F40">
          <w:rPr>
            <w:noProof/>
            <w:webHidden/>
          </w:rPr>
          <w:fldChar w:fldCharType="end"/>
        </w:r>
      </w:hyperlink>
    </w:p>
    <w:p w14:paraId="01AA0FB4" w14:textId="642AB924" w:rsidR="00B95F40" w:rsidRDefault="00B95F40">
      <w:pPr>
        <w:pStyle w:val="TOC1"/>
        <w:tabs>
          <w:tab w:val="left" w:pos="440"/>
          <w:tab w:val="right" w:leader="dot" w:pos="9350"/>
        </w:tabs>
        <w:rPr>
          <w:rFonts w:cstheme="minorBidi"/>
          <w:noProof/>
          <w:kern w:val="2"/>
          <w:sz w:val="24"/>
          <w:szCs w:val="24"/>
          <w14:ligatures w14:val="standardContextual"/>
        </w:rPr>
      </w:pPr>
      <w:hyperlink w:anchor="_Toc224810299" w:history="1">
        <w:r w:rsidRPr="004E364C">
          <w:rPr>
            <w:rStyle w:val="Hyperlink"/>
            <w:noProof/>
          </w:rPr>
          <w:t>2</w:t>
        </w:r>
        <w:r>
          <w:rPr>
            <w:rFonts w:cstheme="minorBidi"/>
            <w:noProof/>
            <w:kern w:val="2"/>
            <w:sz w:val="24"/>
            <w:szCs w:val="24"/>
            <w14:ligatures w14:val="standardContextual"/>
          </w:rPr>
          <w:tab/>
        </w:r>
        <w:r w:rsidRPr="004E364C">
          <w:rPr>
            <w:rStyle w:val="Hyperlink"/>
            <w:noProof/>
          </w:rPr>
          <w:t>Program Description</w:t>
        </w:r>
        <w:r>
          <w:rPr>
            <w:noProof/>
            <w:webHidden/>
          </w:rPr>
          <w:tab/>
        </w:r>
        <w:r>
          <w:rPr>
            <w:noProof/>
            <w:webHidden/>
          </w:rPr>
          <w:fldChar w:fldCharType="begin"/>
        </w:r>
        <w:r>
          <w:rPr>
            <w:noProof/>
            <w:webHidden/>
          </w:rPr>
          <w:instrText xml:space="preserve"> PAGEREF _Toc224810299 \h </w:instrText>
        </w:r>
        <w:r>
          <w:rPr>
            <w:noProof/>
            <w:webHidden/>
          </w:rPr>
        </w:r>
        <w:r>
          <w:rPr>
            <w:noProof/>
            <w:webHidden/>
          </w:rPr>
          <w:fldChar w:fldCharType="separate"/>
        </w:r>
        <w:r>
          <w:rPr>
            <w:noProof/>
            <w:webHidden/>
          </w:rPr>
          <w:t>1</w:t>
        </w:r>
        <w:r>
          <w:rPr>
            <w:noProof/>
            <w:webHidden/>
          </w:rPr>
          <w:fldChar w:fldCharType="end"/>
        </w:r>
      </w:hyperlink>
    </w:p>
    <w:p w14:paraId="7429275B" w14:textId="62A8308B" w:rsidR="00B95F40" w:rsidRDefault="00B95F40">
      <w:pPr>
        <w:pStyle w:val="TOC1"/>
        <w:tabs>
          <w:tab w:val="left" w:pos="440"/>
          <w:tab w:val="right" w:leader="dot" w:pos="9350"/>
        </w:tabs>
        <w:rPr>
          <w:rFonts w:cstheme="minorBidi"/>
          <w:noProof/>
          <w:kern w:val="2"/>
          <w:sz w:val="24"/>
          <w:szCs w:val="24"/>
          <w14:ligatures w14:val="standardContextual"/>
        </w:rPr>
      </w:pPr>
      <w:hyperlink w:anchor="_Toc224810300" w:history="1">
        <w:r w:rsidRPr="004E364C">
          <w:rPr>
            <w:rStyle w:val="Hyperlink"/>
            <w:noProof/>
          </w:rPr>
          <w:t>3</w:t>
        </w:r>
        <w:r>
          <w:rPr>
            <w:rFonts w:cstheme="minorBidi"/>
            <w:noProof/>
            <w:kern w:val="2"/>
            <w:sz w:val="24"/>
            <w:szCs w:val="24"/>
            <w14:ligatures w14:val="standardContextual"/>
          </w:rPr>
          <w:tab/>
        </w:r>
        <w:r w:rsidRPr="004E364C">
          <w:rPr>
            <w:rStyle w:val="Hyperlink"/>
            <w:noProof/>
          </w:rPr>
          <w:t>Program Savings Detail</w:t>
        </w:r>
        <w:r>
          <w:rPr>
            <w:noProof/>
            <w:webHidden/>
          </w:rPr>
          <w:tab/>
        </w:r>
        <w:r>
          <w:rPr>
            <w:noProof/>
            <w:webHidden/>
          </w:rPr>
          <w:fldChar w:fldCharType="begin"/>
        </w:r>
        <w:r>
          <w:rPr>
            <w:noProof/>
            <w:webHidden/>
          </w:rPr>
          <w:instrText xml:space="preserve"> PAGEREF _Toc224810300 \h </w:instrText>
        </w:r>
        <w:r>
          <w:rPr>
            <w:noProof/>
            <w:webHidden/>
          </w:rPr>
        </w:r>
        <w:r>
          <w:rPr>
            <w:noProof/>
            <w:webHidden/>
          </w:rPr>
          <w:fldChar w:fldCharType="separate"/>
        </w:r>
        <w:r>
          <w:rPr>
            <w:noProof/>
            <w:webHidden/>
          </w:rPr>
          <w:t>2</w:t>
        </w:r>
        <w:r>
          <w:rPr>
            <w:noProof/>
            <w:webHidden/>
          </w:rPr>
          <w:fldChar w:fldCharType="end"/>
        </w:r>
      </w:hyperlink>
    </w:p>
    <w:p w14:paraId="69D7CC63" w14:textId="690EEABF" w:rsidR="00B95F40" w:rsidRDefault="00B95F40">
      <w:pPr>
        <w:pStyle w:val="TOC1"/>
        <w:tabs>
          <w:tab w:val="left" w:pos="440"/>
          <w:tab w:val="right" w:leader="dot" w:pos="9350"/>
        </w:tabs>
        <w:rPr>
          <w:rFonts w:cstheme="minorBidi"/>
          <w:noProof/>
          <w:kern w:val="2"/>
          <w:sz w:val="24"/>
          <w:szCs w:val="24"/>
          <w14:ligatures w14:val="standardContextual"/>
        </w:rPr>
      </w:pPr>
      <w:hyperlink w:anchor="_Toc224810301" w:history="1">
        <w:r w:rsidRPr="004E364C">
          <w:rPr>
            <w:rStyle w:val="Hyperlink"/>
            <w:noProof/>
          </w:rPr>
          <w:t>4</w:t>
        </w:r>
        <w:r>
          <w:rPr>
            <w:rFonts w:cstheme="minorBidi"/>
            <w:noProof/>
            <w:kern w:val="2"/>
            <w:sz w:val="24"/>
            <w:szCs w:val="24"/>
            <w14:ligatures w14:val="standardContextual"/>
          </w:rPr>
          <w:tab/>
        </w:r>
        <w:r w:rsidRPr="004E364C">
          <w:rPr>
            <w:rStyle w:val="Hyperlink"/>
            <w:noProof/>
          </w:rPr>
          <w:t>Program Savings by Measure</w:t>
        </w:r>
        <w:r>
          <w:rPr>
            <w:noProof/>
            <w:webHidden/>
          </w:rPr>
          <w:tab/>
        </w:r>
        <w:r>
          <w:rPr>
            <w:noProof/>
            <w:webHidden/>
          </w:rPr>
          <w:fldChar w:fldCharType="begin"/>
        </w:r>
        <w:r>
          <w:rPr>
            <w:noProof/>
            <w:webHidden/>
          </w:rPr>
          <w:instrText xml:space="preserve"> PAGEREF _Toc224810301 \h </w:instrText>
        </w:r>
        <w:r>
          <w:rPr>
            <w:noProof/>
            <w:webHidden/>
          </w:rPr>
        </w:r>
        <w:r>
          <w:rPr>
            <w:noProof/>
            <w:webHidden/>
          </w:rPr>
          <w:fldChar w:fldCharType="separate"/>
        </w:r>
        <w:r>
          <w:rPr>
            <w:noProof/>
            <w:webHidden/>
          </w:rPr>
          <w:t>2</w:t>
        </w:r>
        <w:r>
          <w:rPr>
            <w:noProof/>
            <w:webHidden/>
          </w:rPr>
          <w:fldChar w:fldCharType="end"/>
        </w:r>
      </w:hyperlink>
    </w:p>
    <w:p w14:paraId="16C8E0C9" w14:textId="39CD2CA0" w:rsidR="00B95F40" w:rsidRDefault="00B95F40">
      <w:pPr>
        <w:pStyle w:val="TOC1"/>
        <w:tabs>
          <w:tab w:val="left" w:pos="440"/>
          <w:tab w:val="right" w:leader="dot" w:pos="9350"/>
        </w:tabs>
        <w:rPr>
          <w:rFonts w:cstheme="minorBidi"/>
          <w:noProof/>
          <w:kern w:val="2"/>
          <w:sz w:val="24"/>
          <w:szCs w:val="24"/>
          <w14:ligatures w14:val="standardContextual"/>
        </w:rPr>
      </w:pPr>
      <w:hyperlink w:anchor="_Toc224810302" w:history="1">
        <w:r w:rsidRPr="004E364C">
          <w:rPr>
            <w:rStyle w:val="Hyperlink"/>
            <w:noProof/>
          </w:rPr>
          <w:t>5</w:t>
        </w:r>
        <w:r>
          <w:rPr>
            <w:rFonts w:cstheme="minorBidi"/>
            <w:noProof/>
            <w:kern w:val="2"/>
            <w:sz w:val="24"/>
            <w:szCs w:val="24"/>
            <w14:ligatures w14:val="standardContextual"/>
          </w:rPr>
          <w:tab/>
        </w:r>
        <w:r w:rsidRPr="004E364C">
          <w:rPr>
            <w:rStyle w:val="Hyperlink"/>
            <w:noProof/>
          </w:rPr>
          <w:t>Impact Analysis Findings and Recommendations</w:t>
        </w:r>
        <w:r>
          <w:rPr>
            <w:noProof/>
            <w:webHidden/>
          </w:rPr>
          <w:tab/>
        </w:r>
        <w:r>
          <w:rPr>
            <w:noProof/>
            <w:webHidden/>
          </w:rPr>
          <w:fldChar w:fldCharType="begin"/>
        </w:r>
        <w:r>
          <w:rPr>
            <w:noProof/>
            <w:webHidden/>
          </w:rPr>
          <w:instrText xml:space="preserve"> PAGEREF _Toc224810302 \h </w:instrText>
        </w:r>
        <w:r>
          <w:rPr>
            <w:noProof/>
            <w:webHidden/>
          </w:rPr>
        </w:r>
        <w:r>
          <w:rPr>
            <w:noProof/>
            <w:webHidden/>
          </w:rPr>
          <w:fldChar w:fldCharType="separate"/>
        </w:r>
        <w:r>
          <w:rPr>
            <w:noProof/>
            <w:webHidden/>
          </w:rPr>
          <w:t>3</w:t>
        </w:r>
        <w:r>
          <w:rPr>
            <w:noProof/>
            <w:webHidden/>
          </w:rPr>
          <w:fldChar w:fldCharType="end"/>
        </w:r>
      </w:hyperlink>
    </w:p>
    <w:p w14:paraId="33644B4C" w14:textId="1F63BDCD" w:rsidR="00B95F40" w:rsidRDefault="00B95F40">
      <w:pPr>
        <w:pStyle w:val="TOC2"/>
        <w:tabs>
          <w:tab w:val="left" w:pos="960"/>
          <w:tab w:val="right" w:leader="dot" w:pos="9350"/>
        </w:tabs>
        <w:rPr>
          <w:rFonts w:cstheme="minorBidi"/>
          <w:noProof/>
          <w:kern w:val="2"/>
          <w:sz w:val="24"/>
          <w:szCs w:val="24"/>
          <w14:ligatures w14:val="standardContextual"/>
        </w:rPr>
      </w:pPr>
      <w:hyperlink w:anchor="_Toc224810303" w:history="1">
        <w:r w:rsidRPr="004E364C">
          <w:rPr>
            <w:rStyle w:val="Hyperlink"/>
            <w:noProof/>
          </w:rPr>
          <w:t>5.1</w:t>
        </w:r>
        <w:r>
          <w:rPr>
            <w:rFonts w:cstheme="minorBidi"/>
            <w:noProof/>
            <w:kern w:val="2"/>
            <w:sz w:val="24"/>
            <w:szCs w:val="24"/>
            <w14:ligatures w14:val="standardContextual"/>
          </w:rPr>
          <w:tab/>
        </w:r>
        <w:r w:rsidRPr="004E364C">
          <w:rPr>
            <w:rStyle w:val="Hyperlink"/>
            <w:noProof/>
          </w:rPr>
          <w:t>Impact Parameter Estimates</w:t>
        </w:r>
        <w:r>
          <w:rPr>
            <w:noProof/>
            <w:webHidden/>
          </w:rPr>
          <w:tab/>
        </w:r>
        <w:r>
          <w:rPr>
            <w:noProof/>
            <w:webHidden/>
          </w:rPr>
          <w:fldChar w:fldCharType="begin"/>
        </w:r>
        <w:r>
          <w:rPr>
            <w:noProof/>
            <w:webHidden/>
          </w:rPr>
          <w:instrText xml:space="preserve"> PAGEREF _Toc224810303 \h </w:instrText>
        </w:r>
        <w:r>
          <w:rPr>
            <w:noProof/>
            <w:webHidden/>
          </w:rPr>
        </w:r>
        <w:r>
          <w:rPr>
            <w:noProof/>
            <w:webHidden/>
          </w:rPr>
          <w:fldChar w:fldCharType="separate"/>
        </w:r>
        <w:r>
          <w:rPr>
            <w:noProof/>
            <w:webHidden/>
          </w:rPr>
          <w:t>3</w:t>
        </w:r>
        <w:r>
          <w:rPr>
            <w:noProof/>
            <w:webHidden/>
          </w:rPr>
          <w:fldChar w:fldCharType="end"/>
        </w:r>
      </w:hyperlink>
    </w:p>
    <w:p w14:paraId="29A97901" w14:textId="37B9F40D" w:rsidR="00B95F40" w:rsidRDefault="00B95F40">
      <w:pPr>
        <w:pStyle w:val="TOC2"/>
        <w:tabs>
          <w:tab w:val="left" w:pos="960"/>
          <w:tab w:val="right" w:leader="dot" w:pos="9350"/>
        </w:tabs>
        <w:rPr>
          <w:rFonts w:cstheme="minorBidi"/>
          <w:noProof/>
          <w:kern w:val="2"/>
          <w:sz w:val="24"/>
          <w:szCs w:val="24"/>
          <w14:ligatures w14:val="standardContextual"/>
        </w:rPr>
      </w:pPr>
      <w:hyperlink w:anchor="_Toc224810304" w:history="1">
        <w:r w:rsidRPr="004E364C">
          <w:rPr>
            <w:rStyle w:val="Hyperlink"/>
            <w:noProof/>
          </w:rPr>
          <w:t>5.2</w:t>
        </w:r>
        <w:r>
          <w:rPr>
            <w:rFonts w:cstheme="minorBidi"/>
            <w:noProof/>
            <w:kern w:val="2"/>
            <w:sz w:val="24"/>
            <w:szCs w:val="24"/>
            <w14:ligatures w14:val="standardContextual"/>
          </w:rPr>
          <w:tab/>
        </w:r>
        <w:r w:rsidRPr="004E364C">
          <w:rPr>
            <w:rStyle w:val="Hyperlink"/>
            <w:noProof/>
          </w:rPr>
          <w:t>Findings and Recommendations</w:t>
        </w:r>
        <w:r>
          <w:rPr>
            <w:noProof/>
            <w:webHidden/>
          </w:rPr>
          <w:tab/>
        </w:r>
        <w:r>
          <w:rPr>
            <w:noProof/>
            <w:webHidden/>
          </w:rPr>
          <w:fldChar w:fldCharType="begin"/>
        </w:r>
        <w:r>
          <w:rPr>
            <w:noProof/>
            <w:webHidden/>
          </w:rPr>
          <w:instrText xml:space="preserve"> PAGEREF _Toc224810304 \h </w:instrText>
        </w:r>
        <w:r>
          <w:rPr>
            <w:noProof/>
            <w:webHidden/>
          </w:rPr>
        </w:r>
        <w:r>
          <w:rPr>
            <w:noProof/>
            <w:webHidden/>
          </w:rPr>
          <w:fldChar w:fldCharType="separate"/>
        </w:r>
        <w:r>
          <w:rPr>
            <w:noProof/>
            <w:webHidden/>
          </w:rPr>
          <w:t>3</w:t>
        </w:r>
        <w:r>
          <w:rPr>
            <w:noProof/>
            <w:webHidden/>
          </w:rPr>
          <w:fldChar w:fldCharType="end"/>
        </w:r>
      </w:hyperlink>
    </w:p>
    <w:p w14:paraId="6593DF65" w14:textId="388A4F00" w:rsidR="00B95F40" w:rsidRDefault="00B95F40">
      <w:pPr>
        <w:pStyle w:val="TOC1"/>
        <w:tabs>
          <w:tab w:val="right" w:leader="dot" w:pos="9350"/>
        </w:tabs>
        <w:rPr>
          <w:rFonts w:cstheme="minorBidi"/>
          <w:noProof/>
          <w:kern w:val="2"/>
          <w:sz w:val="24"/>
          <w:szCs w:val="24"/>
          <w14:ligatures w14:val="standardContextual"/>
        </w:rPr>
      </w:pPr>
      <w:hyperlink w:anchor="_Toc224810305" w:history="1">
        <w:r w:rsidRPr="004E364C">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_Toc224810305 \h </w:instrText>
        </w:r>
        <w:r>
          <w:rPr>
            <w:noProof/>
            <w:webHidden/>
          </w:rPr>
        </w:r>
        <w:r>
          <w:rPr>
            <w:noProof/>
            <w:webHidden/>
          </w:rPr>
          <w:fldChar w:fldCharType="separate"/>
        </w:r>
        <w:r>
          <w:rPr>
            <w:noProof/>
            <w:webHidden/>
          </w:rPr>
          <w:t>6</w:t>
        </w:r>
        <w:r>
          <w:rPr>
            <w:noProof/>
            <w:webHidden/>
          </w:rPr>
          <w:fldChar w:fldCharType="end"/>
        </w:r>
      </w:hyperlink>
    </w:p>
    <w:p w14:paraId="74EE2332" w14:textId="4A0CD95D" w:rsidR="00B95F40" w:rsidRDefault="00B95F40">
      <w:pPr>
        <w:pStyle w:val="TOC1"/>
        <w:tabs>
          <w:tab w:val="right" w:leader="dot" w:pos="9350"/>
        </w:tabs>
        <w:rPr>
          <w:rFonts w:cstheme="minorBidi"/>
          <w:noProof/>
          <w:kern w:val="2"/>
          <w:sz w:val="24"/>
          <w:szCs w:val="24"/>
          <w14:ligatures w14:val="standardContextual"/>
        </w:rPr>
      </w:pPr>
      <w:hyperlink w:anchor="_Toc224810306" w:history="1">
        <w:r w:rsidRPr="004E364C">
          <w:rPr>
            <w:rStyle w:val="Hyperlink"/>
            <w:rFonts w:ascii="Aptos Display" w:eastAsia="Aptos Display" w:hAnsi="Aptos Display" w:cs="Aptos Display"/>
            <w:noProof/>
          </w:rPr>
          <w:t>Appendix B. Impact Analysis Supplemental Information</w:t>
        </w:r>
        <w:r>
          <w:rPr>
            <w:noProof/>
            <w:webHidden/>
          </w:rPr>
          <w:tab/>
        </w:r>
        <w:r>
          <w:rPr>
            <w:noProof/>
            <w:webHidden/>
          </w:rPr>
          <w:fldChar w:fldCharType="begin"/>
        </w:r>
        <w:r>
          <w:rPr>
            <w:noProof/>
            <w:webHidden/>
          </w:rPr>
          <w:instrText xml:space="preserve"> PAGEREF _Toc224810306 \h </w:instrText>
        </w:r>
        <w:r>
          <w:rPr>
            <w:noProof/>
            <w:webHidden/>
          </w:rPr>
        </w:r>
        <w:r>
          <w:rPr>
            <w:noProof/>
            <w:webHidden/>
          </w:rPr>
          <w:fldChar w:fldCharType="separate"/>
        </w:r>
        <w:r>
          <w:rPr>
            <w:noProof/>
            <w:webHidden/>
          </w:rPr>
          <w:t>9</w:t>
        </w:r>
        <w:r>
          <w:rPr>
            <w:noProof/>
            <w:webHidden/>
          </w:rPr>
          <w:fldChar w:fldCharType="end"/>
        </w:r>
      </w:hyperlink>
    </w:p>
    <w:p w14:paraId="6EC91884" w14:textId="73240743" w:rsidR="00B95F40" w:rsidRDefault="00B95F40">
      <w:pPr>
        <w:pStyle w:val="TOC1"/>
        <w:tabs>
          <w:tab w:val="right" w:leader="dot" w:pos="9350"/>
        </w:tabs>
        <w:rPr>
          <w:rFonts w:cstheme="minorBidi"/>
          <w:noProof/>
          <w:kern w:val="2"/>
          <w:sz w:val="24"/>
          <w:szCs w:val="24"/>
          <w14:ligatures w14:val="standardContextual"/>
        </w:rPr>
      </w:pPr>
      <w:hyperlink w:anchor="_Toc224810307" w:history="1">
        <w:r w:rsidRPr="004E364C">
          <w:rPr>
            <w:rStyle w:val="Hyperlink"/>
            <w:rFonts w:ascii="Aptos Display" w:eastAsia="Aptos Display" w:hAnsi="Aptos Display" w:cs="Aptos Display"/>
            <w:noProof/>
          </w:rPr>
          <w:t>Appendix C. Program Specific Inputs for the Illinois TRC</w:t>
        </w:r>
        <w:r>
          <w:rPr>
            <w:noProof/>
            <w:webHidden/>
          </w:rPr>
          <w:tab/>
        </w:r>
        <w:r>
          <w:rPr>
            <w:noProof/>
            <w:webHidden/>
          </w:rPr>
          <w:fldChar w:fldCharType="begin"/>
        </w:r>
        <w:r>
          <w:rPr>
            <w:noProof/>
            <w:webHidden/>
          </w:rPr>
          <w:instrText xml:space="preserve"> PAGEREF _Toc224810307 \h </w:instrText>
        </w:r>
        <w:r>
          <w:rPr>
            <w:noProof/>
            <w:webHidden/>
          </w:rPr>
        </w:r>
        <w:r>
          <w:rPr>
            <w:noProof/>
            <w:webHidden/>
          </w:rPr>
          <w:fldChar w:fldCharType="separate"/>
        </w:r>
        <w:r>
          <w:rPr>
            <w:noProof/>
            <w:webHidden/>
          </w:rPr>
          <w:t>10</w:t>
        </w:r>
        <w:r>
          <w:rPr>
            <w:noProof/>
            <w:webHidden/>
          </w:rPr>
          <w:fldChar w:fldCharType="end"/>
        </w:r>
      </w:hyperlink>
    </w:p>
    <w:p w14:paraId="46033CAD" w14:textId="33BE7AC3" w:rsidR="008C17F1" w:rsidRDefault="008C17F1">
      <w:r>
        <w:fldChar w:fldCharType="end"/>
      </w:r>
    </w:p>
    <w:p w14:paraId="08802225" w14:textId="4D7A0146" w:rsidR="008C17F1" w:rsidRPr="008C17F1" w:rsidRDefault="008C17F1">
      <w:pPr>
        <w:rPr>
          <w:sz w:val="40"/>
          <w:szCs w:val="40"/>
        </w:rPr>
      </w:pPr>
      <w:r>
        <w:rPr>
          <w:sz w:val="40"/>
          <w:szCs w:val="40"/>
        </w:rPr>
        <w:t>Table of Tables, Figures, and Equations</w:t>
      </w:r>
    </w:p>
    <w:p w14:paraId="0E6865DA" w14:textId="70765968" w:rsidR="00760518"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840460" w:history="1">
        <w:r w:rsidR="00760518" w:rsidRPr="003901E5">
          <w:rPr>
            <w:rStyle w:val="Hyperlink"/>
            <w:noProof/>
          </w:rPr>
          <w:t>Table 1. 2025 Volumetric Summary for PGL</w:t>
        </w:r>
        <w:r w:rsidR="00760518">
          <w:rPr>
            <w:noProof/>
            <w:webHidden/>
          </w:rPr>
          <w:tab/>
        </w:r>
        <w:r w:rsidR="00760518">
          <w:rPr>
            <w:noProof/>
            <w:webHidden/>
          </w:rPr>
          <w:fldChar w:fldCharType="begin"/>
        </w:r>
        <w:r w:rsidR="00760518">
          <w:rPr>
            <w:noProof/>
            <w:webHidden/>
          </w:rPr>
          <w:instrText xml:space="preserve"> PAGEREF _Toc224840460 \h </w:instrText>
        </w:r>
        <w:r w:rsidR="00760518">
          <w:rPr>
            <w:noProof/>
            <w:webHidden/>
          </w:rPr>
        </w:r>
        <w:r w:rsidR="00760518">
          <w:rPr>
            <w:noProof/>
            <w:webHidden/>
          </w:rPr>
          <w:fldChar w:fldCharType="separate"/>
        </w:r>
        <w:r w:rsidR="00760518">
          <w:rPr>
            <w:noProof/>
            <w:webHidden/>
          </w:rPr>
          <w:t>2</w:t>
        </w:r>
        <w:r w:rsidR="00760518">
          <w:rPr>
            <w:noProof/>
            <w:webHidden/>
          </w:rPr>
          <w:fldChar w:fldCharType="end"/>
        </w:r>
      </w:hyperlink>
    </w:p>
    <w:p w14:paraId="56181EF5" w14:textId="4200E929" w:rsidR="00760518" w:rsidRDefault="00760518">
      <w:pPr>
        <w:pStyle w:val="TableofFigures"/>
        <w:tabs>
          <w:tab w:val="right" w:leader="dot" w:pos="9350"/>
        </w:tabs>
        <w:rPr>
          <w:noProof/>
          <w:kern w:val="2"/>
          <w:sz w:val="24"/>
          <w:lang w:eastAsia="en-US"/>
          <w14:ligatures w14:val="standardContextual"/>
        </w:rPr>
      </w:pPr>
      <w:hyperlink w:anchor="_Toc224840461" w:history="1">
        <w:r w:rsidRPr="003901E5">
          <w:rPr>
            <w:rStyle w:val="Hyperlink"/>
            <w:noProof/>
          </w:rPr>
          <w:t>Table 2. 2025 Annual Energy Savings Summary for PGL</w:t>
        </w:r>
        <w:r>
          <w:rPr>
            <w:noProof/>
            <w:webHidden/>
          </w:rPr>
          <w:tab/>
        </w:r>
        <w:r>
          <w:rPr>
            <w:noProof/>
            <w:webHidden/>
          </w:rPr>
          <w:fldChar w:fldCharType="begin"/>
        </w:r>
        <w:r>
          <w:rPr>
            <w:noProof/>
            <w:webHidden/>
          </w:rPr>
          <w:instrText xml:space="preserve"> PAGEREF _Toc224840461 \h </w:instrText>
        </w:r>
        <w:r>
          <w:rPr>
            <w:noProof/>
            <w:webHidden/>
          </w:rPr>
        </w:r>
        <w:r>
          <w:rPr>
            <w:noProof/>
            <w:webHidden/>
          </w:rPr>
          <w:fldChar w:fldCharType="separate"/>
        </w:r>
        <w:r>
          <w:rPr>
            <w:noProof/>
            <w:webHidden/>
          </w:rPr>
          <w:t>2</w:t>
        </w:r>
        <w:r>
          <w:rPr>
            <w:noProof/>
            <w:webHidden/>
          </w:rPr>
          <w:fldChar w:fldCharType="end"/>
        </w:r>
      </w:hyperlink>
    </w:p>
    <w:p w14:paraId="766870C5" w14:textId="16D2E83E" w:rsidR="00760518" w:rsidRDefault="00760518">
      <w:pPr>
        <w:pStyle w:val="TableofFigures"/>
        <w:tabs>
          <w:tab w:val="right" w:leader="dot" w:pos="9350"/>
        </w:tabs>
        <w:rPr>
          <w:noProof/>
          <w:kern w:val="2"/>
          <w:sz w:val="24"/>
          <w:lang w:eastAsia="en-US"/>
          <w14:ligatures w14:val="standardContextual"/>
        </w:rPr>
      </w:pPr>
      <w:hyperlink w:anchor="_Toc224840462" w:history="1">
        <w:r w:rsidRPr="003901E5">
          <w:rPr>
            <w:rStyle w:val="Hyperlink"/>
            <w:noProof/>
          </w:rPr>
          <w:t>Table 3. Verified Gross Savings Parameters</w:t>
        </w:r>
        <w:r>
          <w:rPr>
            <w:noProof/>
            <w:webHidden/>
          </w:rPr>
          <w:tab/>
        </w:r>
        <w:r>
          <w:rPr>
            <w:noProof/>
            <w:webHidden/>
          </w:rPr>
          <w:fldChar w:fldCharType="begin"/>
        </w:r>
        <w:r>
          <w:rPr>
            <w:noProof/>
            <w:webHidden/>
          </w:rPr>
          <w:instrText xml:space="preserve"> PAGEREF _Toc224840462 \h </w:instrText>
        </w:r>
        <w:r>
          <w:rPr>
            <w:noProof/>
            <w:webHidden/>
          </w:rPr>
        </w:r>
        <w:r>
          <w:rPr>
            <w:noProof/>
            <w:webHidden/>
          </w:rPr>
          <w:fldChar w:fldCharType="separate"/>
        </w:r>
        <w:r>
          <w:rPr>
            <w:noProof/>
            <w:webHidden/>
          </w:rPr>
          <w:t>3</w:t>
        </w:r>
        <w:r>
          <w:rPr>
            <w:noProof/>
            <w:webHidden/>
          </w:rPr>
          <w:fldChar w:fldCharType="end"/>
        </w:r>
      </w:hyperlink>
    </w:p>
    <w:p w14:paraId="1FBB389E" w14:textId="6E95A00F" w:rsidR="00760518" w:rsidRDefault="00760518">
      <w:pPr>
        <w:pStyle w:val="TableofFigures"/>
        <w:tabs>
          <w:tab w:val="right" w:leader="dot" w:pos="9350"/>
        </w:tabs>
        <w:rPr>
          <w:noProof/>
          <w:kern w:val="2"/>
          <w:sz w:val="24"/>
          <w:lang w:eastAsia="en-US"/>
          <w14:ligatures w14:val="standardContextual"/>
        </w:rPr>
      </w:pPr>
      <w:hyperlink w:anchor="_Toc224840463" w:history="1">
        <w:r w:rsidRPr="003901E5">
          <w:rPr>
            <w:rStyle w:val="Hyperlink"/>
            <w:noProof/>
          </w:rPr>
          <w:t>Table 4. CY2025 BNC Full-Year Project Population</w:t>
        </w:r>
        <w:r>
          <w:rPr>
            <w:noProof/>
            <w:webHidden/>
          </w:rPr>
          <w:tab/>
        </w:r>
        <w:r>
          <w:rPr>
            <w:noProof/>
            <w:webHidden/>
          </w:rPr>
          <w:fldChar w:fldCharType="begin"/>
        </w:r>
        <w:r>
          <w:rPr>
            <w:noProof/>
            <w:webHidden/>
          </w:rPr>
          <w:instrText xml:space="preserve"> PAGEREF _Toc224840463 \h </w:instrText>
        </w:r>
        <w:r>
          <w:rPr>
            <w:noProof/>
            <w:webHidden/>
          </w:rPr>
        </w:r>
        <w:r>
          <w:rPr>
            <w:noProof/>
            <w:webHidden/>
          </w:rPr>
          <w:fldChar w:fldCharType="separate"/>
        </w:r>
        <w:r>
          <w:rPr>
            <w:noProof/>
            <w:webHidden/>
          </w:rPr>
          <w:t>7</w:t>
        </w:r>
        <w:r>
          <w:rPr>
            <w:noProof/>
            <w:webHidden/>
          </w:rPr>
          <w:fldChar w:fldCharType="end"/>
        </w:r>
      </w:hyperlink>
    </w:p>
    <w:p w14:paraId="6C77D365" w14:textId="59ADA924" w:rsidR="00760518" w:rsidRDefault="00760518">
      <w:pPr>
        <w:pStyle w:val="TableofFigures"/>
        <w:tabs>
          <w:tab w:val="right" w:leader="dot" w:pos="9350"/>
        </w:tabs>
        <w:rPr>
          <w:noProof/>
          <w:kern w:val="2"/>
          <w:sz w:val="24"/>
          <w:lang w:eastAsia="en-US"/>
          <w14:ligatures w14:val="standardContextual"/>
        </w:rPr>
      </w:pPr>
      <w:hyperlink w:anchor="_Toc224840464" w:history="1">
        <w:r w:rsidRPr="003901E5">
          <w:rPr>
            <w:rStyle w:val="Hyperlink"/>
            <w:noProof/>
          </w:rPr>
          <w:t>Table 5. CY2025 BNC Total Sample</w:t>
        </w:r>
        <w:r>
          <w:rPr>
            <w:noProof/>
            <w:webHidden/>
          </w:rPr>
          <w:tab/>
        </w:r>
        <w:r>
          <w:rPr>
            <w:noProof/>
            <w:webHidden/>
          </w:rPr>
          <w:fldChar w:fldCharType="begin"/>
        </w:r>
        <w:r>
          <w:rPr>
            <w:noProof/>
            <w:webHidden/>
          </w:rPr>
          <w:instrText xml:space="preserve"> PAGEREF _Toc224840464 \h </w:instrText>
        </w:r>
        <w:r>
          <w:rPr>
            <w:noProof/>
            <w:webHidden/>
          </w:rPr>
        </w:r>
        <w:r>
          <w:rPr>
            <w:noProof/>
            <w:webHidden/>
          </w:rPr>
          <w:fldChar w:fldCharType="separate"/>
        </w:r>
        <w:r>
          <w:rPr>
            <w:noProof/>
            <w:webHidden/>
          </w:rPr>
          <w:t>8</w:t>
        </w:r>
        <w:r>
          <w:rPr>
            <w:noProof/>
            <w:webHidden/>
          </w:rPr>
          <w:fldChar w:fldCharType="end"/>
        </w:r>
      </w:hyperlink>
    </w:p>
    <w:p w14:paraId="4BF5CD44" w14:textId="5DB5ADF0" w:rsidR="00760518" w:rsidRDefault="00760518">
      <w:pPr>
        <w:pStyle w:val="TableofFigures"/>
        <w:tabs>
          <w:tab w:val="right" w:leader="dot" w:pos="9350"/>
        </w:tabs>
        <w:rPr>
          <w:noProof/>
          <w:kern w:val="2"/>
          <w:sz w:val="24"/>
          <w:lang w:eastAsia="en-US"/>
          <w14:ligatures w14:val="standardContextual"/>
        </w:rPr>
      </w:pPr>
      <w:hyperlink w:anchor="_Toc224840465" w:history="1">
        <w:r w:rsidRPr="003901E5">
          <w:rPr>
            <w:rStyle w:val="Hyperlink"/>
            <w:noProof/>
          </w:rPr>
          <w:t>Table 6. CY2025 Sample Characterization – Natural Gas Projects</w:t>
        </w:r>
        <w:r>
          <w:rPr>
            <w:noProof/>
            <w:webHidden/>
          </w:rPr>
          <w:tab/>
        </w:r>
        <w:r>
          <w:rPr>
            <w:noProof/>
            <w:webHidden/>
          </w:rPr>
          <w:fldChar w:fldCharType="begin"/>
        </w:r>
        <w:r>
          <w:rPr>
            <w:noProof/>
            <w:webHidden/>
          </w:rPr>
          <w:instrText xml:space="preserve"> PAGEREF _Toc224840465 \h </w:instrText>
        </w:r>
        <w:r>
          <w:rPr>
            <w:noProof/>
            <w:webHidden/>
          </w:rPr>
        </w:r>
        <w:r>
          <w:rPr>
            <w:noProof/>
            <w:webHidden/>
          </w:rPr>
          <w:fldChar w:fldCharType="separate"/>
        </w:r>
        <w:r>
          <w:rPr>
            <w:noProof/>
            <w:webHidden/>
          </w:rPr>
          <w:t>8</w:t>
        </w:r>
        <w:r>
          <w:rPr>
            <w:noProof/>
            <w:webHidden/>
          </w:rPr>
          <w:fldChar w:fldCharType="end"/>
        </w:r>
      </w:hyperlink>
    </w:p>
    <w:p w14:paraId="2FD0820B" w14:textId="01E8A353" w:rsidR="00760518" w:rsidRDefault="00760518">
      <w:pPr>
        <w:pStyle w:val="TableofFigures"/>
        <w:tabs>
          <w:tab w:val="right" w:leader="dot" w:pos="9350"/>
        </w:tabs>
        <w:rPr>
          <w:noProof/>
          <w:kern w:val="2"/>
          <w:sz w:val="24"/>
          <w:lang w:eastAsia="en-US"/>
          <w14:ligatures w14:val="standardContextual"/>
        </w:rPr>
      </w:pPr>
      <w:hyperlink w:anchor="_Toc224840466" w:history="1">
        <w:r w:rsidRPr="003901E5">
          <w:rPr>
            <w:rStyle w:val="Hyperlink"/>
            <w:noProof/>
          </w:rPr>
          <w:t>Table B</w:t>
        </w:r>
        <w:r w:rsidRPr="003901E5">
          <w:rPr>
            <w:rStyle w:val="Hyperlink"/>
            <w:noProof/>
          </w:rPr>
          <w:noBreakHyphen/>
          <w:t>1. Researched Gross Savings for Sampled Projects</w:t>
        </w:r>
        <w:r>
          <w:rPr>
            <w:noProof/>
            <w:webHidden/>
          </w:rPr>
          <w:tab/>
        </w:r>
        <w:r>
          <w:rPr>
            <w:noProof/>
            <w:webHidden/>
          </w:rPr>
          <w:fldChar w:fldCharType="begin"/>
        </w:r>
        <w:r>
          <w:rPr>
            <w:noProof/>
            <w:webHidden/>
          </w:rPr>
          <w:instrText xml:space="preserve"> PAGEREF _Toc224840466 \h </w:instrText>
        </w:r>
        <w:r>
          <w:rPr>
            <w:noProof/>
            <w:webHidden/>
          </w:rPr>
        </w:r>
        <w:r>
          <w:rPr>
            <w:noProof/>
            <w:webHidden/>
          </w:rPr>
          <w:fldChar w:fldCharType="separate"/>
        </w:r>
        <w:r>
          <w:rPr>
            <w:noProof/>
            <w:webHidden/>
          </w:rPr>
          <w:t>9</w:t>
        </w:r>
        <w:r>
          <w:rPr>
            <w:noProof/>
            <w:webHidden/>
          </w:rPr>
          <w:fldChar w:fldCharType="end"/>
        </w:r>
      </w:hyperlink>
    </w:p>
    <w:p w14:paraId="0B8A9F88" w14:textId="6D19BFC1" w:rsidR="008C17F1" w:rsidRDefault="00E87E4D">
      <w:r>
        <w:fldChar w:fldCharType="end"/>
      </w:r>
    </w:p>
    <w:p w14:paraId="632BE945" w14:textId="77777777" w:rsidR="00E87E4D" w:rsidRDefault="00E87E4D"/>
    <w:p w14:paraId="08905987" w14:textId="77777777" w:rsidR="00E87E4D" w:rsidRDefault="00E87E4D"/>
    <w:p w14:paraId="45B58AD7" w14:textId="2B840588" w:rsidR="008C17F1" w:rsidRDefault="008C17F1">
      <w:pPr>
        <w:sectPr w:rsidR="008C17F1" w:rsidSect="00FB30FD">
          <w:headerReference w:type="first" r:id="rId22"/>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4810298"/>
      <w:r>
        <w:lastRenderedPageBreak/>
        <w:t>Introduction</w:t>
      </w:r>
      <w:bookmarkEnd w:id="0"/>
      <w:bookmarkEnd w:id="1"/>
      <w:bookmarkEnd w:id="2"/>
    </w:p>
    <w:p w14:paraId="0D4DE561" w14:textId="0A28E0D2" w:rsidR="00BF0C66" w:rsidRDefault="00BF0C66" w:rsidP="00331DDE">
      <w:r w:rsidRPr="00F64B8B">
        <w:t xml:space="preserve">This report presents </w:t>
      </w:r>
      <w:r>
        <w:t xml:space="preserve">the results of the impact evaluation of the </w:t>
      </w:r>
      <w:r w:rsidR="00FA7ACF">
        <w:t>Peoples Gas</w:t>
      </w:r>
      <w:r w:rsidR="006E10A5">
        <w:t xml:space="preserve"> (PGL)</w:t>
      </w:r>
      <w:r w:rsidR="00FA7ACF">
        <w:t xml:space="preserve"> and North Shore Gas</w:t>
      </w:r>
      <w:r w:rsidR="006E10A5">
        <w:t xml:space="preserve"> (NSG)</w:t>
      </w:r>
      <w:r w:rsidR="0036759E">
        <w:t xml:space="preserve"> 2025</w:t>
      </w:r>
      <w:r w:rsidR="0075744E">
        <w:t xml:space="preserve"> </w:t>
      </w:r>
      <w:r w:rsidR="00655FB0">
        <w:t>Business New Construction</w:t>
      </w:r>
      <w:r w:rsidR="00CC30ED">
        <w:t xml:space="preserve"> (BNC)</w:t>
      </w:r>
      <w:r w:rsidR="00655FB0">
        <w:t xml:space="preserve"> </w:t>
      </w:r>
      <w:r>
        <w:t>program</w:t>
      </w:r>
      <w:r w:rsidR="000D42A3">
        <w:t xml:space="preserve">. It </w:t>
      </w:r>
      <w:r w:rsidR="002A64B1">
        <w:t xml:space="preserve">presents a summary of the </w:t>
      </w:r>
      <w:r w:rsidR="009F02C6">
        <w:t>energy</w:t>
      </w:r>
      <w:r w:rsidR="002A64B1">
        <w:t xml:space="preserve"> impacts for the total program and broken out by relevant measure and program </w:t>
      </w:r>
      <w:r w:rsidR="009F02C6">
        <w:t>structure</w:t>
      </w:r>
      <w:r w:rsidR="002A64B1">
        <w:t xml:space="preserve"> details. The appendi</w:t>
      </w:r>
      <w:r w:rsidR="00DC13CB">
        <w:t>ces</w:t>
      </w:r>
      <w:r w:rsidR="002A64B1">
        <w:t xml:space="preserve"> present the impact analysis methodology</w:t>
      </w:r>
      <w:r w:rsidR="00DC13CB">
        <w:t xml:space="preserve"> and inputs for benefit cost analysis</w:t>
      </w:r>
      <w:r w:rsidR="002A64B1">
        <w:t>.</w:t>
      </w:r>
      <w:r w:rsidR="009F02C6">
        <w:t xml:space="preserve"> Program year 2025 covers </w:t>
      </w:r>
      <w:r>
        <w:t>January 1 to December 31, 202</w:t>
      </w:r>
      <w:r w:rsidR="002E09ED">
        <w:t>5</w:t>
      </w:r>
      <w:r w:rsidRPr="00B52A58">
        <w:t xml:space="preserve">. </w:t>
      </w:r>
    </w:p>
    <w:p w14:paraId="18549E79" w14:textId="46D5C7AA" w:rsidR="00BF0C66" w:rsidRDefault="00BF0C66" w:rsidP="00BF0C66">
      <w:pPr>
        <w:pStyle w:val="Heading1"/>
      </w:pPr>
      <w:bookmarkStart w:id="3" w:name="_Toc151976668"/>
      <w:bookmarkStart w:id="4" w:name="_Toc187399542"/>
      <w:bookmarkStart w:id="5" w:name="_Toc224810299"/>
      <w:r>
        <w:t xml:space="preserve">Program </w:t>
      </w:r>
      <w:bookmarkEnd w:id="3"/>
      <w:bookmarkEnd w:id="4"/>
      <w:r w:rsidR="005A50AE">
        <w:t>Description</w:t>
      </w:r>
      <w:bookmarkEnd w:id="5"/>
    </w:p>
    <w:p w14:paraId="79845B95" w14:textId="50BC4354" w:rsidR="00497DE5" w:rsidRDefault="00E4376D" w:rsidP="00331DDE">
      <w:bookmarkStart w:id="6" w:name="_Hlk500573405"/>
      <w:r>
        <w:t>In 2025, t</w:t>
      </w:r>
      <w:r w:rsidR="00497DE5">
        <w:t xml:space="preserve">he BNC program is offered jointly to commercial and industrial (C&amp;I) and public sector (PS) customers served by ComEd, Nicor Gas, and PGL. </w:t>
      </w:r>
    </w:p>
    <w:p w14:paraId="08EBAD2B" w14:textId="77777777" w:rsidR="00497DE5" w:rsidRDefault="00497DE5" w:rsidP="00331DDE">
      <w:r>
        <w:t xml:space="preserve">The program aims to capture immediate and long-term energy efficiency opportunities available during the design and construction of non-residential and multifamily buildings. The program covers new buildings, additions, and major renovations. </w:t>
      </w:r>
    </w:p>
    <w:p w14:paraId="2B480765" w14:textId="5D459248" w:rsidR="00497DE5" w:rsidRDefault="00497DE5" w:rsidP="00331DDE">
      <w:r>
        <w:t xml:space="preserve">The program is implemented through outreach to design professionals, commercial real estate developers, and customers </w:t>
      </w:r>
      <w:r w:rsidR="0055218C">
        <w:t xml:space="preserve">at </w:t>
      </w:r>
      <w:r>
        <w:t xml:space="preserve">the beginning of the design process. The implementation team provides building design technical assistance to aid participants in reducing energy use beyond what is required by existing building codes and standards. The PGL BNC program coordinates with ComEd where their service areas overlap. PGL acquires therm savings from the program using a dollar per therm payment model </w:t>
      </w:r>
      <w:r w:rsidR="0087509B">
        <w:t xml:space="preserve">on </w:t>
      </w:r>
      <w:r>
        <w:t>a project-by-project basis.</w:t>
      </w:r>
    </w:p>
    <w:p w14:paraId="3B07B14D" w14:textId="597FADE0" w:rsidR="00331DDE" w:rsidRDefault="00497DE5" w:rsidP="00331DDE">
      <w:r>
        <w:t xml:space="preserve">Overall, the </w:t>
      </w:r>
      <w:r w:rsidR="00E6431B">
        <w:t xml:space="preserve">joint </w:t>
      </w:r>
      <w:r>
        <w:t>program had 50</w:t>
      </w:r>
      <w:r w:rsidR="00E4376D">
        <w:t xml:space="preserve"> participants in 2025. Of these projects, 38 </w:t>
      </w:r>
      <w:r w:rsidR="00996465">
        <w:t xml:space="preserve">projects included </w:t>
      </w:r>
      <w:r w:rsidR="00E4376D">
        <w:t>gas savings, four of which were served jointly by ComEd and Peoples Gas.</w:t>
      </w:r>
      <w:r w:rsidR="00996465">
        <w:t xml:space="preserve"> </w:t>
      </w:r>
      <w:r w:rsidR="00331DDE">
        <w:t xml:space="preserve">The NSG program did not have any participants in 2025. </w:t>
      </w:r>
    </w:p>
    <w:p w14:paraId="7C33EA8F" w14:textId="7350E736" w:rsidR="00497DE5" w:rsidRDefault="00996465" w:rsidP="00331DDE">
      <w:r>
        <w:t xml:space="preserve">A summary of projects completed is shown in </w:t>
      </w:r>
      <w:r>
        <w:fldChar w:fldCharType="begin"/>
      </w:r>
      <w:r>
        <w:instrText xml:space="preserve"> REF _Ref223989115 \h </w:instrText>
      </w:r>
      <w:r w:rsidR="00331DDE">
        <w:instrText xml:space="preserve"> \* MERGEFORMAT </w:instrText>
      </w:r>
      <w:r>
        <w:fldChar w:fldCharType="separate"/>
      </w:r>
      <w:r>
        <w:t>Table 1</w:t>
      </w:r>
      <w:r>
        <w:fldChar w:fldCharType="end"/>
      </w:r>
      <w:r>
        <w:t>.</w:t>
      </w:r>
    </w:p>
    <w:p w14:paraId="7C6AECFE" w14:textId="4154AC70" w:rsidR="00B773EE" w:rsidRDefault="00B773EE" w:rsidP="00A754D8">
      <w:pPr>
        <w:pStyle w:val="Caption"/>
      </w:pPr>
      <w:bookmarkStart w:id="7" w:name="_Ref223989115"/>
      <w:bookmarkStart w:id="8" w:name="_Toc189750766"/>
      <w:bookmarkStart w:id="9" w:name="_Toc224840460"/>
      <w:bookmarkEnd w:id="6"/>
      <w:r>
        <w:lastRenderedPageBreak/>
        <w:t xml:space="preserve">Table </w:t>
      </w:r>
      <w:r w:rsidR="00BB3949">
        <w:fldChar w:fldCharType="begin"/>
      </w:r>
      <w:r w:rsidR="00BB3949">
        <w:instrText xml:space="preserve"> SEQ Table \* ARABIC </w:instrText>
      </w:r>
      <w:r w:rsidR="00BB3949">
        <w:fldChar w:fldCharType="separate"/>
      </w:r>
      <w:r w:rsidR="00BB3949">
        <w:rPr>
          <w:noProof/>
        </w:rPr>
        <w:t>1</w:t>
      </w:r>
      <w:r w:rsidR="00BB3949">
        <w:rPr>
          <w:noProof/>
        </w:rPr>
        <w:fldChar w:fldCharType="end"/>
      </w:r>
      <w:bookmarkEnd w:id="7"/>
      <w:r w:rsidRPr="00F7087A">
        <w:t>.</w:t>
      </w:r>
      <w:r>
        <w:t xml:space="preserve"> 202</w:t>
      </w:r>
      <w:r w:rsidR="002F0B52">
        <w:t>5</w:t>
      </w:r>
      <w:r>
        <w:t xml:space="preserve"> </w:t>
      </w:r>
      <w:r w:rsidRPr="005C2837">
        <w:t>Volumetric</w:t>
      </w:r>
      <w:r>
        <w:t xml:space="preserve"> </w:t>
      </w:r>
      <w:bookmarkEnd w:id="8"/>
      <w:r w:rsidR="00D72809">
        <w:t>Summary for PGL</w:t>
      </w:r>
      <w:bookmarkEnd w:id="9"/>
    </w:p>
    <w:tbl>
      <w:tblPr>
        <w:tblStyle w:val="EnergyTable"/>
        <w:tblW w:w="5000" w:type="pct"/>
        <w:tblLook w:val="04A0" w:firstRow="1" w:lastRow="0" w:firstColumn="1" w:lastColumn="0" w:noHBand="0" w:noVBand="1"/>
      </w:tblPr>
      <w:tblGrid>
        <w:gridCol w:w="3150"/>
        <w:gridCol w:w="1777"/>
        <w:gridCol w:w="2093"/>
        <w:gridCol w:w="2340"/>
      </w:tblGrid>
      <w:tr w:rsidR="00B773EE" w:rsidRPr="00056BE7" w14:paraId="4B12B572" w14:textId="77777777" w:rsidTr="00F23700">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1683" w:type="pct"/>
            <w:hideMark/>
          </w:tcPr>
          <w:p w14:paraId="2D12D9AA" w14:textId="77777777" w:rsidR="00B773EE" w:rsidRPr="00056BE7" w:rsidRDefault="00B773EE">
            <w:pPr>
              <w:keepNext/>
              <w:keepLines/>
              <w:jc w:val="left"/>
              <w:rPr>
                <w:rFonts w:asciiTheme="minorHAnsi" w:eastAsia="Calibri" w:hAnsiTheme="minorHAnsi"/>
                <w:b w:val="0"/>
                <w:bCs/>
                <w:sz w:val="20"/>
              </w:rPr>
            </w:pPr>
            <w:r w:rsidRPr="00056BE7">
              <w:rPr>
                <w:rFonts w:asciiTheme="minorHAnsi" w:hAnsiTheme="minorHAnsi"/>
                <w:b w:val="0"/>
                <w:bCs/>
                <w:sz w:val="20"/>
              </w:rPr>
              <w:t>Participation</w:t>
            </w:r>
          </w:p>
        </w:tc>
        <w:tc>
          <w:tcPr>
            <w:tcW w:w="949" w:type="pct"/>
            <w:hideMark/>
          </w:tcPr>
          <w:p w14:paraId="47351F4E" w14:textId="26989B6F" w:rsidR="00B773EE" w:rsidRPr="00056BE7" w:rsidRDefault="0099646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056BE7">
              <w:rPr>
                <w:rFonts w:asciiTheme="minorHAnsi" w:hAnsiTheme="minorHAnsi"/>
                <w:b w:val="0"/>
                <w:bCs/>
                <w:sz w:val="20"/>
              </w:rPr>
              <w:t>Overall Program (All Utilities)</w:t>
            </w:r>
          </w:p>
        </w:tc>
        <w:tc>
          <w:tcPr>
            <w:tcW w:w="1118" w:type="pct"/>
          </w:tcPr>
          <w:p w14:paraId="5BFED74A" w14:textId="47609557" w:rsidR="00B773EE" w:rsidRPr="00056BE7" w:rsidRDefault="0099646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056BE7">
              <w:rPr>
                <w:rFonts w:asciiTheme="minorHAnsi" w:hAnsiTheme="minorHAnsi"/>
                <w:b w:val="0"/>
                <w:bCs/>
                <w:sz w:val="20"/>
              </w:rPr>
              <w:t>Projects with Gas Savings (All Utilities)</w:t>
            </w:r>
          </w:p>
        </w:tc>
        <w:tc>
          <w:tcPr>
            <w:tcW w:w="1250" w:type="pct"/>
            <w:hideMark/>
          </w:tcPr>
          <w:p w14:paraId="5A96178F" w14:textId="25E8B0C5" w:rsidR="00B773EE" w:rsidRPr="00056BE7" w:rsidRDefault="0099646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056BE7">
              <w:rPr>
                <w:rFonts w:asciiTheme="minorHAnsi" w:hAnsiTheme="minorHAnsi"/>
                <w:b w:val="0"/>
                <w:bCs/>
                <w:sz w:val="20"/>
              </w:rPr>
              <w:t>People Gas Projects</w:t>
            </w:r>
          </w:p>
        </w:tc>
      </w:tr>
      <w:tr w:rsidR="00B773EE" w:rsidRPr="00056BE7" w14:paraId="67EC15B7"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83" w:type="pct"/>
            <w:noWrap/>
          </w:tcPr>
          <w:p w14:paraId="27C7B0DB" w14:textId="6550146D" w:rsidR="00B773EE" w:rsidRPr="00056BE7" w:rsidRDefault="00331DDE">
            <w:pPr>
              <w:keepNext/>
              <w:keepLines/>
              <w:jc w:val="left"/>
              <w:rPr>
                <w:rFonts w:asciiTheme="minorHAnsi" w:eastAsia="Calibri" w:hAnsiTheme="minorHAnsi"/>
                <w:b/>
                <w:bCs/>
                <w:color w:val="000000"/>
                <w:sz w:val="20"/>
              </w:rPr>
            </w:pPr>
            <w:r w:rsidRPr="00056BE7">
              <w:rPr>
                <w:rFonts w:asciiTheme="minorHAnsi" w:eastAsia="Calibri" w:hAnsiTheme="minorHAnsi"/>
                <w:b/>
                <w:bCs/>
                <w:color w:val="000000"/>
                <w:sz w:val="20"/>
              </w:rPr>
              <w:t>Private Sector</w:t>
            </w:r>
          </w:p>
        </w:tc>
        <w:tc>
          <w:tcPr>
            <w:tcW w:w="949" w:type="pct"/>
            <w:noWrap/>
          </w:tcPr>
          <w:p w14:paraId="32D87E40" w14:textId="77777777" w:rsidR="00B773EE" w:rsidRPr="00056BE7" w:rsidRDefault="00B773E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p>
        </w:tc>
        <w:tc>
          <w:tcPr>
            <w:tcW w:w="1118" w:type="pct"/>
          </w:tcPr>
          <w:p w14:paraId="36703C09" w14:textId="77777777" w:rsidR="00B773EE" w:rsidRPr="00056BE7" w:rsidRDefault="00B773E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p>
        </w:tc>
        <w:tc>
          <w:tcPr>
            <w:tcW w:w="1250" w:type="pct"/>
          </w:tcPr>
          <w:p w14:paraId="0ABBF67F" w14:textId="77777777" w:rsidR="00B773EE" w:rsidRPr="00056BE7" w:rsidRDefault="00B773E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p>
        </w:tc>
      </w:tr>
      <w:tr w:rsidR="00331DDE" w:rsidRPr="00056BE7" w14:paraId="2C569FFA"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83" w:type="pct"/>
            <w:noWrap/>
          </w:tcPr>
          <w:p w14:paraId="5B090675" w14:textId="540741DD" w:rsidR="00331DDE" w:rsidRPr="00056BE7" w:rsidRDefault="00331DDE" w:rsidP="00331DDE">
            <w:pPr>
              <w:keepNext/>
              <w:keepLines/>
              <w:jc w:val="left"/>
              <w:rPr>
                <w:rFonts w:eastAsia="Calibri"/>
                <w:color w:val="000000"/>
                <w:sz w:val="20"/>
              </w:rPr>
            </w:pPr>
            <w:r w:rsidRPr="00056BE7">
              <w:rPr>
                <w:rFonts w:asciiTheme="minorHAnsi" w:eastAsia="Calibri" w:hAnsiTheme="minorHAnsi"/>
                <w:color w:val="000000"/>
                <w:sz w:val="20"/>
              </w:rPr>
              <w:t xml:space="preserve">Participants </w:t>
            </w:r>
            <w:r w:rsidRPr="00056BE7">
              <w:rPr>
                <w:rFonts w:asciiTheme="minorHAnsi" w:hAnsiTheme="minorHAnsi"/>
                <w:sz w:val="20"/>
              </w:rPr>
              <w:t>*</w:t>
            </w:r>
          </w:p>
        </w:tc>
        <w:tc>
          <w:tcPr>
            <w:tcW w:w="949" w:type="pct"/>
            <w:noWrap/>
          </w:tcPr>
          <w:p w14:paraId="0449973E" w14:textId="740FBEB6" w:rsidR="00331DDE" w:rsidRPr="00056BE7" w:rsidRDefault="00331DDE">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056BE7">
              <w:rPr>
                <w:rFonts w:eastAsia="Calibri"/>
                <w:color w:val="000000"/>
                <w:sz w:val="20"/>
              </w:rPr>
              <w:t>31</w:t>
            </w:r>
          </w:p>
        </w:tc>
        <w:tc>
          <w:tcPr>
            <w:tcW w:w="1118" w:type="pct"/>
          </w:tcPr>
          <w:p w14:paraId="163BC5BF" w14:textId="7561B04A" w:rsidR="00331DDE" w:rsidRPr="00056BE7" w:rsidRDefault="00331DDE">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056BE7">
              <w:rPr>
                <w:rFonts w:eastAsia="Calibri"/>
                <w:color w:val="000000"/>
                <w:sz w:val="20"/>
              </w:rPr>
              <w:t>26</w:t>
            </w:r>
          </w:p>
        </w:tc>
        <w:tc>
          <w:tcPr>
            <w:tcW w:w="1250" w:type="pct"/>
          </w:tcPr>
          <w:p w14:paraId="0E1DE7E9" w14:textId="57B63B29" w:rsidR="00331DDE" w:rsidRPr="00056BE7" w:rsidRDefault="00331DDE">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056BE7">
              <w:rPr>
                <w:rFonts w:eastAsia="Calibri"/>
                <w:color w:val="000000"/>
                <w:sz w:val="20"/>
              </w:rPr>
              <w:t>3</w:t>
            </w:r>
          </w:p>
        </w:tc>
      </w:tr>
      <w:tr w:rsidR="00B773EE" w:rsidRPr="00056BE7" w14:paraId="06AF6039"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6709F46E" w14:textId="77777777" w:rsidR="00B773EE" w:rsidRPr="00056BE7" w:rsidRDefault="00B773EE">
            <w:pPr>
              <w:keepNext/>
              <w:keepLines/>
              <w:jc w:val="left"/>
              <w:rPr>
                <w:rFonts w:asciiTheme="minorHAnsi" w:eastAsia="Calibri" w:hAnsiTheme="minorHAnsi"/>
                <w:bCs/>
                <w:color w:val="000000"/>
                <w:sz w:val="20"/>
              </w:rPr>
            </w:pPr>
            <w:r w:rsidRPr="00056BE7">
              <w:rPr>
                <w:rFonts w:asciiTheme="minorHAnsi" w:eastAsia="Calibri" w:hAnsiTheme="minorHAnsi"/>
                <w:bCs/>
                <w:color w:val="000000"/>
                <w:sz w:val="20"/>
              </w:rPr>
              <w:t xml:space="preserve">Installed Projects </w:t>
            </w:r>
            <w:r w:rsidRPr="00056BE7">
              <w:rPr>
                <w:rFonts w:asciiTheme="minorHAnsi" w:hAnsiTheme="minorHAnsi"/>
                <w:sz w:val="20"/>
              </w:rPr>
              <w:t>†</w:t>
            </w:r>
          </w:p>
        </w:tc>
        <w:tc>
          <w:tcPr>
            <w:tcW w:w="949" w:type="pct"/>
            <w:noWrap/>
          </w:tcPr>
          <w:p w14:paraId="03F30FD5" w14:textId="08F40838" w:rsidR="00B773EE" w:rsidRPr="00056BE7" w:rsidRDefault="00331DD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056BE7">
              <w:rPr>
                <w:rFonts w:asciiTheme="minorHAnsi" w:hAnsiTheme="minorHAnsi" w:cs="Calibri"/>
                <w:color w:val="000000"/>
                <w:sz w:val="20"/>
              </w:rPr>
              <w:t>31</w:t>
            </w:r>
          </w:p>
        </w:tc>
        <w:tc>
          <w:tcPr>
            <w:tcW w:w="1118" w:type="pct"/>
          </w:tcPr>
          <w:p w14:paraId="1EB31920" w14:textId="3CE46B69" w:rsidR="00B773EE" w:rsidRPr="00056BE7" w:rsidRDefault="00331DD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056BE7">
              <w:rPr>
                <w:rFonts w:asciiTheme="minorHAnsi" w:hAnsiTheme="minorHAnsi" w:cs="Calibri"/>
                <w:color w:val="000000"/>
                <w:sz w:val="20"/>
              </w:rPr>
              <w:t>26</w:t>
            </w:r>
          </w:p>
        </w:tc>
        <w:tc>
          <w:tcPr>
            <w:tcW w:w="1250" w:type="pct"/>
          </w:tcPr>
          <w:p w14:paraId="57D7A3AF" w14:textId="2E5E22DE" w:rsidR="00B773EE" w:rsidRPr="00056BE7" w:rsidRDefault="00331DD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056BE7">
              <w:rPr>
                <w:rFonts w:asciiTheme="minorHAnsi" w:hAnsiTheme="minorHAnsi" w:cs="Calibri"/>
                <w:color w:val="000000"/>
                <w:sz w:val="20"/>
              </w:rPr>
              <w:t>3</w:t>
            </w:r>
          </w:p>
        </w:tc>
      </w:tr>
      <w:tr w:rsidR="00331DDE" w:rsidRPr="00056BE7" w14:paraId="12969EDC"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110B108D" w14:textId="0DCBC854" w:rsidR="00331DDE" w:rsidRPr="00056BE7" w:rsidRDefault="00331DDE" w:rsidP="004E3983">
            <w:pPr>
              <w:keepNext/>
              <w:keepLines/>
              <w:jc w:val="left"/>
              <w:rPr>
                <w:rFonts w:asciiTheme="minorHAnsi" w:eastAsia="Calibri" w:hAnsiTheme="minorHAnsi"/>
                <w:b/>
                <w:color w:val="000000"/>
                <w:sz w:val="20"/>
              </w:rPr>
            </w:pPr>
            <w:r w:rsidRPr="00056BE7">
              <w:rPr>
                <w:rFonts w:asciiTheme="minorHAnsi" w:eastAsia="Calibri" w:hAnsiTheme="minorHAnsi"/>
                <w:b/>
                <w:bCs/>
                <w:color w:val="000000"/>
                <w:sz w:val="20"/>
              </w:rPr>
              <w:t>Public Sector</w:t>
            </w:r>
          </w:p>
        </w:tc>
        <w:tc>
          <w:tcPr>
            <w:tcW w:w="949" w:type="pct"/>
            <w:noWrap/>
          </w:tcPr>
          <w:p w14:paraId="70869A48" w14:textId="77777777" w:rsidR="00331DDE" w:rsidRPr="00056BE7" w:rsidRDefault="00331DDE" w:rsidP="004E3983">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b/>
                <w:color w:val="000000"/>
                <w:sz w:val="20"/>
              </w:rPr>
            </w:pPr>
          </w:p>
        </w:tc>
        <w:tc>
          <w:tcPr>
            <w:tcW w:w="1118" w:type="pct"/>
          </w:tcPr>
          <w:p w14:paraId="76D9AAAC" w14:textId="77777777" w:rsidR="00331DDE" w:rsidRPr="00056BE7" w:rsidRDefault="00331DDE" w:rsidP="004E3983">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b/>
                <w:color w:val="000000"/>
                <w:sz w:val="20"/>
              </w:rPr>
            </w:pPr>
          </w:p>
        </w:tc>
        <w:tc>
          <w:tcPr>
            <w:tcW w:w="1250" w:type="pct"/>
          </w:tcPr>
          <w:p w14:paraId="177585B1" w14:textId="262C28D9" w:rsidR="00331DDE" w:rsidRPr="00056BE7" w:rsidRDefault="00331DDE" w:rsidP="004E3983">
            <w:pPr>
              <w:keepNext/>
              <w:keepLines/>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b/>
                <w:color w:val="000000"/>
                <w:sz w:val="20"/>
              </w:rPr>
            </w:pPr>
          </w:p>
        </w:tc>
      </w:tr>
      <w:tr w:rsidR="00331DDE" w:rsidRPr="00056BE7" w14:paraId="45F49E3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3759234E" w14:textId="27F5A7A3" w:rsidR="00331DDE" w:rsidRPr="00056BE7" w:rsidRDefault="00331DDE" w:rsidP="00331DDE">
            <w:pPr>
              <w:keepNext/>
              <w:keepLines/>
              <w:jc w:val="left"/>
              <w:rPr>
                <w:rFonts w:asciiTheme="minorHAnsi" w:hAnsiTheme="minorHAnsi"/>
                <w:color w:val="000000"/>
                <w:sz w:val="20"/>
              </w:rPr>
            </w:pPr>
            <w:r w:rsidRPr="00056BE7">
              <w:rPr>
                <w:rFonts w:asciiTheme="minorHAnsi" w:eastAsia="Calibri" w:hAnsiTheme="minorHAnsi"/>
                <w:color w:val="000000"/>
                <w:sz w:val="20"/>
              </w:rPr>
              <w:t xml:space="preserve">Participants </w:t>
            </w:r>
            <w:r w:rsidRPr="00056BE7">
              <w:rPr>
                <w:rFonts w:asciiTheme="minorHAnsi" w:hAnsiTheme="minorHAnsi"/>
                <w:sz w:val="20"/>
              </w:rPr>
              <w:t>*</w:t>
            </w:r>
          </w:p>
        </w:tc>
        <w:tc>
          <w:tcPr>
            <w:tcW w:w="949" w:type="pct"/>
            <w:noWrap/>
          </w:tcPr>
          <w:p w14:paraId="71AC48D1" w14:textId="0BB7BF93"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056BE7">
              <w:rPr>
                <w:rFonts w:asciiTheme="minorHAnsi" w:hAnsiTheme="minorHAnsi" w:cs="Calibri"/>
                <w:color w:val="000000"/>
                <w:sz w:val="20"/>
              </w:rPr>
              <w:t>19</w:t>
            </w:r>
          </w:p>
        </w:tc>
        <w:tc>
          <w:tcPr>
            <w:tcW w:w="1118" w:type="pct"/>
          </w:tcPr>
          <w:p w14:paraId="79725FD3" w14:textId="7BCF8579"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056BE7">
              <w:rPr>
                <w:rFonts w:asciiTheme="minorHAnsi" w:hAnsiTheme="minorHAnsi" w:cs="Calibri"/>
                <w:color w:val="000000"/>
                <w:sz w:val="20"/>
              </w:rPr>
              <w:t>12</w:t>
            </w:r>
          </w:p>
        </w:tc>
        <w:tc>
          <w:tcPr>
            <w:tcW w:w="1250" w:type="pct"/>
          </w:tcPr>
          <w:p w14:paraId="33D3230E" w14:textId="17996D9F"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056BE7">
              <w:rPr>
                <w:rFonts w:asciiTheme="minorHAnsi" w:hAnsiTheme="minorHAnsi" w:cs="Calibri"/>
                <w:color w:val="000000"/>
                <w:sz w:val="20"/>
              </w:rPr>
              <w:t>1</w:t>
            </w:r>
          </w:p>
        </w:tc>
      </w:tr>
      <w:tr w:rsidR="00331DDE" w:rsidRPr="00056BE7" w14:paraId="0E2F5C2C"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40F3B683" w14:textId="49EFB716" w:rsidR="00331DDE" w:rsidRPr="00056BE7" w:rsidRDefault="00331DDE" w:rsidP="00331DDE">
            <w:pPr>
              <w:keepNext/>
              <w:keepLines/>
              <w:jc w:val="left"/>
              <w:rPr>
                <w:rFonts w:eastAsia="Calibri"/>
                <w:color w:val="000000"/>
                <w:sz w:val="20"/>
              </w:rPr>
            </w:pPr>
            <w:r w:rsidRPr="00056BE7">
              <w:rPr>
                <w:rFonts w:asciiTheme="minorHAnsi" w:eastAsia="Calibri" w:hAnsiTheme="minorHAnsi"/>
                <w:bCs/>
                <w:color w:val="000000"/>
                <w:sz w:val="20"/>
              </w:rPr>
              <w:t xml:space="preserve">Installed Projects </w:t>
            </w:r>
            <w:r w:rsidRPr="00056BE7">
              <w:rPr>
                <w:rFonts w:asciiTheme="minorHAnsi" w:hAnsiTheme="minorHAnsi"/>
                <w:sz w:val="20"/>
              </w:rPr>
              <w:t>†</w:t>
            </w:r>
          </w:p>
        </w:tc>
        <w:tc>
          <w:tcPr>
            <w:tcW w:w="949" w:type="pct"/>
            <w:noWrap/>
          </w:tcPr>
          <w:p w14:paraId="60AD99F4" w14:textId="03C790AA" w:rsidR="00331DDE" w:rsidRPr="00056BE7" w:rsidRDefault="00331DDE" w:rsidP="00331DDE">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056BE7">
              <w:rPr>
                <w:rFonts w:cs="Calibri"/>
                <w:color w:val="000000"/>
                <w:sz w:val="20"/>
              </w:rPr>
              <w:t>19</w:t>
            </w:r>
          </w:p>
        </w:tc>
        <w:tc>
          <w:tcPr>
            <w:tcW w:w="1118" w:type="pct"/>
          </w:tcPr>
          <w:p w14:paraId="7EF801B9" w14:textId="5DE1CCA4" w:rsidR="00331DDE" w:rsidRPr="00056BE7" w:rsidRDefault="00331DDE" w:rsidP="00331DDE">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056BE7">
              <w:rPr>
                <w:rFonts w:cs="Calibri"/>
                <w:color w:val="000000"/>
                <w:sz w:val="20"/>
              </w:rPr>
              <w:t>12</w:t>
            </w:r>
          </w:p>
        </w:tc>
        <w:tc>
          <w:tcPr>
            <w:tcW w:w="1250" w:type="pct"/>
          </w:tcPr>
          <w:p w14:paraId="0B671F7B" w14:textId="3A74A60A" w:rsidR="00331DDE" w:rsidRPr="00056BE7" w:rsidRDefault="00331DDE" w:rsidP="00331DDE">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056BE7">
              <w:rPr>
                <w:rFonts w:cs="Calibri"/>
                <w:color w:val="000000"/>
                <w:sz w:val="20"/>
              </w:rPr>
              <w:t>1</w:t>
            </w:r>
          </w:p>
        </w:tc>
      </w:tr>
      <w:tr w:rsidR="00331DDE" w:rsidRPr="00056BE7" w14:paraId="2A5FFAE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193826B8" w14:textId="40C596B9" w:rsidR="00331DDE" w:rsidRPr="00056BE7" w:rsidRDefault="00331DDE" w:rsidP="00331DDE">
            <w:pPr>
              <w:keepNext/>
              <w:keepLines/>
              <w:jc w:val="left"/>
              <w:rPr>
                <w:rFonts w:eastAsia="Calibri"/>
                <w:bCs/>
                <w:color w:val="000000"/>
                <w:sz w:val="20"/>
              </w:rPr>
            </w:pPr>
            <w:r w:rsidRPr="00056BE7">
              <w:rPr>
                <w:rFonts w:asciiTheme="minorHAnsi" w:eastAsia="Calibri" w:hAnsiTheme="minorHAnsi"/>
                <w:b/>
                <w:bCs/>
                <w:color w:val="000000"/>
                <w:sz w:val="20"/>
              </w:rPr>
              <w:t>Program 2025 Total</w:t>
            </w:r>
          </w:p>
        </w:tc>
        <w:tc>
          <w:tcPr>
            <w:tcW w:w="949" w:type="pct"/>
            <w:noWrap/>
          </w:tcPr>
          <w:p w14:paraId="1A321200" w14:textId="77777777"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c>
          <w:tcPr>
            <w:tcW w:w="1118" w:type="pct"/>
          </w:tcPr>
          <w:p w14:paraId="0DE94379" w14:textId="77777777"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c>
          <w:tcPr>
            <w:tcW w:w="1250" w:type="pct"/>
          </w:tcPr>
          <w:p w14:paraId="48CE38A5" w14:textId="77777777"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r>
      <w:tr w:rsidR="00331DDE" w:rsidRPr="00056BE7" w14:paraId="1DFA8D5E"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33F0E843" w14:textId="1072A1BB" w:rsidR="00331DDE" w:rsidRPr="00056BE7" w:rsidRDefault="00331DDE" w:rsidP="00331DDE">
            <w:pPr>
              <w:keepNext/>
              <w:keepLines/>
              <w:jc w:val="left"/>
              <w:rPr>
                <w:rFonts w:eastAsia="Calibri"/>
                <w:bCs/>
                <w:color w:val="000000"/>
                <w:sz w:val="20"/>
              </w:rPr>
            </w:pPr>
            <w:r w:rsidRPr="00056BE7">
              <w:rPr>
                <w:rFonts w:asciiTheme="minorHAnsi" w:eastAsia="Calibri" w:hAnsiTheme="minorHAnsi"/>
                <w:color w:val="000000"/>
                <w:sz w:val="20"/>
              </w:rPr>
              <w:t xml:space="preserve">Participants </w:t>
            </w:r>
            <w:r w:rsidRPr="00056BE7">
              <w:rPr>
                <w:rFonts w:asciiTheme="minorHAnsi" w:hAnsiTheme="minorHAnsi"/>
                <w:sz w:val="20"/>
              </w:rPr>
              <w:t>*</w:t>
            </w:r>
          </w:p>
        </w:tc>
        <w:tc>
          <w:tcPr>
            <w:tcW w:w="949" w:type="pct"/>
            <w:noWrap/>
          </w:tcPr>
          <w:p w14:paraId="3C0B2DFA" w14:textId="6FAF731E" w:rsidR="00331DDE" w:rsidRPr="00056BE7" w:rsidRDefault="00331DDE" w:rsidP="00331DDE">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056BE7">
              <w:rPr>
                <w:rFonts w:cs="Calibri"/>
                <w:color w:val="000000"/>
                <w:sz w:val="20"/>
              </w:rPr>
              <w:t>50</w:t>
            </w:r>
          </w:p>
        </w:tc>
        <w:tc>
          <w:tcPr>
            <w:tcW w:w="1118" w:type="pct"/>
          </w:tcPr>
          <w:p w14:paraId="13EFAF48" w14:textId="0BA3EB2A" w:rsidR="00331DDE" w:rsidRPr="00056BE7" w:rsidRDefault="00331DDE" w:rsidP="00331DDE">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056BE7">
              <w:rPr>
                <w:rFonts w:cs="Calibri"/>
                <w:color w:val="000000"/>
                <w:sz w:val="20"/>
              </w:rPr>
              <w:t>38</w:t>
            </w:r>
          </w:p>
        </w:tc>
        <w:tc>
          <w:tcPr>
            <w:tcW w:w="1250" w:type="pct"/>
          </w:tcPr>
          <w:p w14:paraId="6D24205D" w14:textId="2A815711" w:rsidR="00331DDE" w:rsidRPr="00056BE7" w:rsidRDefault="00331DDE" w:rsidP="00331DDE">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056BE7">
              <w:rPr>
                <w:rFonts w:cs="Calibri"/>
                <w:color w:val="000000"/>
                <w:sz w:val="20"/>
              </w:rPr>
              <w:t>4</w:t>
            </w:r>
          </w:p>
        </w:tc>
      </w:tr>
      <w:tr w:rsidR="00331DDE" w:rsidRPr="00056BE7" w14:paraId="3286E693"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550BE880" w14:textId="18B34433" w:rsidR="00331DDE" w:rsidRPr="00056BE7" w:rsidRDefault="00331DDE" w:rsidP="00331DDE">
            <w:pPr>
              <w:keepNext/>
              <w:keepLines/>
              <w:jc w:val="left"/>
              <w:rPr>
                <w:rFonts w:eastAsia="Calibri"/>
                <w:bCs/>
                <w:color w:val="000000"/>
                <w:sz w:val="20"/>
              </w:rPr>
            </w:pPr>
            <w:r w:rsidRPr="00056BE7">
              <w:rPr>
                <w:rFonts w:asciiTheme="minorHAnsi" w:eastAsia="Calibri" w:hAnsiTheme="minorHAnsi"/>
                <w:bCs/>
                <w:color w:val="000000"/>
                <w:sz w:val="20"/>
              </w:rPr>
              <w:t xml:space="preserve">Installed Projects </w:t>
            </w:r>
            <w:r w:rsidRPr="00056BE7">
              <w:rPr>
                <w:rFonts w:asciiTheme="minorHAnsi" w:hAnsiTheme="minorHAnsi"/>
                <w:sz w:val="20"/>
              </w:rPr>
              <w:t>†</w:t>
            </w:r>
          </w:p>
        </w:tc>
        <w:tc>
          <w:tcPr>
            <w:tcW w:w="949" w:type="pct"/>
            <w:noWrap/>
          </w:tcPr>
          <w:p w14:paraId="44E3628C" w14:textId="7C642136"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056BE7">
              <w:rPr>
                <w:rFonts w:cs="Calibri"/>
                <w:color w:val="000000"/>
                <w:sz w:val="20"/>
              </w:rPr>
              <w:t>50</w:t>
            </w:r>
          </w:p>
        </w:tc>
        <w:tc>
          <w:tcPr>
            <w:tcW w:w="1118" w:type="pct"/>
          </w:tcPr>
          <w:p w14:paraId="62486BD9" w14:textId="483D996B"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056BE7">
              <w:rPr>
                <w:rFonts w:cs="Calibri"/>
                <w:color w:val="000000"/>
                <w:sz w:val="20"/>
              </w:rPr>
              <w:t>38</w:t>
            </w:r>
          </w:p>
        </w:tc>
        <w:tc>
          <w:tcPr>
            <w:tcW w:w="1250" w:type="pct"/>
          </w:tcPr>
          <w:p w14:paraId="0F5E5F9E" w14:textId="7E33693F" w:rsidR="00331DDE" w:rsidRPr="00056BE7" w:rsidRDefault="00331DDE" w:rsidP="00331DDE">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056BE7">
              <w:rPr>
                <w:rFonts w:cs="Calibri"/>
                <w:color w:val="000000"/>
                <w:sz w:val="20"/>
              </w:rPr>
              <w:t>4</w:t>
            </w:r>
          </w:p>
        </w:tc>
      </w:tr>
    </w:tbl>
    <w:p w14:paraId="54674EF2" w14:textId="3D499DE3" w:rsidR="00B773EE" w:rsidRPr="00087B41" w:rsidRDefault="00B773EE" w:rsidP="00893DA8">
      <w:pPr>
        <w:pStyle w:val="TableFigureSource"/>
        <w:rPr>
          <w:rFonts w:asciiTheme="minorHAnsi" w:hAnsiTheme="minorHAnsi"/>
          <w:szCs w:val="18"/>
        </w:rPr>
      </w:pPr>
      <w:r w:rsidRPr="00087B41">
        <w:t xml:space="preserve">* Participants are defined as </w:t>
      </w:r>
      <w:r w:rsidR="00C95E1A" w:rsidRPr="00087B41">
        <w:rPr>
          <w:rFonts w:asciiTheme="minorHAnsi" w:hAnsiTheme="minorHAnsi"/>
          <w:szCs w:val="18"/>
        </w:rPr>
        <w:t>distinct count of addresses</w:t>
      </w:r>
    </w:p>
    <w:p w14:paraId="1A4C6A04" w14:textId="6A09AC88" w:rsidR="00B773EE" w:rsidRPr="00087B41" w:rsidRDefault="00B773EE" w:rsidP="00893DA8">
      <w:pPr>
        <w:pStyle w:val="TableFigureSource"/>
        <w:rPr>
          <w:rFonts w:asciiTheme="minorHAnsi" w:hAnsiTheme="minorHAnsi"/>
          <w:szCs w:val="18"/>
        </w:rPr>
      </w:pPr>
      <w:r w:rsidRPr="00087B41">
        <w:t xml:space="preserve">† Installed Projects are defined as </w:t>
      </w:r>
      <w:r w:rsidR="00B42177" w:rsidRPr="00087B41">
        <w:rPr>
          <w:rFonts w:asciiTheme="minorHAnsi" w:hAnsiTheme="minorHAnsi"/>
          <w:szCs w:val="18"/>
        </w:rPr>
        <w:t>distinct count of project IDs</w:t>
      </w:r>
    </w:p>
    <w:p w14:paraId="0F8E26A0" w14:textId="5561D1A4" w:rsidR="00B773EE" w:rsidRPr="00087B41" w:rsidRDefault="00B773EE" w:rsidP="00893DA8">
      <w:pPr>
        <w:pStyle w:val="TableFigureSource"/>
        <w:rPr>
          <w:rFonts w:asciiTheme="minorHAnsi" w:hAnsiTheme="minorHAnsi"/>
          <w:szCs w:val="18"/>
        </w:rPr>
      </w:pPr>
      <w:r w:rsidRPr="00087B41">
        <w:t xml:space="preserve">Source: </w:t>
      </w:r>
      <w:r w:rsidR="00313B55" w:rsidRPr="00087B41">
        <w:rPr>
          <w:rFonts w:asciiTheme="minorHAnsi" w:hAnsiTheme="minorHAnsi"/>
          <w:szCs w:val="18"/>
        </w:rPr>
        <w:t>Peoples</w:t>
      </w:r>
      <w:r w:rsidRPr="00087B41">
        <w:rPr>
          <w:rFonts w:asciiTheme="minorHAnsi" w:hAnsiTheme="minorHAnsi"/>
          <w:szCs w:val="18"/>
        </w:rPr>
        <w:t xml:space="preserve"> Gas tracking data and evaluation team analysis.</w:t>
      </w:r>
    </w:p>
    <w:p w14:paraId="2CBD6F36" w14:textId="77777777" w:rsidR="005A50AE" w:rsidRDefault="005A50AE" w:rsidP="005A50AE">
      <w:pPr>
        <w:pStyle w:val="Heading1"/>
      </w:pPr>
      <w:bookmarkStart w:id="10" w:name="_Toc224810300"/>
      <w:r>
        <w:t>Program Savings Detail</w:t>
      </w:r>
      <w:bookmarkEnd w:id="10"/>
    </w:p>
    <w:p w14:paraId="0FD117C1" w14:textId="55DD5B1B" w:rsidR="00123197" w:rsidRDefault="00123197" w:rsidP="00123197">
      <w:r>
        <w:fldChar w:fldCharType="begin"/>
      </w:r>
      <w:r>
        <w:instrText xml:space="preserve"> REF _Ref189739479 \h </w:instrText>
      </w:r>
      <w:r>
        <w:fldChar w:fldCharType="separate"/>
      </w:r>
      <w:r w:rsidR="00023292">
        <w:t xml:space="preserve">Table </w:t>
      </w:r>
      <w:r w:rsidR="00023292">
        <w:rPr>
          <w:noProof/>
        </w:rPr>
        <w:t>2</w:t>
      </w:r>
      <w:r>
        <w:fldChar w:fldCharType="end"/>
      </w:r>
      <w:r>
        <w:t xml:space="preserve"> </w:t>
      </w:r>
      <w:r w:rsidRPr="00A90B62">
        <w:t>summarize</w:t>
      </w:r>
      <w:r>
        <w:t>s</w:t>
      </w:r>
      <w:r w:rsidRPr="00A90B62">
        <w:t xml:space="preserve"> the </w:t>
      </w:r>
      <w:r>
        <w:t xml:space="preserve">energy </w:t>
      </w:r>
      <w:r w:rsidRPr="00A90B62">
        <w:t xml:space="preserve">savings the </w:t>
      </w:r>
      <w:r>
        <w:t>PGL</w:t>
      </w:r>
      <w:r w:rsidR="00023292">
        <w:t xml:space="preserve"> Business New Construction</w:t>
      </w:r>
      <w:r>
        <w:t xml:space="preserve"> P</w:t>
      </w:r>
      <w:r w:rsidRPr="00A90B62">
        <w:t>rogram</w:t>
      </w:r>
      <w:r>
        <w:t xml:space="preserve"> achieved by path in 202</w:t>
      </w:r>
      <w:r w:rsidR="00491AC6">
        <w:t>5</w:t>
      </w:r>
      <w:r>
        <w:t>.</w:t>
      </w:r>
    </w:p>
    <w:p w14:paraId="1C523E61" w14:textId="31E829E5" w:rsidR="00123197" w:rsidRDefault="00123197" w:rsidP="00A754D8">
      <w:pPr>
        <w:pStyle w:val="Caption"/>
      </w:pPr>
      <w:bookmarkStart w:id="11" w:name="_Ref189739479"/>
      <w:bookmarkStart w:id="12" w:name="_Toc397011684"/>
      <w:bookmarkStart w:id="13" w:name="_Toc397011694"/>
      <w:bookmarkStart w:id="14" w:name="_Toc398541809"/>
      <w:bookmarkStart w:id="15" w:name="_Toc398541922"/>
      <w:bookmarkStart w:id="16" w:name="_Toc398546654"/>
      <w:bookmarkStart w:id="17" w:name="_Toc423009516"/>
      <w:bookmarkStart w:id="18" w:name="_Toc426278634"/>
      <w:bookmarkStart w:id="19" w:name="_Toc61360476"/>
      <w:bookmarkStart w:id="20" w:name="_Toc189750716"/>
      <w:bookmarkStart w:id="21" w:name="_Toc224840461"/>
      <w:r>
        <w:t xml:space="preserve">Table </w:t>
      </w:r>
      <w:r w:rsidR="00023292">
        <w:fldChar w:fldCharType="begin"/>
      </w:r>
      <w:r w:rsidR="00023292">
        <w:instrText xml:space="preserve"> SEQ Table \* ARABIC </w:instrText>
      </w:r>
      <w:r w:rsidR="00023292">
        <w:fldChar w:fldCharType="separate"/>
      </w:r>
      <w:r w:rsidR="00023292">
        <w:rPr>
          <w:noProof/>
        </w:rPr>
        <w:t>2</w:t>
      </w:r>
      <w:r w:rsidR="00023292">
        <w:rPr>
          <w:noProof/>
        </w:rPr>
        <w:fldChar w:fldCharType="end"/>
      </w:r>
      <w:bookmarkEnd w:id="11"/>
      <w:r>
        <w:t>. 2025 Annual Energy Savings Summary</w:t>
      </w:r>
      <w:bookmarkEnd w:id="12"/>
      <w:bookmarkEnd w:id="13"/>
      <w:bookmarkEnd w:id="14"/>
      <w:bookmarkEnd w:id="15"/>
      <w:bookmarkEnd w:id="16"/>
      <w:bookmarkEnd w:id="17"/>
      <w:bookmarkEnd w:id="18"/>
      <w:r>
        <w:t xml:space="preserve"> for PGL</w:t>
      </w:r>
      <w:bookmarkEnd w:id="19"/>
      <w:bookmarkEnd w:id="20"/>
      <w:bookmarkEnd w:id="21"/>
    </w:p>
    <w:tbl>
      <w:tblPr>
        <w:tblStyle w:val="EnergyTable"/>
        <w:tblW w:w="0" w:type="auto"/>
        <w:tblLayout w:type="fixed"/>
        <w:tblLook w:val="06A0" w:firstRow="1" w:lastRow="0" w:firstColumn="1" w:lastColumn="0" w:noHBand="1" w:noVBand="1"/>
      </w:tblPr>
      <w:tblGrid>
        <w:gridCol w:w="3165"/>
        <w:gridCol w:w="990"/>
        <w:gridCol w:w="90"/>
        <w:gridCol w:w="1080"/>
        <w:gridCol w:w="1215"/>
        <w:gridCol w:w="780"/>
        <w:gridCol w:w="780"/>
        <w:gridCol w:w="1200"/>
      </w:tblGrid>
      <w:tr w:rsidR="00023292" w:rsidRPr="00C96E0D" w14:paraId="40AFFA77" w14:textId="77777777" w:rsidTr="0002329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65" w:type="dxa"/>
          </w:tcPr>
          <w:p w14:paraId="2EA2DFCA" w14:textId="373F1BBB" w:rsidR="00023292" w:rsidRPr="00C96E0D" w:rsidRDefault="00023292">
            <w:pPr>
              <w:jc w:val="left"/>
              <w:rPr>
                <w:rFonts w:asciiTheme="minorHAnsi" w:eastAsia="Arial Narrow" w:hAnsiTheme="minorHAnsi" w:cs="Arial Narrow"/>
                <w:sz w:val="20"/>
              </w:rPr>
            </w:pPr>
            <w:r w:rsidRPr="00C96E0D">
              <w:rPr>
                <w:rFonts w:asciiTheme="minorHAnsi" w:eastAsia="Arial Narrow" w:hAnsiTheme="minorHAnsi" w:cs="Arial Narrow"/>
                <w:sz w:val="20"/>
              </w:rPr>
              <w:t>Program Category</w:t>
            </w:r>
            <w:r w:rsidR="004B383E" w:rsidRPr="00C96E0D">
              <w:rPr>
                <w:rFonts w:asciiTheme="minorHAnsi" w:eastAsia="Arial Narrow" w:hAnsiTheme="minorHAnsi" w:cs="Arial Narrow"/>
                <w:sz w:val="20"/>
              </w:rPr>
              <w:t>§</w:t>
            </w:r>
          </w:p>
        </w:tc>
        <w:tc>
          <w:tcPr>
            <w:tcW w:w="990" w:type="dxa"/>
          </w:tcPr>
          <w:p w14:paraId="1DF4B559" w14:textId="77777777" w:rsidR="00023292" w:rsidRPr="00C96E0D" w:rsidRDefault="00023292">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C96E0D">
              <w:rPr>
                <w:rFonts w:asciiTheme="minorHAnsi" w:eastAsia="Arial Narrow" w:hAnsiTheme="minorHAnsi" w:cs="Arial Narrow"/>
                <w:sz w:val="20"/>
              </w:rPr>
              <w:t>Ex Ante Gross Savings (Therms)</w:t>
            </w:r>
          </w:p>
        </w:tc>
        <w:tc>
          <w:tcPr>
            <w:tcW w:w="1170" w:type="dxa"/>
            <w:gridSpan w:val="2"/>
          </w:tcPr>
          <w:p w14:paraId="4FDDCFC1" w14:textId="77777777" w:rsidR="00023292" w:rsidRPr="00C96E0D" w:rsidRDefault="00023292">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C96E0D">
              <w:rPr>
                <w:rFonts w:asciiTheme="minorHAnsi" w:eastAsia="Arial Narrow" w:hAnsiTheme="minorHAnsi" w:cs="Arial Narrow"/>
                <w:sz w:val="20"/>
              </w:rPr>
              <w:t>Verified Gross RR*</w:t>
            </w:r>
          </w:p>
        </w:tc>
        <w:tc>
          <w:tcPr>
            <w:tcW w:w="1215" w:type="dxa"/>
          </w:tcPr>
          <w:p w14:paraId="0B77F057" w14:textId="77777777" w:rsidR="00023292" w:rsidRPr="00C96E0D" w:rsidRDefault="00023292">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C96E0D">
              <w:rPr>
                <w:rFonts w:asciiTheme="minorHAnsi" w:eastAsia="Arial Narrow" w:hAnsiTheme="minorHAnsi" w:cs="Arial Narrow"/>
                <w:sz w:val="20"/>
              </w:rPr>
              <w:t>Verified Gross Savings (Therms</w:t>
            </w:r>
          </w:p>
        </w:tc>
        <w:tc>
          <w:tcPr>
            <w:tcW w:w="780" w:type="dxa"/>
          </w:tcPr>
          <w:p w14:paraId="134BE930" w14:textId="77777777" w:rsidR="00023292" w:rsidRPr="00C96E0D" w:rsidRDefault="00023292">
            <w:pPr>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sz w:val="20"/>
              </w:rPr>
            </w:pPr>
            <w:r w:rsidRPr="00C96E0D">
              <w:rPr>
                <w:rFonts w:asciiTheme="minorHAnsi" w:eastAsia="Arial Narrow" w:hAnsiTheme="minorHAnsi" w:cs="Arial Narrow"/>
                <w:sz w:val="20"/>
              </w:rPr>
              <w:t>NTG</w:t>
            </w:r>
            <w:r w:rsidRPr="00C96E0D">
              <w:rPr>
                <w:rFonts w:asciiTheme="minorHAnsi" w:eastAsia="Calibri" w:hAnsiTheme="minorHAnsi" w:cs="Calibri"/>
                <w:sz w:val="20"/>
              </w:rPr>
              <w:t>†</w:t>
            </w:r>
          </w:p>
        </w:tc>
        <w:tc>
          <w:tcPr>
            <w:tcW w:w="780" w:type="dxa"/>
          </w:tcPr>
          <w:p w14:paraId="623D9706" w14:textId="6E2AB5B9" w:rsidR="00023292" w:rsidRPr="00C96E0D" w:rsidRDefault="00023292">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C96E0D">
              <w:rPr>
                <w:rFonts w:asciiTheme="minorHAnsi" w:eastAsia="Arial Narrow" w:hAnsiTheme="minorHAnsi" w:cs="Arial Narrow"/>
                <w:sz w:val="20"/>
              </w:rPr>
              <w:t>N</w:t>
            </w:r>
            <w:r w:rsidR="00E001EC" w:rsidRPr="00C96E0D">
              <w:rPr>
                <w:rFonts w:asciiTheme="minorHAnsi" w:eastAsia="Arial Narrow" w:hAnsiTheme="minorHAnsi" w:cs="Arial Narrow"/>
                <w:sz w:val="20"/>
              </w:rPr>
              <w:t>PSO</w:t>
            </w:r>
            <w:r w:rsidRPr="00C96E0D">
              <w:rPr>
                <w:rFonts w:asciiTheme="minorHAnsi" w:eastAsia="Arial Narrow" w:hAnsiTheme="minorHAnsi" w:cs="Arial Narrow"/>
                <w:sz w:val="20"/>
              </w:rPr>
              <w:t>‡</w:t>
            </w:r>
          </w:p>
        </w:tc>
        <w:tc>
          <w:tcPr>
            <w:tcW w:w="1200" w:type="dxa"/>
          </w:tcPr>
          <w:p w14:paraId="6FD7B10C" w14:textId="77777777" w:rsidR="00023292" w:rsidRPr="00C96E0D" w:rsidRDefault="00023292">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C96E0D">
              <w:rPr>
                <w:rFonts w:asciiTheme="minorHAnsi" w:eastAsia="Arial Narrow" w:hAnsiTheme="minorHAnsi" w:cs="Arial Narrow"/>
                <w:sz w:val="20"/>
              </w:rPr>
              <w:t>Verified Net Savings (Therms)</w:t>
            </w:r>
          </w:p>
        </w:tc>
      </w:tr>
      <w:tr w:rsidR="00023292" w:rsidRPr="00C96E0D" w14:paraId="0727D6B2" w14:textId="77777777" w:rsidTr="00023292">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3A2890A8" w14:textId="7D952F8A" w:rsidR="00023292" w:rsidRPr="00C96E0D" w:rsidRDefault="00023292">
            <w:pPr>
              <w:jc w:val="left"/>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Private, Non-Disadvantaged Communities</w:t>
            </w:r>
            <w:r w:rsidR="00EA4B7B" w:rsidRPr="00C96E0D">
              <w:rPr>
                <w:rFonts w:asciiTheme="minorHAnsi" w:eastAsia="Arial" w:hAnsiTheme="minorHAnsi" w:cs="Arial"/>
                <w:iCs/>
                <w:sz w:val="20"/>
              </w:rPr>
              <w:t>§</w:t>
            </w:r>
          </w:p>
        </w:tc>
        <w:tc>
          <w:tcPr>
            <w:tcW w:w="990" w:type="dxa"/>
          </w:tcPr>
          <w:p w14:paraId="26903744" w14:textId="3A1EEBC8"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100,203</w:t>
            </w:r>
          </w:p>
        </w:tc>
        <w:tc>
          <w:tcPr>
            <w:tcW w:w="1170" w:type="dxa"/>
            <w:gridSpan w:val="2"/>
          </w:tcPr>
          <w:p w14:paraId="05A4FB22" w14:textId="13FECD30"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95%</w:t>
            </w:r>
          </w:p>
        </w:tc>
        <w:tc>
          <w:tcPr>
            <w:tcW w:w="1215" w:type="dxa"/>
          </w:tcPr>
          <w:p w14:paraId="2542E925" w14:textId="6AC9E1FF"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94,848</w:t>
            </w:r>
          </w:p>
        </w:tc>
        <w:tc>
          <w:tcPr>
            <w:tcW w:w="780" w:type="dxa"/>
          </w:tcPr>
          <w:p w14:paraId="12F70736" w14:textId="6CD5E166"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0.43</w:t>
            </w:r>
          </w:p>
        </w:tc>
        <w:tc>
          <w:tcPr>
            <w:tcW w:w="780" w:type="dxa"/>
          </w:tcPr>
          <w:p w14:paraId="29DC6322" w14:textId="03791DCF" w:rsidR="00023292" w:rsidRPr="00C96E0D" w:rsidRDefault="00E9108E">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N/A</w:t>
            </w:r>
            <w:r w:rsidR="00023292" w:rsidRPr="00C96E0D">
              <w:rPr>
                <w:rFonts w:asciiTheme="minorHAnsi" w:eastAsia="Arial Narrow" w:hAnsiTheme="minorHAnsi" w:cs="Arial Narrow"/>
                <w:color w:val="000000" w:themeColor="text1"/>
                <w:sz w:val="20"/>
              </w:rPr>
              <w:t xml:space="preserve"> </w:t>
            </w:r>
          </w:p>
        </w:tc>
        <w:tc>
          <w:tcPr>
            <w:tcW w:w="1200" w:type="dxa"/>
          </w:tcPr>
          <w:p w14:paraId="06D3D1E4" w14:textId="7AFEA7EE"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40,785</w:t>
            </w:r>
          </w:p>
        </w:tc>
      </w:tr>
      <w:tr w:rsidR="00023292" w:rsidRPr="00C96E0D" w14:paraId="4F6AA54D"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50C070A2" w14:textId="77777777" w:rsidR="00023292" w:rsidRPr="00C96E0D" w:rsidRDefault="00023292" w:rsidP="00023292">
            <w:pPr>
              <w:jc w:val="left"/>
              <w:rPr>
                <w:rFonts w:asciiTheme="minorHAnsi" w:eastAsia="Arial Narrow" w:hAnsiTheme="minorHAnsi" w:cs="Arial Narrow"/>
                <w:color w:val="000000" w:themeColor="text1"/>
                <w:sz w:val="20"/>
              </w:rPr>
            </w:pPr>
            <w:r w:rsidRPr="00C96E0D">
              <w:rPr>
                <w:rFonts w:asciiTheme="minorHAnsi" w:eastAsia="Arial Narrow" w:hAnsiTheme="minorHAnsi" w:cs="Arial Narrow"/>
                <w:b/>
                <w:bCs/>
                <w:i/>
                <w:iCs/>
                <w:color w:val="000000" w:themeColor="text1"/>
                <w:sz w:val="20"/>
              </w:rPr>
              <w:t>Private, Non-DAC Subtotal</w:t>
            </w:r>
          </w:p>
        </w:tc>
        <w:tc>
          <w:tcPr>
            <w:tcW w:w="990" w:type="dxa"/>
            <w:vAlign w:val="top"/>
          </w:tcPr>
          <w:p w14:paraId="0454262B" w14:textId="73B80CE0"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100,203</w:t>
            </w:r>
          </w:p>
        </w:tc>
        <w:tc>
          <w:tcPr>
            <w:tcW w:w="1170" w:type="dxa"/>
            <w:gridSpan w:val="2"/>
            <w:vAlign w:val="top"/>
          </w:tcPr>
          <w:p w14:paraId="2B48DF52" w14:textId="76D2E7CE"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95%</w:t>
            </w:r>
          </w:p>
        </w:tc>
        <w:tc>
          <w:tcPr>
            <w:tcW w:w="1215" w:type="dxa"/>
            <w:vAlign w:val="top"/>
          </w:tcPr>
          <w:p w14:paraId="25AC10E4" w14:textId="1413C28C"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94,848</w:t>
            </w:r>
          </w:p>
        </w:tc>
        <w:tc>
          <w:tcPr>
            <w:tcW w:w="780" w:type="dxa"/>
            <w:vAlign w:val="top"/>
          </w:tcPr>
          <w:p w14:paraId="5510C9B0" w14:textId="551B4050"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0.43</w:t>
            </w:r>
          </w:p>
        </w:tc>
        <w:tc>
          <w:tcPr>
            <w:tcW w:w="780" w:type="dxa"/>
            <w:vAlign w:val="top"/>
          </w:tcPr>
          <w:p w14:paraId="001658BE" w14:textId="48AEF684" w:rsidR="00023292" w:rsidRPr="00C96E0D" w:rsidRDefault="00E9108E"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eastAsia="Arial Narrow" w:hAnsiTheme="minorHAnsi" w:cs="Arial Narrow"/>
                <w:color w:val="000000" w:themeColor="text1"/>
                <w:sz w:val="20"/>
              </w:rPr>
              <w:t xml:space="preserve">N/A </w:t>
            </w:r>
          </w:p>
        </w:tc>
        <w:tc>
          <w:tcPr>
            <w:tcW w:w="1200" w:type="dxa"/>
            <w:vAlign w:val="top"/>
          </w:tcPr>
          <w:p w14:paraId="74572D1D" w14:textId="531D1369"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40,785</w:t>
            </w:r>
          </w:p>
        </w:tc>
      </w:tr>
      <w:tr w:rsidR="00023292" w:rsidRPr="00C96E0D" w14:paraId="6C3D7EBF" w14:textId="77777777" w:rsidTr="00615723">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0B18562F" w14:textId="77777777" w:rsidR="00023292" w:rsidRPr="00C96E0D" w:rsidRDefault="00023292">
            <w:pPr>
              <w:jc w:val="left"/>
              <w:rPr>
                <w:rFonts w:asciiTheme="minorHAnsi" w:eastAsia="Arial Narrow" w:hAnsiTheme="minorHAnsi" w:cs="Arial Narrow"/>
                <w:color w:val="000000" w:themeColor="text1"/>
                <w:sz w:val="20"/>
              </w:rPr>
            </w:pPr>
            <w:r w:rsidRPr="00C96E0D">
              <w:rPr>
                <w:rFonts w:asciiTheme="minorHAnsi" w:eastAsia="Arial Narrow" w:hAnsiTheme="minorHAnsi" w:cs="Arial Narrow"/>
                <w:color w:val="000000" w:themeColor="text1"/>
                <w:sz w:val="20"/>
              </w:rPr>
              <w:t>Public, Non-Disadvantaged Communities</w:t>
            </w:r>
          </w:p>
        </w:tc>
        <w:tc>
          <w:tcPr>
            <w:tcW w:w="990" w:type="dxa"/>
          </w:tcPr>
          <w:p w14:paraId="39C4C03F" w14:textId="7B352DDA"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C96E0D">
              <w:rPr>
                <w:rFonts w:asciiTheme="minorHAnsi" w:eastAsia="Arial" w:hAnsiTheme="minorHAnsi" w:cs="Arial"/>
                <w:color w:val="000000" w:themeColor="text1"/>
                <w:sz w:val="20"/>
              </w:rPr>
              <w:t>2,037</w:t>
            </w:r>
          </w:p>
        </w:tc>
        <w:tc>
          <w:tcPr>
            <w:tcW w:w="1170" w:type="dxa"/>
            <w:gridSpan w:val="2"/>
          </w:tcPr>
          <w:p w14:paraId="4C0FF8AB" w14:textId="795299F1"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C96E0D">
              <w:rPr>
                <w:rFonts w:asciiTheme="minorHAnsi" w:eastAsia="Arial" w:hAnsiTheme="minorHAnsi" w:cs="Arial"/>
                <w:color w:val="000000" w:themeColor="text1"/>
                <w:sz w:val="20"/>
              </w:rPr>
              <w:t>95%</w:t>
            </w:r>
          </w:p>
        </w:tc>
        <w:tc>
          <w:tcPr>
            <w:tcW w:w="1215" w:type="dxa"/>
          </w:tcPr>
          <w:p w14:paraId="1BC3926A" w14:textId="6A74F917"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C96E0D">
              <w:rPr>
                <w:rFonts w:asciiTheme="minorHAnsi" w:eastAsia="Arial" w:hAnsiTheme="minorHAnsi" w:cs="Arial"/>
                <w:color w:val="000000" w:themeColor="text1"/>
                <w:sz w:val="20"/>
              </w:rPr>
              <w:t>1,928</w:t>
            </w:r>
          </w:p>
        </w:tc>
        <w:tc>
          <w:tcPr>
            <w:tcW w:w="780" w:type="dxa"/>
          </w:tcPr>
          <w:p w14:paraId="38D49B44" w14:textId="40A8A77F"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C96E0D">
              <w:rPr>
                <w:rFonts w:asciiTheme="minorHAnsi" w:eastAsia="Arial" w:hAnsiTheme="minorHAnsi" w:cs="Arial"/>
                <w:color w:val="000000" w:themeColor="text1"/>
                <w:sz w:val="20"/>
              </w:rPr>
              <w:t>0.43</w:t>
            </w:r>
          </w:p>
        </w:tc>
        <w:tc>
          <w:tcPr>
            <w:tcW w:w="780" w:type="dxa"/>
            <w:vAlign w:val="top"/>
          </w:tcPr>
          <w:p w14:paraId="4F55405E" w14:textId="14AC9186" w:rsidR="00023292" w:rsidRPr="00C96E0D" w:rsidRDefault="00E9108E">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C96E0D">
              <w:rPr>
                <w:rFonts w:asciiTheme="minorHAnsi" w:eastAsia="Arial Narrow" w:hAnsiTheme="minorHAnsi" w:cs="Arial Narrow"/>
                <w:color w:val="000000" w:themeColor="text1"/>
                <w:sz w:val="20"/>
              </w:rPr>
              <w:t xml:space="preserve">N/A </w:t>
            </w:r>
          </w:p>
        </w:tc>
        <w:tc>
          <w:tcPr>
            <w:tcW w:w="1200" w:type="dxa"/>
          </w:tcPr>
          <w:p w14:paraId="149326A0" w14:textId="70AB0291" w:rsidR="00023292" w:rsidRPr="00C96E0D" w:rsidRDefault="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C96E0D">
              <w:rPr>
                <w:rFonts w:asciiTheme="minorHAnsi" w:eastAsia="Arial" w:hAnsiTheme="minorHAnsi" w:cs="Arial"/>
                <w:color w:val="000000" w:themeColor="text1"/>
                <w:sz w:val="20"/>
              </w:rPr>
              <w:t>829</w:t>
            </w:r>
          </w:p>
        </w:tc>
      </w:tr>
      <w:tr w:rsidR="00023292" w:rsidRPr="00C96E0D" w14:paraId="5B56601E"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7A8EF382" w14:textId="77777777" w:rsidR="00023292" w:rsidRPr="00C96E0D" w:rsidRDefault="00023292" w:rsidP="00023292">
            <w:pPr>
              <w:jc w:val="left"/>
              <w:rPr>
                <w:rFonts w:asciiTheme="minorHAnsi" w:eastAsia="Arial Narrow" w:hAnsiTheme="minorHAnsi" w:cs="Arial Narrow"/>
                <w:color w:val="000000" w:themeColor="text1"/>
                <w:sz w:val="20"/>
              </w:rPr>
            </w:pPr>
            <w:r w:rsidRPr="00C96E0D">
              <w:rPr>
                <w:rFonts w:asciiTheme="minorHAnsi" w:eastAsia="Arial Narrow" w:hAnsiTheme="minorHAnsi" w:cs="Arial Narrow"/>
                <w:b/>
                <w:bCs/>
                <w:i/>
                <w:iCs/>
                <w:color w:val="000000" w:themeColor="text1"/>
                <w:sz w:val="20"/>
              </w:rPr>
              <w:t>Public, Non-DAC Subtotal</w:t>
            </w:r>
          </w:p>
        </w:tc>
        <w:tc>
          <w:tcPr>
            <w:tcW w:w="1080" w:type="dxa"/>
            <w:gridSpan w:val="2"/>
            <w:vAlign w:val="top"/>
          </w:tcPr>
          <w:p w14:paraId="568B21D5" w14:textId="00AA1773"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2,037</w:t>
            </w:r>
          </w:p>
        </w:tc>
        <w:tc>
          <w:tcPr>
            <w:tcW w:w="1080" w:type="dxa"/>
            <w:vAlign w:val="top"/>
          </w:tcPr>
          <w:p w14:paraId="329DBD33" w14:textId="18525771"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95%</w:t>
            </w:r>
          </w:p>
        </w:tc>
        <w:tc>
          <w:tcPr>
            <w:tcW w:w="1215" w:type="dxa"/>
            <w:vAlign w:val="top"/>
          </w:tcPr>
          <w:p w14:paraId="687018AE" w14:textId="29F15A87"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1,928</w:t>
            </w:r>
          </w:p>
        </w:tc>
        <w:tc>
          <w:tcPr>
            <w:tcW w:w="780" w:type="dxa"/>
            <w:vAlign w:val="top"/>
          </w:tcPr>
          <w:p w14:paraId="2F6FAC2B" w14:textId="2B2AAF2B"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0.43</w:t>
            </w:r>
          </w:p>
        </w:tc>
        <w:tc>
          <w:tcPr>
            <w:tcW w:w="780" w:type="dxa"/>
            <w:vAlign w:val="top"/>
          </w:tcPr>
          <w:p w14:paraId="6A2CC91B" w14:textId="25E88930" w:rsidR="00023292" w:rsidRPr="00C96E0D" w:rsidRDefault="00E9108E"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eastAsia="Arial Narrow" w:hAnsiTheme="minorHAnsi" w:cs="Arial Narrow"/>
                <w:color w:val="000000" w:themeColor="text1"/>
                <w:sz w:val="20"/>
              </w:rPr>
              <w:t xml:space="preserve">N/A </w:t>
            </w:r>
          </w:p>
        </w:tc>
        <w:tc>
          <w:tcPr>
            <w:tcW w:w="1200" w:type="dxa"/>
            <w:vAlign w:val="top"/>
          </w:tcPr>
          <w:p w14:paraId="532C08B1" w14:textId="45CFA3ED"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C96E0D">
              <w:rPr>
                <w:rFonts w:asciiTheme="minorHAnsi" w:hAnsiTheme="minorHAnsi"/>
                <w:b/>
                <w:bCs/>
                <w:i/>
                <w:iCs/>
                <w:sz w:val="20"/>
              </w:rPr>
              <w:t>829</w:t>
            </w:r>
          </w:p>
        </w:tc>
      </w:tr>
      <w:tr w:rsidR="00023292" w:rsidRPr="00C96E0D" w14:paraId="4B48D693" w14:textId="77777777" w:rsidTr="00615723">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00D0546D" w14:textId="42BA2F2E" w:rsidR="00023292" w:rsidRPr="00C96E0D" w:rsidRDefault="00023292" w:rsidP="00023292">
            <w:pPr>
              <w:jc w:val="left"/>
              <w:rPr>
                <w:rFonts w:asciiTheme="minorHAnsi" w:eastAsia="Arial Narrow" w:hAnsiTheme="minorHAnsi" w:cs="Arial Narrow"/>
                <w:color w:val="000000" w:themeColor="text1"/>
                <w:sz w:val="20"/>
              </w:rPr>
            </w:pPr>
            <w:r w:rsidRPr="00C96E0D">
              <w:rPr>
                <w:rFonts w:asciiTheme="minorHAnsi" w:eastAsia="Arial Narrow" w:hAnsiTheme="minorHAnsi" w:cs="Arial Narrow"/>
                <w:b/>
                <w:bCs/>
                <w:color w:val="000000" w:themeColor="text1"/>
                <w:sz w:val="20"/>
              </w:rPr>
              <w:t>Total or Weighted Average</w:t>
            </w:r>
          </w:p>
        </w:tc>
        <w:tc>
          <w:tcPr>
            <w:tcW w:w="990" w:type="dxa"/>
          </w:tcPr>
          <w:p w14:paraId="61D58015" w14:textId="75DC3341" w:rsidR="00023292" w:rsidRPr="00C96E0D" w:rsidRDefault="00023292" w:rsidP="005544F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C96E0D">
              <w:rPr>
                <w:rFonts w:asciiTheme="minorHAnsi" w:eastAsia="Arial Narrow" w:hAnsiTheme="minorHAnsi" w:cs="Arial Narrow"/>
                <w:b/>
                <w:bCs/>
                <w:color w:val="000000" w:themeColor="text1"/>
                <w:sz w:val="20"/>
              </w:rPr>
              <w:t>102,240</w:t>
            </w:r>
          </w:p>
        </w:tc>
        <w:tc>
          <w:tcPr>
            <w:tcW w:w="1170" w:type="dxa"/>
            <w:gridSpan w:val="2"/>
          </w:tcPr>
          <w:p w14:paraId="569F8E4D" w14:textId="1CA40952"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C96E0D">
              <w:rPr>
                <w:rFonts w:asciiTheme="minorHAnsi" w:eastAsia="Arial Narrow" w:hAnsiTheme="minorHAnsi" w:cs="Arial Narrow"/>
                <w:b/>
                <w:bCs/>
                <w:color w:val="000000" w:themeColor="text1"/>
                <w:sz w:val="20"/>
              </w:rPr>
              <w:t>95%</w:t>
            </w:r>
          </w:p>
        </w:tc>
        <w:tc>
          <w:tcPr>
            <w:tcW w:w="1215" w:type="dxa"/>
          </w:tcPr>
          <w:p w14:paraId="422316A9" w14:textId="72BC27F6"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C96E0D">
              <w:rPr>
                <w:rFonts w:asciiTheme="minorHAnsi" w:eastAsia="Arial Narrow" w:hAnsiTheme="minorHAnsi" w:cs="Arial Narrow"/>
                <w:b/>
                <w:bCs/>
                <w:color w:val="000000" w:themeColor="text1"/>
                <w:sz w:val="20"/>
              </w:rPr>
              <w:t>96,776</w:t>
            </w:r>
          </w:p>
        </w:tc>
        <w:tc>
          <w:tcPr>
            <w:tcW w:w="780" w:type="dxa"/>
          </w:tcPr>
          <w:p w14:paraId="57292071" w14:textId="4751655C"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C96E0D">
              <w:rPr>
                <w:rFonts w:asciiTheme="minorHAnsi" w:eastAsia="Arial Narrow" w:hAnsiTheme="minorHAnsi" w:cs="Arial Narrow"/>
                <w:b/>
                <w:bCs/>
                <w:color w:val="000000" w:themeColor="text1"/>
                <w:sz w:val="20"/>
              </w:rPr>
              <w:t>0.43</w:t>
            </w:r>
          </w:p>
        </w:tc>
        <w:tc>
          <w:tcPr>
            <w:tcW w:w="780" w:type="dxa"/>
            <w:vAlign w:val="top"/>
          </w:tcPr>
          <w:p w14:paraId="5FCE8117" w14:textId="0EDD31F5" w:rsidR="00023292" w:rsidRPr="00C96E0D" w:rsidRDefault="00E9108E"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C96E0D">
              <w:rPr>
                <w:rFonts w:asciiTheme="minorHAnsi" w:eastAsia="Arial Narrow" w:hAnsiTheme="minorHAnsi" w:cs="Arial Narrow"/>
                <w:color w:val="000000" w:themeColor="text1"/>
                <w:sz w:val="20"/>
              </w:rPr>
              <w:t xml:space="preserve">N/A </w:t>
            </w:r>
          </w:p>
        </w:tc>
        <w:tc>
          <w:tcPr>
            <w:tcW w:w="1200" w:type="dxa"/>
          </w:tcPr>
          <w:p w14:paraId="103B3ABB" w14:textId="7373D185" w:rsidR="00023292" w:rsidRPr="00C96E0D" w:rsidRDefault="00023292" w:rsidP="00023292">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C96E0D">
              <w:rPr>
                <w:rFonts w:asciiTheme="minorHAnsi" w:eastAsia="Arial Narrow" w:hAnsiTheme="minorHAnsi" w:cs="Arial Narrow"/>
                <w:b/>
                <w:bCs/>
                <w:color w:val="000000" w:themeColor="text1"/>
                <w:sz w:val="20"/>
              </w:rPr>
              <w:t>41,614</w:t>
            </w:r>
          </w:p>
        </w:tc>
      </w:tr>
    </w:tbl>
    <w:p w14:paraId="2AAC61AB" w14:textId="77777777" w:rsidR="00123197" w:rsidRPr="00EA4B7B" w:rsidRDefault="00123197" w:rsidP="00AC50C1">
      <w:pPr>
        <w:pStyle w:val="TableFigureSource"/>
        <w:rPr>
          <w:rFonts w:asciiTheme="minorHAnsi" w:eastAsia="Arial" w:hAnsiTheme="minorHAnsi" w:cs="Arial"/>
          <w:iCs/>
          <w:szCs w:val="18"/>
        </w:rPr>
      </w:pPr>
      <w:bookmarkStart w:id="22" w:name="_Hlk500574807"/>
      <w:r w:rsidRPr="00EA4B7B">
        <w:rPr>
          <w:rFonts w:eastAsia="Arial"/>
        </w:rPr>
        <w:t>* Realization Rate (RR) is the ratio of verified gross savings to ex ante gross savings, based on evaluation research findings.</w:t>
      </w:r>
    </w:p>
    <w:bookmarkEnd w:id="22"/>
    <w:p w14:paraId="322BAE92" w14:textId="6A0C53D0" w:rsidR="00123197" w:rsidRPr="00EA4B7B" w:rsidRDefault="00123197" w:rsidP="00AC50C1">
      <w:pPr>
        <w:pStyle w:val="TableFigureSource"/>
        <w:rPr>
          <w:rFonts w:asciiTheme="minorHAnsi" w:eastAsia="Arial" w:hAnsiTheme="minorHAnsi" w:cs="Arial"/>
          <w:iCs/>
          <w:szCs w:val="18"/>
        </w:rPr>
      </w:pPr>
      <w:r w:rsidRPr="00EA4B7B">
        <w:rPr>
          <w:rFonts w:eastAsia="Arial"/>
        </w:rPr>
        <w:t xml:space="preserve">† NTG, Net to Gross is the deemed value available on the SAG website: </w:t>
      </w:r>
      <w:r w:rsidR="00BD0D15" w:rsidRPr="00EA4B7B">
        <w:rPr>
          <w:rFonts w:asciiTheme="minorHAnsi" w:eastAsia="Arial" w:hAnsiTheme="minorHAnsi" w:cs="Arial"/>
          <w:iCs/>
          <w:szCs w:val="18"/>
        </w:rPr>
        <w:t>https://www.ilsag.info/evaluator-ntg-recommendations-for-2025/</w:t>
      </w:r>
      <w:r w:rsidRPr="00EA4B7B">
        <w:rPr>
          <w:rFonts w:asciiTheme="minorHAnsi" w:eastAsia="Arial" w:hAnsiTheme="minorHAnsi" w:cs="Arial"/>
          <w:iCs/>
          <w:szCs w:val="18"/>
        </w:rPr>
        <w:t>.</w:t>
      </w:r>
    </w:p>
    <w:p w14:paraId="50D4DB86" w14:textId="7D4F1C9E" w:rsidR="00123197" w:rsidRPr="00EA4B7B" w:rsidRDefault="00E001EC" w:rsidP="00AC50C1">
      <w:pPr>
        <w:pStyle w:val="TableFigureSource"/>
        <w:rPr>
          <w:rFonts w:asciiTheme="minorHAnsi" w:hAnsiTheme="minorHAnsi"/>
          <w:szCs w:val="18"/>
        </w:rPr>
      </w:pPr>
      <w:r w:rsidRPr="00EA4B7B">
        <w:t>‡The Non-Participant Spillover (NPSO) does not apply to this program</w:t>
      </w:r>
    </w:p>
    <w:p w14:paraId="3B4D826C" w14:textId="76A47CEA" w:rsidR="007C0ACF" w:rsidRPr="00EA4B7B" w:rsidRDefault="007C0ACF" w:rsidP="00AC50C1">
      <w:pPr>
        <w:pStyle w:val="TableFigureSource"/>
        <w:rPr>
          <w:rFonts w:asciiTheme="minorHAnsi" w:eastAsia="Arial" w:hAnsiTheme="minorHAnsi" w:cs="Arial"/>
          <w:iCs/>
          <w:szCs w:val="18"/>
        </w:rPr>
      </w:pPr>
      <w:r w:rsidRPr="00EA4B7B">
        <w:rPr>
          <w:rFonts w:eastAsia="Arial"/>
        </w:rPr>
        <w:t xml:space="preserve">§ </w:t>
      </w:r>
      <w:r w:rsidR="004F72BA" w:rsidRPr="00EA4B7B">
        <w:rPr>
          <w:rFonts w:asciiTheme="minorHAnsi" w:eastAsia="Arial" w:hAnsiTheme="minorHAnsi" w:cs="Arial"/>
          <w:iCs/>
          <w:szCs w:val="18"/>
        </w:rPr>
        <w:t xml:space="preserve">One </w:t>
      </w:r>
      <w:r w:rsidRPr="00EA4B7B">
        <w:rPr>
          <w:rFonts w:asciiTheme="minorHAnsi" w:eastAsia="Arial" w:hAnsiTheme="minorHAnsi" w:cs="Arial"/>
          <w:iCs/>
          <w:szCs w:val="18"/>
        </w:rPr>
        <w:t>Project WO</w:t>
      </w:r>
      <w:r w:rsidR="006934B2" w:rsidRPr="00EA4B7B">
        <w:rPr>
          <w:rFonts w:asciiTheme="minorHAnsi" w:eastAsia="Arial" w:hAnsiTheme="minorHAnsi" w:cs="Arial"/>
          <w:iCs/>
          <w:szCs w:val="18"/>
        </w:rPr>
        <w:t xml:space="preserve">-8057782 was listed as a public, DAC project in the PSG tracking data. This project is </w:t>
      </w:r>
      <w:r w:rsidR="00D82BA0" w:rsidRPr="00EA4B7B">
        <w:rPr>
          <w:rFonts w:asciiTheme="minorHAnsi" w:eastAsia="Arial" w:hAnsiTheme="minorHAnsi" w:cs="Arial"/>
          <w:iCs/>
          <w:szCs w:val="18"/>
        </w:rPr>
        <w:t>located within a DAC e</w:t>
      </w:r>
      <w:r w:rsidR="00055BB6" w:rsidRPr="00EA4B7B">
        <w:rPr>
          <w:rFonts w:asciiTheme="minorHAnsi" w:eastAsia="Arial" w:hAnsiTheme="minorHAnsi" w:cs="Arial"/>
          <w:iCs/>
          <w:szCs w:val="18"/>
        </w:rPr>
        <w:t xml:space="preserve">ligible zip code, </w:t>
      </w:r>
      <w:r w:rsidR="00711E83" w:rsidRPr="00EA4B7B">
        <w:rPr>
          <w:rFonts w:asciiTheme="minorHAnsi" w:eastAsia="Arial" w:hAnsiTheme="minorHAnsi" w:cs="Arial"/>
          <w:iCs/>
          <w:szCs w:val="18"/>
        </w:rPr>
        <w:t>based on the NTG Disadvantaged Areas Policy Operation and Approach memo of February 14, 2025,</w:t>
      </w:r>
      <w:r w:rsidR="008117CD" w:rsidRPr="00EA4B7B">
        <w:rPr>
          <w:rFonts w:asciiTheme="minorHAnsi" w:eastAsia="Arial" w:hAnsiTheme="minorHAnsi" w:cs="Arial"/>
          <w:iCs/>
          <w:szCs w:val="18"/>
        </w:rPr>
        <w:t xml:space="preserve"> this project exceeds the DAC size threshold and is assigned the program</w:t>
      </w:r>
      <w:r w:rsidR="008D29EF" w:rsidRPr="00EA4B7B">
        <w:rPr>
          <w:rFonts w:asciiTheme="minorHAnsi" w:eastAsia="Arial" w:hAnsiTheme="minorHAnsi" w:cs="Arial"/>
          <w:iCs/>
          <w:szCs w:val="18"/>
        </w:rPr>
        <w:t xml:space="preserve"> deemed NTG value.</w:t>
      </w:r>
      <w:r w:rsidR="00055BB6" w:rsidRPr="00EA4B7B">
        <w:rPr>
          <w:rFonts w:asciiTheme="minorHAnsi" w:eastAsia="Arial" w:hAnsiTheme="minorHAnsi" w:cs="Arial"/>
          <w:iCs/>
          <w:szCs w:val="18"/>
        </w:rPr>
        <w:t xml:space="preserve"> </w:t>
      </w:r>
    </w:p>
    <w:p w14:paraId="5B56E7B2" w14:textId="1C062357" w:rsidR="00123197" w:rsidRPr="00185805" w:rsidRDefault="00123197" w:rsidP="00AC50C1">
      <w:pPr>
        <w:pStyle w:val="TableFigureSource"/>
        <w:rPr>
          <w:rFonts w:eastAsia="Arial" w:cs="Arial"/>
          <w:szCs w:val="16"/>
        </w:rPr>
      </w:pPr>
      <w:r w:rsidRPr="69F43F8D">
        <w:rPr>
          <w:rFonts w:eastAsia="Arial" w:cs="Arial"/>
          <w:szCs w:val="16"/>
        </w:rPr>
        <w:t>Source: Evaluation team analysis</w:t>
      </w:r>
    </w:p>
    <w:p w14:paraId="492C45AC" w14:textId="3BA525D8" w:rsidR="00BF0C66" w:rsidRDefault="00D6080B" w:rsidP="00BF0C66">
      <w:pPr>
        <w:pStyle w:val="Heading1"/>
      </w:pPr>
      <w:bookmarkStart w:id="23" w:name="_Toc224810301"/>
      <w:r>
        <w:lastRenderedPageBreak/>
        <w:t>Program Savings by Measure</w:t>
      </w:r>
      <w:bookmarkEnd w:id="23"/>
    </w:p>
    <w:p w14:paraId="1F8DC23A" w14:textId="71976DDF" w:rsidR="00F36BF3" w:rsidRDefault="00F36BF3" w:rsidP="00F36BF3">
      <w:r>
        <w:t xml:space="preserve">The </w:t>
      </w:r>
      <w:r w:rsidR="005544F7">
        <w:t xml:space="preserve">BNC </w:t>
      </w:r>
      <w:r>
        <w:t xml:space="preserve">program </w:t>
      </w:r>
      <w:r w:rsidR="005544F7">
        <w:t xml:space="preserve">claims savings at the whole building level. Therefore, this report does not present measure-level savings. </w:t>
      </w:r>
    </w:p>
    <w:p w14:paraId="5CFA31C9" w14:textId="0265D9D9" w:rsidR="00F36BF3" w:rsidRDefault="007C32B5" w:rsidP="004708A4">
      <w:pPr>
        <w:pStyle w:val="Heading1"/>
      </w:pPr>
      <w:bookmarkStart w:id="24" w:name="_Toc224810302"/>
      <w:r>
        <w:t>Impact Analysis Findings and Recommendations</w:t>
      </w:r>
      <w:bookmarkEnd w:id="24"/>
    </w:p>
    <w:p w14:paraId="4AE26FCF" w14:textId="2894C873" w:rsidR="00E67B85" w:rsidRDefault="001B064A" w:rsidP="00E67B85">
      <w:pPr>
        <w:pStyle w:val="Heading2"/>
      </w:pPr>
      <w:bookmarkStart w:id="25" w:name="_Toc224810303"/>
      <w:r>
        <w:t>Impact Parameter Estimates</w:t>
      </w:r>
      <w:bookmarkEnd w:id="25"/>
    </w:p>
    <w:p w14:paraId="6703401A" w14:textId="7B358B03" w:rsidR="0073467F" w:rsidRDefault="0073467F" w:rsidP="006E6D7B">
      <w:r>
        <w:t xml:space="preserve">The evaluation team calculated verified gross and net energy savings using participant specific whole-building energy models developed by the implementation team for baseline and projected design scenarios. For each participant, the design energy model estimates the proposed building’s annual whole-building energy consumption based on architecture; building envelope; heating, ventilation, and air conditioning (HVAC); lighting; and other parameters from the building design plans. The baseline energy model for a project estimates the counterfactual annual energy consumption the building would be expected to consume if it were built to meet the baseline energy performance standards set by the Illinois Energy Code and equipment standards in effect at the time of construction. The estimated first-year savings are the difference in annual electric and gas consumption between the two models. </w:t>
      </w:r>
      <w:r w:rsidR="00410736" w:rsidRPr="00410736">
        <w:t>Slipstream developed</w:t>
      </w:r>
      <w:r>
        <w:t xml:space="preserve"> the models in the </w:t>
      </w:r>
      <w:proofErr w:type="spellStart"/>
      <w:r>
        <w:t>Sketchbox</w:t>
      </w:r>
      <w:proofErr w:type="spellEnd"/>
      <w:r>
        <w:t xml:space="preserve"> program, which utilizes the DOE2.2 engine. The evaluation reviewed the models using </w:t>
      </w:r>
      <w:proofErr w:type="spellStart"/>
      <w:r>
        <w:t>Sketchbox</w:t>
      </w:r>
      <w:proofErr w:type="spellEnd"/>
      <w:r>
        <w:t xml:space="preserve"> or </w:t>
      </w:r>
      <w:proofErr w:type="spellStart"/>
      <w:r>
        <w:t>eQuest</w:t>
      </w:r>
      <w:proofErr w:type="spellEnd"/>
      <w:r>
        <w:t>, which also utilized the DOE2.2 engine.</w:t>
      </w:r>
    </w:p>
    <w:p w14:paraId="20A1ADD6" w14:textId="4CA217C7" w:rsidR="00E67B85" w:rsidRPr="00E8651B" w:rsidRDefault="00E67B85" w:rsidP="00A754D8">
      <w:pPr>
        <w:pStyle w:val="Caption"/>
      </w:pPr>
      <w:bookmarkStart w:id="26" w:name="_Ref503449693"/>
      <w:bookmarkStart w:id="27" w:name="_Toc61360849"/>
      <w:bookmarkStart w:id="28" w:name="_Toc189750770"/>
      <w:bookmarkStart w:id="29" w:name="_Toc224840462"/>
      <w:r>
        <w:t xml:space="preserve">Table </w:t>
      </w:r>
      <w:r w:rsidR="00B727A2">
        <w:fldChar w:fldCharType="begin"/>
      </w:r>
      <w:r w:rsidR="00B727A2">
        <w:instrText xml:space="preserve"> SEQ Table \* ARABIC </w:instrText>
      </w:r>
      <w:r w:rsidR="00B727A2">
        <w:fldChar w:fldCharType="separate"/>
      </w:r>
      <w:r w:rsidR="00B727A2">
        <w:rPr>
          <w:noProof/>
        </w:rPr>
        <w:t>3</w:t>
      </w:r>
      <w:r w:rsidR="00B727A2">
        <w:rPr>
          <w:noProof/>
        </w:rPr>
        <w:fldChar w:fldCharType="end"/>
      </w:r>
      <w:bookmarkEnd w:id="26"/>
      <w:r>
        <w:t xml:space="preserve">. </w:t>
      </w:r>
      <w:r w:rsidRPr="00E8651B">
        <w:t>Verified Gross Savings Parameters</w:t>
      </w:r>
      <w:bookmarkEnd w:id="27"/>
      <w:bookmarkEnd w:id="28"/>
      <w:bookmarkEnd w:id="29"/>
    </w:p>
    <w:tbl>
      <w:tblPr>
        <w:tblStyle w:val="EnergyTable"/>
        <w:tblW w:w="4903" w:type="pct"/>
        <w:tblLook w:val="04A0" w:firstRow="1" w:lastRow="0" w:firstColumn="1" w:lastColumn="0" w:noHBand="0" w:noVBand="1"/>
      </w:tblPr>
      <w:tblGrid>
        <w:gridCol w:w="3060"/>
        <w:gridCol w:w="1439"/>
        <w:gridCol w:w="4679"/>
      </w:tblGrid>
      <w:tr w:rsidR="00DB67C5" w:rsidRPr="00964A7B" w14:paraId="653E634E" w14:textId="77777777" w:rsidTr="00DB67C5">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667" w:type="pct"/>
          </w:tcPr>
          <w:p w14:paraId="7596A1F6" w14:textId="648D5BC7" w:rsidR="00DB67C5" w:rsidRPr="00964A7B" w:rsidRDefault="00DB67C5">
            <w:pPr>
              <w:keepNext/>
              <w:keepLines/>
              <w:spacing w:before="60" w:after="60"/>
              <w:jc w:val="left"/>
              <w:rPr>
                <w:rFonts w:asciiTheme="minorHAnsi" w:hAnsiTheme="minorHAnsi"/>
                <w:b w:val="0"/>
                <w:bCs/>
                <w:color w:val="FFFFFF"/>
                <w:sz w:val="20"/>
              </w:rPr>
            </w:pPr>
            <w:r w:rsidRPr="00964A7B">
              <w:rPr>
                <w:rFonts w:asciiTheme="minorHAnsi" w:hAnsiTheme="minorHAnsi"/>
                <w:b w:val="0"/>
                <w:bCs/>
                <w:color w:val="FFFFFF"/>
                <w:sz w:val="20"/>
              </w:rPr>
              <w:t>Gross Savings Input Parameters</w:t>
            </w:r>
          </w:p>
        </w:tc>
        <w:tc>
          <w:tcPr>
            <w:tcW w:w="784" w:type="pct"/>
          </w:tcPr>
          <w:p w14:paraId="2ED0558D" w14:textId="5CB661D7" w:rsidR="00DB67C5" w:rsidRPr="00964A7B" w:rsidRDefault="00DB67C5" w:rsidP="007F64B9">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964A7B">
              <w:rPr>
                <w:rFonts w:asciiTheme="minorHAnsi" w:hAnsiTheme="minorHAnsi"/>
                <w:b w:val="0"/>
                <w:bCs/>
                <w:color w:val="FFFFFF"/>
                <w:sz w:val="20"/>
              </w:rPr>
              <w:t xml:space="preserve">Deemed or </w:t>
            </w:r>
            <w:proofErr w:type="gramStart"/>
            <w:r w:rsidRPr="00964A7B">
              <w:rPr>
                <w:rFonts w:asciiTheme="minorHAnsi" w:hAnsiTheme="minorHAnsi"/>
                <w:b w:val="0"/>
                <w:bCs/>
                <w:color w:val="FFFFFF"/>
                <w:sz w:val="20"/>
              </w:rPr>
              <w:t>Evaluated</w:t>
            </w:r>
            <w:proofErr w:type="gramEnd"/>
          </w:p>
        </w:tc>
        <w:tc>
          <w:tcPr>
            <w:tcW w:w="2548" w:type="pct"/>
          </w:tcPr>
          <w:p w14:paraId="3C06A03F" w14:textId="3810219F" w:rsidR="00DB67C5" w:rsidRPr="00964A7B" w:rsidRDefault="00DB67C5">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964A7B">
              <w:rPr>
                <w:rFonts w:asciiTheme="minorHAnsi" w:hAnsiTheme="minorHAnsi"/>
                <w:b w:val="0"/>
                <w:bCs/>
                <w:color w:val="FFFFFF"/>
                <w:sz w:val="20"/>
              </w:rPr>
              <w:t>Data Source(s)</w:t>
            </w:r>
            <w:r w:rsidR="008E4C8D" w:rsidRPr="00964A7B">
              <w:rPr>
                <w:rFonts w:asciiTheme="minorHAnsi" w:hAnsiTheme="minorHAnsi"/>
                <w:b w:val="0"/>
                <w:bCs/>
                <w:color w:val="FFFFFF"/>
                <w:sz w:val="20"/>
              </w:rPr>
              <w:t>*</w:t>
            </w:r>
          </w:p>
        </w:tc>
      </w:tr>
      <w:tr w:rsidR="00DB67C5" w:rsidRPr="00964A7B" w14:paraId="0AF15527" w14:textId="77777777" w:rsidTr="00DB67C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2574A00C" w14:textId="7C596281" w:rsidR="00DB67C5" w:rsidRPr="00964A7B" w:rsidRDefault="00DB67C5">
            <w:pPr>
              <w:keepNext/>
              <w:keepLines/>
              <w:jc w:val="left"/>
              <w:rPr>
                <w:rFonts w:asciiTheme="minorHAnsi" w:hAnsiTheme="minorHAnsi"/>
                <w:sz w:val="20"/>
              </w:rPr>
            </w:pPr>
            <w:r w:rsidRPr="00964A7B">
              <w:rPr>
                <w:rFonts w:asciiTheme="minorHAnsi" w:hAnsiTheme="minorHAnsi"/>
                <w:sz w:val="20"/>
              </w:rPr>
              <w:t>Program Model Inputs</w:t>
            </w:r>
          </w:p>
        </w:tc>
        <w:tc>
          <w:tcPr>
            <w:tcW w:w="784" w:type="pct"/>
          </w:tcPr>
          <w:p w14:paraId="062CB7BE" w14:textId="66CE4964" w:rsidR="00DB67C5" w:rsidRPr="00964A7B" w:rsidRDefault="00DB67C5" w:rsidP="007F64B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4A7B">
              <w:rPr>
                <w:rFonts w:asciiTheme="minorHAnsi" w:hAnsiTheme="minorHAnsi"/>
                <w:sz w:val="20"/>
              </w:rPr>
              <w:t>Evaluated</w:t>
            </w:r>
          </w:p>
        </w:tc>
        <w:tc>
          <w:tcPr>
            <w:tcW w:w="2548" w:type="pct"/>
          </w:tcPr>
          <w:p w14:paraId="573E4531" w14:textId="66BF0045" w:rsidR="00DB67C5" w:rsidRPr="00964A7B" w:rsidRDefault="00DB67C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64A7B">
              <w:rPr>
                <w:rFonts w:asciiTheme="minorHAnsi" w:hAnsiTheme="minorHAnsi"/>
                <w:sz w:val="20"/>
              </w:rPr>
              <w:t>Program-supplied building models and calculations</w:t>
            </w:r>
          </w:p>
        </w:tc>
      </w:tr>
      <w:tr w:rsidR="00DB67C5" w:rsidRPr="00964A7B" w14:paraId="356B18DE" w14:textId="77777777" w:rsidTr="00DB67C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675C5F4E" w14:textId="628D2096" w:rsidR="00DB67C5" w:rsidRPr="00964A7B" w:rsidRDefault="00DB67C5">
            <w:pPr>
              <w:keepNext/>
              <w:keepLines/>
              <w:jc w:val="left"/>
              <w:rPr>
                <w:rFonts w:asciiTheme="minorHAnsi" w:hAnsiTheme="minorHAnsi"/>
                <w:color w:val="000000"/>
                <w:sz w:val="20"/>
              </w:rPr>
            </w:pPr>
            <w:r w:rsidRPr="00964A7B">
              <w:rPr>
                <w:rFonts w:asciiTheme="minorHAnsi" w:hAnsiTheme="minorHAnsi"/>
                <w:color w:val="000000"/>
                <w:sz w:val="20"/>
              </w:rPr>
              <w:t>Evaluation Model Inputs</w:t>
            </w:r>
          </w:p>
        </w:tc>
        <w:tc>
          <w:tcPr>
            <w:tcW w:w="784" w:type="pct"/>
          </w:tcPr>
          <w:p w14:paraId="5DC11EA2" w14:textId="478C4BA1" w:rsidR="00DB67C5" w:rsidRPr="00964A7B" w:rsidRDefault="00DB67C5" w:rsidP="007F64B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64A7B">
              <w:rPr>
                <w:rFonts w:asciiTheme="minorHAnsi" w:hAnsiTheme="minorHAnsi"/>
                <w:color w:val="000000"/>
                <w:sz w:val="20"/>
              </w:rPr>
              <w:t>Mixture</w:t>
            </w:r>
          </w:p>
        </w:tc>
        <w:tc>
          <w:tcPr>
            <w:tcW w:w="2548" w:type="pct"/>
          </w:tcPr>
          <w:p w14:paraId="53C13069" w14:textId="0BA088D7" w:rsidR="00DB67C5" w:rsidRPr="00964A7B" w:rsidRDefault="00DB67C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64A7B">
              <w:rPr>
                <w:rFonts w:asciiTheme="minorHAnsi" w:hAnsiTheme="minorHAnsi"/>
                <w:sz w:val="20"/>
              </w:rPr>
              <w:t>Desk review of project documentation, IL-TRM v13.0</w:t>
            </w:r>
          </w:p>
        </w:tc>
      </w:tr>
      <w:tr w:rsidR="00DB67C5" w:rsidRPr="00964A7B" w14:paraId="6E451197" w14:textId="77777777" w:rsidTr="00DB67C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68A5C5A0" w14:textId="665DBE25" w:rsidR="00DB67C5" w:rsidRPr="00964A7B" w:rsidRDefault="00DB67C5">
            <w:pPr>
              <w:keepNext/>
              <w:keepLines/>
              <w:jc w:val="left"/>
              <w:rPr>
                <w:rFonts w:asciiTheme="minorHAnsi" w:hAnsiTheme="minorHAnsi"/>
                <w:color w:val="000000"/>
                <w:sz w:val="20"/>
              </w:rPr>
            </w:pPr>
            <w:r w:rsidRPr="00964A7B">
              <w:rPr>
                <w:rFonts w:asciiTheme="minorHAnsi" w:hAnsiTheme="minorHAnsi"/>
                <w:color w:val="000000"/>
                <w:sz w:val="20"/>
              </w:rPr>
              <w:t>Evaluation Model Results</w:t>
            </w:r>
          </w:p>
        </w:tc>
        <w:tc>
          <w:tcPr>
            <w:tcW w:w="784" w:type="pct"/>
          </w:tcPr>
          <w:p w14:paraId="3A9B882E" w14:textId="7361F87A" w:rsidR="00DB67C5" w:rsidRPr="00964A7B" w:rsidRDefault="00DB67C5" w:rsidP="007F64B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64A7B">
              <w:rPr>
                <w:rFonts w:asciiTheme="minorHAnsi" w:hAnsiTheme="minorHAnsi"/>
                <w:color w:val="000000"/>
                <w:sz w:val="20"/>
              </w:rPr>
              <w:t>Evaluated</w:t>
            </w:r>
          </w:p>
        </w:tc>
        <w:tc>
          <w:tcPr>
            <w:tcW w:w="2548" w:type="pct"/>
          </w:tcPr>
          <w:p w14:paraId="6C7F64A5" w14:textId="62598161" w:rsidR="00DB67C5" w:rsidRPr="00964A7B" w:rsidRDefault="00DB67C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64A7B">
              <w:rPr>
                <w:rFonts w:asciiTheme="minorHAnsi" w:hAnsiTheme="minorHAnsi"/>
                <w:color w:val="000000"/>
                <w:sz w:val="20"/>
              </w:rPr>
              <w:t>Energy model and/or project calculations</w:t>
            </w:r>
          </w:p>
        </w:tc>
      </w:tr>
      <w:tr w:rsidR="00DB67C5" w:rsidRPr="00964A7B" w14:paraId="74C3D6F6" w14:textId="77777777" w:rsidTr="00DB67C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6AC0AD3D" w14:textId="28E61491" w:rsidR="00DB67C5" w:rsidRPr="00964A7B" w:rsidRDefault="00DB67C5">
            <w:pPr>
              <w:keepNext/>
              <w:keepLines/>
              <w:jc w:val="left"/>
              <w:rPr>
                <w:rFonts w:asciiTheme="minorHAnsi" w:hAnsiTheme="minorHAnsi"/>
                <w:sz w:val="20"/>
              </w:rPr>
            </w:pPr>
            <w:r w:rsidRPr="00964A7B">
              <w:rPr>
                <w:rFonts w:asciiTheme="minorHAnsi" w:hAnsiTheme="minorHAnsi"/>
                <w:sz w:val="20"/>
              </w:rPr>
              <w:t>Realization Rates – All Projects</w:t>
            </w:r>
          </w:p>
        </w:tc>
        <w:tc>
          <w:tcPr>
            <w:tcW w:w="784" w:type="pct"/>
          </w:tcPr>
          <w:p w14:paraId="7CC2DFD6" w14:textId="77A17477" w:rsidR="00DB67C5" w:rsidRPr="00964A7B" w:rsidRDefault="00DB67C5" w:rsidP="007F64B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64A7B">
              <w:rPr>
                <w:rFonts w:asciiTheme="minorHAnsi" w:hAnsiTheme="minorHAnsi"/>
                <w:sz w:val="20"/>
              </w:rPr>
              <w:t>Evaluated</w:t>
            </w:r>
          </w:p>
        </w:tc>
        <w:tc>
          <w:tcPr>
            <w:tcW w:w="2548" w:type="pct"/>
          </w:tcPr>
          <w:p w14:paraId="4E0A1B3D" w14:textId="37D8FF8D" w:rsidR="00DB67C5" w:rsidRPr="00964A7B" w:rsidRDefault="00DB67C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64A7B">
              <w:rPr>
                <w:rFonts w:asciiTheme="minorHAnsi" w:hAnsiTheme="minorHAnsi"/>
                <w:sz w:val="20"/>
              </w:rPr>
              <w:t>Program savings and evaluated savings</w:t>
            </w:r>
          </w:p>
        </w:tc>
      </w:tr>
      <w:tr w:rsidR="00DB67C5" w:rsidRPr="00964A7B" w14:paraId="0D857F69" w14:textId="77777777" w:rsidTr="00DB67C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7A7ED4B0" w14:textId="0993A1EE" w:rsidR="00DB67C5" w:rsidRPr="00964A7B" w:rsidRDefault="00DB67C5">
            <w:pPr>
              <w:keepNext/>
              <w:keepLines/>
              <w:jc w:val="left"/>
              <w:rPr>
                <w:rFonts w:asciiTheme="minorHAnsi" w:hAnsiTheme="minorHAnsi"/>
                <w:sz w:val="20"/>
              </w:rPr>
            </w:pPr>
            <w:r w:rsidRPr="00964A7B">
              <w:rPr>
                <w:rFonts w:asciiTheme="minorHAnsi" w:hAnsiTheme="minorHAnsi"/>
                <w:sz w:val="20"/>
              </w:rPr>
              <w:t>NTG – Electric and Gas</w:t>
            </w:r>
          </w:p>
        </w:tc>
        <w:tc>
          <w:tcPr>
            <w:tcW w:w="784" w:type="pct"/>
          </w:tcPr>
          <w:p w14:paraId="6EB255D3" w14:textId="66AF9425" w:rsidR="00DB67C5" w:rsidRPr="00964A7B" w:rsidRDefault="00DB67C5" w:rsidP="007F64B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4A7B">
              <w:rPr>
                <w:rFonts w:asciiTheme="minorHAnsi" w:hAnsiTheme="minorHAnsi"/>
                <w:sz w:val="20"/>
              </w:rPr>
              <w:t>Deemed</w:t>
            </w:r>
          </w:p>
        </w:tc>
        <w:tc>
          <w:tcPr>
            <w:tcW w:w="2548" w:type="pct"/>
          </w:tcPr>
          <w:p w14:paraId="39084680" w14:textId="47DAE69D" w:rsidR="00DB67C5" w:rsidRPr="00964A7B" w:rsidRDefault="00DB67C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64A7B">
              <w:rPr>
                <w:rFonts w:asciiTheme="minorHAnsi" w:hAnsiTheme="minorHAnsi"/>
                <w:sz w:val="20"/>
              </w:rPr>
              <w:t>Illinois SAG Consensus</w:t>
            </w:r>
          </w:p>
        </w:tc>
      </w:tr>
      <w:tr w:rsidR="00DB67C5" w:rsidRPr="00964A7B" w14:paraId="3A50773D" w14:textId="77777777" w:rsidTr="00DB67C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557589A1" w14:textId="79985F96" w:rsidR="00DB67C5" w:rsidRPr="00964A7B" w:rsidRDefault="00DB67C5">
            <w:pPr>
              <w:keepNext/>
              <w:keepLines/>
              <w:jc w:val="left"/>
              <w:rPr>
                <w:rFonts w:asciiTheme="minorHAnsi" w:hAnsiTheme="minorHAnsi"/>
                <w:sz w:val="20"/>
              </w:rPr>
            </w:pPr>
            <w:r w:rsidRPr="00964A7B">
              <w:rPr>
                <w:rFonts w:asciiTheme="minorHAnsi" w:hAnsiTheme="minorHAnsi"/>
                <w:sz w:val="20"/>
              </w:rPr>
              <w:t>EUL</w:t>
            </w:r>
          </w:p>
        </w:tc>
        <w:tc>
          <w:tcPr>
            <w:tcW w:w="784" w:type="pct"/>
          </w:tcPr>
          <w:p w14:paraId="192DBEF5" w14:textId="457E9706" w:rsidR="00DB67C5" w:rsidRPr="00964A7B" w:rsidRDefault="00DB67C5" w:rsidP="007F64B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64A7B">
              <w:rPr>
                <w:rFonts w:asciiTheme="minorHAnsi" w:hAnsiTheme="minorHAnsi"/>
                <w:sz w:val="20"/>
              </w:rPr>
              <w:t>Mixture</w:t>
            </w:r>
          </w:p>
        </w:tc>
        <w:tc>
          <w:tcPr>
            <w:tcW w:w="2548" w:type="pct"/>
          </w:tcPr>
          <w:p w14:paraId="6A04196E" w14:textId="1F927F79" w:rsidR="00DB67C5" w:rsidRPr="00964A7B" w:rsidRDefault="00DB67C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64A7B">
              <w:rPr>
                <w:rFonts w:asciiTheme="minorHAnsi" w:hAnsiTheme="minorHAnsi"/>
                <w:sz w:val="20"/>
              </w:rPr>
              <w:t>IL-TRM v13.0 – Volume 4 Attachment B</w:t>
            </w:r>
          </w:p>
        </w:tc>
      </w:tr>
    </w:tbl>
    <w:p w14:paraId="002B6F6B" w14:textId="3AF6E8EC" w:rsidR="008E4C8D" w:rsidRPr="00E26BEA" w:rsidRDefault="00E67B85" w:rsidP="00AC50C1">
      <w:pPr>
        <w:pStyle w:val="TableFigureSource"/>
        <w:rPr>
          <w:rFonts w:asciiTheme="minorHAnsi" w:hAnsiTheme="minorHAnsi"/>
          <w:i/>
          <w:color w:val="000000" w:themeColor="text1"/>
          <w:szCs w:val="18"/>
        </w:rPr>
      </w:pPr>
      <w:r w:rsidRPr="00E26BEA">
        <w:rPr>
          <w:color w:val="000000" w:themeColor="text1"/>
        </w:rPr>
        <w:t xml:space="preserve">* </w:t>
      </w:r>
      <w:r w:rsidR="008E4C8D" w:rsidRPr="00E26BEA">
        <w:rPr>
          <w:rFonts w:asciiTheme="minorHAnsi" w:hAnsiTheme="minorHAnsi"/>
          <w:i/>
          <w:color w:val="000000" w:themeColor="text1"/>
          <w:szCs w:val="18"/>
        </w:rPr>
        <w:t xml:space="preserve">IL-TRM is the Illinois Technical Reference Manual version 13.0. </w:t>
      </w:r>
      <w:hyperlink r:id="rId23" w:history="1">
        <w:r w:rsidR="008E4C8D" w:rsidRPr="00E26BEA">
          <w:rPr>
            <w:rStyle w:val="Hyperlink"/>
            <w:rFonts w:asciiTheme="minorHAnsi" w:hAnsiTheme="minorHAnsi"/>
            <w:i/>
            <w:szCs w:val="18"/>
          </w:rPr>
          <w:t>https://www.ilsag.info/technical-reference-manual/illinois-statewide-technical-reference-manual-version-13-0/</w:t>
        </w:r>
      </w:hyperlink>
      <w:r w:rsidR="008E4C8D" w:rsidRPr="00E26BEA">
        <w:rPr>
          <w:rFonts w:asciiTheme="minorHAnsi" w:hAnsiTheme="minorHAnsi"/>
          <w:i/>
          <w:color w:val="000000" w:themeColor="text1"/>
          <w:szCs w:val="18"/>
        </w:rPr>
        <w:t xml:space="preserve">. The net to gross (NTG) values can be found on the Illinois Stakeholder Advisory Group (SAG) website: </w:t>
      </w:r>
      <w:hyperlink r:id="rId24" w:history="1">
        <w:r w:rsidR="008E4C8D" w:rsidRPr="00E26BEA">
          <w:rPr>
            <w:rStyle w:val="Hyperlink"/>
            <w:rFonts w:asciiTheme="minorHAnsi" w:hAnsiTheme="minorHAnsi"/>
            <w:i/>
            <w:szCs w:val="18"/>
          </w:rPr>
          <w:t>https://www.ilsag.info/wp-content/uploads/PGL-NSG-NTG-CY2025-Final-Values-2024-09-18.xlsx</w:t>
        </w:r>
      </w:hyperlink>
      <w:r w:rsidR="008E4C8D" w:rsidRPr="00E26BEA">
        <w:rPr>
          <w:rFonts w:asciiTheme="minorHAnsi" w:hAnsiTheme="minorHAnsi"/>
          <w:i/>
          <w:color w:val="000000" w:themeColor="text1"/>
          <w:szCs w:val="18"/>
        </w:rPr>
        <w:t xml:space="preserve">.  </w:t>
      </w:r>
    </w:p>
    <w:p w14:paraId="6037142A" w14:textId="370317E1" w:rsidR="008E4C8D" w:rsidRPr="00E26BEA" w:rsidRDefault="008E4C8D" w:rsidP="00AC50C1">
      <w:pPr>
        <w:pStyle w:val="TableFigureSource"/>
      </w:pPr>
      <w:r w:rsidRPr="00E26BEA">
        <w:t>Source: Evaluation team analysis</w:t>
      </w:r>
    </w:p>
    <w:p w14:paraId="2F46DC34" w14:textId="3ABF2F2E" w:rsidR="001B064A" w:rsidRPr="0072494D" w:rsidRDefault="0072494D" w:rsidP="0072494D">
      <w:pPr>
        <w:pStyle w:val="GraphFootnote"/>
        <w:keepNext/>
        <w:keepLines/>
        <w:rPr>
          <w:rFonts w:ascii="Arial" w:hAnsi="Arial"/>
          <w:i/>
          <w:color w:val="000000" w:themeColor="text1"/>
          <w:sz w:val="16"/>
        </w:rPr>
      </w:pPr>
      <w:r>
        <w:tab/>
      </w:r>
    </w:p>
    <w:p w14:paraId="510486EF" w14:textId="6557B0C4" w:rsidR="00E67B85" w:rsidRDefault="00E67B85" w:rsidP="00E67B85">
      <w:pPr>
        <w:pStyle w:val="Heading2"/>
      </w:pPr>
      <w:bookmarkStart w:id="30" w:name="_Toc224810304"/>
      <w:r>
        <w:t>Findings and Recommendations</w:t>
      </w:r>
      <w:bookmarkEnd w:id="30"/>
    </w:p>
    <w:p w14:paraId="1852318F" w14:textId="1237AAB5" w:rsidR="008E4C8D" w:rsidRPr="00437D81" w:rsidRDefault="008E4C8D" w:rsidP="008E4C8D">
      <w:r w:rsidRPr="00437D81">
        <w:t xml:space="preserve">The </w:t>
      </w:r>
      <w:r w:rsidR="00CC30ED">
        <w:t>B</w:t>
      </w:r>
      <w:r w:rsidR="002643C5">
        <w:t>NC</w:t>
      </w:r>
      <w:r w:rsidRPr="00437D81">
        <w:t xml:space="preserve"> program calculates savings using a building simulation completed for each project. Overall, the simulations and ex ante savings analyses were of a high level of rigor and accuracy. </w:t>
      </w:r>
      <w:r w:rsidR="00437D81" w:rsidRPr="00437D81">
        <w:t>All four of the P</w:t>
      </w:r>
      <w:r w:rsidR="004C36F8">
        <w:t>GL</w:t>
      </w:r>
      <w:r w:rsidR="00437D81" w:rsidRPr="00437D81">
        <w:t xml:space="preserve"> projects reviewed had natural gas realization rates between </w:t>
      </w:r>
      <w:r w:rsidR="00ED0A6F">
        <w:t>84%</w:t>
      </w:r>
      <w:r w:rsidR="00437D81" w:rsidRPr="00437D81">
        <w:t xml:space="preserve"> and 1</w:t>
      </w:r>
      <w:r w:rsidR="004C36F8">
        <w:t>15%</w:t>
      </w:r>
      <w:r w:rsidR="00437D81" w:rsidRPr="00437D81">
        <w:t xml:space="preserve">. </w:t>
      </w:r>
    </w:p>
    <w:p w14:paraId="2443FF10" w14:textId="77777777" w:rsidR="008E4C8D" w:rsidRPr="00437D81" w:rsidRDefault="008E4C8D" w:rsidP="008E4C8D">
      <w:r w:rsidRPr="00437D81">
        <w:lastRenderedPageBreak/>
        <w:t>The factors that had the largest effect on adjusting ex ante gross savings were inconsistencies between installed equipment specifications and performance characteristics, incorrect application of code requirements or baselines, and missing documentation to confirm the specifications of installed equipment or the completion of the measures as claimed.</w:t>
      </w:r>
    </w:p>
    <w:p w14:paraId="5F9CC08F" w14:textId="77777777" w:rsidR="008E4C8D" w:rsidRPr="00437D81" w:rsidRDefault="008E4C8D" w:rsidP="008E4C8D">
      <w:r w:rsidRPr="00437D81">
        <w:t xml:space="preserve">The evaluation team developed several recommendations based on findings from the CY2025 evaluation. These findings and recommendations offer insights into why the </w:t>
      </w:r>
      <w:proofErr w:type="spellStart"/>
      <w:proofErr w:type="gramStart"/>
      <w:r w:rsidRPr="00437D81">
        <w:t>ex ante</w:t>
      </w:r>
      <w:proofErr w:type="spellEnd"/>
      <w:proofErr w:type="gramEnd"/>
      <w:r w:rsidRPr="00437D81">
        <w:t xml:space="preserve"> values may not align with the verified values. </w:t>
      </w:r>
    </w:p>
    <w:p w14:paraId="1B940D30" w14:textId="77777777" w:rsidR="008E4C8D" w:rsidRPr="00437D81" w:rsidRDefault="008E4C8D" w:rsidP="008E4C8D">
      <w:r w:rsidRPr="00437D81">
        <w:t xml:space="preserve">The evaluation team recognizes that the implementation contractor will make their best efforts to incorporate these recommendations. However, in some instances, the implementation contractor may adopt different approaches or use historical assumption averages to calculate ex ante savings to minimize administrative overhead. Consequently, the </w:t>
      </w:r>
      <w:proofErr w:type="spellStart"/>
      <w:proofErr w:type="gramStart"/>
      <w:r w:rsidRPr="00437D81">
        <w:t>ex ante</w:t>
      </w:r>
      <w:proofErr w:type="spellEnd"/>
      <w:proofErr w:type="gramEnd"/>
      <w:r w:rsidRPr="00437D81">
        <w:t xml:space="preserve"> values might not always match the verified values. The evaluation approach will rely on the Technical Reference Manual (TRM), tracking data information, onsite information, data collection, and other relevant sources to report verified savings.</w:t>
      </w:r>
    </w:p>
    <w:p w14:paraId="19CA98BF" w14:textId="63F58047" w:rsidR="008E4C8D" w:rsidRPr="00437D81" w:rsidRDefault="008E4C8D" w:rsidP="008E4C8D">
      <w:pPr>
        <w:pStyle w:val="Finding"/>
      </w:pPr>
      <w:r w:rsidRPr="00437D81">
        <w:rPr>
          <w:b/>
        </w:rPr>
        <w:t xml:space="preserve">Finding 1. </w:t>
      </w:r>
      <w:r w:rsidRPr="00437D81">
        <w:t xml:space="preserve">The </w:t>
      </w:r>
      <w:r w:rsidR="006A53E7">
        <w:t xml:space="preserve">verified </w:t>
      </w:r>
      <w:r w:rsidRPr="00437D81">
        <w:t xml:space="preserve">savings for several projects were different from the </w:t>
      </w:r>
      <w:proofErr w:type="spellStart"/>
      <w:proofErr w:type="gramStart"/>
      <w:r w:rsidR="006A53E7">
        <w:t>ex ante</w:t>
      </w:r>
      <w:proofErr w:type="spellEnd"/>
      <w:proofErr w:type="gramEnd"/>
      <w:r w:rsidRPr="00437D81">
        <w:t xml:space="preserve"> savings due to installed equipment quantities or specifications being inconsistent with the performance characteristics included in the building models or calculations. Although these adjustments are numerous, most adjustments were minor. Adjustments include:</w:t>
      </w:r>
    </w:p>
    <w:p w14:paraId="4563F618" w14:textId="05868F63" w:rsidR="008E4C8D" w:rsidRPr="00437D81" w:rsidRDefault="00B57B93" w:rsidP="008E4C8D">
      <w:pPr>
        <w:pStyle w:val="Finding"/>
        <w:numPr>
          <w:ilvl w:val="0"/>
          <w:numId w:val="28"/>
        </w:numPr>
      </w:pPr>
      <w:r>
        <w:t>The evaluation team adjusted the w</w:t>
      </w:r>
      <w:r w:rsidR="008E4C8D" w:rsidRPr="00437D81">
        <w:t xml:space="preserve">indow specifications (U-values and solar heat gain coefficients) for </w:t>
      </w:r>
      <w:r>
        <w:t xml:space="preserve">project </w:t>
      </w:r>
      <w:r w:rsidR="008E4C8D" w:rsidRPr="00437D81">
        <w:t>CINC</w:t>
      </w:r>
      <w:r w:rsidR="00437D81" w:rsidRPr="00437D81">
        <w:t>-</w:t>
      </w:r>
      <w:r w:rsidR="008E4C8D" w:rsidRPr="00437D81">
        <w:t>1454 based on the drawings and specifications</w:t>
      </w:r>
      <w:r>
        <w:t xml:space="preserve"> provided</w:t>
      </w:r>
      <w:r w:rsidR="008E4C8D" w:rsidRPr="00437D81">
        <w:t xml:space="preserve">. </w:t>
      </w:r>
    </w:p>
    <w:p w14:paraId="01A527A0" w14:textId="67EEB970" w:rsidR="00EB52F6" w:rsidRPr="00773FED" w:rsidRDefault="00EB52F6" w:rsidP="00EB52F6">
      <w:pPr>
        <w:pStyle w:val="Finding"/>
        <w:numPr>
          <w:ilvl w:val="0"/>
          <w:numId w:val="28"/>
        </w:numPr>
      </w:pPr>
      <w:r w:rsidRPr="00773FED">
        <w:t xml:space="preserve">For project CINC-1290, the </w:t>
      </w:r>
      <w:r>
        <w:t xml:space="preserve">original analysis </w:t>
      </w:r>
      <w:r w:rsidRPr="00773FED">
        <w:t xml:space="preserve">applied a penalty for having window areas greater than are allowed by code. Based on the documentation provided, Guidehouse updated the window to wall ratio so </w:t>
      </w:r>
      <w:r w:rsidR="000B73B5">
        <w:t>that</w:t>
      </w:r>
      <w:r w:rsidRPr="00773FED">
        <w:t xml:space="preserve"> the opaque transom window areas were not counted as window area</w:t>
      </w:r>
      <w:r>
        <w:t>, reducing the penalty</w:t>
      </w:r>
      <w:r w:rsidRPr="00773FED">
        <w:t>.</w:t>
      </w:r>
    </w:p>
    <w:p w14:paraId="47E8D13F" w14:textId="517A7948" w:rsidR="0053532C" w:rsidRPr="00572939" w:rsidRDefault="0053532C" w:rsidP="0053532C">
      <w:pPr>
        <w:pStyle w:val="Finding"/>
        <w:numPr>
          <w:ilvl w:val="0"/>
          <w:numId w:val="28"/>
        </w:numPr>
      </w:pPr>
      <w:r w:rsidRPr="00572939">
        <w:t xml:space="preserve">The team updated the verified smart thermostat savings for project CINC-1006 to match the </w:t>
      </w:r>
      <w:proofErr w:type="spellStart"/>
      <w:r w:rsidRPr="00572939">
        <w:t>sketchbox</w:t>
      </w:r>
      <w:proofErr w:type="spellEnd"/>
      <w:r w:rsidRPr="00572939">
        <w:t xml:space="preserve"> model output. It appears that the reported savings for this measure were not updated to reflect the final model.</w:t>
      </w:r>
    </w:p>
    <w:p w14:paraId="0337478B" w14:textId="260E1342" w:rsidR="008E4C8D" w:rsidRPr="009A4174" w:rsidRDefault="008E4C8D" w:rsidP="008E4C8D">
      <w:pPr>
        <w:pStyle w:val="Finding"/>
      </w:pPr>
      <w:r w:rsidRPr="009A4174">
        <w:rPr>
          <w:b/>
          <w:bCs/>
        </w:rPr>
        <w:t>Recommendation 1.</w:t>
      </w:r>
      <w:r w:rsidRPr="009A4174">
        <w:t xml:space="preserve"> The evaluation team recommends that building simulations are kept up to date to accurately represent the final as-built building construction and </w:t>
      </w:r>
      <w:r w:rsidR="0053532C">
        <w:t xml:space="preserve">installed </w:t>
      </w:r>
      <w:r w:rsidRPr="009A4174">
        <w:t>equipment.</w:t>
      </w:r>
    </w:p>
    <w:p w14:paraId="30F12715" w14:textId="5F6401B6" w:rsidR="008E4C8D" w:rsidRPr="009A4174" w:rsidRDefault="008E4C8D" w:rsidP="008E4C8D">
      <w:pPr>
        <w:pStyle w:val="Finding"/>
      </w:pPr>
      <w:r w:rsidRPr="009A4174">
        <w:rPr>
          <w:b/>
        </w:rPr>
        <w:t xml:space="preserve">Finding </w:t>
      </w:r>
      <w:r w:rsidR="009A4174" w:rsidRPr="009A4174">
        <w:rPr>
          <w:b/>
        </w:rPr>
        <w:t>2</w:t>
      </w:r>
      <w:r w:rsidRPr="009A4174">
        <w:rPr>
          <w:b/>
        </w:rPr>
        <w:t xml:space="preserve">. </w:t>
      </w:r>
      <w:r w:rsidRPr="009A4174">
        <w:t xml:space="preserve">The evaluation team changed the savings for </w:t>
      </w:r>
      <w:r w:rsidR="00324EEB">
        <w:t>two</w:t>
      </w:r>
      <w:r w:rsidRPr="009A4174">
        <w:t xml:space="preserve"> projects due to incorrect space types, building types, or occupancy groups being selected for code baselines. </w:t>
      </w:r>
    </w:p>
    <w:p w14:paraId="2E752A18" w14:textId="1A97C987" w:rsidR="008E4C8D" w:rsidRPr="0078678F" w:rsidRDefault="0078678F" w:rsidP="00615723">
      <w:pPr>
        <w:pStyle w:val="Finding"/>
        <w:numPr>
          <w:ilvl w:val="0"/>
          <w:numId w:val="28"/>
        </w:numPr>
        <w:rPr>
          <w:bCs/>
        </w:rPr>
      </w:pPr>
      <w:r w:rsidRPr="0078678F">
        <w:rPr>
          <w:bCs/>
        </w:rPr>
        <w:t xml:space="preserve">The reported savings for project 1454 used the baseline LPD corresponding to the hospital building area type (0.96 W/sf) listed in the Illinois Energy Conservation Code. The evaluation team verified the actual building type to be a clinic and updated the baseline LPD to 0.81 W/sf to correspond to the verified building area type. </w:t>
      </w:r>
      <w:r w:rsidR="009A4174" w:rsidRPr="0078678F">
        <w:rPr>
          <w:bCs/>
        </w:rPr>
        <w:t>The change to the lighting energy resulted in increased heating gas usage.</w:t>
      </w:r>
    </w:p>
    <w:p w14:paraId="320D534D" w14:textId="77777777" w:rsidR="00EE7F95" w:rsidRPr="00360E3F" w:rsidRDefault="00EE7F95" w:rsidP="00EE7F95">
      <w:pPr>
        <w:pStyle w:val="Finding"/>
        <w:numPr>
          <w:ilvl w:val="0"/>
          <w:numId w:val="28"/>
        </w:numPr>
        <w:rPr>
          <w:bCs/>
        </w:rPr>
      </w:pPr>
      <w:r>
        <w:rPr>
          <w:bCs/>
        </w:rPr>
        <w:lastRenderedPageBreak/>
        <w:t xml:space="preserve">For CINC-1006, the </w:t>
      </w:r>
      <w:proofErr w:type="spellStart"/>
      <w:proofErr w:type="gramStart"/>
      <w:r>
        <w:rPr>
          <w:bCs/>
        </w:rPr>
        <w:t>ex ante</w:t>
      </w:r>
      <w:proofErr w:type="spellEnd"/>
      <w:proofErr w:type="gramEnd"/>
      <w:r>
        <w:rPr>
          <w:bCs/>
        </w:rPr>
        <w:t xml:space="preserve"> model used the </w:t>
      </w:r>
      <w:r w:rsidRPr="00360E3F">
        <w:rPr>
          <w:bCs/>
        </w:rPr>
        <w:t xml:space="preserve">roof insulation U-value baseline requirements for an “All Other” building </w:t>
      </w:r>
      <w:r>
        <w:rPr>
          <w:bCs/>
        </w:rPr>
        <w:t xml:space="preserve">type. </w:t>
      </w:r>
      <w:r w:rsidRPr="00360E3F">
        <w:rPr>
          <w:bCs/>
        </w:rPr>
        <w:t xml:space="preserve">The evaluation </w:t>
      </w:r>
      <w:r>
        <w:rPr>
          <w:bCs/>
        </w:rPr>
        <w:t>updated the verified savings for this project to use</w:t>
      </w:r>
      <w:r w:rsidRPr="00360E3F">
        <w:rPr>
          <w:bCs/>
        </w:rPr>
        <w:t xml:space="preserve"> the roof insulation U-value baseline requirements from IECC for a residential building.</w:t>
      </w:r>
    </w:p>
    <w:p w14:paraId="56951791" w14:textId="0B6E2E99" w:rsidR="008E4C8D" w:rsidRPr="009A4174" w:rsidRDefault="008E4C8D" w:rsidP="008E4C8D">
      <w:pPr>
        <w:pStyle w:val="Recommendation"/>
        <w:rPr>
          <w:b w:val="0"/>
          <w:bCs/>
        </w:rPr>
      </w:pPr>
      <w:r w:rsidRPr="009A4174">
        <w:t xml:space="preserve">Recommendation </w:t>
      </w:r>
      <w:r w:rsidR="009A4174" w:rsidRPr="009A4174">
        <w:t>2</w:t>
      </w:r>
      <w:r w:rsidRPr="009A4174">
        <w:t>.</w:t>
      </w:r>
      <w:r w:rsidRPr="009A4174">
        <w:rPr>
          <w:b w:val="0"/>
          <w:bCs/>
        </w:rPr>
        <w:t xml:space="preserve"> Update QA/QC processes to ensure claimed savings are consistent with the appropriate baseline as specified in the codes and/or standards for the project. </w:t>
      </w:r>
    </w:p>
    <w:p w14:paraId="30B5ED31" w14:textId="5654CF77" w:rsidR="008E4C8D" w:rsidRPr="009A4174" w:rsidRDefault="008E4C8D" w:rsidP="008E4C8D">
      <w:pPr>
        <w:pStyle w:val="Finding"/>
      </w:pPr>
      <w:r w:rsidRPr="009A4174">
        <w:rPr>
          <w:b/>
        </w:rPr>
        <w:t xml:space="preserve">Finding </w:t>
      </w:r>
      <w:r w:rsidR="009A4174" w:rsidRPr="009A4174">
        <w:rPr>
          <w:b/>
        </w:rPr>
        <w:t>3</w:t>
      </w:r>
      <w:r w:rsidRPr="009A4174">
        <w:rPr>
          <w:b/>
        </w:rPr>
        <w:t xml:space="preserve">. </w:t>
      </w:r>
      <w:r w:rsidRPr="009A4174">
        <w:t xml:space="preserve">The evaluation team </w:t>
      </w:r>
      <w:r w:rsidR="00C662C3">
        <w:t xml:space="preserve">updated </w:t>
      </w:r>
      <w:r w:rsidRPr="009A4174">
        <w:t>the water savings</w:t>
      </w:r>
      <w:r w:rsidR="00C662C3">
        <w:t xml:space="preserve"> (gallons)</w:t>
      </w:r>
      <w:r w:rsidRPr="009A4174">
        <w:t xml:space="preserve"> for</w:t>
      </w:r>
      <w:r w:rsidR="00DE49BC">
        <w:t xml:space="preserve"> four</w:t>
      </w:r>
      <w:r w:rsidRPr="009A4174">
        <w:t xml:space="preserve"> projects (Projects 1290, 1006,</w:t>
      </w:r>
      <w:r w:rsidR="009A4174" w:rsidRPr="009A4174">
        <w:t xml:space="preserve"> </w:t>
      </w:r>
      <w:r w:rsidRPr="009A4174">
        <w:t xml:space="preserve">1345, 1454) due to errors in the </w:t>
      </w:r>
      <w:proofErr w:type="spellStart"/>
      <w:proofErr w:type="gramStart"/>
      <w:r w:rsidR="00C662C3">
        <w:t>ex ante</w:t>
      </w:r>
      <w:proofErr w:type="spellEnd"/>
      <w:proofErr w:type="gramEnd"/>
      <w:r w:rsidR="00C662C3">
        <w:t xml:space="preserve"> </w:t>
      </w:r>
      <w:r w:rsidRPr="009A4174">
        <w:t xml:space="preserve">water savings calculations. </w:t>
      </w:r>
      <w:r w:rsidR="0017639E">
        <w:t>For the commercial fixtures, t</w:t>
      </w:r>
      <w:r w:rsidR="0017639E" w:rsidRPr="006722D1">
        <w:t xml:space="preserve">he most significant </w:t>
      </w:r>
      <w:r w:rsidR="0017639E">
        <w:t>update</w:t>
      </w:r>
      <w:r w:rsidR="0017639E" w:rsidRPr="006722D1">
        <w:t xml:space="preserve"> was </w:t>
      </w:r>
      <w:r w:rsidR="0017639E">
        <w:t xml:space="preserve">made to </w:t>
      </w:r>
      <w:r w:rsidR="0017639E" w:rsidRPr="006722D1">
        <w:t>the baseline flow requirement for faucets in public lavatory spaces</w:t>
      </w:r>
      <w:r w:rsidR="0017639E">
        <w:t xml:space="preserve"> (typically updated from 2.2</w:t>
      </w:r>
      <w:r w:rsidR="0017639E" w:rsidRPr="006722D1">
        <w:t xml:space="preserve"> </w:t>
      </w:r>
      <w:proofErr w:type="spellStart"/>
      <w:r w:rsidR="0017639E" w:rsidRPr="006722D1">
        <w:t>gpm</w:t>
      </w:r>
      <w:proofErr w:type="spellEnd"/>
      <w:r w:rsidR="0017639E" w:rsidRPr="006722D1">
        <w:t xml:space="preserve"> to 0.5 </w:t>
      </w:r>
      <w:proofErr w:type="spellStart"/>
      <w:r w:rsidR="0017639E" w:rsidRPr="006722D1">
        <w:t>gpm</w:t>
      </w:r>
      <w:proofErr w:type="spellEnd"/>
      <w:r w:rsidR="0017639E">
        <w:t>)</w:t>
      </w:r>
      <w:r w:rsidR="0017639E" w:rsidRPr="006722D1">
        <w:t>. Additionally, the</w:t>
      </w:r>
      <w:r w:rsidR="0017639E">
        <w:t xml:space="preserve"> </w:t>
      </w:r>
      <w:proofErr w:type="spellStart"/>
      <w:proofErr w:type="gramStart"/>
      <w:r w:rsidR="0017639E">
        <w:t>ex ante</w:t>
      </w:r>
      <w:proofErr w:type="spellEnd"/>
      <w:proofErr w:type="gramEnd"/>
      <w:r w:rsidR="0017639E" w:rsidRPr="006722D1">
        <w:t xml:space="preserve"> water savings for residential fixtures </w:t>
      </w:r>
      <w:r w:rsidR="0017639E">
        <w:t>did not consistently</w:t>
      </w:r>
      <w:r w:rsidR="0017639E" w:rsidRPr="006722D1">
        <w:t xml:space="preserve"> account for the number of people per </w:t>
      </w:r>
      <w:r w:rsidR="0017639E">
        <w:t>household</w:t>
      </w:r>
      <w:r w:rsidR="0017639E" w:rsidRPr="006722D1">
        <w:t xml:space="preserve"> when calculating water usage per fixture.</w:t>
      </w:r>
    </w:p>
    <w:p w14:paraId="4E5950A2" w14:textId="3E5D2E76" w:rsidR="008E4C8D" w:rsidRDefault="008E4C8D" w:rsidP="008E4C8D">
      <w:pPr>
        <w:pStyle w:val="Recommendation"/>
        <w:rPr>
          <w:b w:val="0"/>
          <w:bCs/>
        </w:rPr>
      </w:pPr>
      <w:r w:rsidRPr="009A4174">
        <w:t xml:space="preserve">Recommendation </w:t>
      </w:r>
      <w:r w:rsidR="009A4174" w:rsidRPr="009A4174">
        <w:t>3</w:t>
      </w:r>
      <w:r w:rsidRPr="009A4174">
        <w:t>.</w:t>
      </w:r>
      <w:r w:rsidRPr="009A4174">
        <w:rPr>
          <w:b w:val="0"/>
          <w:bCs/>
        </w:rPr>
        <w:t xml:space="preserve"> Update the water savings calculator to be consistent with the baselines flow requirements set forth in code and use the </w:t>
      </w:r>
      <w:r w:rsidR="0017639E">
        <w:rPr>
          <w:b w:val="0"/>
          <w:bCs/>
        </w:rPr>
        <w:t xml:space="preserve">calculation </w:t>
      </w:r>
      <w:r w:rsidRPr="009A4174">
        <w:rPr>
          <w:b w:val="0"/>
          <w:bCs/>
        </w:rPr>
        <w:t xml:space="preserve">methodology as specified in the Illinois </w:t>
      </w:r>
      <w:r w:rsidR="0017639E">
        <w:rPr>
          <w:b w:val="0"/>
          <w:bCs/>
        </w:rPr>
        <w:t>TRM</w:t>
      </w:r>
      <w:r w:rsidRPr="009A4174">
        <w:rPr>
          <w:b w:val="0"/>
          <w:bCs/>
        </w:rPr>
        <w:t>.</w:t>
      </w:r>
      <w:r>
        <w:rPr>
          <w:b w:val="0"/>
          <w:bCs/>
        </w:rPr>
        <w:t xml:space="preserve"> </w:t>
      </w:r>
    </w:p>
    <w:p w14:paraId="0C9B1C2B" w14:textId="77777777" w:rsidR="002B6C12" w:rsidRDefault="002B6C12" w:rsidP="00E67B85">
      <w:pPr>
        <w:sectPr w:rsidR="002B6C12" w:rsidSect="00F36BF3">
          <w:headerReference w:type="default" r:id="rId25"/>
          <w:footerReference w:type="default" r:id="rId26"/>
          <w:pgSz w:w="12240" w:h="15840" w:code="1"/>
          <w:pgMar w:top="1440" w:right="1440" w:bottom="1440" w:left="1440" w:header="720" w:footer="720" w:gutter="0"/>
          <w:pgNumType w:start="1"/>
          <w:cols w:space="720"/>
          <w:docGrid w:linePitch="360"/>
        </w:sectPr>
      </w:pPr>
    </w:p>
    <w:p w14:paraId="1A959546" w14:textId="77777777" w:rsidR="00096ADA" w:rsidRPr="002E0934" w:rsidRDefault="00096ADA" w:rsidP="00532482">
      <w:pPr>
        <w:pStyle w:val="Heading1"/>
        <w:numPr>
          <w:ilvl w:val="0"/>
          <w:numId w:val="0"/>
        </w:numPr>
        <w:ind w:left="432" w:hanging="432"/>
      </w:pPr>
      <w:bookmarkStart w:id="31" w:name="_Toc223914185"/>
      <w:bookmarkStart w:id="32" w:name="_Toc224810305"/>
      <w:r w:rsidRPr="0BF76A9C">
        <w:lastRenderedPageBreak/>
        <w:t>Appendix A. Impact Analysis Methodology</w:t>
      </w:r>
      <w:bookmarkEnd w:id="31"/>
      <w:bookmarkEnd w:id="32"/>
    </w:p>
    <w:p w14:paraId="1A6F597E" w14:textId="77777777" w:rsidR="00AB1A05" w:rsidRPr="006244D1" w:rsidRDefault="00AB1A05" w:rsidP="00AB1A05">
      <w:pPr>
        <w:pStyle w:val="BodyTextBold"/>
      </w:pPr>
      <w:r w:rsidRPr="006244D1">
        <w:t>Engineering Review of Project Files</w:t>
      </w:r>
    </w:p>
    <w:p w14:paraId="10F5F03F" w14:textId="1533855F" w:rsidR="008E4C8D" w:rsidRPr="00D77BAF" w:rsidRDefault="008E4C8D" w:rsidP="008E4C8D">
      <w:pPr>
        <w:rPr>
          <w:iCs/>
          <w:lang w:val="en-IN"/>
        </w:rPr>
      </w:pPr>
      <w:r w:rsidRPr="00D77BAF">
        <w:rPr>
          <w:iCs/>
          <w:lang w:val="en-IN"/>
        </w:rPr>
        <w:t xml:space="preserve">The building energy models </w:t>
      </w:r>
      <w:r>
        <w:rPr>
          <w:iCs/>
          <w:lang w:val="en-IN"/>
        </w:rPr>
        <w:t xml:space="preserve">and calculations for each sampled project were reviewed. </w:t>
      </w:r>
      <w:r w:rsidRPr="00D77BAF">
        <w:rPr>
          <w:iCs/>
          <w:lang w:val="en-IN"/>
        </w:rPr>
        <w:t xml:space="preserve">The analysis included the following: </w:t>
      </w:r>
    </w:p>
    <w:p w14:paraId="460E49F3" w14:textId="411EC489" w:rsidR="008E4C8D" w:rsidRPr="00D77BAF" w:rsidRDefault="008E4C8D" w:rsidP="008E4C8D">
      <w:pPr>
        <w:pStyle w:val="ListParagraph"/>
        <w:numPr>
          <w:ilvl w:val="0"/>
          <w:numId w:val="26"/>
        </w:numPr>
        <w:rPr>
          <w:iCs/>
          <w:lang w:val="en-IN"/>
        </w:rPr>
      </w:pPr>
      <w:r w:rsidRPr="00D77BAF">
        <w:rPr>
          <w:iCs/>
          <w:lang w:val="en-IN"/>
        </w:rPr>
        <w:t xml:space="preserve">Adjusting the model inputs in the executable files to match the as-built conditions identified in the evaluation team’s review of the </w:t>
      </w:r>
      <w:r w:rsidR="00CC30ED">
        <w:rPr>
          <w:iCs/>
          <w:lang w:val="en-IN"/>
        </w:rPr>
        <w:t xml:space="preserve">Business </w:t>
      </w:r>
      <w:r w:rsidRPr="00D77BAF">
        <w:rPr>
          <w:iCs/>
          <w:lang w:val="en-IN"/>
        </w:rPr>
        <w:t xml:space="preserve">New Construction program’s project files and then rerunning the model. </w:t>
      </w:r>
    </w:p>
    <w:p w14:paraId="2D37B76F" w14:textId="77777777" w:rsidR="008E4C8D" w:rsidRPr="00D77BAF" w:rsidRDefault="008E4C8D" w:rsidP="008E4C8D">
      <w:pPr>
        <w:pStyle w:val="ListParagraph"/>
        <w:numPr>
          <w:ilvl w:val="0"/>
          <w:numId w:val="26"/>
        </w:numPr>
        <w:rPr>
          <w:iCs/>
          <w:lang w:val="en-IN"/>
        </w:rPr>
      </w:pPr>
      <w:r w:rsidRPr="00D77BAF">
        <w:rPr>
          <w:iCs/>
          <w:lang w:val="en-IN"/>
        </w:rPr>
        <w:t xml:space="preserve">Quantifying impacts by comparing two simulations representing the projected design and baseline scenarios. </w:t>
      </w:r>
    </w:p>
    <w:p w14:paraId="4D84F417" w14:textId="77777777" w:rsidR="008E4C8D" w:rsidRPr="00D77BAF" w:rsidRDefault="008E4C8D" w:rsidP="008E4C8D">
      <w:pPr>
        <w:rPr>
          <w:iCs/>
          <w:lang w:val="en-IN"/>
        </w:rPr>
      </w:pPr>
      <w:r w:rsidRPr="00D77BAF">
        <w:rPr>
          <w:iCs/>
          <w:lang w:val="en-IN"/>
        </w:rPr>
        <w:t xml:space="preserve">The baseline model is the Illinois Energy Conservation Code for Commercial Buildings, which references and incorporates the applicable IECC. The Illinois Energy Conservation Code for Commercial Buildings explicitly allows for the use of American Society of Heating, Refrigerating and Air-Conditioning Engineers (ASHRAE) Standard 90.1 as an alternate compliance method. </w:t>
      </w:r>
    </w:p>
    <w:p w14:paraId="0094FD3C" w14:textId="5022ECD2" w:rsidR="008E4C8D" w:rsidRPr="008E4C8D" w:rsidRDefault="008E4C8D" w:rsidP="008E4C8D">
      <w:pPr>
        <w:rPr>
          <w:iCs/>
          <w:lang w:val="en-IN"/>
        </w:rPr>
      </w:pPr>
      <w:r w:rsidRPr="008E4C8D">
        <w:rPr>
          <w:iCs/>
          <w:lang w:val="en-IN"/>
        </w:rPr>
        <w:t xml:space="preserve">The program assumes the appropriate baseline </w:t>
      </w:r>
      <w:r w:rsidR="008379E0">
        <w:rPr>
          <w:iCs/>
          <w:lang w:val="en-IN"/>
        </w:rPr>
        <w:t xml:space="preserve">for </w:t>
      </w:r>
      <w:r w:rsidRPr="008E4C8D">
        <w:rPr>
          <w:iCs/>
          <w:lang w:val="en-IN"/>
        </w:rPr>
        <w:t xml:space="preserve">the program application date. Projects through CY2019 used IECC 2015 (based on ASHRAE 90.1-2013) with later projects using IECC 2018 (based on ASHRAE 90.1-2016). The evaluation team relied on the same software, methods, and approach to assigning baseline assumptions the program implementers used to estimate the </w:t>
      </w:r>
      <w:proofErr w:type="spellStart"/>
      <w:proofErr w:type="gramStart"/>
      <w:r w:rsidRPr="008E4C8D">
        <w:rPr>
          <w:iCs/>
          <w:lang w:val="en-IN"/>
        </w:rPr>
        <w:t>ex ante</w:t>
      </w:r>
      <w:proofErr w:type="spellEnd"/>
      <w:proofErr w:type="gramEnd"/>
      <w:r w:rsidRPr="008E4C8D">
        <w:rPr>
          <w:iCs/>
          <w:lang w:val="en-IN"/>
        </w:rPr>
        <w:t xml:space="preserve"> models. </w:t>
      </w:r>
    </w:p>
    <w:p w14:paraId="6EC3A955" w14:textId="590CB67B" w:rsidR="008E4C8D" w:rsidRPr="00D77BAF" w:rsidRDefault="008E4C8D" w:rsidP="008E4C8D">
      <w:pPr>
        <w:rPr>
          <w:iCs/>
          <w:lang w:val="en-IN"/>
        </w:rPr>
      </w:pPr>
      <w:r w:rsidRPr="008E4C8D">
        <w:rPr>
          <w:iCs/>
          <w:lang w:val="en-IN"/>
        </w:rPr>
        <w:t>The building energy models include interactive effects for measure and fuel type, where applicable. Interactive effects are the resulting changes to savings that occur when the installation of one measure has a positive or negative effect on the savings for another fuel type. Interactive effects are calculated in the model.</w:t>
      </w:r>
      <w:r w:rsidRPr="00D77BAF">
        <w:rPr>
          <w:iCs/>
          <w:lang w:val="en-IN"/>
        </w:rPr>
        <w:t xml:space="preserve"> For utilities’ goal tracking, the evaluation team provides the savings without the penalties from interactive effects. The implementation team calculated savings for joint projects including interactive effects; however, the evaluation team calculated savings with and without interactive effects for reporting purposes. Unless noted, the results in this report exclude penalties from cross-fuel interactive effects.</w:t>
      </w:r>
    </w:p>
    <w:p w14:paraId="6344071B" w14:textId="35F38166" w:rsidR="008E4C8D" w:rsidRPr="00D77BAF" w:rsidRDefault="008E4C8D" w:rsidP="008E4C8D">
      <w:pPr>
        <w:rPr>
          <w:iCs/>
          <w:lang w:val="en-IN"/>
        </w:rPr>
      </w:pPr>
      <w:r w:rsidRPr="00D77BAF">
        <w:rPr>
          <w:iCs/>
          <w:lang w:val="en-IN"/>
        </w:rPr>
        <w:t>The evaluation team calculated verified net energy and demand savings by multiplying the verified gross savings estimates by a net to gross (NTG) ratio. In CY202</w:t>
      </w:r>
      <w:r>
        <w:rPr>
          <w:iCs/>
          <w:lang w:val="en-IN"/>
        </w:rPr>
        <w:t>5</w:t>
      </w:r>
      <w:r w:rsidRPr="00D77BAF">
        <w:rPr>
          <w:iCs/>
          <w:lang w:val="en-IN"/>
        </w:rPr>
        <w:t xml:space="preserve">, the NTG values used to calculate the net verified savings were based on past evaluation research and approved by the Illinois SAG. The evaluation team applied an NTG ratio of 1.0 to verified gross savings estimates corresponding to eligible projects under the Net to Gross Policy for Disadvantaged Areas. For the </w:t>
      </w:r>
      <w:r w:rsidR="00CC30ED">
        <w:rPr>
          <w:iCs/>
          <w:lang w:val="en-IN"/>
        </w:rPr>
        <w:t>B</w:t>
      </w:r>
      <w:r w:rsidR="00D81637">
        <w:rPr>
          <w:iCs/>
          <w:lang w:val="en-IN"/>
        </w:rPr>
        <w:t>NC</w:t>
      </w:r>
      <w:r w:rsidRPr="00D77BAF">
        <w:rPr>
          <w:iCs/>
          <w:lang w:val="en-IN"/>
        </w:rPr>
        <w:t xml:space="preserve"> program, eligible projects consisted of public and private projects in disadvantaged communities (DAC ZIP codes) with square footage values under the area threshold for eligibility based on building type. The last of these criteria acts as a proxy in the absence of reliable electric rate and annual gas consumption data. </w:t>
      </w:r>
    </w:p>
    <w:p w14:paraId="43D18B79" w14:textId="2346829F" w:rsidR="008E4C8D" w:rsidRPr="00D77BAF" w:rsidRDefault="008E4C8D" w:rsidP="008E4C8D">
      <w:pPr>
        <w:rPr>
          <w:iCs/>
          <w:lang w:val="en-IN"/>
        </w:rPr>
      </w:pPr>
      <w:r w:rsidRPr="00D77BAF">
        <w:rPr>
          <w:iCs/>
          <w:lang w:val="en-IN"/>
        </w:rPr>
        <w:lastRenderedPageBreak/>
        <w:t xml:space="preserve">The evaluation team selected a stratified random sample for the </w:t>
      </w:r>
      <w:r w:rsidR="00CC30ED">
        <w:rPr>
          <w:iCs/>
          <w:lang w:val="en-IN"/>
        </w:rPr>
        <w:t xml:space="preserve">Business </w:t>
      </w:r>
      <w:r w:rsidRPr="00D77BAF">
        <w:rPr>
          <w:iCs/>
          <w:lang w:val="en-IN"/>
        </w:rPr>
        <w:t xml:space="preserve">New Construction program to support the engineering desk reviews. The team designed the sample to provide 90/10 confidence and precision for evaluated kilowatt-hour, therm, and million British thermal unit (MMBtu) savings estimates. </w:t>
      </w:r>
    </w:p>
    <w:p w14:paraId="4CE4906B" w14:textId="4D9A37C1" w:rsidR="00AB1A05" w:rsidRDefault="008E4C8D" w:rsidP="00AB1A05">
      <w:pPr>
        <w:pStyle w:val="BodyTextBold"/>
      </w:pPr>
      <w:r>
        <w:t>Sampling Approach</w:t>
      </w:r>
    </w:p>
    <w:p w14:paraId="0A94F666" w14:textId="630DC428" w:rsidR="008E4C8D" w:rsidRPr="007950D5" w:rsidRDefault="008E4C8D" w:rsidP="008E4C8D">
      <w:pPr>
        <w:rPr>
          <w:iCs/>
        </w:rPr>
      </w:pPr>
      <w:bookmarkStart w:id="33" w:name="_Hlk501714572"/>
      <w:bookmarkStart w:id="34" w:name="_Toc507870205"/>
      <w:bookmarkStart w:id="35" w:name="_Toc512873036"/>
      <w:r w:rsidRPr="007950D5">
        <w:rPr>
          <w:iCs/>
        </w:rPr>
        <w:t xml:space="preserve">Consistent with prior evaluations, the evaluation team developed a stratified random sample of </w:t>
      </w:r>
      <w:r w:rsidR="00CC30ED">
        <w:rPr>
          <w:iCs/>
        </w:rPr>
        <w:t>BNC</w:t>
      </w:r>
      <w:r w:rsidRPr="007950D5">
        <w:rPr>
          <w:iCs/>
        </w:rPr>
        <w:t xml:space="preserve"> projects to support the engineering desk reviews. The population of projects were stratified into four strata based on ex ante MMBtu savings. </w:t>
      </w:r>
      <w:proofErr w:type="gramStart"/>
      <w:r w:rsidRPr="007950D5">
        <w:rPr>
          <w:iCs/>
        </w:rPr>
        <w:t>All of</w:t>
      </w:r>
      <w:proofErr w:type="gramEnd"/>
      <w:r w:rsidRPr="007950D5">
        <w:rPr>
          <w:iCs/>
        </w:rPr>
        <w:t xml:space="preserve"> the projects within the certainty and large strata were selected with projects being randomly sampled within the medium and small strata. This sample is designed to provide 90/10 precision for evaluated kW, kWh, and therm savings, considering savings with and without interactive effects. </w:t>
      </w:r>
    </w:p>
    <w:p w14:paraId="19EDB712" w14:textId="2C67E6F5" w:rsidR="00B727A2" w:rsidRPr="007950D5" w:rsidRDefault="008E4C8D" w:rsidP="008E4C8D">
      <w:pPr>
        <w:rPr>
          <w:b/>
          <w:bCs/>
          <w:iCs/>
        </w:rPr>
      </w:pPr>
      <w:r w:rsidRPr="007950D5">
        <w:rPr>
          <w:iCs/>
        </w:rPr>
        <w:t xml:space="preserve">Based on this approach, </w:t>
      </w:r>
      <w:r w:rsidR="008175DF" w:rsidRPr="008175DF">
        <w:rPr>
          <w:iCs/>
        </w:rPr>
        <w:t xml:space="preserve">a total of 25 projects were selected for evaluation for the CY2025 program year. </w:t>
      </w:r>
      <w:r w:rsidRPr="007950D5">
        <w:rPr>
          <w:iCs/>
        </w:rPr>
        <w:t xml:space="preserve"> </w:t>
      </w:r>
      <w:r>
        <w:rPr>
          <w:iCs/>
        </w:rPr>
        <w:t xml:space="preserve">The Wave 1 sample included </w:t>
      </w:r>
      <w:r w:rsidR="00C247EF">
        <w:rPr>
          <w:iCs/>
        </w:rPr>
        <w:t>12</w:t>
      </w:r>
      <w:r>
        <w:rPr>
          <w:iCs/>
        </w:rPr>
        <w:t xml:space="preserve"> of the 18 projects that were completed as of June 30, 2025. The Wave 2 sample included 13 of the </w:t>
      </w:r>
      <w:r w:rsidR="00A50614">
        <w:rPr>
          <w:iCs/>
        </w:rPr>
        <w:t xml:space="preserve">19 </w:t>
      </w:r>
      <w:r>
        <w:rPr>
          <w:iCs/>
        </w:rPr>
        <w:t xml:space="preserve">projects completed from July 1, </w:t>
      </w:r>
      <w:proofErr w:type="gramStart"/>
      <w:r>
        <w:rPr>
          <w:iCs/>
        </w:rPr>
        <w:t>2025</w:t>
      </w:r>
      <w:proofErr w:type="gramEnd"/>
      <w:r>
        <w:rPr>
          <w:iCs/>
        </w:rPr>
        <w:t xml:space="preserve"> through December 31, 2025. </w:t>
      </w:r>
      <w:r w:rsidR="00BE76D9">
        <w:rPr>
          <w:iCs/>
        </w:rPr>
        <w:t xml:space="preserve">Twenty-two of the selected projects </w:t>
      </w:r>
      <w:r w:rsidR="001513BC">
        <w:rPr>
          <w:iCs/>
        </w:rPr>
        <w:t>included</w:t>
      </w:r>
      <w:r w:rsidR="005F7150">
        <w:rPr>
          <w:iCs/>
        </w:rPr>
        <w:t xml:space="preserve"> gas savings. </w:t>
      </w:r>
      <w:r>
        <w:rPr>
          <w:iCs/>
        </w:rPr>
        <w:t xml:space="preserve">For each wave, the evaluation team divided the sample frame into strata based on the overall MMBTU saving of each project and randomly selecting projects within those strata. </w:t>
      </w:r>
      <w:r w:rsidRPr="007950D5">
        <w:rPr>
          <w:iCs/>
        </w:rPr>
        <w:fldChar w:fldCharType="begin"/>
      </w:r>
      <w:r w:rsidRPr="007950D5">
        <w:rPr>
          <w:iCs/>
        </w:rPr>
        <w:instrText xml:space="preserve"> REF _Ref203661944 \h </w:instrText>
      </w:r>
      <w:r w:rsidRPr="007950D5">
        <w:rPr>
          <w:iCs/>
        </w:rPr>
      </w:r>
      <w:r w:rsidRPr="007950D5">
        <w:rPr>
          <w:iCs/>
        </w:rPr>
        <w:fldChar w:fldCharType="separate"/>
      </w:r>
    </w:p>
    <w:p w14:paraId="67C392F0" w14:textId="0CD2351B" w:rsidR="008E4C8D" w:rsidRPr="007950D5" w:rsidRDefault="008E4C8D" w:rsidP="008E4C8D">
      <w:pPr>
        <w:rPr>
          <w:b/>
          <w:bCs/>
          <w:iCs/>
        </w:rPr>
      </w:pPr>
      <w:r w:rsidRPr="007950D5">
        <w:rPr>
          <w:iCs/>
        </w:rPr>
        <w:t xml:space="preserve">Table </w:t>
      </w:r>
      <w:r w:rsidR="00B727A2">
        <w:rPr>
          <w:noProof/>
        </w:rPr>
        <w:t>4</w:t>
      </w:r>
      <w:r w:rsidRPr="007950D5">
        <w:rPr>
          <w:iCs/>
          <w:lang w:val="en-IN"/>
        </w:rPr>
        <w:fldChar w:fldCharType="end"/>
      </w:r>
      <w:r w:rsidRPr="007950D5">
        <w:rPr>
          <w:iCs/>
        </w:rPr>
        <w:t xml:space="preserve"> and </w:t>
      </w:r>
      <w:r w:rsidR="00EF6919">
        <w:rPr>
          <w:iCs/>
        </w:rPr>
        <w:fldChar w:fldCharType="begin"/>
      </w:r>
      <w:r w:rsidR="00EF6919">
        <w:rPr>
          <w:iCs/>
        </w:rPr>
        <w:instrText xml:space="preserve"> REF _Ref224771264 \h </w:instrText>
      </w:r>
      <w:r w:rsidR="00EF6919">
        <w:rPr>
          <w:iCs/>
        </w:rPr>
      </w:r>
      <w:r w:rsidR="00EF6919">
        <w:rPr>
          <w:iCs/>
        </w:rPr>
        <w:fldChar w:fldCharType="separate"/>
      </w:r>
      <w:r w:rsidR="00EF6919" w:rsidRPr="007950D5">
        <w:t xml:space="preserve">Table </w:t>
      </w:r>
      <w:r w:rsidR="00EF6919">
        <w:rPr>
          <w:noProof/>
        </w:rPr>
        <w:t>5</w:t>
      </w:r>
      <w:r w:rsidR="00EF6919">
        <w:rPr>
          <w:iCs/>
        </w:rPr>
        <w:fldChar w:fldCharType="end"/>
      </w:r>
      <w:r w:rsidRPr="007950D5">
        <w:rPr>
          <w:iCs/>
        </w:rPr>
        <w:t xml:space="preserve"> below describe the population and sample frame for electric and natural gas projects, respectively, for the CY2025 program year. </w:t>
      </w:r>
      <w:bookmarkStart w:id="36" w:name="_Ref203661944"/>
    </w:p>
    <w:p w14:paraId="54E8F434" w14:textId="070DB7B4" w:rsidR="008E4C8D" w:rsidRDefault="008E4C8D" w:rsidP="00A754D8">
      <w:pPr>
        <w:pStyle w:val="Caption"/>
      </w:pPr>
      <w:bookmarkStart w:id="37" w:name="_Toc224840463"/>
      <w:r w:rsidRPr="007950D5">
        <w:t xml:space="preserve">Table </w:t>
      </w:r>
      <w:r w:rsidRPr="007950D5">
        <w:fldChar w:fldCharType="begin"/>
      </w:r>
      <w:r w:rsidRPr="007950D5">
        <w:instrText>SEQ Table \* ARABIC</w:instrText>
      </w:r>
      <w:r w:rsidRPr="007950D5">
        <w:fldChar w:fldCharType="separate"/>
      </w:r>
      <w:r>
        <w:rPr>
          <w:noProof/>
        </w:rPr>
        <w:t>4</w:t>
      </w:r>
      <w:r w:rsidRPr="007950D5">
        <w:rPr>
          <w:lang w:val="en-IN"/>
        </w:rPr>
        <w:fldChar w:fldCharType="end"/>
      </w:r>
      <w:bookmarkEnd w:id="36"/>
      <w:r w:rsidRPr="007950D5">
        <w:t xml:space="preserve">. CY2025 </w:t>
      </w:r>
      <w:r w:rsidR="00CC30ED">
        <w:t>BNC</w:t>
      </w:r>
      <w:r w:rsidRPr="007950D5">
        <w:t xml:space="preserve"> Full-Year Project Population</w:t>
      </w:r>
      <w:bookmarkEnd w:id="37"/>
      <w:r w:rsidRPr="007950D5">
        <w:t xml:space="preserve"> </w:t>
      </w:r>
    </w:p>
    <w:tbl>
      <w:tblPr>
        <w:tblStyle w:val="EnergyTable11"/>
        <w:tblW w:w="5000" w:type="pct"/>
        <w:tblLook w:val="04A0" w:firstRow="1" w:lastRow="0" w:firstColumn="1" w:lastColumn="0" w:noHBand="0" w:noVBand="1"/>
      </w:tblPr>
      <w:tblGrid>
        <w:gridCol w:w="1560"/>
        <w:gridCol w:w="1772"/>
        <w:gridCol w:w="1351"/>
        <w:gridCol w:w="1559"/>
        <w:gridCol w:w="1559"/>
        <w:gridCol w:w="1559"/>
      </w:tblGrid>
      <w:tr w:rsidR="008E4C8D" w:rsidRPr="008A2A7C" w14:paraId="53B44424" w14:textId="77777777" w:rsidTr="00437D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33" w:type="pct"/>
            <w:hideMark/>
          </w:tcPr>
          <w:p w14:paraId="07ED41C4" w14:textId="77777777" w:rsidR="008E4C8D" w:rsidRPr="008A2A7C" w:rsidRDefault="008E4C8D">
            <w:pPr>
              <w:jc w:val="left"/>
              <w:rPr>
                <w:rFonts w:asciiTheme="minorHAnsi" w:hAnsiTheme="minorHAnsi"/>
                <w:color w:val="FFFFFF" w:themeColor="background1"/>
                <w:sz w:val="20"/>
              </w:rPr>
            </w:pPr>
            <w:r w:rsidRPr="008A2A7C">
              <w:rPr>
                <w:rFonts w:asciiTheme="minorHAnsi" w:hAnsiTheme="minorHAnsi"/>
                <w:color w:val="FFFFFF" w:themeColor="background1"/>
                <w:sz w:val="20"/>
              </w:rPr>
              <w:t>Strata</w:t>
            </w:r>
          </w:p>
        </w:tc>
        <w:tc>
          <w:tcPr>
            <w:tcW w:w="946" w:type="pct"/>
          </w:tcPr>
          <w:p w14:paraId="3400ABA2" w14:textId="77777777" w:rsidR="008E4C8D" w:rsidRPr="008A2A7C" w:rsidRDefault="008E4C8D">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MMBTU Range</w:t>
            </w:r>
          </w:p>
        </w:tc>
        <w:tc>
          <w:tcPr>
            <w:tcW w:w="721" w:type="pct"/>
            <w:hideMark/>
          </w:tcPr>
          <w:p w14:paraId="18C53EDE"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Count</w:t>
            </w:r>
          </w:p>
        </w:tc>
        <w:tc>
          <w:tcPr>
            <w:tcW w:w="833" w:type="pct"/>
            <w:hideMark/>
          </w:tcPr>
          <w:p w14:paraId="62099C65"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Total MMBTU</w:t>
            </w:r>
          </w:p>
        </w:tc>
        <w:tc>
          <w:tcPr>
            <w:tcW w:w="833" w:type="pct"/>
            <w:hideMark/>
          </w:tcPr>
          <w:p w14:paraId="25C1AF0D"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Total kWh</w:t>
            </w:r>
          </w:p>
        </w:tc>
        <w:tc>
          <w:tcPr>
            <w:tcW w:w="833" w:type="pct"/>
            <w:hideMark/>
          </w:tcPr>
          <w:p w14:paraId="12654FD4"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Total Therms</w:t>
            </w:r>
          </w:p>
        </w:tc>
      </w:tr>
      <w:tr w:rsidR="008E4C8D" w:rsidRPr="008A2A7C" w14:paraId="354BBC50"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45A707E6" w14:textId="77777777" w:rsidR="008E4C8D" w:rsidRPr="008A2A7C" w:rsidRDefault="008E4C8D">
            <w:pPr>
              <w:jc w:val="left"/>
              <w:rPr>
                <w:rFonts w:asciiTheme="minorHAnsi" w:hAnsiTheme="minorHAnsi"/>
                <w:color w:val="000000"/>
                <w:sz w:val="20"/>
              </w:rPr>
            </w:pPr>
            <w:r w:rsidRPr="008A2A7C">
              <w:rPr>
                <w:rFonts w:asciiTheme="minorHAnsi" w:hAnsiTheme="minorHAnsi"/>
                <w:color w:val="000000" w:themeColor="text1"/>
                <w:sz w:val="20"/>
              </w:rPr>
              <w:t>Certainty</w:t>
            </w:r>
          </w:p>
        </w:tc>
        <w:tc>
          <w:tcPr>
            <w:tcW w:w="946" w:type="pct"/>
          </w:tcPr>
          <w:p w14:paraId="33E6CED5" w14:textId="77777777" w:rsidR="008E4C8D" w:rsidRPr="008A2A7C" w:rsidRDefault="008E4C8D">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8A2A7C">
              <w:rPr>
                <w:rFonts w:asciiTheme="minorHAnsi" w:hAnsiTheme="minorHAnsi"/>
                <w:color w:val="000000" w:themeColor="text1"/>
                <w:sz w:val="20"/>
              </w:rPr>
              <w:t>&gt;7,000</w:t>
            </w:r>
          </w:p>
        </w:tc>
        <w:tc>
          <w:tcPr>
            <w:tcW w:w="721" w:type="pct"/>
            <w:noWrap/>
          </w:tcPr>
          <w:p w14:paraId="389997C6"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themeColor="text1"/>
                <w:sz w:val="20"/>
              </w:rPr>
              <w:t>2</w:t>
            </w:r>
          </w:p>
        </w:tc>
        <w:tc>
          <w:tcPr>
            <w:tcW w:w="833" w:type="pct"/>
            <w:noWrap/>
          </w:tcPr>
          <w:p w14:paraId="77604AF6"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themeColor="text1"/>
                <w:sz w:val="20"/>
              </w:rPr>
              <w:t>20,221</w:t>
            </w:r>
          </w:p>
        </w:tc>
        <w:tc>
          <w:tcPr>
            <w:tcW w:w="833" w:type="pct"/>
            <w:noWrap/>
            <w:hideMark/>
          </w:tcPr>
          <w:p w14:paraId="4428BCDF"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1,940,676</w:t>
            </w:r>
          </w:p>
        </w:tc>
        <w:tc>
          <w:tcPr>
            <w:tcW w:w="833" w:type="pct"/>
            <w:noWrap/>
            <w:hideMark/>
          </w:tcPr>
          <w:p w14:paraId="69E29A70"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sz w:val="20"/>
              </w:rPr>
              <w:t>135,991</w:t>
            </w:r>
          </w:p>
        </w:tc>
      </w:tr>
      <w:tr w:rsidR="008E4C8D" w:rsidRPr="008A2A7C" w14:paraId="236F2BF2"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35842C0B" w14:textId="77777777" w:rsidR="008E4C8D" w:rsidRPr="008A2A7C" w:rsidRDefault="008E4C8D">
            <w:pPr>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Large</w:t>
            </w:r>
          </w:p>
        </w:tc>
        <w:tc>
          <w:tcPr>
            <w:tcW w:w="946" w:type="pct"/>
          </w:tcPr>
          <w:p w14:paraId="2A9A79D0" w14:textId="77777777" w:rsidR="008E4C8D" w:rsidRPr="008A2A7C" w:rsidRDefault="008E4C8D">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2,300 to 7,000</w:t>
            </w:r>
          </w:p>
        </w:tc>
        <w:tc>
          <w:tcPr>
            <w:tcW w:w="721" w:type="pct"/>
            <w:noWrap/>
          </w:tcPr>
          <w:p w14:paraId="033FF5E9"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4</w:t>
            </w:r>
          </w:p>
        </w:tc>
        <w:tc>
          <w:tcPr>
            <w:tcW w:w="833" w:type="pct"/>
          </w:tcPr>
          <w:p w14:paraId="47C99AD9"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16,029</w:t>
            </w:r>
          </w:p>
        </w:tc>
        <w:tc>
          <w:tcPr>
            <w:tcW w:w="833" w:type="pct"/>
            <w:hideMark/>
          </w:tcPr>
          <w:p w14:paraId="1C46614F"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2,139,424</w:t>
            </w:r>
          </w:p>
        </w:tc>
        <w:tc>
          <w:tcPr>
            <w:tcW w:w="833" w:type="pct"/>
            <w:noWrap/>
            <w:hideMark/>
          </w:tcPr>
          <w:p w14:paraId="530FE273"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themeColor="text1"/>
                <w:sz w:val="20"/>
              </w:rPr>
              <w:t>87,296</w:t>
            </w:r>
          </w:p>
        </w:tc>
      </w:tr>
      <w:tr w:rsidR="008E4C8D" w:rsidRPr="008A2A7C" w14:paraId="50C0BE22"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7AF5B867" w14:textId="77777777" w:rsidR="008E4C8D" w:rsidRPr="008A2A7C" w:rsidRDefault="008E4C8D">
            <w:pPr>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Medium</w:t>
            </w:r>
          </w:p>
        </w:tc>
        <w:tc>
          <w:tcPr>
            <w:tcW w:w="946" w:type="pct"/>
          </w:tcPr>
          <w:p w14:paraId="3FB05149" w14:textId="77777777" w:rsidR="008E4C8D" w:rsidRPr="008A2A7C" w:rsidRDefault="008E4C8D">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1,200 to 2,400</w:t>
            </w:r>
          </w:p>
        </w:tc>
        <w:tc>
          <w:tcPr>
            <w:tcW w:w="721" w:type="pct"/>
            <w:noWrap/>
          </w:tcPr>
          <w:p w14:paraId="6A2B3FC0"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9</w:t>
            </w:r>
          </w:p>
        </w:tc>
        <w:tc>
          <w:tcPr>
            <w:tcW w:w="833" w:type="pct"/>
          </w:tcPr>
          <w:p w14:paraId="1839879D"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17,436</w:t>
            </w:r>
          </w:p>
        </w:tc>
        <w:tc>
          <w:tcPr>
            <w:tcW w:w="833" w:type="pct"/>
          </w:tcPr>
          <w:p w14:paraId="721443DC"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1,644,236</w:t>
            </w:r>
          </w:p>
        </w:tc>
        <w:tc>
          <w:tcPr>
            <w:tcW w:w="833" w:type="pct"/>
            <w:noWrap/>
          </w:tcPr>
          <w:p w14:paraId="0E7C471C"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r w:rsidRPr="008A2A7C">
              <w:rPr>
                <w:rFonts w:asciiTheme="minorHAnsi" w:hAnsiTheme="minorHAnsi" w:cstheme="minorBidi"/>
                <w:color w:val="000000" w:themeColor="text1"/>
                <w:sz w:val="20"/>
              </w:rPr>
              <w:t>118,255</w:t>
            </w:r>
          </w:p>
        </w:tc>
      </w:tr>
      <w:tr w:rsidR="008E4C8D" w:rsidRPr="008A2A7C" w14:paraId="20477B2F"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0D4B0AB4" w14:textId="77777777" w:rsidR="008E4C8D" w:rsidRPr="008A2A7C" w:rsidRDefault="008E4C8D">
            <w:pPr>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Small</w:t>
            </w:r>
          </w:p>
        </w:tc>
        <w:tc>
          <w:tcPr>
            <w:tcW w:w="946" w:type="pct"/>
          </w:tcPr>
          <w:p w14:paraId="12E64188" w14:textId="77777777" w:rsidR="008E4C8D" w:rsidRPr="008A2A7C" w:rsidRDefault="008E4C8D">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&lt;1,200</w:t>
            </w:r>
          </w:p>
        </w:tc>
        <w:tc>
          <w:tcPr>
            <w:tcW w:w="721" w:type="pct"/>
            <w:noWrap/>
          </w:tcPr>
          <w:p w14:paraId="266CC358"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32</w:t>
            </w:r>
          </w:p>
        </w:tc>
        <w:tc>
          <w:tcPr>
            <w:tcW w:w="833" w:type="pct"/>
          </w:tcPr>
          <w:p w14:paraId="358EBEA4"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16,759</w:t>
            </w:r>
          </w:p>
        </w:tc>
        <w:tc>
          <w:tcPr>
            <w:tcW w:w="833" w:type="pct"/>
          </w:tcPr>
          <w:p w14:paraId="403471D8"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2,658,850</w:t>
            </w:r>
          </w:p>
        </w:tc>
        <w:tc>
          <w:tcPr>
            <w:tcW w:w="833" w:type="pct"/>
            <w:noWrap/>
          </w:tcPr>
          <w:p w14:paraId="37004442"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r w:rsidRPr="008A2A7C">
              <w:rPr>
                <w:rFonts w:asciiTheme="minorHAnsi" w:hAnsiTheme="minorHAnsi" w:cstheme="minorBidi"/>
                <w:color w:val="000000" w:themeColor="text1"/>
                <w:sz w:val="20"/>
              </w:rPr>
              <w:t>76,872</w:t>
            </w:r>
          </w:p>
        </w:tc>
      </w:tr>
      <w:tr w:rsidR="008E4C8D" w:rsidRPr="008A2A7C" w14:paraId="236778DB"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hideMark/>
          </w:tcPr>
          <w:p w14:paraId="714D806E" w14:textId="77777777" w:rsidR="008E4C8D" w:rsidRPr="008A2A7C" w:rsidRDefault="008E4C8D">
            <w:pPr>
              <w:jc w:val="left"/>
              <w:rPr>
                <w:rFonts w:asciiTheme="minorHAnsi" w:eastAsiaTheme="minorEastAsia" w:hAnsiTheme="minorHAnsi" w:cs="Calibri"/>
                <w:b/>
                <w:color w:val="000000"/>
                <w:sz w:val="20"/>
              </w:rPr>
            </w:pPr>
            <w:r w:rsidRPr="008A2A7C">
              <w:rPr>
                <w:rFonts w:asciiTheme="minorHAnsi" w:eastAsiaTheme="minorEastAsia" w:hAnsiTheme="minorHAnsi" w:cs="Calibri"/>
                <w:b/>
                <w:color w:val="000000"/>
                <w:sz w:val="20"/>
              </w:rPr>
              <w:t>Total</w:t>
            </w:r>
          </w:p>
        </w:tc>
        <w:tc>
          <w:tcPr>
            <w:tcW w:w="946" w:type="pct"/>
          </w:tcPr>
          <w:p w14:paraId="4544EB4E" w14:textId="77777777" w:rsidR="008E4C8D" w:rsidRPr="008A2A7C" w:rsidRDefault="008E4C8D">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themeColor="text1"/>
                <w:sz w:val="20"/>
              </w:rPr>
            </w:pPr>
          </w:p>
        </w:tc>
        <w:tc>
          <w:tcPr>
            <w:tcW w:w="721" w:type="pct"/>
            <w:noWrap/>
          </w:tcPr>
          <w:p w14:paraId="0003E62F" w14:textId="25F31192"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47</w:t>
            </w:r>
            <w:r w:rsidR="000C29E0" w:rsidRPr="008A2A7C">
              <w:rPr>
                <w:rFonts w:asciiTheme="minorHAnsi" w:hAnsiTheme="minorHAnsi" w:cstheme="minorHAnsi"/>
                <w:b/>
                <w:bCs/>
                <w:color w:val="000000"/>
                <w:sz w:val="20"/>
              </w:rPr>
              <w:t>*</w:t>
            </w:r>
          </w:p>
        </w:tc>
        <w:tc>
          <w:tcPr>
            <w:tcW w:w="833" w:type="pct"/>
          </w:tcPr>
          <w:p w14:paraId="30A23A32"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70,445</w:t>
            </w:r>
          </w:p>
        </w:tc>
        <w:tc>
          <w:tcPr>
            <w:tcW w:w="833" w:type="pct"/>
            <w:hideMark/>
          </w:tcPr>
          <w:p w14:paraId="5A9F4E94"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8,383,186</w:t>
            </w:r>
          </w:p>
        </w:tc>
        <w:tc>
          <w:tcPr>
            <w:tcW w:w="833" w:type="pct"/>
            <w:noWrap/>
            <w:hideMark/>
          </w:tcPr>
          <w:p w14:paraId="2C967732"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418,414</w:t>
            </w:r>
          </w:p>
        </w:tc>
      </w:tr>
    </w:tbl>
    <w:p w14:paraId="0B3DE664" w14:textId="22BE5041" w:rsidR="005F4BD9" w:rsidRPr="003620A5" w:rsidRDefault="000C29E0" w:rsidP="003620A5">
      <w:pPr>
        <w:pStyle w:val="TableFigureSource"/>
        <w:spacing w:after="240"/>
      </w:pPr>
      <w:r w:rsidRPr="003620A5">
        <w:t>*</w:t>
      </w:r>
      <w:r w:rsidR="00131233" w:rsidRPr="003620A5">
        <w:t>A total of 47 projects were completed in 2025 for the</w:t>
      </w:r>
      <w:r w:rsidR="00F3560C" w:rsidRPr="003620A5">
        <w:t xml:space="preserve"> </w:t>
      </w:r>
      <w:r w:rsidR="00131233" w:rsidRPr="003620A5">
        <w:t xml:space="preserve">BNC </w:t>
      </w:r>
      <w:r w:rsidR="002937A7" w:rsidRPr="003620A5">
        <w:t>program</w:t>
      </w:r>
      <w:r w:rsidR="00F3560C" w:rsidRPr="003620A5">
        <w:t xml:space="preserve"> across all utilities</w:t>
      </w:r>
      <w:r w:rsidR="002937A7" w:rsidRPr="003620A5">
        <w:t xml:space="preserve">. Three additional projects </w:t>
      </w:r>
      <w:r w:rsidR="006A7142" w:rsidRPr="003620A5">
        <w:t xml:space="preserve">were completed in 2024 and had electric savings claimed in 2024. However, the gas savings were deferred </w:t>
      </w:r>
      <w:r w:rsidR="005F4BD9" w:rsidRPr="003620A5">
        <w:t>until 2025. These projects were added to the population based on the gas savings, resulting in a total population of 50 projects (38 with gas savings</w:t>
      </w:r>
      <w:r w:rsidR="00F87F42" w:rsidRPr="003620A5">
        <w:t xml:space="preserve"> claimed in 2025</w:t>
      </w:r>
      <w:r w:rsidR="008A2A7C">
        <w:t xml:space="preserve"> as shown in Table 1</w:t>
      </w:r>
      <w:r w:rsidR="005F4BD9" w:rsidRPr="003620A5">
        <w:t xml:space="preserve">). </w:t>
      </w:r>
    </w:p>
    <w:p w14:paraId="53942C2B" w14:textId="71DF2CC0" w:rsidR="008E4C8D" w:rsidRPr="00E26BEA" w:rsidRDefault="008E4C8D" w:rsidP="008E4C8D">
      <w:pPr>
        <w:pStyle w:val="TableFigureSource"/>
        <w:rPr>
          <w:rFonts w:asciiTheme="minorHAnsi" w:hAnsiTheme="minorHAnsi"/>
        </w:rPr>
      </w:pPr>
    </w:p>
    <w:p w14:paraId="766F59D1" w14:textId="0EE2829E" w:rsidR="008E4C8D" w:rsidRDefault="008E4C8D" w:rsidP="00A754D8">
      <w:pPr>
        <w:pStyle w:val="Caption"/>
      </w:pPr>
      <w:bookmarkStart w:id="38" w:name="_Ref224771264"/>
      <w:bookmarkStart w:id="39" w:name="_Toc224840464"/>
      <w:r w:rsidRPr="007950D5">
        <w:lastRenderedPageBreak/>
        <w:t xml:space="preserve">Table </w:t>
      </w:r>
      <w:r w:rsidRPr="007950D5">
        <w:fldChar w:fldCharType="begin"/>
      </w:r>
      <w:r w:rsidRPr="007950D5">
        <w:instrText>SEQ Table \* ARABIC</w:instrText>
      </w:r>
      <w:r w:rsidRPr="007950D5">
        <w:fldChar w:fldCharType="separate"/>
      </w:r>
      <w:r>
        <w:rPr>
          <w:noProof/>
        </w:rPr>
        <w:t>5</w:t>
      </w:r>
      <w:r w:rsidRPr="007950D5">
        <w:rPr>
          <w:lang w:val="en-IN"/>
        </w:rPr>
        <w:fldChar w:fldCharType="end"/>
      </w:r>
      <w:bookmarkEnd w:id="38"/>
      <w:r w:rsidRPr="007950D5">
        <w:t xml:space="preserve">. CY2025 </w:t>
      </w:r>
      <w:r w:rsidR="00CC30ED">
        <w:t>BNC</w:t>
      </w:r>
      <w:r w:rsidRPr="007950D5">
        <w:t xml:space="preserve"> Total Sample</w:t>
      </w:r>
      <w:bookmarkEnd w:id="39"/>
      <w:r w:rsidRPr="007950D5">
        <w:t xml:space="preserve"> </w:t>
      </w:r>
    </w:p>
    <w:tbl>
      <w:tblPr>
        <w:tblStyle w:val="EnergyTable11"/>
        <w:tblW w:w="5000" w:type="pct"/>
        <w:tblLook w:val="04A0" w:firstRow="1" w:lastRow="0" w:firstColumn="1" w:lastColumn="0" w:noHBand="0" w:noVBand="1"/>
      </w:tblPr>
      <w:tblGrid>
        <w:gridCol w:w="1560"/>
        <w:gridCol w:w="1772"/>
        <w:gridCol w:w="1351"/>
        <w:gridCol w:w="1559"/>
        <w:gridCol w:w="1559"/>
        <w:gridCol w:w="1559"/>
      </w:tblGrid>
      <w:tr w:rsidR="008E4C8D" w:rsidRPr="008A2A7C" w14:paraId="27853527" w14:textId="77777777" w:rsidTr="00437D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33" w:type="pct"/>
            <w:hideMark/>
          </w:tcPr>
          <w:p w14:paraId="28D58BDB" w14:textId="77777777" w:rsidR="008E4C8D" w:rsidRPr="008A2A7C" w:rsidRDefault="008E4C8D">
            <w:pPr>
              <w:jc w:val="left"/>
              <w:rPr>
                <w:rFonts w:asciiTheme="minorHAnsi" w:hAnsiTheme="minorHAnsi"/>
                <w:color w:val="FFFFFF" w:themeColor="background1"/>
                <w:sz w:val="20"/>
              </w:rPr>
            </w:pPr>
            <w:r w:rsidRPr="008A2A7C">
              <w:rPr>
                <w:rFonts w:asciiTheme="minorHAnsi" w:hAnsiTheme="minorHAnsi"/>
                <w:color w:val="FFFFFF" w:themeColor="background1"/>
                <w:sz w:val="20"/>
              </w:rPr>
              <w:t>Strata</w:t>
            </w:r>
          </w:p>
        </w:tc>
        <w:tc>
          <w:tcPr>
            <w:tcW w:w="946" w:type="pct"/>
          </w:tcPr>
          <w:p w14:paraId="23631DD0" w14:textId="77777777" w:rsidR="008E4C8D" w:rsidRPr="008A2A7C" w:rsidRDefault="008E4C8D">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MMBTU Range</w:t>
            </w:r>
          </w:p>
        </w:tc>
        <w:tc>
          <w:tcPr>
            <w:tcW w:w="721" w:type="pct"/>
            <w:hideMark/>
          </w:tcPr>
          <w:p w14:paraId="2C7B7274"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Count</w:t>
            </w:r>
          </w:p>
        </w:tc>
        <w:tc>
          <w:tcPr>
            <w:tcW w:w="833" w:type="pct"/>
            <w:hideMark/>
          </w:tcPr>
          <w:p w14:paraId="16E2A755"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Total MMBTU</w:t>
            </w:r>
          </w:p>
        </w:tc>
        <w:tc>
          <w:tcPr>
            <w:tcW w:w="833" w:type="pct"/>
            <w:hideMark/>
          </w:tcPr>
          <w:p w14:paraId="103A1D88"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Total kWh</w:t>
            </w:r>
          </w:p>
        </w:tc>
        <w:tc>
          <w:tcPr>
            <w:tcW w:w="833" w:type="pct"/>
            <w:hideMark/>
          </w:tcPr>
          <w:p w14:paraId="208B9FFB" w14:textId="77777777" w:rsidR="008E4C8D" w:rsidRPr="008A2A7C" w:rsidRDefault="008E4C8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Total Therms</w:t>
            </w:r>
          </w:p>
        </w:tc>
      </w:tr>
      <w:tr w:rsidR="008E4C8D" w:rsidRPr="008A2A7C" w14:paraId="7B57B5AD"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3C54F242" w14:textId="77777777" w:rsidR="008E4C8D" w:rsidRPr="008A2A7C" w:rsidRDefault="008E4C8D" w:rsidP="009962A4">
            <w:pPr>
              <w:keepNext/>
              <w:jc w:val="left"/>
              <w:rPr>
                <w:rFonts w:asciiTheme="minorHAnsi" w:hAnsiTheme="minorHAnsi"/>
                <w:color w:val="000000"/>
                <w:sz w:val="20"/>
              </w:rPr>
            </w:pPr>
            <w:r w:rsidRPr="008A2A7C">
              <w:rPr>
                <w:rFonts w:asciiTheme="minorHAnsi" w:hAnsiTheme="minorHAnsi"/>
                <w:color w:val="000000" w:themeColor="text1"/>
                <w:sz w:val="20"/>
              </w:rPr>
              <w:t>Certainty</w:t>
            </w:r>
          </w:p>
        </w:tc>
        <w:tc>
          <w:tcPr>
            <w:tcW w:w="946" w:type="pct"/>
          </w:tcPr>
          <w:p w14:paraId="21DEA6B2" w14:textId="77777777" w:rsidR="008E4C8D" w:rsidRPr="008A2A7C" w:rsidRDefault="008E4C8D" w:rsidP="009962A4">
            <w:pPr>
              <w:keepNext/>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8A2A7C">
              <w:rPr>
                <w:rFonts w:asciiTheme="minorHAnsi" w:hAnsiTheme="minorHAnsi"/>
                <w:color w:val="000000" w:themeColor="text1"/>
                <w:sz w:val="20"/>
              </w:rPr>
              <w:t>&gt;7,000</w:t>
            </w:r>
          </w:p>
        </w:tc>
        <w:tc>
          <w:tcPr>
            <w:tcW w:w="721" w:type="pct"/>
            <w:noWrap/>
          </w:tcPr>
          <w:p w14:paraId="75ADB089"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themeColor="text1"/>
                <w:sz w:val="20"/>
              </w:rPr>
              <w:t>2</w:t>
            </w:r>
          </w:p>
        </w:tc>
        <w:tc>
          <w:tcPr>
            <w:tcW w:w="833" w:type="pct"/>
            <w:noWrap/>
            <w:vAlign w:val="top"/>
          </w:tcPr>
          <w:p w14:paraId="235A689D"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8A2A7C">
              <w:rPr>
                <w:rFonts w:asciiTheme="minorHAnsi" w:hAnsiTheme="minorHAnsi"/>
                <w:sz w:val="20"/>
              </w:rPr>
              <w:t>20,221</w:t>
            </w:r>
          </w:p>
        </w:tc>
        <w:tc>
          <w:tcPr>
            <w:tcW w:w="833" w:type="pct"/>
            <w:noWrap/>
            <w:vAlign w:val="top"/>
            <w:hideMark/>
          </w:tcPr>
          <w:p w14:paraId="5E6C17CA"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1,940,676</w:t>
            </w:r>
          </w:p>
        </w:tc>
        <w:tc>
          <w:tcPr>
            <w:tcW w:w="833" w:type="pct"/>
            <w:noWrap/>
            <w:vAlign w:val="top"/>
            <w:hideMark/>
          </w:tcPr>
          <w:p w14:paraId="73D98888"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8A2A7C">
              <w:rPr>
                <w:rFonts w:asciiTheme="minorHAnsi" w:hAnsiTheme="minorHAnsi"/>
                <w:sz w:val="20"/>
              </w:rPr>
              <w:t>135,991</w:t>
            </w:r>
          </w:p>
        </w:tc>
      </w:tr>
      <w:tr w:rsidR="008E4C8D" w:rsidRPr="008A2A7C" w14:paraId="252D0817"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6EE199D1" w14:textId="77777777" w:rsidR="008E4C8D" w:rsidRPr="008A2A7C" w:rsidRDefault="008E4C8D" w:rsidP="009962A4">
            <w:pPr>
              <w:keepNext/>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Large</w:t>
            </w:r>
          </w:p>
        </w:tc>
        <w:tc>
          <w:tcPr>
            <w:tcW w:w="946" w:type="pct"/>
          </w:tcPr>
          <w:p w14:paraId="5FD6DD63" w14:textId="77777777" w:rsidR="008E4C8D" w:rsidRPr="008A2A7C" w:rsidRDefault="008E4C8D" w:rsidP="009962A4">
            <w:pPr>
              <w:keepNext/>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2,300 to 7,000</w:t>
            </w:r>
          </w:p>
        </w:tc>
        <w:tc>
          <w:tcPr>
            <w:tcW w:w="721" w:type="pct"/>
            <w:noWrap/>
          </w:tcPr>
          <w:p w14:paraId="50F7FF8C"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4</w:t>
            </w:r>
          </w:p>
        </w:tc>
        <w:tc>
          <w:tcPr>
            <w:tcW w:w="833" w:type="pct"/>
            <w:vAlign w:val="top"/>
          </w:tcPr>
          <w:p w14:paraId="55137CDE"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16,029</w:t>
            </w:r>
          </w:p>
        </w:tc>
        <w:tc>
          <w:tcPr>
            <w:tcW w:w="833" w:type="pct"/>
            <w:vAlign w:val="top"/>
            <w:hideMark/>
          </w:tcPr>
          <w:p w14:paraId="67AA36C6"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1,908,210</w:t>
            </w:r>
          </w:p>
        </w:tc>
        <w:tc>
          <w:tcPr>
            <w:tcW w:w="833" w:type="pct"/>
            <w:noWrap/>
            <w:vAlign w:val="top"/>
            <w:hideMark/>
          </w:tcPr>
          <w:p w14:paraId="080439E0"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8A2A7C">
              <w:rPr>
                <w:rFonts w:asciiTheme="minorHAnsi" w:hAnsiTheme="minorHAnsi"/>
                <w:sz w:val="20"/>
              </w:rPr>
              <w:t>50,667</w:t>
            </w:r>
          </w:p>
        </w:tc>
      </w:tr>
      <w:tr w:rsidR="008E4C8D" w:rsidRPr="008A2A7C" w14:paraId="545D49AD"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4B9C194B" w14:textId="77777777" w:rsidR="008E4C8D" w:rsidRPr="008A2A7C" w:rsidRDefault="008E4C8D" w:rsidP="009962A4">
            <w:pPr>
              <w:keepNext/>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Medium</w:t>
            </w:r>
          </w:p>
        </w:tc>
        <w:tc>
          <w:tcPr>
            <w:tcW w:w="946" w:type="pct"/>
          </w:tcPr>
          <w:p w14:paraId="3E834244" w14:textId="77777777" w:rsidR="008E4C8D" w:rsidRPr="008A2A7C" w:rsidRDefault="008E4C8D" w:rsidP="009962A4">
            <w:pPr>
              <w:keepNext/>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1,200 to 2,400</w:t>
            </w:r>
          </w:p>
        </w:tc>
        <w:tc>
          <w:tcPr>
            <w:tcW w:w="721" w:type="pct"/>
            <w:noWrap/>
          </w:tcPr>
          <w:p w14:paraId="4C91F362"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7</w:t>
            </w:r>
          </w:p>
        </w:tc>
        <w:tc>
          <w:tcPr>
            <w:tcW w:w="833" w:type="pct"/>
            <w:vAlign w:val="top"/>
          </w:tcPr>
          <w:p w14:paraId="1632D7C9"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13,451</w:t>
            </w:r>
          </w:p>
        </w:tc>
        <w:tc>
          <w:tcPr>
            <w:tcW w:w="833" w:type="pct"/>
            <w:vAlign w:val="top"/>
          </w:tcPr>
          <w:p w14:paraId="378D040D"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1,221,779</w:t>
            </w:r>
          </w:p>
        </w:tc>
        <w:tc>
          <w:tcPr>
            <w:tcW w:w="833" w:type="pct"/>
            <w:noWrap/>
            <w:vAlign w:val="top"/>
          </w:tcPr>
          <w:p w14:paraId="37E12BE2"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r w:rsidRPr="008A2A7C">
              <w:rPr>
                <w:rFonts w:asciiTheme="minorHAnsi" w:hAnsiTheme="minorHAnsi"/>
                <w:sz w:val="20"/>
              </w:rPr>
              <w:t>92,818</w:t>
            </w:r>
          </w:p>
        </w:tc>
      </w:tr>
      <w:tr w:rsidR="008E4C8D" w:rsidRPr="008A2A7C" w14:paraId="3F161EC9"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19E0641E" w14:textId="77777777" w:rsidR="008E4C8D" w:rsidRPr="008A2A7C" w:rsidRDefault="008E4C8D" w:rsidP="009962A4">
            <w:pPr>
              <w:keepNext/>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Small</w:t>
            </w:r>
          </w:p>
        </w:tc>
        <w:tc>
          <w:tcPr>
            <w:tcW w:w="946" w:type="pct"/>
          </w:tcPr>
          <w:p w14:paraId="506D8673" w14:textId="77777777" w:rsidR="008E4C8D" w:rsidRPr="008A2A7C" w:rsidRDefault="008E4C8D" w:rsidP="009962A4">
            <w:pPr>
              <w:keepNext/>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&lt;1,200</w:t>
            </w:r>
          </w:p>
        </w:tc>
        <w:tc>
          <w:tcPr>
            <w:tcW w:w="721" w:type="pct"/>
            <w:noWrap/>
          </w:tcPr>
          <w:p w14:paraId="14CBC26C"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12</w:t>
            </w:r>
          </w:p>
        </w:tc>
        <w:tc>
          <w:tcPr>
            <w:tcW w:w="833" w:type="pct"/>
            <w:vAlign w:val="top"/>
          </w:tcPr>
          <w:p w14:paraId="67EE5823"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9,011</w:t>
            </w:r>
          </w:p>
        </w:tc>
        <w:tc>
          <w:tcPr>
            <w:tcW w:w="833" w:type="pct"/>
            <w:vAlign w:val="top"/>
          </w:tcPr>
          <w:p w14:paraId="3DB82BAE"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sz w:val="20"/>
              </w:rPr>
              <w:t>1,536,307</w:t>
            </w:r>
          </w:p>
        </w:tc>
        <w:tc>
          <w:tcPr>
            <w:tcW w:w="833" w:type="pct"/>
            <w:noWrap/>
            <w:vAlign w:val="top"/>
          </w:tcPr>
          <w:p w14:paraId="5D707A71" w14:textId="77777777" w:rsidR="008E4C8D" w:rsidRPr="008A2A7C" w:rsidRDefault="008E4C8D" w:rsidP="009962A4">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r w:rsidRPr="008A2A7C">
              <w:rPr>
                <w:rFonts w:asciiTheme="minorHAnsi" w:hAnsiTheme="minorHAnsi"/>
                <w:sz w:val="20"/>
              </w:rPr>
              <w:t>37,692</w:t>
            </w:r>
          </w:p>
        </w:tc>
      </w:tr>
      <w:tr w:rsidR="008E4C8D" w:rsidRPr="008A2A7C" w14:paraId="0E3BDE1D"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hideMark/>
          </w:tcPr>
          <w:p w14:paraId="4EA7E7C6" w14:textId="77777777" w:rsidR="008E4C8D" w:rsidRPr="008A2A7C" w:rsidRDefault="008E4C8D" w:rsidP="009962A4">
            <w:pPr>
              <w:keepNext/>
              <w:jc w:val="left"/>
              <w:rPr>
                <w:rFonts w:asciiTheme="minorHAnsi" w:eastAsiaTheme="minorEastAsia" w:hAnsiTheme="minorHAnsi" w:cs="Calibri"/>
                <w:b/>
                <w:color w:val="000000"/>
                <w:sz w:val="20"/>
              </w:rPr>
            </w:pPr>
            <w:r w:rsidRPr="008A2A7C">
              <w:rPr>
                <w:rFonts w:asciiTheme="minorHAnsi" w:eastAsiaTheme="minorEastAsia" w:hAnsiTheme="minorHAnsi" w:cs="Calibri"/>
                <w:b/>
                <w:color w:val="000000"/>
                <w:sz w:val="20"/>
              </w:rPr>
              <w:t>Total</w:t>
            </w:r>
          </w:p>
        </w:tc>
        <w:tc>
          <w:tcPr>
            <w:tcW w:w="946" w:type="pct"/>
          </w:tcPr>
          <w:p w14:paraId="1A738035" w14:textId="77777777" w:rsidR="008E4C8D" w:rsidRPr="008A2A7C" w:rsidRDefault="008E4C8D" w:rsidP="009962A4">
            <w:pPr>
              <w:keepNext/>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themeColor="text1"/>
                <w:sz w:val="20"/>
              </w:rPr>
            </w:pPr>
          </w:p>
        </w:tc>
        <w:tc>
          <w:tcPr>
            <w:tcW w:w="721" w:type="pct"/>
            <w:noWrap/>
          </w:tcPr>
          <w:p w14:paraId="5C0A2C99"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25</w:t>
            </w:r>
          </w:p>
        </w:tc>
        <w:tc>
          <w:tcPr>
            <w:tcW w:w="833" w:type="pct"/>
            <w:vAlign w:val="top"/>
          </w:tcPr>
          <w:p w14:paraId="0D5DBE08"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sz w:val="20"/>
              </w:rPr>
              <w:t>58,712</w:t>
            </w:r>
          </w:p>
        </w:tc>
        <w:tc>
          <w:tcPr>
            <w:tcW w:w="833" w:type="pct"/>
            <w:vAlign w:val="top"/>
            <w:hideMark/>
          </w:tcPr>
          <w:p w14:paraId="604FE137"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sz w:val="20"/>
              </w:rPr>
              <w:t>6,838,186</w:t>
            </w:r>
          </w:p>
        </w:tc>
        <w:tc>
          <w:tcPr>
            <w:tcW w:w="833" w:type="pct"/>
            <w:noWrap/>
            <w:vAlign w:val="top"/>
            <w:hideMark/>
          </w:tcPr>
          <w:p w14:paraId="737FF08A" w14:textId="77777777" w:rsidR="008E4C8D" w:rsidRPr="008A2A7C" w:rsidRDefault="008E4C8D" w:rsidP="009962A4">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sz w:val="20"/>
              </w:rPr>
              <w:t>353,797</w:t>
            </w:r>
          </w:p>
        </w:tc>
      </w:tr>
    </w:tbl>
    <w:p w14:paraId="29C4BB4E" w14:textId="77777777" w:rsidR="008E4C8D" w:rsidRPr="00360FE6" w:rsidRDefault="008E4C8D" w:rsidP="008E4C8D">
      <w:pPr>
        <w:pStyle w:val="TableFigureSource"/>
      </w:pPr>
      <w:r w:rsidRPr="00360FE6">
        <w:t>Source: Evaluation team analysis</w:t>
      </w:r>
    </w:p>
    <w:p w14:paraId="7D7FEDE5" w14:textId="48D224A1" w:rsidR="008E4C8D" w:rsidRDefault="00AC50C1" w:rsidP="008E4C8D">
      <w:pPr>
        <w:rPr>
          <w:iCs/>
        </w:rPr>
      </w:pPr>
      <w:r>
        <w:rPr>
          <w:iCs/>
        </w:rPr>
        <w:br/>
      </w:r>
      <w:r w:rsidR="008E4C8D">
        <w:rPr>
          <w:iCs/>
        </w:rPr>
        <w:t>After completing the desk reviews and calculating project-specific realization rates, the team developed case weights to extrapolate the results to similar projects to develop strata and program realization rates for electric and gas. The sample and population characterization, along with the</w:t>
      </w:r>
      <w:r w:rsidR="00437D81">
        <w:rPr>
          <w:iCs/>
        </w:rPr>
        <w:t xml:space="preserve"> natural gas</w:t>
      </w:r>
      <w:r w:rsidR="008E4C8D">
        <w:rPr>
          <w:iCs/>
        </w:rPr>
        <w:t xml:space="preserve"> realization rate </w:t>
      </w:r>
      <w:r w:rsidR="00437D81">
        <w:rPr>
          <w:iCs/>
        </w:rPr>
        <w:t xml:space="preserve">in </w:t>
      </w:r>
      <w:r w:rsidR="008E4C8D">
        <w:rPr>
          <w:iCs/>
        </w:rPr>
        <w:fldChar w:fldCharType="begin"/>
      </w:r>
      <w:r w:rsidR="008E4C8D">
        <w:rPr>
          <w:iCs/>
        </w:rPr>
        <w:instrText xml:space="preserve"> REF _Ref223691806 \h  \* MERGEFORMAT </w:instrText>
      </w:r>
      <w:r w:rsidR="008E4C8D">
        <w:rPr>
          <w:iCs/>
        </w:rPr>
      </w:r>
      <w:r w:rsidR="008E4C8D">
        <w:rPr>
          <w:iCs/>
        </w:rPr>
        <w:fldChar w:fldCharType="separate"/>
      </w:r>
      <w:r w:rsidR="00373D10" w:rsidRPr="00373D10">
        <w:rPr>
          <w:iCs/>
        </w:rPr>
        <w:t>Table 6</w:t>
      </w:r>
      <w:r w:rsidR="008E4C8D">
        <w:rPr>
          <w:iCs/>
        </w:rPr>
        <w:fldChar w:fldCharType="end"/>
      </w:r>
      <w:r w:rsidR="00437D81">
        <w:rPr>
          <w:iCs/>
        </w:rPr>
        <w:t xml:space="preserve">. </w:t>
      </w:r>
    </w:p>
    <w:p w14:paraId="23C0D9C4" w14:textId="4A049FF2" w:rsidR="008E4C8D" w:rsidRDefault="008E4C8D" w:rsidP="00A754D8">
      <w:pPr>
        <w:pStyle w:val="Caption"/>
      </w:pPr>
      <w:bookmarkStart w:id="40" w:name="_Ref223691806"/>
      <w:bookmarkStart w:id="41" w:name="_Toc224840465"/>
      <w:r w:rsidRPr="007950D5">
        <w:t xml:space="preserve">Table </w:t>
      </w:r>
      <w:r w:rsidRPr="007950D5">
        <w:fldChar w:fldCharType="begin"/>
      </w:r>
      <w:r w:rsidRPr="007950D5">
        <w:instrText>SEQ Table \* ARABIC</w:instrText>
      </w:r>
      <w:r w:rsidRPr="007950D5">
        <w:fldChar w:fldCharType="separate"/>
      </w:r>
      <w:r w:rsidR="00373D10">
        <w:rPr>
          <w:noProof/>
        </w:rPr>
        <w:t>6</w:t>
      </w:r>
      <w:r w:rsidRPr="007950D5">
        <w:rPr>
          <w:lang w:val="en-IN"/>
        </w:rPr>
        <w:fldChar w:fldCharType="end"/>
      </w:r>
      <w:bookmarkEnd w:id="40"/>
      <w:r w:rsidRPr="007950D5">
        <w:t xml:space="preserve">. CY2025 </w:t>
      </w:r>
      <w:r>
        <w:t>Sample Characterization – Natural Gas Projects</w:t>
      </w:r>
      <w:bookmarkEnd w:id="41"/>
    </w:p>
    <w:tbl>
      <w:tblPr>
        <w:tblStyle w:val="EnergyTable11"/>
        <w:tblW w:w="5002" w:type="pct"/>
        <w:tblLook w:val="04A0" w:firstRow="1" w:lastRow="0" w:firstColumn="1" w:lastColumn="0" w:noHBand="0" w:noVBand="1"/>
      </w:tblPr>
      <w:tblGrid>
        <w:gridCol w:w="1151"/>
        <w:gridCol w:w="1151"/>
        <w:gridCol w:w="1156"/>
        <w:gridCol w:w="1152"/>
        <w:gridCol w:w="1152"/>
        <w:gridCol w:w="1154"/>
        <w:gridCol w:w="1294"/>
        <w:gridCol w:w="1154"/>
      </w:tblGrid>
      <w:tr w:rsidR="008E4C8D" w:rsidRPr="008A2A7C" w14:paraId="4E79DA9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pct"/>
            <w:gridSpan w:val="3"/>
            <w:tcBorders>
              <w:bottom w:val="nil"/>
            </w:tcBorders>
            <w:hideMark/>
          </w:tcPr>
          <w:p w14:paraId="386F0281" w14:textId="77777777" w:rsidR="008E4C8D" w:rsidRPr="008A2A7C" w:rsidRDefault="008E4C8D">
            <w:pPr>
              <w:rPr>
                <w:rFonts w:asciiTheme="minorHAnsi" w:hAnsiTheme="minorHAnsi"/>
                <w:color w:val="FFFFFF" w:themeColor="background1"/>
                <w:sz w:val="20"/>
              </w:rPr>
            </w:pPr>
            <w:r w:rsidRPr="008A2A7C">
              <w:rPr>
                <w:rFonts w:asciiTheme="minorHAnsi" w:hAnsiTheme="minorHAnsi"/>
                <w:color w:val="FFFFFF" w:themeColor="background1"/>
                <w:sz w:val="20"/>
              </w:rPr>
              <w:t>Population Summary*</w:t>
            </w:r>
          </w:p>
        </w:tc>
        <w:tc>
          <w:tcPr>
            <w:tcW w:w="1846" w:type="pct"/>
            <w:gridSpan w:val="3"/>
            <w:tcBorders>
              <w:bottom w:val="nil"/>
            </w:tcBorders>
            <w:hideMark/>
          </w:tcPr>
          <w:p w14:paraId="15BFE196" w14:textId="77777777" w:rsidR="008E4C8D" w:rsidRPr="008A2A7C" w:rsidRDefault="008E4C8D">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Sample Summary*</w:t>
            </w:r>
          </w:p>
        </w:tc>
        <w:tc>
          <w:tcPr>
            <w:tcW w:w="1307" w:type="pct"/>
            <w:gridSpan w:val="2"/>
            <w:tcBorders>
              <w:bottom w:val="nil"/>
            </w:tcBorders>
            <w:hideMark/>
          </w:tcPr>
          <w:p w14:paraId="7D3DFF58" w14:textId="77777777" w:rsidR="008E4C8D" w:rsidRPr="008A2A7C" w:rsidRDefault="008E4C8D">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8A2A7C">
              <w:rPr>
                <w:rFonts w:asciiTheme="minorHAnsi" w:hAnsiTheme="minorHAnsi"/>
                <w:color w:val="FFFFFF" w:themeColor="background1"/>
                <w:sz w:val="20"/>
              </w:rPr>
              <w:t>Statistical Verification Results</w:t>
            </w:r>
          </w:p>
        </w:tc>
      </w:tr>
      <w:tr w:rsidR="008E4C8D" w:rsidRPr="008A2A7C" w14:paraId="6C00B2B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tcBorders>
              <w:top w:val="nil"/>
              <w:bottom w:val="single" w:sz="12" w:space="0" w:color="93D500"/>
            </w:tcBorders>
            <w:shd w:val="clear" w:color="auto" w:fill="036479"/>
            <w:hideMark/>
          </w:tcPr>
          <w:p w14:paraId="33C3A401" w14:textId="77777777" w:rsidR="008E4C8D" w:rsidRPr="008A2A7C" w:rsidRDefault="008E4C8D">
            <w:pPr>
              <w:jc w:val="left"/>
              <w:rPr>
                <w:rFonts w:asciiTheme="minorHAnsi" w:hAnsiTheme="minorHAnsi"/>
                <w:b/>
                <w:color w:val="FFFFFF" w:themeColor="background1"/>
                <w:sz w:val="20"/>
              </w:rPr>
            </w:pPr>
            <w:r w:rsidRPr="008A2A7C">
              <w:rPr>
                <w:rFonts w:asciiTheme="minorHAnsi" w:hAnsiTheme="minorHAnsi"/>
                <w:b/>
                <w:color w:val="FFFFFF" w:themeColor="background1"/>
                <w:sz w:val="20"/>
              </w:rPr>
              <w:t>Strata</w:t>
            </w:r>
          </w:p>
        </w:tc>
        <w:tc>
          <w:tcPr>
            <w:tcW w:w="615" w:type="pct"/>
            <w:tcBorders>
              <w:top w:val="nil"/>
              <w:bottom w:val="single" w:sz="12" w:space="0" w:color="93D500"/>
            </w:tcBorders>
            <w:shd w:val="clear" w:color="auto" w:fill="036479"/>
          </w:tcPr>
          <w:p w14:paraId="73778956"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8A2A7C">
              <w:rPr>
                <w:rFonts w:asciiTheme="minorHAnsi" w:hAnsiTheme="minorHAnsi"/>
                <w:b/>
                <w:color w:val="FFFFFF" w:themeColor="background1"/>
                <w:sz w:val="20"/>
              </w:rPr>
              <w:t>Number of Projects (N)</w:t>
            </w:r>
          </w:p>
        </w:tc>
        <w:tc>
          <w:tcPr>
            <w:tcW w:w="617" w:type="pct"/>
            <w:tcBorders>
              <w:top w:val="nil"/>
              <w:bottom w:val="single" w:sz="12" w:space="0" w:color="93D500"/>
            </w:tcBorders>
            <w:shd w:val="clear" w:color="auto" w:fill="036479"/>
            <w:hideMark/>
          </w:tcPr>
          <w:p w14:paraId="4BDC9350"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8A2A7C">
              <w:rPr>
                <w:rFonts w:asciiTheme="minorHAnsi" w:hAnsiTheme="minorHAnsi"/>
                <w:b/>
                <w:color w:val="FFFFFF" w:themeColor="background1"/>
                <w:sz w:val="20"/>
              </w:rPr>
              <w:t>Ex Ante Gross Savings* (therms)</w:t>
            </w:r>
          </w:p>
        </w:tc>
        <w:tc>
          <w:tcPr>
            <w:tcW w:w="615" w:type="pct"/>
            <w:tcBorders>
              <w:top w:val="nil"/>
              <w:bottom w:val="single" w:sz="12" w:space="0" w:color="93D500"/>
            </w:tcBorders>
            <w:shd w:val="clear" w:color="auto" w:fill="036479"/>
            <w:hideMark/>
          </w:tcPr>
          <w:p w14:paraId="680C53A1"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8A2A7C">
              <w:rPr>
                <w:rFonts w:asciiTheme="minorHAnsi" w:hAnsiTheme="minorHAnsi"/>
                <w:b/>
                <w:color w:val="FFFFFF" w:themeColor="background1"/>
                <w:sz w:val="20"/>
              </w:rPr>
              <w:t>Sampled Projects (n)</w:t>
            </w:r>
          </w:p>
        </w:tc>
        <w:tc>
          <w:tcPr>
            <w:tcW w:w="615" w:type="pct"/>
            <w:tcBorders>
              <w:top w:val="nil"/>
              <w:bottom w:val="single" w:sz="12" w:space="0" w:color="93D500"/>
            </w:tcBorders>
            <w:shd w:val="clear" w:color="auto" w:fill="036479"/>
          </w:tcPr>
          <w:p w14:paraId="3BF13316"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8A2A7C">
              <w:rPr>
                <w:rFonts w:asciiTheme="minorHAnsi" w:hAnsiTheme="minorHAnsi"/>
                <w:b/>
                <w:color w:val="FFFFFF" w:themeColor="background1"/>
                <w:sz w:val="20"/>
              </w:rPr>
              <w:t>Ex ante Gross Savings (therms)</w:t>
            </w:r>
          </w:p>
        </w:tc>
        <w:tc>
          <w:tcPr>
            <w:tcW w:w="616" w:type="pct"/>
            <w:tcBorders>
              <w:top w:val="nil"/>
              <w:bottom w:val="single" w:sz="12" w:space="0" w:color="93D500"/>
            </w:tcBorders>
            <w:shd w:val="clear" w:color="auto" w:fill="036479"/>
          </w:tcPr>
          <w:p w14:paraId="2F41A68A"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lang w:val="pt-BR"/>
              </w:rPr>
            </w:pPr>
            <w:r w:rsidRPr="008A2A7C">
              <w:rPr>
                <w:rFonts w:asciiTheme="minorHAnsi" w:hAnsiTheme="minorHAnsi"/>
                <w:b/>
                <w:color w:val="FFFFFF" w:themeColor="background1"/>
                <w:sz w:val="20"/>
                <w:lang w:val="pt-BR"/>
              </w:rPr>
              <w:t>Percent Savings Sampled (%)</w:t>
            </w:r>
          </w:p>
        </w:tc>
        <w:tc>
          <w:tcPr>
            <w:tcW w:w="691" w:type="pct"/>
            <w:tcBorders>
              <w:top w:val="nil"/>
              <w:bottom w:val="single" w:sz="12" w:space="0" w:color="93D500"/>
            </w:tcBorders>
            <w:shd w:val="clear" w:color="auto" w:fill="036479"/>
            <w:hideMark/>
          </w:tcPr>
          <w:p w14:paraId="049EC3EB"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8A2A7C">
              <w:rPr>
                <w:rFonts w:asciiTheme="minorHAnsi" w:hAnsiTheme="minorHAnsi"/>
                <w:b/>
                <w:color w:val="FFFFFF" w:themeColor="background1"/>
                <w:sz w:val="20"/>
              </w:rPr>
              <w:t>Realization Rate</w:t>
            </w:r>
          </w:p>
        </w:tc>
        <w:tc>
          <w:tcPr>
            <w:tcW w:w="616" w:type="pct"/>
            <w:tcBorders>
              <w:top w:val="nil"/>
              <w:bottom w:val="single" w:sz="12" w:space="0" w:color="93D500"/>
            </w:tcBorders>
            <w:shd w:val="clear" w:color="auto" w:fill="036479"/>
            <w:hideMark/>
          </w:tcPr>
          <w:p w14:paraId="59CEC24C"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8A2A7C">
              <w:rPr>
                <w:rFonts w:asciiTheme="minorHAnsi" w:hAnsiTheme="minorHAnsi"/>
                <w:b/>
                <w:color w:val="FFFFFF" w:themeColor="background1"/>
                <w:sz w:val="20"/>
              </w:rPr>
              <w:t>Precision (%)</w:t>
            </w:r>
          </w:p>
        </w:tc>
      </w:tr>
      <w:tr w:rsidR="008E4C8D" w:rsidRPr="008A2A7C" w14:paraId="5DA52AD3"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71D57098" w14:textId="77777777" w:rsidR="008E4C8D" w:rsidRPr="008A2A7C" w:rsidRDefault="008E4C8D">
            <w:pPr>
              <w:jc w:val="left"/>
              <w:rPr>
                <w:rFonts w:asciiTheme="minorHAnsi" w:hAnsiTheme="minorHAnsi"/>
                <w:color w:val="000000"/>
                <w:sz w:val="20"/>
              </w:rPr>
            </w:pPr>
            <w:r w:rsidRPr="008A2A7C">
              <w:rPr>
                <w:rFonts w:asciiTheme="minorHAnsi" w:hAnsiTheme="minorHAnsi"/>
                <w:color w:val="000000" w:themeColor="text1"/>
                <w:sz w:val="20"/>
              </w:rPr>
              <w:t>Certainty</w:t>
            </w:r>
          </w:p>
        </w:tc>
        <w:tc>
          <w:tcPr>
            <w:tcW w:w="615" w:type="pct"/>
          </w:tcPr>
          <w:p w14:paraId="244D6E22"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rPr>
            </w:pPr>
            <w:r w:rsidRPr="008A2A7C">
              <w:rPr>
                <w:rFonts w:asciiTheme="minorHAnsi" w:hAnsiTheme="minorHAnsi"/>
                <w:color w:val="000000" w:themeColor="text1"/>
                <w:sz w:val="20"/>
              </w:rPr>
              <w:t>2</w:t>
            </w:r>
          </w:p>
        </w:tc>
        <w:tc>
          <w:tcPr>
            <w:tcW w:w="617" w:type="pct"/>
            <w:noWrap/>
          </w:tcPr>
          <w:p w14:paraId="4986CC04"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sz w:val="20"/>
              </w:rPr>
              <w:t>135,991</w:t>
            </w:r>
          </w:p>
        </w:tc>
        <w:tc>
          <w:tcPr>
            <w:tcW w:w="615" w:type="pct"/>
            <w:noWrap/>
            <w:vAlign w:val="top"/>
          </w:tcPr>
          <w:p w14:paraId="534DA219"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8A2A7C">
              <w:rPr>
                <w:rFonts w:asciiTheme="minorHAnsi" w:hAnsiTheme="minorHAnsi" w:cstheme="minorBidi"/>
                <w:color w:val="000000"/>
                <w:sz w:val="20"/>
              </w:rPr>
              <w:t>2</w:t>
            </w:r>
          </w:p>
        </w:tc>
        <w:tc>
          <w:tcPr>
            <w:tcW w:w="615" w:type="pct"/>
          </w:tcPr>
          <w:p w14:paraId="64508175"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8A2A7C">
              <w:rPr>
                <w:rFonts w:asciiTheme="minorHAnsi" w:hAnsiTheme="minorHAnsi"/>
                <w:sz w:val="20"/>
              </w:rPr>
              <w:t>135,991</w:t>
            </w:r>
          </w:p>
        </w:tc>
        <w:tc>
          <w:tcPr>
            <w:tcW w:w="616" w:type="pct"/>
          </w:tcPr>
          <w:p w14:paraId="7F834050"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8A2A7C">
              <w:rPr>
                <w:rFonts w:asciiTheme="minorHAnsi" w:hAnsiTheme="minorHAnsi"/>
                <w:sz w:val="20"/>
              </w:rPr>
              <w:t>100%</w:t>
            </w:r>
          </w:p>
        </w:tc>
        <w:tc>
          <w:tcPr>
            <w:tcW w:w="691" w:type="pct"/>
            <w:noWrap/>
            <w:vAlign w:val="top"/>
          </w:tcPr>
          <w:p w14:paraId="694742F5"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p>
        </w:tc>
        <w:tc>
          <w:tcPr>
            <w:tcW w:w="616" w:type="pct"/>
            <w:noWrap/>
            <w:vAlign w:val="top"/>
          </w:tcPr>
          <w:p w14:paraId="6DE0A19E"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p>
        </w:tc>
      </w:tr>
      <w:tr w:rsidR="008E4C8D" w:rsidRPr="008A2A7C" w14:paraId="277AC2E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2468C762" w14:textId="77777777" w:rsidR="008E4C8D" w:rsidRPr="008A2A7C" w:rsidRDefault="008E4C8D">
            <w:pPr>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Large</w:t>
            </w:r>
          </w:p>
        </w:tc>
        <w:tc>
          <w:tcPr>
            <w:tcW w:w="615" w:type="pct"/>
          </w:tcPr>
          <w:p w14:paraId="62B5AF33"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5</w:t>
            </w:r>
          </w:p>
        </w:tc>
        <w:tc>
          <w:tcPr>
            <w:tcW w:w="617" w:type="pct"/>
            <w:noWrap/>
          </w:tcPr>
          <w:p w14:paraId="6F0F24FF"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130,508</w:t>
            </w:r>
          </w:p>
        </w:tc>
        <w:tc>
          <w:tcPr>
            <w:tcW w:w="615" w:type="pct"/>
            <w:vAlign w:val="top"/>
          </w:tcPr>
          <w:p w14:paraId="330B32F0"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5</w:t>
            </w:r>
          </w:p>
        </w:tc>
        <w:tc>
          <w:tcPr>
            <w:tcW w:w="615" w:type="pct"/>
          </w:tcPr>
          <w:p w14:paraId="4FADF508"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8A2A7C">
              <w:rPr>
                <w:rFonts w:asciiTheme="minorHAnsi" w:hAnsiTheme="minorHAnsi"/>
                <w:sz w:val="20"/>
              </w:rPr>
              <w:t>130,508</w:t>
            </w:r>
          </w:p>
        </w:tc>
        <w:tc>
          <w:tcPr>
            <w:tcW w:w="616" w:type="pct"/>
          </w:tcPr>
          <w:p w14:paraId="5F9E178F"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8A2A7C">
              <w:rPr>
                <w:rFonts w:asciiTheme="minorHAnsi" w:hAnsiTheme="minorHAnsi"/>
                <w:sz w:val="20"/>
              </w:rPr>
              <w:t>100%</w:t>
            </w:r>
          </w:p>
        </w:tc>
        <w:tc>
          <w:tcPr>
            <w:tcW w:w="691" w:type="pct"/>
            <w:vAlign w:val="top"/>
          </w:tcPr>
          <w:p w14:paraId="4EFAB91E"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616" w:type="pct"/>
            <w:noWrap/>
            <w:vAlign w:val="top"/>
          </w:tcPr>
          <w:p w14:paraId="039C8A85"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p>
        </w:tc>
      </w:tr>
      <w:tr w:rsidR="008E4C8D" w:rsidRPr="008A2A7C" w14:paraId="1FFBE118"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2B9395F9" w14:textId="77777777" w:rsidR="008E4C8D" w:rsidRPr="008A2A7C" w:rsidRDefault="008E4C8D">
            <w:pPr>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Medium</w:t>
            </w:r>
          </w:p>
        </w:tc>
        <w:tc>
          <w:tcPr>
            <w:tcW w:w="615" w:type="pct"/>
          </w:tcPr>
          <w:p w14:paraId="57ED2F92"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7</w:t>
            </w:r>
          </w:p>
        </w:tc>
        <w:tc>
          <w:tcPr>
            <w:tcW w:w="617" w:type="pct"/>
            <w:noWrap/>
          </w:tcPr>
          <w:p w14:paraId="4146E422"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94,089</w:t>
            </w:r>
          </w:p>
        </w:tc>
        <w:tc>
          <w:tcPr>
            <w:tcW w:w="615" w:type="pct"/>
            <w:vAlign w:val="top"/>
          </w:tcPr>
          <w:p w14:paraId="57AABC00"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6</w:t>
            </w:r>
          </w:p>
        </w:tc>
        <w:tc>
          <w:tcPr>
            <w:tcW w:w="615" w:type="pct"/>
          </w:tcPr>
          <w:p w14:paraId="4BFB290F"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8A2A7C">
              <w:rPr>
                <w:rFonts w:asciiTheme="minorHAnsi" w:hAnsiTheme="minorHAnsi"/>
                <w:sz w:val="20"/>
              </w:rPr>
              <w:t>83,485</w:t>
            </w:r>
          </w:p>
        </w:tc>
        <w:tc>
          <w:tcPr>
            <w:tcW w:w="616" w:type="pct"/>
          </w:tcPr>
          <w:p w14:paraId="7D631536"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8A2A7C">
              <w:rPr>
                <w:rFonts w:asciiTheme="minorHAnsi" w:hAnsiTheme="minorHAnsi"/>
                <w:sz w:val="20"/>
              </w:rPr>
              <w:t>89%</w:t>
            </w:r>
          </w:p>
        </w:tc>
        <w:tc>
          <w:tcPr>
            <w:tcW w:w="691" w:type="pct"/>
            <w:vAlign w:val="top"/>
          </w:tcPr>
          <w:p w14:paraId="5D31C6FB"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p>
        </w:tc>
        <w:tc>
          <w:tcPr>
            <w:tcW w:w="616" w:type="pct"/>
            <w:noWrap/>
            <w:vAlign w:val="top"/>
          </w:tcPr>
          <w:p w14:paraId="59AB6984"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p>
        </w:tc>
      </w:tr>
      <w:tr w:rsidR="008E4C8D" w:rsidRPr="008A2A7C" w14:paraId="4A6D48D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1CF71E07" w14:textId="77777777" w:rsidR="008E4C8D" w:rsidRPr="008A2A7C" w:rsidRDefault="008E4C8D">
            <w:pPr>
              <w:jc w:val="left"/>
              <w:rPr>
                <w:rFonts w:asciiTheme="minorHAnsi" w:eastAsiaTheme="minorEastAsia" w:hAnsiTheme="minorHAnsi" w:cs="Calibri"/>
                <w:color w:val="000000"/>
                <w:sz w:val="20"/>
              </w:rPr>
            </w:pPr>
            <w:r w:rsidRPr="008A2A7C">
              <w:rPr>
                <w:rFonts w:asciiTheme="minorHAnsi" w:eastAsiaTheme="minorEastAsia" w:hAnsiTheme="minorHAnsi" w:cs="Calibri"/>
                <w:color w:val="000000"/>
                <w:sz w:val="20"/>
              </w:rPr>
              <w:t>Small</w:t>
            </w:r>
          </w:p>
        </w:tc>
        <w:tc>
          <w:tcPr>
            <w:tcW w:w="615" w:type="pct"/>
          </w:tcPr>
          <w:p w14:paraId="4F47B0E2"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8A2A7C">
              <w:rPr>
                <w:rFonts w:asciiTheme="minorHAnsi" w:eastAsiaTheme="minorEastAsia" w:hAnsiTheme="minorHAnsi" w:cs="Calibri"/>
                <w:color w:val="000000" w:themeColor="text1"/>
                <w:sz w:val="20"/>
              </w:rPr>
              <w:t>24</w:t>
            </w:r>
          </w:p>
        </w:tc>
        <w:tc>
          <w:tcPr>
            <w:tcW w:w="617" w:type="pct"/>
            <w:noWrap/>
          </w:tcPr>
          <w:p w14:paraId="0C59ACBD"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120,052</w:t>
            </w:r>
          </w:p>
        </w:tc>
        <w:tc>
          <w:tcPr>
            <w:tcW w:w="615" w:type="pct"/>
            <w:vAlign w:val="top"/>
          </w:tcPr>
          <w:p w14:paraId="674491F2"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8A2A7C">
              <w:rPr>
                <w:rFonts w:asciiTheme="minorHAnsi" w:hAnsiTheme="minorHAnsi" w:cstheme="minorHAnsi"/>
                <w:color w:val="000000"/>
                <w:sz w:val="20"/>
              </w:rPr>
              <w:t>9</w:t>
            </w:r>
          </w:p>
        </w:tc>
        <w:tc>
          <w:tcPr>
            <w:tcW w:w="615" w:type="pct"/>
          </w:tcPr>
          <w:p w14:paraId="4C9FCF19"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8A2A7C">
              <w:rPr>
                <w:rFonts w:asciiTheme="minorHAnsi" w:hAnsiTheme="minorHAnsi"/>
                <w:sz w:val="20"/>
              </w:rPr>
              <w:t>40,314</w:t>
            </w:r>
          </w:p>
        </w:tc>
        <w:tc>
          <w:tcPr>
            <w:tcW w:w="616" w:type="pct"/>
          </w:tcPr>
          <w:p w14:paraId="29D8D849"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8A2A7C">
              <w:rPr>
                <w:rFonts w:asciiTheme="minorHAnsi" w:hAnsiTheme="minorHAnsi"/>
                <w:sz w:val="20"/>
              </w:rPr>
              <w:t>34%</w:t>
            </w:r>
          </w:p>
        </w:tc>
        <w:tc>
          <w:tcPr>
            <w:tcW w:w="691" w:type="pct"/>
            <w:vAlign w:val="top"/>
          </w:tcPr>
          <w:p w14:paraId="7EEE3910"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616" w:type="pct"/>
            <w:noWrap/>
            <w:vAlign w:val="top"/>
          </w:tcPr>
          <w:p w14:paraId="14102522" w14:textId="77777777" w:rsidR="008E4C8D" w:rsidRPr="008A2A7C" w:rsidRDefault="008E4C8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p>
        </w:tc>
      </w:tr>
      <w:tr w:rsidR="008E4C8D" w:rsidRPr="008A2A7C" w14:paraId="3B0EB455" w14:textId="77777777" w:rsidTr="00D901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tcBorders>
              <w:bottom w:val="single" w:sz="8" w:space="0" w:color="036479"/>
            </w:tcBorders>
            <w:noWrap/>
            <w:hideMark/>
          </w:tcPr>
          <w:p w14:paraId="5D8F4DFE" w14:textId="77777777" w:rsidR="008E4C8D" w:rsidRPr="008A2A7C" w:rsidRDefault="008E4C8D">
            <w:pPr>
              <w:jc w:val="left"/>
              <w:rPr>
                <w:rFonts w:asciiTheme="minorHAnsi" w:eastAsiaTheme="minorEastAsia" w:hAnsiTheme="minorHAnsi" w:cs="Calibri"/>
                <w:b/>
                <w:color w:val="000000"/>
                <w:sz w:val="20"/>
              </w:rPr>
            </w:pPr>
            <w:r w:rsidRPr="008A2A7C">
              <w:rPr>
                <w:rFonts w:asciiTheme="minorHAnsi" w:eastAsiaTheme="minorEastAsia" w:hAnsiTheme="minorHAnsi" w:cs="Calibri"/>
                <w:b/>
                <w:color w:val="000000"/>
                <w:sz w:val="20"/>
              </w:rPr>
              <w:t>Total</w:t>
            </w:r>
          </w:p>
        </w:tc>
        <w:tc>
          <w:tcPr>
            <w:tcW w:w="615" w:type="pct"/>
            <w:tcBorders>
              <w:bottom w:val="single" w:sz="8" w:space="0" w:color="036479"/>
            </w:tcBorders>
          </w:tcPr>
          <w:p w14:paraId="5DB001D5"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000000" w:themeColor="text1"/>
                <w:sz w:val="20"/>
              </w:rPr>
            </w:pPr>
            <w:r w:rsidRPr="008A2A7C">
              <w:rPr>
                <w:rFonts w:asciiTheme="minorHAnsi" w:hAnsiTheme="minorHAnsi"/>
                <w:b/>
                <w:bCs/>
                <w:color w:val="000000" w:themeColor="text1"/>
                <w:sz w:val="20"/>
              </w:rPr>
              <w:t>38</w:t>
            </w:r>
          </w:p>
        </w:tc>
        <w:tc>
          <w:tcPr>
            <w:tcW w:w="617" w:type="pct"/>
            <w:tcBorders>
              <w:bottom w:val="single" w:sz="8" w:space="0" w:color="036479"/>
            </w:tcBorders>
            <w:noWrap/>
          </w:tcPr>
          <w:p w14:paraId="44432C2F"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480,640</w:t>
            </w:r>
          </w:p>
        </w:tc>
        <w:tc>
          <w:tcPr>
            <w:tcW w:w="615" w:type="pct"/>
            <w:tcBorders>
              <w:bottom w:val="single" w:sz="8" w:space="0" w:color="036479"/>
            </w:tcBorders>
          </w:tcPr>
          <w:p w14:paraId="6002DED0" w14:textId="0EC6905B"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22</w:t>
            </w:r>
            <w:r w:rsidR="005C6347" w:rsidRPr="008A2A7C">
              <w:rPr>
                <w:rFonts w:asciiTheme="minorHAnsi" w:eastAsia="Arial" w:hAnsiTheme="minorHAnsi" w:cs="Arial"/>
                <w:b/>
                <w:bCs/>
                <w:iCs/>
                <w:sz w:val="20"/>
              </w:rPr>
              <w:t>†</w:t>
            </w:r>
          </w:p>
        </w:tc>
        <w:tc>
          <w:tcPr>
            <w:tcW w:w="615" w:type="pct"/>
          </w:tcPr>
          <w:p w14:paraId="692AC64C"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rPr>
            </w:pPr>
            <w:r w:rsidRPr="008A2A7C">
              <w:rPr>
                <w:rFonts w:asciiTheme="minorHAnsi" w:hAnsiTheme="minorHAnsi"/>
                <w:b/>
                <w:bCs/>
                <w:sz w:val="20"/>
              </w:rPr>
              <w:t>390,298</w:t>
            </w:r>
          </w:p>
        </w:tc>
        <w:tc>
          <w:tcPr>
            <w:tcW w:w="616" w:type="pct"/>
          </w:tcPr>
          <w:p w14:paraId="290651AA"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rPr>
            </w:pPr>
            <w:r w:rsidRPr="008A2A7C">
              <w:rPr>
                <w:rFonts w:asciiTheme="minorHAnsi" w:hAnsiTheme="minorHAnsi"/>
                <w:b/>
                <w:bCs/>
                <w:sz w:val="20"/>
              </w:rPr>
              <w:t>81%</w:t>
            </w:r>
          </w:p>
        </w:tc>
        <w:tc>
          <w:tcPr>
            <w:tcW w:w="691" w:type="pct"/>
            <w:tcBorders>
              <w:bottom w:val="single" w:sz="8" w:space="0" w:color="036479"/>
            </w:tcBorders>
          </w:tcPr>
          <w:p w14:paraId="7277AA7E"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0.95</w:t>
            </w:r>
          </w:p>
        </w:tc>
        <w:tc>
          <w:tcPr>
            <w:tcW w:w="616" w:type="pct"/>
            <w:tcBorders>
              <w:bottom w:val="single" w:sz="8" w:space="0" w:color="036479"/>
            </w:tcBorders>
            <w:noWrap/>
          </w:tcPr>
          <w:p w14:paraId="73D48567" w14:textId="77777777" w:rsidR="008E4C8D" w:rsidRPr="008A2A7C" w:rsidRDefault="008E4C8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8A2A7C">
              <w:rPr>
                <w:rFonts w:asciiTheme="minorHAnsi" w:hAnsiTheme="minorHAnsi" w:cstheme="minorHAnsi"/>
                <w:b/>
                <w:bCs/>
                <w:color w:val="000000"/>
                <w:sz w:val="20"/>
              </w:rPr>
              <w:t>2.3%</w:t>
            </w:r>
          </w:p>
        </w:tc>
      </w:tr>
    </w:tbl>
    <w:p w14:paraId="37B8052B" w14:textId="170C1CBC" w:rsidR="00171B22" w:rsidRPr="00171B22" w:rsidRDefault="00171B22" w:rsidP="00AC50C1">
      <w:pPr>
        <w:pStyle w:val="TableFigureSource"/>
      </w:pPr>
      <w:r w:rsidRPr="00171B22">
        <w:rPr>
          <w:rFonts w:eastAsia="Arial"/>
        </w:rPr>
        <w:t>†</w:t>
      </w:r>
      <w:r>
        <w:rPr>
          <w:rFonts w:eastAsia="Arial"/>
        </w:rPr>
        <w:t xml:space="preserve"> A total of 25 projects were s</w:t>
      </w:r>
      <w:r w:rsidR="00806E30">
        <w:rPr>
          <w:rFonts w:eastAsia="Arial"/>
        </w:rPr>
        <w:t>ampled from the 2025 participation</w:t>
      </w:r>
      <w:r w:rsidR="00796645">
        <w:rPr>
          <w:rFonts w:eastAsia="Arial"/>
        </w:rPr>
        <w:t xml:space="preserve"> across all utilities</w:t>
      </w:r>
      <w:r w:rsidR="00806E30">
        <w:rPr>
          <w:rFonts w:eastAsia="Arial"/>
        </w:rPr>
        <w:t xml:space="preserve">. However, </w:t>
      </w:r>
      <w:r w:rsidR="004A1E3E">
        <w:rPr>
          <w:rFonts w:eastAsia="Arial"/>
        </w:rPr>
        <w:t>not all selected projects included gas savings. The sampled projects included in this table only include projects with gas savings.</w:t>
      </w:r>
    </w:p>
    <w:p w14:paraId="3E28FAB8" w14:textId="77777777" w:rsidR="008E4C8D" w:rsidRPr="00564B6A" w:rsidRDefault="008E4C8D" w:rsidP="00AC50C1">
      <w:pPr>
        <w:pStyle w:val="TableFigureSource"/>
      </w:pPr>
      <w:r w:rsidRPr="00564B6A">
        <w:t xml:space="preserve">*The </w:t>
      </w:r>
      <w:proofErr w:type="spellStart"/>
      <w:r w:rsidRPr="00564B6A">
        <w:t xml:space="preserve">ex </w:t>
      </w:r>
      <w:proofErr w:type="gramStart"/>
      <w:r w:rsidRPr="00564B6A">
        <w:t>ante</w:t>
      </w:r>
      <w:proofErr w:type="spellEnd"/>
      <w:proofErr w:type="gramEnd"/>
      <w:r w:rsidRPr="00564B6A">
        <w:t xml:space="preserve"> gross impact population and sample include savings not only claimed by ComEd but also Nicor Gas and Peoples Gas.</w:t>
      </w:r>
    </w:p>
    <w:p w14:paraId="48A9DEFE" w14:textId="6B4DCEE8" w:rsidR="008E4C8D" w:rsidRPr="00924A41" w:rsidRDefault="008E4C8D" w:rsidP="008E4C8D">
      <w:pPr>
        <w:pStyle w:val="TableFigureSource"/>
      </w:pPr>
      <w:r w:rsidRPr="00564B6A">
        <w:t>Source: ComEd tracking data, Nicor Gas tracking data, Peoples Gas tracking data, evaluation team analysis</w:t>
      </w:r>
    </w:p>
    <w:p w14:paraId="0C633F59" w14:textId="77777777" w:rsidR="008E4C8D" w:rsidRDefault="008E4C8D" w:rsidP="008E4C8D">
      <w:pPr>
        <w:rPr>
          <w:iCs/>
        </w:rPr>
      </w:pPr>
      <w:r>
        <w:rPr>
          <w:iCs/>
        </w:rPr>
        <w:t xml:space="preserve"> </w:t>
      </w:r>
    </w:p>
    <w:p w14:paraId="5681E131" w14:textId="77777777" w:rsidR="008E4C8D" w:rsidRPr="00676496" w:rsidRDefault="008E4C8D" w:rsidP="008E4C8D">
      <w:pPr>
        <w:rPr>
          <w:iCs/>
        </w:rPr>
      </w:pPr>
    </w:p>
    <w:p w14:paraId="3DA2606B" w14:textId="77777777" w:rsidR="00AB1A05" w:rsidRPr="00221287" w:rsidRDefault="00AB1A05" w:rsidP="00AB1A05"/>
    <w:bookmarkEnd w:id="33"/>
    <w:p w14:paraId="1959C509" w14:textId="77777777" w:rsidR="00AB1A05" w:rsidRDefault="00AB1A05" w:rsidP="00AB1A05"/>
    <w:p w14:paraId="23E8ADC8" w14:textId="77777777" w:rsidR="00AB1A05" w:rsidRPr="00F20206" w:rsidRDefault="00AB1A05" w:rsidP="00AB1A05">
      <w:pPr>
        <w:pStyle w:val="BodyText"/>
        <w:sectPr w:rsidR="00AB1A05" w:rsidRPr="00F20206" w:rsidSect="00AB1A05">
          <w:pgSz w:w="12240" w:h="15840" w:code="1"/>
          <w:pgMar w:top="1440" w:right="1440" w:bottom="1440" w:left="1440" w:header="720" w:footer="720" w:gutter="0"/>
          <w:pgNumType w:chapStyle="5"/>
          <w:cols w:space="720"/>
          <w:docGrid w:linePitch="360"/>
        </w:sectPr>
      </w:pPr>
    </w:p>
    <w:p w14:paraId="5BA02AAC" w14:textId="4AE7F0B7" w:rsidR="00672917" w:rsidRDefault="00672917" w:rsidP="002901B5">
      <w:pPr>
        <w:pStyle w:val="Heading1"/>
        <w:numPr>
          <w:ilvl w:val="0"/>
          <w:numId w:val="0"/>
        </w:numPr>
        <w:ind w:left="432" w:hanging="432"/>
      </w:pPr>
      <w:bookmarkStart w:id="42" w:name="_Toc224810306"/>
      <w:bookmarkEnd w:id="34"/>
      <w:bookmarkEnd w:id="35"/>
      <w:r w:rsidRPr="0BF76A9C">
        <w:lastRenderedPageBreak/>
        <w:t xml:space="preserve">Appendix </w:t>
      </w:r>
      <w:r>
        <w:t>B</w:t>
      </w:r>
      <w:r w:rsidRPr="0BF76A9C">
        <w:t xml:space="preserve">. </w:t>
      </w:r>
      <w:r>
        <w:t>Impact Analysis Supplemental Information</w:t>
      </w:r>
      <w:bookmarkEnd w:id="42"/>
    </w:p>
    <w:p w14:paraId="1EDF2412" w14:textId="7BAAF6D8" w:rsidR="00672917" w:rsidRDefault="00672917" w:rsidP="00672917">
      <w:pPr>
        <w:pStyle w:val="BodyTextBold"/>
      </w:pPr>
      <w:r>
        <w:t>Engineering Desk Review Results</w:t>
      </w:r>
    </w:p>
    <w:p w14:paraId="1263392B" w14:textId="743D7565" w:rsidR="00672917" w:rsidRDefault="00F442C3" w:rsidP="00672917">
      <w:r>
        <w:fldChar w:fldCharType="begin"/>
      </w:r>
      <w:r>
        <w:instrText xml:space="preserve"> REF _Ref224221235 \h </w:instrText>
      </w:r>
      <w:r>
        <w:fldChar w:fldCharType="separate"/>
      </w:r>
      <w:r>
        <w:t>Table B</w:t>
      </w:r>
      <w:r>
        <w:noBreakHyphen/>
      </w:r>
      <w:r>
        <w:rPr>
          <w:noProof/>
        </w:rPr>
        <w:t>1</w:t>
      </w:r>
      <w:r>
        <w:fldChar w:fldCharType="end"/>
      </w:r>
      <w:r w:rsidR="003415CB">
        <w:t xml:space="preserve"> shows </w:t>
      </w:r>
      <w:r w:rsidR="00672917">
        <w:t xml:space="preserve">the results of the engineering desk reviews for PGL projects, including the </w:t>
      </w:r>
      <w:proofErr w:type="spellStart"/>
      <w:proofErr w:type="gramStart"/>
      <w:r w:rsidR="00672917">
        <w:t>ex ante</w:t>
      </w:r>
      <w:proofErr w:type="spellEnd"/>
      <w:proofErr w:type="gramEnd"/>
      <w:r w:rsidR="00672917">
        <w:t xml:space="preserve"> savings, and the resulting </w:t>
      </w:r>
      <w:r w:rsidR="00860935">
        <w:t xml:space="preserve">gross realization rate </w:t>
      </w:r>
      <w:r w:rsidR="00875D9B">
        <w:t>(</w:t>
      </w:r>
      <w:r w:rsidR="00672917">
        <w:t>RR</w:t>
      </w:r>
      <w:r w:rsidR="00875D9B">
        <w:t>)</w:t>
      </w:r>
      <w:r w:rsidR="00672917">
        <w:t xml:space="preserve"> for each project in the desk review sample. The table also includes a narrative describing the reasons for any discrepancies between the </w:t>
      </w:r>
      <w:proofErr w:type="spellStart"/>
      <w:proofErr w:type="gramStart"/>
      <w:r w:rsidR="00672917">
        <w:t>ex ante</w:t>
      </w:r>
      <w:proofErr w:type="spellEnd"/>
      <w:proofErr w:type="gramEnd"/>
      <w:r w:rsidR="00672917">
        <w:t xml:space="preserve"> and verified savings. A RR less than 1.00 indicates that a project received a downward adjustment to energy savings while a RR more than 1.00 indicates that a project received an upward adjustment to energy savings. All energy savings exclude interactive effects.</w:t>
      </w:r>
    </w:p>
    <w:p w14:paraId="1BA5609F" w14:textId="33E79CA0" w:rsidR="00672917" w:rsidRPr="000B64E6" w:rsidRDefault="00EA18D0" w:rsidP="00A754D8">
      <w:pPr>
        <w:pStyle w:val="Caption"/>
        <w:rPr>
          <w:bCs/>
        </w:rPr>
      </w:pPr>
      <w:bookmarkStart w:id="43" w:name="_Ref97037812"/>
      <w:bookmarkStart w:id="44" w:name="_Hlk128667451"/>
      <w:bookmarkStart w:id="45" w:name="_Toc497139745"/>
      <w:bookmarkStart w:id="46" w:name="_Toc61360850"/>
      <w:bookmarkStart w:id="47" w:name="_Ref223794236"/>
      <w:bookmarkStart w:id="48" w:name="_Ref224221235"/>
      <w:bookmarkStart w:id="49" w:name="_Toc224840466"/>
      <w:r>
        <w:t>Table B</w:t>
      </w:r>
      <w:r>
        <w:noBreakHyphen/>
      </w:r>
      <w:r>
        <w:fldChar w:fldCharType="begin"/>
      </w:r>
      <w:r>
        <w:instrText xml:space="preserve"> SEQ Table \* ARABIC \s 1 </w:instrText>
      </w:r>
      <w:r>
        <w:fldChar w:fldCharType="separate"/>
      </w:r>
      <w:r>
        <w:rPr>
          <w:noProof/>
        </w:rPr>
        <w:t>1</w:t>
      </w:r>
      <w:r>
        <w:fldChar w:fldCharType="end"/>
      </w:r>
      <w:bookmarkEnd w:id="48"/>
      <w:r>
        <w:t>.</w:t>
      </w:r>
      <w:bookmarkEnd w:id="43"/>
      <w:bookmarkEnd w:id="44"/>
      <w:bookmarkEnd w:id="45"/>
      <w:bookmarkEnd w:id="46"/>
      <w:r w:rsidR="001F0755" w:rsidRPr="005B5320">
        <w:t xml:space="preserve"> Researched</w:t>
      </w:r>
      <w:bookmarkEnd w:id="47"/>
      <w:r w:rsidR="00672917" w:rsidRPr="005B5320">
        <w:t xml:space="preserve"> Gross Savings for Sampled Projects</w:t>
      </w:r>
      <w:bookmarkEnd w:id="49"/>
    </w:p>
    <w:tbl>
      <w:tblPr>
        <w:tblStyle w:val="EnergyTable11"/>
        <w:tblW w:w="5128" w:type="pct"/>
        <w:tblLayout w:type="fixed"/>
        <w:tblLook w:val="04A0" w:firstRow="1" w:lastRow="0" w:firstColumn="1" w:lastColumn="0" w:noHBand="0" w:noVBand="1"/>
      </w:tblPr>
      <w:tblGrid>
        <w:gridCol w:w="991"/>
        <w:gridCol w:w="1169"/>
        <w:gridCol w:w="1352"/>
        <w:gridCol w:w="1171"/>
        <w:gridCol w:w="1404"/>
        <w:gridCol w:w="1152"/>
        <w:gridCol w:w="1196"/>
        <w:gridCol w:w="1165"/>
      </w:tblGrid>
      <w:tr w:rsidR="00437D81" w:rsidRPr="004F73C7" w14:paraId="722AC9FF" w14:textId="77777777" w:rsidTr="00437D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25" w:type="pct"/>
            <w:gridSpan w:val="2"/>
            <w:hideMark/>
          </w:tcPr>
          <w:p w14:paraId="32787866" w14:textId="77777777" w:rsidR="00672917" w:rsidRPr="004F73C7" w:rsidRDefault="00672917">
            <w:pPr>
              <w:rPr>
                <w:rFonts w:asciiTheme="minorHAnsi" w:hAnsiTheme="minorHAnsi"/>
                <w:color w:val="FFFFFF" w:themeColor="background1"/>
                <w:sz w:val="20"/>
              </w:rPr>
            </w:pPr>
          </w:p>
        </w:tc>
        <w:tc>
          <w:tcPr>
            <w:tcW w:w="1314" w:type="pct"/>
            <w:gridSpan w:val="2"/>
          </w:tcPr>
          <w:p w14:paraId="52AFA337"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Ex Ante</w:t>
            </w:r>
          </w:p>
        </w:tc>
        <w:tc>
          <w:tcPr>
            <w:tcW w:w="1331" w:type="pct"/>
            <w:gridSpan w:val="2"/>
          </w:tcPr>
          <w:p w14:paraId="37155DBB"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4F73C7">
              <w:rPr>
                <w:rFonts w:asciiTheme="minorHAnsi" w:hAnsiTheme="minorHAnsi"/>
                <w:color w:val="FFFFFF" w:themeColor="background1"/>
                <w:sz w:val="20"/>
              </w:rPr>
              <w:t>Verified</w:t>
            </w:r>
          </w:p>
        </w:tc>
        <w:tc>
          <w:tcPr>
            <w:tcW w:w="1230" w:type="pct"/>
            <w:gridSpan w:val="2"/>
            <w:hideMark/>
          </w:tcPr>
          <w:p w14:paraId="49B9A63A"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4F73C7">
              <w:rPr>
                <w:rFonts w:asciiTheme="minorHAnsi" w:hAnsiTheme="minorHAnsi"/>
                <w:color w:val="FFFFFF" w:themeColor="background1"/>
                <w:sz w:val="20"/>
              </w:rPr>
              <w:t>Realization Rate</w:t>
            </w:r>
          </w:p>
        </w:tc>
      </w:tr>
      <w:tr w:rsidR="005B5320" w:rsidRPr="004F73C7" w14:paraId="25E010EB" w14:textId="77777777" w:rsidTr="00437D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16" w:type="pct"/>
            <w:hideMark/>
          </w:tcPr>
          <w:p w14:paraId="6E942E0D" w14:textId="77777777" w:rsidR="00672917" w:rsidRPr="004F73C7" w:rsidRDefault="00672917">
            <w:pPr>
              <w:jc w:val="left"/>
              <w:rPr>
                <w:rFonts w:asciiTheme="minorHAnsi" w:hAnsiTheme="minorHAnsi"/>
                <w:b w:val="0"/>
                <w:color w:val="FFFFFF" w:themeColor="background1"/>
                <w:sz w:val="20"/>
              </w:rPr>
            </w:pPr>
            <w:r w:rsidRPr="004F73C7">
              <w:rPr>
                <w:rFonts w:asciiTheme="minorHAnsi" w:hAnsiTheme="minorHAnsi"/>
                <w:color w:val="FFFFFF" w:themeColor="background1"/>
                <w:sz w:val="20"/>
              </w:rPr>
              <w:t>Project ID</w:t>
            </w:r>
          </w:p>
        </w:tc>
        <w:tc>
          <w:tcPr>
            <w:tcW w:w="609" w:type="pct"/>
          </w:tcPr>
          <w:p w14:paraId="45B790A6" w14:textId="39D4EDE2" w:rsidR="00672917" w:rsidRPr="004F73C7" w:rsidRDefault="00437D81">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PSG ID</w:t>
            </w:r>
          </w:p>
        </w:tc>
        <w:tc>
          <w:tcPr>
            <w:tcW w:w="704" w:type="pct"/>
            <w:hideMark/>
          </w:tcPr>
          <w:p w14:paraId="2E3507BF"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Electric Savings (kWh)</w:t>
            </w:r>
          </w:p>
        </w:tc>
        <w:tc>
          <w:tcPr>
            <w:tcW w:w="610" w:type="pct"/>
            <w:hideMark/>
          </w:tcPr>
          <w:p w14:paraId="43770340"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Gas Savings (therms)</w:t>
            </w:r>
          </w:p>
        </w:tc>
        <w:tc>
          <w:tcPr>
            <w:tcW w:w="731" w:type="pct"/>
          </w:tcPr>
          <w:p w14:paraId="47C4986C"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Electric Savings (kWh)</w:t>
            </w:r>
          </w:p>
        </w:tc>
        <w:tc>
          <w:tcPr>
            <w:tcW w:w="600" w:type="pct"/>
          </w:tcPr>
          <w:p w14:paraId="5C184FD5"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lang w:val="pt-BR"/>
              </w:rPr>
            </w:pPr>
            <w:r w:rsidRPr="004F73C7">
              <w:rPr>
                <w:rFonts w:asciiTheme="minorHAnsi" w:hAnsiTheme="minorHAnsi"/>
                <w:color w:val="FFFFFF" w:themeColor="background1"/>
                <w:sz w:val="20"/>
                <w:lang w:val="pt-BR"/>
              </w:rPr>
              <w:t>Gas Savings (therms)</w:t>
            </w:r>
          </w:p>
        </w:tc>
        <w:tc>
          <w:tcPr>
            <w:tcW w:w="623" w:type="pct"/>
            <w:hideMark/>
          </w:tcPr>
          <w:p w14:paraId="2BBB8E19"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Electric Savings (kWh)</w:t>
            </w:r>
          </w:p>
        </w:tc>
        <w:tc>
          <w:tcPr>
            <w:tcW w:w="607" w:type="pct"/>
            <w:hideMark/>
          </w:tcPr>
          <w:p w14:paraId="55472840" w14:textId="77777777" w:rsidR="00672917" w:rsidRPr="004F73C7" w:rsidRDefault="0067291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4F73C7">
              <w:rPr>
                <w:rFonts w:asciiTheme="minorHAnsi" w:hAnsiTheme="minorHAnsi"/>
                <w:color w:val="FFFFFF" w:themeColor="background1"/>
                <w:sz w:val="20"/>
              </w:rPr>
              <w:t>Gas Savings (therms)</w:t>
            </w:r>
          </w:p>
        </w:tc>
      </w:tr>
      <w:tr w:rsidR="005B5320" w:rsidRPr="004F73C7" w14:paraId="45EEE5D9"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6" w:type="pct"/>
            <w:tcBorders>
              <w:top w:val="single" w:sz="12" w:space="0" w:color="93D500"/>
              <w:bottom w:val="nil"/>
            </w:tcBorders>
            <w:noWrap/>
          </w:tcPr>
          <w:p w14:paraId="1FF5CFE7" w14:textId="77777777" w:rsidR="00672917" w:rsidRPr="004F73C7" w:rsidRDefault="00672917">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CINC-1290</w:t>
            </w:r>
          </w:p>
        </w:tc>
        <w:tc>
          <w:tcPr>
            <w:tcW w:w="609" w:type="pct"/>
            <w:tcBorders>
              <w:top w:val="single" w:sz="12" w:space="0" w:color="93D500"/>
              <w:bottom w:val="nil"/>
            </w:tcBorders>
          </w:tcPr>
          <w:p w14:paraId="3435A42A" w14:textId="35AE5EA4" w:rsidR="00672917" w:rsidRPr="004F73C7" w:rsidRDefault="00437D81">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WO-7516342</w:t>
            </w:r>
          </w:p>
        </w:tc>
        <w:tc>
          <w:tcPr>
            <w:tcW w:w="704" w:type="pct"/>
            <w:tcBorders>
              <w:top w:val="single" w:sz="12" w:space="0" w:color="93D500"/>
              <w:bottom w:val="nil"/>
            </w:tcBorders>
            <w:noWrap/>
          </w:tcPr>
          <w:p w14:paraId="08E7B188"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1,442,616</w:t>
            </w:r>
          </w:p>
        </w:tc>
        <w:tc>
          <w:tcPr>
            <w:tcW w:w="610" w:type="pct"/>
            <w:tcBorders>
              <w:top w:val="single" w:sz="12" w:space="0" w:color="93D500"/>
              <w:bottom w:val="nil"/>
            </w:tcBorders>
            <w:noWrap/>
          </w:tcPr>
          <w:p w14:paraId="3B9272D1"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55,651</w:t>
            </w:r>
          </w:p>
        </w:tc>
        <w:tc>
          <w:tcPr>
            <w:tcW w:w="731" w:type="pct"/>
            <w:tcBorders>
              <w:top w:val="single" w:sz="12" w:space="0" w:color="93D500"/>
              <w:bottom w:val="nil"/>
            </w:tcBorders>
          </w:tcPr>
          <w:p w14:paraId="7C4B8F8B"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1,687,472</w:t>
            </w:r>
          </w:p>
        </w:tc>
        <w:tc>
          <w:tcPr>
            <w:tcW w:w="600" w:type="pct"/>
            <w:tcBorders>
              <w:top w:val="single" w:sz="12" w:space="0" w:color="93D500"/>
              <w:bottom w:val="nil"/>
            </w:tcBorders>
          </w:tcPr>
          <w:p w14:paraId="79CEBC9B"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64,095</w:t>
            </w:r>
          </w:p>
        </w:tc>
        <w:tc>
          <w:tcPr>
            <w:tcW w:w="623" w:type="pct"/>
            <w:tcBorders>
              <w:top w:val="single" w:sz="12" w:space="0" w:color="93D500"/>
              <w:bottom w:val="nil"/>
            </w:tcBorders>
            <w:noWrap/>
          </w:tcPr>
          <w:p w14:paraId="0B2682EB"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1.17</w:t>
            </w:r>
          </w:p>
        </w:tc>
        <w:tc>
          <w:tcPr>
            <w:tcW w:w="607" w:type="pct"/>
            <w:tcBorders>
              <w:top w:val="single" w:sz="12" w:space="0" w:color="93D500"/>
              <w:bottom w:val="nil"/>
            </w:tcBorders>
            <w:noWrap/>
          </w:tcPr>
          <w:p w14:paraId="5F79278B"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1.15</w:t>
            </w:r>
          </w:p>
        </w:tc>
      </w:tr>
      <w:tr w:rsidR="00672917" w:rsidRPr="004F73C7" w14:paraId="59EAC323"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cBorders>
            <w:noWrap/>
          </w:tcPr>
          <w:p w14:paraId="78F49450" w14:textId="77777777" w:rsidR="00672917" w:rsidRPr="004F73C7" w:rsidRDefault="00672917">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 xml:space="preserve">The most significant change to this project is a decrease in the penalty associated with greater-than-code window areas.  The original analysis included opaque transom window areas.  </w:t>
            </w:r>
          </w:p>
        </w:tc>
      </w:tr>
      <w:tr w:rsidR="005B5320" w:rsidRPr="004F73C7" w14:paraId="501B5ED0"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6" w:type="pct"/>
            <w:tcBorders>
              <w:top w:val="single" w:sz="4" w:space="0" w:color="B3EFFD"/>
            </w:tcBorders>
            <w:noWrap/>
          </w:tcPr>
          <w:p w14:paraId="1E95D35B" w14:textId="77777777" w:rsidR="00672917" w:rsidRPr="004F73C7" w:rsidRDefault="00672917" w:rsidP="005B5320">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CINC-1006</w:t>
            </w:r>
          </w:p>
        </w:tc>
        <w:tc>
          <w:tcPr>
            <w:tcW w:w="609" w:type="pct"/>
            <w:tcBorders>
              <w:top w:val="single" w:sz="4" w:space="0" w:color="B3EFFD"/>
            </w:tcBorders>
          </w:tcPr>
          <w:p w14:paraId="74DA150F" w14:textId="6F8E5EAE" w:rsidR="00672917" w:rsidRPr="004F73C7" w:rsidRDefault="00437D81" w:rsidP="00437D81">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WO-7825089</w:t>
            </w:r>
          </w:p>
        </w:tc>
        <w:tc>
          <w:tcPr>
            <w:tcW w:w="704" w:type="pct"/>
            <w:tcBorders>
              <w:top w:val="single" w:sz="4" w:space="0" w:color="B3EFFD"/>
            </w:tcBorders>
            <w:noWrap/>
          </w:tcPr>
          <w:p w14:paraId="6D66E555"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49,490</w:t>
            </w:r>
          </w:p>
        </w:tc>
        <w:tc>
          <w:tcPr>
            <w:tcW w:w="610" w:type="pct"/>
            <w:tcBorders>
              <w:top w:val="single" w:sz="4" w:space="0" w:color="B3EFFD"/>
            </w:tcBorders>
          </w:tcPr>
          <w:p w14:paraId="1F78E04C"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7,933</w:t>
            </w:r>
          </w:p>
        </w:tc>
        <w:tc>
          <w:tcPr>
            <w:tcW w:w="731" w:type="pct"/>
            <w:tcBorders>
              <w:top w:val="single" w:sz="4" w:space="0" w:color="B3EFFD"/>
            </w:tcBorders>
          </w:tcPr>
          <w:p w14:paraId="7B41852B"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44,948</w:t>
            </w:r>
          </w:p>
        </w:tc>
        <w:tc>
          <w:tcPr>
            <w:tcW w:w="600" w:type="pct"/>
            <w:tcBorders>
              <w:top w:val="single" w:sz="4" w:space="0" w:color="B3EFFD"/>
            </w:tcBorders>
          </w:tcPr>
          <w:p w14:paraId="1B9EC05A"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6,761</w:t>
            </w:r>
          </w:p>
        </w:tc>
        <w:tc>
          <w:tcPr>
            <w:tcW w:w="623" w:type="pct"/>
            <w:tcBorders>
              <w:top w:val="single" w:sz="4" w:space="0" w:color="B3EFFD"/>
            </w:tcBorders>
          </w:tcPr>
          <w:p w14:paraId="34460EBE"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0.91</w:t>
            </w:r>
          </w:p>
        </w:tc>
        <w:tc>
          <w:tcPr>
            <w:tcW w:w="607" w:type="pct"/>
            <w:tcBorders>
              <w:top w:val="single" w:sz="4" w:space="0" w:color="B3EFFD"/>
            </w:tcBorders>
            <w:noWrap/>
          </w:tcPr>
          <w:p w14:paraId="7EB064E3"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0.85</w:t>
            </w:r>
          </w:p>
        </w:tc>
      </w:tr>
      <w:tr w:rsidR="00672917" w:rsidRPr="004F73C7" w14:paraId="3CE9350B"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bottom w:val="single" w:sz="4" w:space="0" w:color="B3EFFD"/>
            </w:tcBorders>
            <w:noWrap/>
          </w:tcPr>
          <w:p w14:paraId="45111F43" w14:textId="64213955" w:rsidR="00672917" w:rsidRPr="004F73C7" w:rsidRDefault="00672917">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The claimed savings were inconsistent with the documentation provided. Multiple changes were made including updating the insulation and window properties. It appears that this project may not have been updated to reflect as-built construction.</w:t>
            </w:r>
          </w:p>
        </w:tc>
      </w:tr>
      <w:tr w:rsidR="005B5320" w:rsidRPr="004F73C7" w14:paraId="33919B4D"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6" w:type="pct"/>
            <w:tcBorders>
              <w:top w:val="single" w:sz="4" w:space="0" w:color="B3EFFD"/>
              <w:bottom w:val="nil"/>
            </w:tcBorders>
            <w:noWrap/>
          </w:tcPr>
          <w:p w14:paraId="35A94F24" w14:textId="77777777" w:rsidR="00672917" w:rsidRPr="004F73C7" w:rsidRDefault="00672917" w:rsidP="005B5320">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CINC-1345</w:t>
            </w:r>
          </w:p>
        </w:tc>
        <w:tc>
          <w:tcPr>
            <w:tcW w:w="609" w:type="pct"/>
            <w:tcBorders>
              <w:top w:val="single" w:sz="4" w:space="0" w:color="B3EFFD"/>
              <w:bottom w:val="nil"/>
            </w:tcBorders>
          </w:tcPr>
          <w:p w14:paraId="3B4DF823" w14:textId="22E15741" w:rsidR="00672917" w:rsidRPr="004F73C7" w:rsidRDefault="00437D81" w:rsidP="00437D81">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WO-4297907</w:t>
            </w:r>
          </w:p>
        </w:tc>
        <w:tc>
          <w:tcPr>
            <w:tcW w:w="704" w:type="pct"/>
            <w:tcBorders>
              <w:top w:val="single" w:sz="4" w:space="0" w:color="B3EFFD"/>
              <w:bottom w:val="nil"/>
            </w:tcBorders>
            <w:noWrap/>
          </w:tcPr>
          <w:p w14:paraId="39352B4F"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101,917</w:t>
            </w:r>
          </w:p>
        </w:tc>
        <w:tc>
          <w:tcPr>
            <w:tcW w:w="610" w:type="pct"/>
            <w:tcBorders>
              <w:top w:val="single" w:sz="4" w:space="0" w:color="B3EFFD"/>
              <w:bottom w:val="nil"/>
            </w:tcBorders>
          </w:tcPr>
          <w:p w14:paraId="47CB524F"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2,037</w:t>
            </w:r>
          </w:p>
        </w:tc>
        <w:tc>
          <w:tcPr>
            <w:tcW w:w="731" w:type="pct"/>
            <w:tcBorders>
              <w:top w:val="single" w:sz="4" w:space="0" w:color="B3EFFD"/>
              <w:bottom w:val="nil"/>
            </w:tcBorders>
          </w:tcPr>
          <w:p w14:paraId="5E218E05"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101,687</w:t>
            </w:r>
          </w:p>
        </w:tc>
        <w:tc>
          <w:tcPr>
            <w:tcW w:w="600" w:type="pct"/>
            <w:tcBorders>
              <w:top w:val="single" w:sz="4" w:space="0" w:color="B3EFFD"/>
              <w:bottom w:val="nil"/>
            </w:tcBorders>
          </w:tcPr>
          <w:p w14:paraId="4852302E"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1,712</w:t>
            </w:r>
          </w:p>
        </w:tc>
        <w:tc>
          <w:tcPr>
            <w:tcW w:w="623" w:type="pct"/>
            <w:tcBorders>
              <w:top w:val="single" w:sz="4" w:space="0" w:color="B3EFFD"/>
              <w:bottom w:val="nil"/>
            </w:tcBorders>
          </w:tcPr>
          <w:p w14:paraId="140F30CD"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1.00</w:t>
            </w:r>
          </w:p>
        </w:tc>
        <w:tc>
          <w:tcPr>
            <w:tcW w:w="607" w:type="pct"/>
            <w:tcBorders>
              <w:top w:val="single" w:sz="4" w:space="0" w:color="B3EFFD"/>
              <w:bottom w:val="nil"/>
            </w:tcBorders>
            <w:noWrap/>
          </w:tcPr>
          <w:p w14:paraId="25CFE504"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0.84</w:t>
            </w:r>
          </w:p>
        </w:tc>
      </w:tr>
      <w:tr w:rsidR="00672917" w:rsidRPr="004F73C7" w14:paraId="336D47E2"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cBorders>
            <w:noWrap/>
          </w:tcPr>
          <w:p w14:paraId="73FFB26F" w14:textId="2FC023E3" w:rsidR="00672917" w:rsidRPr="004F73C7" w:rsidRDefault="004804BC">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 xml:space="preserve">The project </w:t>
            </w:r>
            <w:r w:rsidR="00672917" w:rsidRPr="004F73C7">
              <w:rPr>
                <w:rFonts w:asciiTheme="minorHAnsi" w:eastAsiaTheme="minorEastAsia" w:hAnsiTheme="minorHAnsi" w:cs="Arial"/>
                <w:color w:val="000000"/>
                <w:sz w:val="20"/>
              </w:rPr>
              <w:t>water savings were updated to reflect baseline flow rates</w:t>
            </w:r>
            <w:r w:rsidR="000B10F2" w:rsidRPr="004F73C7">
              <w:rPr>
                <w:rFonts w:asciiTheme="minorHAnsi" w:eastAsiaTheme="minorEastAsia" w:hAnsiTheme="minorHAnsi" w:cs="Arial"/>
                <w:color w:val="000000"/>
                <w:sz w:val="20"/>
              </w:rPr>
              <w:t xml:space="preserve"> consistent with code</w:t>
            </w:r>
            <w:r w:rsidR="00672917" w:rsidRPr="004F73C7">
              <w:rPr>
                <w:rFonts w:asciiTheme="minorHAnsi" w:eastAsiaTheme="minorEastAsia" w:hAnsiTheme="minorHAnsi" w:cs="Arial"/>
                <w:color w:val="000000"/>
                <w:sz w:val="20"/>
              </w:rPr>
              <w:t>.</w:t>
            </w:r>
          </w:p>
        </w:tc>
      </w:tr>
      <w:tr w:rsidR="005B5320" w:rsidRPr="004F73C7" w14:paraId="29BD7745" w14:textId="77777777" w:rsidTr="00437D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6" w:type="pct"/>
            <w:tcBorders>
              <w:top w:val="single" w:sz="4" w:space="0" w:color="B3EFFD"/>
              <w:bottom w:val="nil"/>
            </w:tcBorders>
            <w:noWrap/>
          </w:tcPr>
          <w:p w14:paraId="026B70D0" w14:textId="77777777" w:rsidR="00672917" w:rsidRPr="004F73C7" w:rsidRDefault="00672917" w:rsidP="005B5320">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CINC-1454</w:t>
            </w:r>
          </w:p>
        </w:tc>
        <w:tc>
          <w:tcPr>
            <w:tcW w:w="609" w:type="pct"/>
            <w:tcBorders>
              <w:top w:val="single" w:sz="4" w:space="0" w:color="B3EFFD"/>
              <w:bottom w:val="nil"/>
            </w:tcBorders>
          </w:tcPr>
          <w:p w14:paraId="6ED38884" w14:textId="7DFC11B5" w:rsidR="00672917" w:rsidRPr="004F73C7" w:rsidRDefault="00437D81" w:rsidP="00437D81">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WO-8057782</w:t>
            </w:r>
          </w:p>
        </w:tc>
        <w:tc>
          <w:tcPr>
            <w:tcW w:w="704" w:type="pct"/>
            <w:tcBorders>
              <w:top w:val="single" w:sz="4" w:space="0" w:color="B3EFFD"/>
              <w:bottom w:val="nil"/>
            </w:tcBorders>
            <w:noWrap/>
          </w:tcPr>
          <w:p w14:paraId="44292F8F"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231,214</w:t>
            </w:r>
          </w:p>
        </w:tc>
        <w:tc>
          <w:tcPr>
            <w:tcW w:w="610" w:type="pct"/>
            <w:tcBorders>
              <w:top w:val="single" w:sz="4" w:space="0" w:color="B3EFFD"/>
              <w:bottom w:val="nil"/>
            </w:tcBorders>
          </w:tcPr>
          <w:p w14:paraId="7B12583D"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36,619</w:t>
            </w:r>
          </w:p>
        </w:tc>
        <w:tc>
          <w:tcPr>
            <w:tcW w:w="731" w:type="pct"/>
            <w:tcBorders>
              <w:top w:val="single" w:sz="4" w:space="0" w:color="B3EFFD"/>
              <w:bottom w:val="nil"/>
            </w:tcBorders>
          </w:tcPr>
          <w:p w14:paraId="09D00D75"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149,878</w:t>
            </w:r>
          </w:p>
        </w:tc>
        <w:tc>
          <w:tcPr>
            <w:tcW w:w="600" w:type="pct"/>
            <w:tcBorders>
              <w:top w:val="single" w:sz="4" w:space="0" w:color="B3EFFD"/>
              <w:bottom w:val="nil"/>
            </w:tcBorders>
          </w:tcPr>
          <w:p w14:paraId="0DA0E732"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37,605</w:t>
            </w:r>
          </w:p>
        </w:tc>
        <w:tc>
          <w:tcPr>
            <w:tcW w:w="623" w:type="pct"/>
            <w:tcBorders>
              <w:top w:val="single" w:sz="4" w:space="0" w:color="B3EFFD"/>
              <w:bottom w:val="nil"/>
            </w:tcBorders>
          </w:tcPr>
          <w:p w14:paraId="70D22AA6"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0.65</w:t>
            </w:r>
          </w:p>
        </w:tc>
        <w:tc>
          <w:tcPr>
            <w:tcW w:w="607" w:type="pct"/>
            <w:tcBorders>
              <w:top w:val="single" w:sz="4" w:space="0" w:color="B3EFFD"/>
              <w:bottom w:val="nil"/>
            </w:tcBorders>
            <w:noWrap/>
          </w:tcPr>
          <w:p w14:paraId="49BB1911" w14:textId="77777777" w:rsidR="00672917" w:rsidRPr="004F73C7" w:rsidRDefault="00672917" w:rsidP="00437D8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1.03</w:t>
            </w:r>
          </w:p>
        </w:tc>
      </w:tr>
      <w:tr w:rsidR="00672917" w:rsidRPr="004F73C7" w14:paraId="51A7687B" w14:textId="77777777" w:rsidTr="00437D8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cBorders>
            <w:noWrap/>
          </w:tcPr>
          <w:p w14:paraId="64956097" w14:textId="3E3AE8D0" w:rsidR="00672917" w:rsidRPr="004F73C7" w:rsidRDefault="00672917">
            <w:pPr>
              <w:jc w:val="left"/>
              <w:rPr>
                <w:rFonts w:asciiTheme="minorHAnsi" w:eastAsiaTheme="minorEastAsia" w:hAnsiTheme="minorHAnsi" w:cs="Arial"/>
                <w:color w:val="000000"/>
                <w:sz w:val="20"/>
              </w:rPr>
            </w:pPr>
            <w:r w:rsidRPr="004F73C7">
              <w:rPr>
                <w:rFonts w:asciiTheme="minorHAnsi" w:eastAsiaTheme="minorEastAsia" w:hAnsiTheme="minorHAnsi" w:cs="Arial"/>
                <w:color w:val="000000"/>
                <w:sz w:val="20"/>
              </w:rPr>
              <w:t xml:space="preserve">The primary change for this project was the adjustment of the baseline LPD. The original analysis claimed a hospital space </w:t>
            </w:r>
            <w:proofErr w:type="gramStart"/>
            <w:r w:rsidRPr="004F73C7">
              <w:rPr>
                <w:rFonts w:asciiTheme="minorHAnsi" w:eastAsiaTheme="minorEastAsia" w:hAnsiTheme="minorHAnsi" w:cs="Arial"/>
                <w:color w:val="000000"/>
                <w:sz w:val="20"/>
              </w:rPr>
              <w:t>type</w:t>
            </w:r>
            <w:proofErr w:type="gramEnd"/>
            <w:r w:rsidRPr="004F73C7">
              <w:rPr>
                <w:rFonts w:asciiTheme="minorHAnsi" w:eastAsiaTheme="minorEastAsia" w:hAnsiTheme="minorHAnsi" w:cs="Arial"/>
                <w:color w:val="000000"/>
                <w:sz w:val="20"/>
              </w:rPr>
              <w:t xml:space="preserve"> but building is a clinic. </w:t>
            </w:r>
            <w:r w:rsidR="005B5320" w:rsidRPr="004F73C7">
              <w:rPr>
                <w:rFonts w:asciiTheme="minorHAnsi" w:eastAsiaTheme="minorEastAsia" w:hAnsiTheme="minorHAnsi" w:cs="Arial"/>
                <w:color w:val="000000"/>
                <w:sz w:val="20"/>
              </w:rPr>
              <w:t xml:space="preserve">The reduction in electric energy increased the heating gas usage. </w:t>
            </w:r>
            <w:r w:rsidRPr="004F73C7">
              <w:rPr>
                <w:rFonts w:asciiTheme="minorHAnsi" w:eastAsiaTheme="minorEastAsia" w:hAnsiTheme="minorHAnsi" w:cs="Arial"/>
                <w:color w:val="000000"/>
                <w:sz w:val="20"/>
              </w:rPr>
              <w:t>The water savings were updated to reflect correct baseline flow rates.</w:t>
            </w:r>
          </w:p>
        </w:tc>
      </w:tr>
    </w:tbl>
    <w:p w14:paraId="13065574" w14:textId="77777777" w:rsidR="00360FE6" w:rsidRDefault="00360FE6" w:rsidP="00AC50C1">
      <w:pPr>
        <w:pStyle w:val="TableFigureSource"/>
        <w:rPr>
          <w:rFonts w:ascii="Aptos Display" w:eastAsia="Aptos Display" w:hAnsi="Aptos Display" w:cs="Aptos Display"/>
        </w:rPr>
      </w:pPr>
      <w:r w:rsidRPr="00774688">
        <w:t>Source: Evaluation team analysis.</w:t>
      </w:r>
    </w:p>
    <w:p w14:paraId="6C3BBF81" w14:textId="77777777" w:rsidR="005B5320" w:rsidRDefault="005B5320" w:rsidP="00AC50C1">
      <w:pPr>
        <w:pStyle w:val="Heading1"/>
        <w:numPr>
          <w:ilvl w:val="0"/>
          <w:numId w:val="0"/>
        </w:numPr>
        <w:ind w:left="432"/>
      </w:pPr>
    </w:p>
    <w:p w14:paraId="6EC2D43F" w14:textId="77777777" w:rsidR="00A6282D" w:rsidRDefault="005B5320">
      <w:pPr>
        <w:rPr>
          <w:rFonts w:ascii="Aptos Display" w:eastAsia="Aptos Display" w:hAnsi="Aptos Display" w:cs="Aptos Display"/>
        </w:rPr>
        <w:sectPr w:rsidR="00A6282D" w:rsidSect="00E150EF">
          <w:pgSz w:w="12240" w:h="15840" w:code="1"/>
          <w:pgMar w:top="1440" w:right="1440" w:bottom="1440" w:left="1440" w:header="720" w:footer="720" w:gutter="0"/>
          <w:cols w:space="720"/>
          <w:docGrid w:linePitch="360"/>
        </w:sectPr>
      </w:pPr>
      <w:r>
        <w:rPr>
          <w:rFonts w:ascii="Aptos Display" w:eastAsia="Aptos Display" w:hAnsi="Aptos Display" w:cs="Aptos Display"/>
        </w:rPr>
        <w:br w:type="page"/>
      </w:r>
    </w:p>
    <w:p w14:paraId="7AA7D868" w14:textId="4B2EAAF4" w:rsidR="00096ADA" w:rsidRPr="002E0934" w:rsidRDefault="00096ADA" w:rsidP="000349F8">
      <w:pPr>
        <w:pStyle w:val="Heading1"/>
        <w:numPr>
          <w:ilvl w:val="0"/>
          <w:numId w:val="0"/>
        </w:numPr>
        <w:ind w:left="432" w:hanging="432"/>
      </w:pPr>
      <w:bookmarkStart w:id="50" w:name="_Toc224810307"/>
      <w:r w:rsidRPr="0BF76A9C">
        <w:lastRenderedPageBreak/>
        <w:t xml:space="preserve">Appendix </w:t>
      </w:r>
      <w:r w:rsidR="00672917">
        <w:t>C</w:t>
      </w:r>
      <w:r w:rsidRPr="0BF76A9C">
        <w:t xml:space="preserve">. </w:t>
      </w:r>
      <w:r>
        <w:t>Program Spe</w:t>
      </w:r>
      <w:r w:rsidR="00F242A7">
        <w:t>cific Inputs for the Illinois TRC</w:t>
      </w:r>
      <w:bookmarkEnd w:id="50"/>
    </w:p>
    <w:p w14:paraId="7F2D93B8" w14:textId="6E9C75B3" w:rsidR="00AB1A05" w:rsidRPr="00D12853" w:rsidRDefault="004C6A87" w:rsidP="00AB1A05">
      <w:r>
        <w:fldChar w:fldCharType="begin"/>
      </w:r>
      <w:r>
        <w:instrText xml:space="preserve"> REF _Ref66787029 \h </w:instrText>
      </w:r>
      <w:r>
        <w:fldChar w:fldCharType="separate"/>
      </w:r>
      <w:r>
        <w:t>Table C</w:t>
      </w:r>
      <w:r>
        <w:noBreakHyphen/>
      </w:r>
      <w:r>
        <w:rPr>
          <w:noProof/>
        </w:rPr>
        <w:t>1</w:t>
      </w:r>
      <w:r w:rsidDel="00146395">
        <w:t xml:space="preserve"> </w:t>
      </w:r>
      <w:r>
        <w:fldChar w:fldCharType="end"/>
      </w:r>
      <w:r w:rsidRPr="00D12853">
        <w:t xml:space="preserve"> shows</w:t>
      </w:r>
      <w:r>
        <w:t xml:space="preserve"> </w:t>
      </w:r>
      <w:r w:rsidR="00AB1A05" w:rsidRPr="00D12853">
        <w:t xml:space="preserve">the Total Resource Cost (TRC) cost-effectiveness analysis inputs available at the time of </w:t>
      </w:r>
      <w:r w:rsidR="00AB1A05">
        <w:t xml:space="preserve">producing </w:t>
      </w:r>
      <w:r w:rsidR="00AB1A05" w:rsidRPr="00D12853">
        <w:t>this impact evaluation report. Additional required cost data (e.g., measure costs, program level incentive and non-incentive costs) are not included in this table and will be provided to the evaluation team later.</w:t>
      </w:r>
      <w:r w:rsidR="00AB1A05">
        <w:t xml:space="preserve"> Guidehouse will include annual and lifetime water savings and greenhouse gas reductions in the end of year summary report.</w:t>
      </w:r>
    </w:p>
    <w:p w14:paraId="2BDC30E2" w14:textId="0AC52F58" w:rsidR="00AB1A05" w:rsidRDefault="00A14C58" w:rsidP="00A754D8">
      <w:pPr>
        <w:pStyle w:val="Caption"/>
      </w:pPr>
      <w:bookmarkStart w:id="51" w:name="_Ref66787029"/>
      <w:bookmarkStart w:id="52" w:name="_Ref63952142"/>
      <w:bookmarkStart w:id="53" w:name="_Toc367307499"/>
      <w:bookmarkStart w:id="54" w:name="_Toc398541812"/>
      <w:bookmarkStart w:id="55" w:name="_Toc398541925"/>
      <w:bookmarkStart w:id="56" w:name="_Toc398546657"/>
      <w:bookmarkStart w:id="57" w:name="_Toc423009519"/>
      <w:bookmarkStart w:id="58" w:name="_Toc426278637"/>
      <w:bookmarkStart w:id="59" w:name="_Toc63321485"/>
      <w:bookmarkStart w:id="60" w:name="_Toc63961488"/>
      <w:bookmarkStart w:id="61" w:name="_Toc61360851"/>
      <w:bookmarkStart w:id="62" w:name="_Toc189833653"/>
      <w:r>
        <w:t>Table C</w:t>
      </w:r>
      <w:r>
        <w:noBreakHyphen/>
      </w:r>
      <w:r>
        <w:fldChar w:fldCharType="begin"/>
      </w:r>
      <w:r>
        <w:instrText xml:space="preserve"> SEQ Table_Apx \* ARABIC \s 5 </w:instrText>
      </w:r>
      <w:r>
        <w:fldChar w:fldCharType="separate"/>
      </w:r>
      <w:r w:rsidR="004C6A87">
        <w:rPr>
          <w:noProof/>
        </w:rPr>
        <w:t>1</w:t>
      </w:r>
      <w:r>
        <w:rPr>
          <w:noProof/>
        </w:rPr>
        <w:fldChar w:fldCharType="end"/>
      </w:r>
      <w:r>
        <w:t>.</w:t>
      </w:r>
      <w:r w:rsidDel="00146395">
        <w:t xml:space="preserve"> </w:t>
      </w:r>
      <w:bookmarkEnd w:id="51"/>
      <w:bookmarkEnd w:id="52"/>
      <w:bookmarkEnd w:id="53"/>
      <w:bookmarkEnd w:id="54"/>
      <w:bookmarkEnd w:id="55"/>
      <w:bookmarkEnd w:id="56"/>
      <w:bookmarkEnd w:id="57"/>
      <w:bookmarkEnd w:id="58"/>
      <w:bookmarkEnd w:id="59"/>
      <w:bookmarkEnd w:id="60"/>
      <w:r w:rsidR="00AB1A05">
        <w:t>Verified Cost Effectiveness Inputs</w:t>
      </w:r>
      <w:bookmarkEnd w:id="61"/>
      <w:bookmarkEnd w:id="62"/>
    </w:p>
    <w:tbl>
      <w:tblPr>
        <w:tblW w:w="5000" w:type="pct"/>
        <w:tblCellMar>
          <w:top w:w="15" w:type="dxa"/>
          <w:bottom w:w="15" w:type="dxa"/>
        </w:tblCellMar>
        <w:tblLook w:val="04A0" w:firstRow="1" w:lastRow="0" w:firstColumn="1" w:lastColumn="0" w:noHBand="0" w:noVBand="1"/>
      </w:tblPr>
      <w:tblGrid>
        <w:gridCol w:w="1056"/>
        <w:gridCol w:w="1591"/>
        <w:gridCol w:w="1358"/>
        <w:gridCol w:w="1052"/>
        <w:gridCol w:w="1016"/>
        <w:gridCol w:w="1039"/>
        <w:gridCol w:w="1452"/>
        <w:gridCol w:w="1249"/>
        <w:gridCol w:w="1050"/>
        <w:gridCol w:w="1050"/>
        <w:gridCol w:w="1047"/>
      </w:tblGrid>
      <w:tr w:rsidR="00AC5DE7" w:rsidRPr="00BF46CF" w14:paraId="38C5A933" w14:textId="77777777" w:rsidTr="005A296C">
        <w:trPr>
          <w:trHeight w:val="1560"/>
        </w:trPr>
        <w:tc>
          <w:tcPr>
            <w:tcW w:w="407" w:type="pct"/>
            <w:tcBorders>
              <w:top w:val="nil"/>
              <w:left w:val="nil"/>
              <w:bottom w:val="single" w:sz="12" w:space="0" w:color="95D600"/>
              <w:right w:val="nil"/>
            </w:tcBorders>
            <w:shd w:val="clear" w:color="000000" w:fill="036479"/>
            <w:vAlign w:val="center"/>
            <w:hideMark/>
          </w:tcPr>
          <w:p w14:paraId="2F44BB24" w14:textId="77777777" w:rsidR="00AC5DE7" w:rsidRPr="00BF46CF" w:rsidRDefault="00AC5DE7" w:rsidP="00BF46CF">
            <w:pPr>
              <w:spacing w:after="0" w:line="240" w:lineRule="auto"/>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Program Category</w:t>
            </w:r>
          </w:p>
        </w:tc>
        <w:tc>
          <w:tcPr>
            <w:tcW w:w="614" w:type="pct"/>
            <w:tcBorders>
              <w:top w:val="nil"/>
              <w:left w:val="nil"/>
              <w:bottom w:val="single" w:sz="12" w:space="0" w:color="95D600"/>
              <w:right w:val="nil"/>
            </w:tcBorders>
            <w:shd w:val="clear" w:color="000000" w:fill="036479"/>
            <w:vAlign w:val="center"/>
            <w:hideMark/>
          </w:tcPr>
          <w:p w14:paraId="7ACC1D21" w14:textId="77777777" w:rsidR="00AC5DE7" w:rsidRPr="00BF46CF" w:rsidRDefault="00AC5DE7" w:rsidP="00BF46CF">
            <w:pPr>
              <w:spacing w:after="0" w:line="240" w:lineRule="auto"/>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Program Path</w:t>
            </w:r>
          </w:p>
        </w:tc>
        <w:tc>
          <w:tcPr>
            <w:tcW w:w="524" w:type="pct"/>
            <w:tcBorders>
              <w:top w:val="nil"/>
              <w:left w:val="nil"/>
              <w:bottom w:val="single" w:sz="12" w:space="0" w:color="95D600"/>
              <w:right w:val="nil"/>
            </w:tcBorders>
            <w:shd w:val="clear" w:color="000000" w:fill="036479"/>
            <w:vAlign w:val="center"/>
            <w:hideMark/>
          </w:tcPr>
          <w:p w14:paraId="59C37207" w14:textId="77777777" w:rsidR="00AC5DE7" w:rsidRPr="00BF46CF" w:rsidRDefault="00AC5DE7" w:rsidP="00BF46CF">
            <w:pPr>
              <w:spacing w:after="0" w:line="240" w:lineRule="auto"/>
              <w:jc w:val="center"/>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DAC Project</w:t>
            </w:r>
          </w:p>
        </w:tc>
        <w:tc>
          <w:tcPr>
            <w:tcW w:w="406" w:type="pct"/>
            <w:tcBorders>
              <w:top w:val="nil"/>
              <w:left w:val="nil"/>
              <w:bottom w:val="single" w:sz="12" w:space="0" w:color="95D600"/>
              <w:right w:val="nil"/>
            </w:tcBorders>
            <w:shd w:val="clear" w:color="000000" w:fill="036479"/>
            <w:vAlign w:val="center"/>
            <w:hideMark/>
          </w:tcPr>
          <w:p w14:paraId="39FA4B83" w14:textId="77777777" w:rsidR="00AC5DE7" w:rsidRPr="00BF46CF" w:rsidRDefault="00AC5DE7" w:rsidP="00BF46CF">
            <w:pPr>
              <w:spacing w:after="0" w:line="240" w:lineRule="auto"/>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Units</w:t>
            </w:r>
          </w:p>
        </w:tc>
        <w:tc>
          <w:tcPr>
            <w:tcW w:w="392" w:type="pct"/>
            <w:tcBorders>
              <w:top w:val="nil"/>
              <w:left w:val="nil"/>
              <w:bottom w:val="single" w:sz="12" w:space="0" w:color="95D600"/>
              <w:right w:val="nil"/>
            </w:tcBorders>
            <w:shd w:val="clear" w:color="000000" w:fill="036479"/>
            <w:vAlign w:val="center"/>
            <w:hideMark/>
          </w:tcPr>
          <w:p w14:paraId="522FB9AE" w14:textId="77777777" w:rsidR="00AC5DE7" w:rsidRPr="00BF46CF" w:rsidRDefault="00AC5DE7" w:rsidP="00BF46CF">
            <w:pPr>
              <w:spacing w:after="0" w:line="240" w:lineRule="auto"/>
              <w:jc w:val="right"/>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Quantity</w:t>
            </w:r>
          </w:p>
        </w:tc>
        <w:tc>
          <w:tcPr>
            <w:tcW w:w="401" w:type="pct"/>
            <w:tcBorders>
              <w:top w:val="nil"/>
              <w:left w:val="nil"/>
              <w:bottom w:val="single" w:sz="12" w:space="0" w:color="95D600"/>
              <w:right w:val="nil"/>
            </w:tcBorders>
            <w:shd w:val="clear" w:color="000000" w:fill="036479"/>
            <w:vAlign w:val="center"/>
            <w:hideMark/>
          </w:tcPr>
          <w:p w14:paraId="0BF320EE" w14:textId="77777777" w:rsidR="00AC5DE7" w:rsidRPr="00BF46CF" w:rsidRDefault="00AC5DE7" w:rsidP="00BF46CF">
            <w:pPr>
              <w:spacing w:after="0" w:line="240" w:lineRule="auto"/>
              <w:jc w:val="right"/>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Effective Useful Life</w:t>
            </w:r>
          </w:p>
        </w:tc>
        <w:tc>
          <w:tcPr>
            <w:tcW w:w="560" w:type="pct"/>
            <w:tcBorders>
              <w:top w:val="nil"/>
              <w:left w:val="nil"/>
              <w:bottom w:val="single" w:sz="12" w:space="0" w:color="95D600"/>
              <w:right w:val="nil"/>
            </w:tcBorders>
            <w:shd w:val="clear" w:color="000000" w:fill="036479"/>
            <w:vAlign w:val="center"/>
            <w:hideMark/>
          </w:tcPr>
          <w:p w14:paraId="09430057" w14:textId="77777777" w:rsidR="00AC5DE7" w:rsidRPr="00BF46CF" w:rsidRDefault="00AC5DE7" w:rsidP="00BF46CF">
            <w:pPr>
              <w:spacing w:after="0" w:line="240" w:lineRule="auto"/>
              <w:jc w:val="center"/>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Early Replacement Flag†</w:t>
            </w:r>
          </w:p>
        </w:tc>
        <w:tc>
          <w:tcPr>
            <w:tcW w:w="482" w:type="pct"/>
            <w:tcBorders>
              <w:top w:val="nil"/>
              <w:left w:val="nil"/>
              <w:bottom w:val="single" w:sz="12" w:space="0" w:color="95D600"/>
              <w:right w:val="nil"/>
            </w:tcBorders>
            <w:shd w:val="clear" w:color="000000" w:fill="036479"/>
            <w:vAlign w:val="center"/>
            <w:hideMark/>
          </w:tcPr>
          <w:p w14:paraId="6A70ADB8" w14:textId="77777777" w:rsidR="00AC5DE7" w:rsidRPr="00BF46CF" w:rsidRDefault="00AC5DE7" w:rsidP="00BF46CF">
            <w:pPr>
              <w:spacing w:after="0" w:line="240" w:lineRule="auto"/>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Verified Gross Annual Water Savings (Gallons)*</w:t>
            </w:r>
          </w:p>
        </w:tc>
        <w:tc>
          <w:tcPr>
            <w:tcW w:w="405" w:type="pct"/>
            <w:tcBorders>
              <w:top w:val="nil"/>
              <w:left w:val="nil"/>
              <w:bottom w:val="single" w:sz="12" w:space="0" w:color="95D600"/>
              <w:right w:val="nil"/>
            </w:tcBorders>
            <w:shd w:val="clear" w:color="000000" w:fill="036479"/>
            <w:vAlign w:val="center"/>
            <w:hideMark/>
          </w:tcPr>
          <w:p w14:paraId="7FC55ACF" w14:textId="77777777" w:rsidR="00AC5DE7" w:rsidRPr="00BF46CF" w:rsidRDefault="00AC5DE7" w:rsidP="00BF46CF">
            <w:pPr>
              <w:spacing w:after="0" w:line="240" w:lineRule="auto"/>
              <w:jc w:val="right"/>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Ex Ante Gross Savings (Therms)</w:t>
            </w:r>
          </w:p>
        </w:tc>
        <w:tc>
          <w:tcPr>
            <w:tcW w:w="405" w:type="pct"/>
            <w:tcBorders>
              <w:top w:val="nil"/>
              <w:left w:val="nil"/>
              <w:bottom w:val="single" w:sz="12" w:space="0" w:color="95D600"/>
              <w:right w:val="nil"/>
            </w:tcBorders>
            <w:shd w:val="clear" w:color="000000" w:fill="036479"/>
            <w:vAlign w:val="center"/>
            <w:hideMark/>
          </w:tcPr>
          <w:p w14:paraId="5139B7C7" w14:textId="77777777" w:rsidR="00AC5DE7" w:rsidRPr="00BF46CF" w:rsidRDefault="00AC5DE7" w:rsidP="00BF46CF">
            <w:pPr>
              <w:spacing w:after="0" w:line="240" w:lineRule="auto"/>
              <w:jc w:val="right"/>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Verified Gross Savings (Therms)</w:t>
            </w:r>
          </w:p>
        </w:tc>
        <w:tc>
          <w:tcPr>
            <w:tcW w:w="405" w:type="pct"/>
            <w:tcBorders>
              <w:top w:val="nil"/>
              <w:left w:val="nil"/>
              <w:bottom w:val="single" w:sz="12" w:space="0" w:color="95D600"/>
              <w:right w:val="nil"/>
            </w:tcBorders>
            <w:shd w:val="clear" w:color="000000" w:fill="036479"/>
            <w:vAlign w:val="center"/>
            <w:hideMark/>
          </w:tcPr>
          <w:p w14:paraId="2E4C1B72" w14:textId="77777777" w:rsidR="00AC5DE7" w:rsidRPr="00BF46CF" w:rsidRDefault="00AC5DE7" w:rsidP="00BF46CF">
            <w:pPr>
              <w:spacing w:after="0" w:line="240" w:lineRule="auto"/>
              <w:jc w:val="right"/>
              <w:rPr>
                <w:rFonts w:ascii="Aptos Narrow" w:eastAsia="Times New Roman" w:hAnsi="Aptos Narrow" w:cs="Calibri"/>
                <w:b/>
                <w:bCs/>
                <w:color w:val="FFFFFF"/>
                <w:sz w:val="20"/>
                <w:szCs w:val="20"/>
                <w:lang w:eastAsia="en-US"/>
              </w:rPr>
            </w:pPr>
            <w:r w:rsidRPr="00BF46CF">
              <w:rPr>
                <w:rFonts w:ascii="Aptos Narrow" w:eastAsia="Times New Roman" w:hAnsi="Aptos Narrow" w:cs="Calibri"/>
                <w:b/>
                <w:bCs/>
                <w:color w:val="FFFFFF"/>
                <w:sz w:val="20"/>
                <w:szCs w:val="20"/>
                <w:lang w:eastAsia="en-US"/>
              </w:rPr>
              <w:t>Verified Net Savings (Therms)</w:t>
            </w:r>
          </w:p>
        </w:tc>
      </w:tr>
      <w:tr w:rsidR="00AC5DE7" w:rsidRPr="00BF46CF" w14:paraId="719EEC31" w14:textId="77777777" w:rsidTr="005A296C">
        <w:trPr>
          <w:trHeight w:val="300"/>
        </w:trPr>
        <w:tc>
          <w:tcPr>
            <w:tcW w:w="407" w:type="pct"/>
            <w:tcBorders>
              <w:top w:val="nil"/>
              <w:left w:val="nil"/>
              <w:bottom w:val="single" w:sz="8" w:space="0" w:color="B3EFFD"/>
              <w:right w:val="nil"/>
            </w:tcBorders>
            <w:shd w:val="clear" w:color="000000" w:fill="FFFFFF"/>
            <w:vAlign w:val="center"/>
            <w:hideMark/>
          </w:tcPr>
          <w:p w14:paraId="11F8D9A1" w14:textId="77777777" w:rsidR="00AC5DE7" w:rsidRPr="00BF46CF" w:rsidRDefault="00AC5DE7" w:rsidP="00BF46CF">
            <w:pPr>
              <w:spacing w:after="0" w:line="240" w:lineRule="auto"/>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Private</w:t>
            </w:r>
          </w:p>
        </w:tc>
        <w:tc>
          <w:tcPr>
            <w:tcW w:w="614" w:type="pct"/>
            <w:tcBorders>
              <w:top w:val="nil"/>
              <w:left w:val="nil"/>
              <w:bottom w:val="single" w:sz="8" w:space="0" w:color="B3EFFD"/>
              <w:right w:val="nil"/>
            </w:tcBorders>
            <w:vAlign w:val="center"/>
            <w:hideMark/>
          </w:tcPr>
          <w:p w14:paraId="12C1AFA3" w14:textId="77777777" w:rsidR="00AC5DE7" w:rsidRPr="00BF46CF" w:rsidRDefault="00AC5DE7" w:rsidP="00BF46CF">
            <w:pPr>
              <w:spacing w:after="0" w:line="240" w:lineRule="auto"/>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Whole Building</w:t>
            </w:r>
          </w:p>
        </w:tc>
        <w:tc>
          <w:tcPr>
            <w:tcW w:w="524" w:type="pct"/>
            <w:tcBorders>
              <w:top w:val="nil"/>
              <w:left w:val="nil"/>
              <w:bottom w:val="single" w:sz="8" w:space="0" w:color="B3EFFD"/>
              <w:right w:val="nil"/>
            </w:tcBorders>
            <w:shd w:val="clear" w:color="000000" w:fill="FFFFFF"/>
            <w:noWrap/>
            <w:vAlign w:val="center"/>
            <w:hideMark/>
          </w:tcPr>
          <w:p w14:paraId="43646214" w14:textId="77777777" w:rsidR="00AC5DE7" w:rsidRPr="00BF46CF" w:rsidRDefault="00AC5DE7" w:rsidP="00BF46CF">
            <w:pPr>
              <w:spacing w:after="0" w:line="240" w:lineRule="auto"/>
              <w:jc w:val="center"/>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FALSE</w:t>
            </w:r>
          </w:p>
        </w:tc>
        <w:tc>
          <w:tcPr>
            <w:tcW w:w="406" w:type="pct"/>
            <w:tcBorders>
              <w:top w:val="nil"/>
              <w:left w:val="nil"/>
              <w:bottom w:val="single" w:sz="8" w:space="0" w:color="B3EFFD"/>
              <w:right w:val="nil"/>
            </w:tcBorders>
            <w:shd w:val="clear" w:color="000000" w:fill="FFFFFF"/>
            <w:noWrap/>
            <w:vAlign w:val="center"/>
            <w:hideMark/>
          </w:tcPr>
          <w:p w14:paraId="7D136278" w14:textId="77777777" w:rsidR="00AC5DE7" w:rsidRPr="00BF46CF" w:rsidRDefault="00AC5DE7" w:rsidP="00BF46CF">
            <w:pPr>
              <w:spacing w:after="0" w:line="240" w:lineRule="auto"/>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Projects</w:t>
            </w:r>
          </w:p>
        </w:tc>
        <w:tc>
          <w:tcPr>
            <w:tcW w:w="392" w:type="pct"/>
            <w:tcBorders>
              <w:top w:val="nil"/>
              <w:left w:val="nil"/>
              <w:bottom w:val="single" w:sz="8" w:space="0" w:color="B3EFFD"/>
              <w:right w:val="nil"/>
            </w:tcBorders>
            <w:shd w:val="clear" w:color="000000" w:fill="FFFFFF"/>
            <w:noWrap/>
            <w:vAlign w:val="center"/>
            <w:hideMark/>
          </w:tcPr>
          <w:p w14:paraId="6BB58130"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3 </w:t>
            </w:r>
          </w:p>
        </w:tc>
        <w:tc>
          <w:tcPr>
            <w:tcW w:w="401" w:type="pct"/>
            <w:tcBorders>
              <w:top w:val="nil"/>
              <w:left w:val="nil"/>
              <w:bottom w:val="single" w:sz="8" w:space="0" w:color="B3EFFD"/>
              <w:right w:val="nil"/>
            </w:tcBorders>
            <w:shd w:val="clear" w:color="000000" w:fill="FFFFFF"/>
            <w:noWrap/>
            <w:vAlign w:val="center"/>
            <w:hideMark/>
          </w:tcPr>
          <w:p w14:paraId="2D2A0859"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20.6 </w:t>
            </w:r>
          </w:p>
        </w:tc>
        <w:tc>
          <w:tcPr>
            <w:tcW w:w="560" w:type="pct"/>
            <w:tcBorders>
              <w:top w:val="nil"/>
              <w:left w:val="nil"/>
              <w:bottom w:val="single" w:sz="8" w:space="0" w:color="B3EFFD"/>
              <w:right w:val="nil"/>
            </w:tcBorders>
            <w:shd w:val="clear" w:color="000000" w:fill="FFFFFF"/>
            <w:noWrap/>
            <w:vAlign w:val="center"/>
            <w:hideMark/>
          </w:tcPr>
          <w:p w14:paraId="408F0630" w14:textId="77777777" w:rsidR="00AC5DE7" w:rsidRPr="00BF46CF" w:rsidRDefault="00AC5DE7" w:rsidP="00BF46CF">
            <w:pPr>
              <w:spacing w:after="0" w:line="240" w:lineRule="auto"/>
              <w:jc w:val="center"/>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NO</w:t>
            </w:r>
          </w:p>
        </w:tc>
        <w:tc>
          <w:tcPr>
            <w:tcW w:w="482" w:type="pct"/>
            <w:tcBorders>
              <w:top w:val="nil"/>
              <w:left w:val="nil"/>
              <w:bottom w:val="single" w:sz="8" w:space="0" w:color="B3EFFD"/>
              <w:right w:val="nil"/>
            </w:tcBorders>
            <w:shd w:val="clear" w:color="000000" w:fill="FFFFFF"/>
            <w:noWrap/>
            <w:vAlign w:val="center"/>
            <w:hideMark/>
          </w:tcPr>
          <w:p w14:paraId="49ED40B2"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5,190,068 </w:t>
            </w:r>
          </w:p>
        </w:tc>
        <w:tc>
          <w:tcPr>
            <w:tcW w:w="405" w:type="pct"/>
            <w:tcBorders>
              <w:top w:val="nil"/>
              <w:left w:val="nil"/>
              <w:bottom w:val="single" w:sz="8" w:space="0" w:color="B3EFFD"/>
              <w:right w:val="nil"/>
            </w:tcBorders>
            <w:shd w:val="clear" w:color="000000" w:fill="FFFFFF"/>
            <w:vAlign w:val="center"/>
            <w:hideMark/>
          </w:tcPr>
          <w:p w14:paraId="2DD7BDAA"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100,203 </w:t>
            </w:r>
          </w:p>
        </w:tc>
        <w:tc>
          <w:tcPr>
            <w:tcW w:w="405" w:type="pct"/>
            <w:tcBorders>
              <w:top w:val="nil"/>
              <w:left w:val="nil"/>
              <w:bottom w:val="single" w:sz="8" w:space="0" w:color="B3EFFD"/>
              <w:right w:val="nil"/>
            </w:tcBorders>
            <w:vAlign w:val="center"/>
            <w:hideMark/>
          </w:tcPr>
          <w:p w14:paraId="4893E3CC"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94,848 </w:t>
            </w:r>
          </w:p>
        </w:tc>
        <w:tc>
          <w:tcPr>
            <w:tcW w:w="405" w:type="pct"/>
            <w:tcBorders>
              <w:top w:val="nil"/>
              <w:left w:val="nil"/>
              <w:bottom w:val="single" w:sz="8" w:space="0" w:color="B3EFFD"/>
              <w:right w:val="nil"/>
            </w:tcBorders>
            <w:shd w:val="clear" w:color="000000" w:fill="FFFFFF"/>
            <w:noWrap/>
            <w:vAlign w:val="center"/>
            <w:hideMark/>
          </w:tcPr>
          <w:p w14:paraId="6C96D60F"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40,785 </w:t>
            </w:r>
          </w:p>
        </w:tc>
      </w:tr>
      <w:tr w:rsidR="00AC5DE7" w:rsidRPr="00BF46CF" w14:paraId="5B808FCC" w14:textId="77777777" w:rsidTr="005A296C">
        <w:trPr>
          <w:trHeight w:val="300"/>
        </w:trPr>
        <w:tc>
          <w:tcPr>
            <w:tcW w:w="407" w:type="pct"/>
            <w:tcBorders>
              <w:top w:val="nil"/>
              <w:left w:val="nil"/>
              <w:bottom w:val="single" w:sz="8" w:space="0" w:color="B3EFFD"/>
              <w:right w:val="nil"/>
            </w:tcBorders>
            <w:shd w:val="clear" w:color="000000" w:fill="FFFFFF"/>
            <w:vAlign w:val="center"/>
            <w:hideMark/>
          </w:tcPr>
          <w:p w14:paraId="78D7FF9F" w14:textId="77777777" w:rsidR="00AC5DE7" w:rsidRPr="00BF46CF" w:rsidRDefault="00AC5DE7" w:rsidP="00BF46CF">
            <w:pPr>
              <w:spacing w:after="0" w:line="240" w:lineRule="auto"/>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Public</w:t>
            </w:r>
          </w:p>
        </w:tc>
        <w:tc>
          <w:tcPr>
            <w:tcW w:w="614" w:type="pct"/>
            <w:tcBorders>
              <w:top w:val="nil"/>
              <w:left w:val="nil"/>
              <w:bottom w:val="single" w:sz="8" w:space="0" w:color="B3EFFD"/>
              <w:right w:val="nil"/>
            </w:tcBorders>
            <w:vAlign w:val="center"/>
            <w:hideMark/>
          </w:tcPr>
          <w:p w14:paraId="11765F4A" w14:textId="77777777" w:rsidR="00AC5DE7" w:rsidRPr="00BF46CF" w:rsidRDefault="00AC5DE7" w:rsidP="00BF46CF">
            <w:pPr>
              <w:spacing w:after="0" w:line="240" w:lineRule="auto"/>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Whole Building</w:t>
            </w:r>
          </w:p>
        </w:tc>
        <w:tc>
          <w:tcPr>
            <w:tcW w:w="524" w:type="pct"/>
            <w:tcBorders>
              <w:top w:val="nil"/>
              <w:left w:val="nil"/>
              <w:bottom w:val="single" w:sz="8" w:space="0" w:color="B3EFFD"/>
              <w:right w:val="nil"/>
            </w:tcBorders>
            <w:shd w:val="clear" w:color="000000" w:fill="FFFFFF"/>
            <w:noWrap/>
            <w:vAlign w:val="center"/>
            <w:hideMark/>
          </w:tcPr>
          <w:p w14:paraId="780D7A3A" w14:textId="129628D1" w:rsidR="00AC5DE7" w:rsidRPr="00BF46CF" w:rsidRDefault="00AC5DE7" w:rsidP="00BF46CF">
            <w:pPr>
              <w:spacing w:after="0" w:line="240" w:lineRule="auto"/>
              <w:jc w:val="center"/>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FALSE</w:t>
            </w:r>
          </w:p>
        </w:tc>
        <w:tc>
          <w:tcPr>
            <w:tcW w:w="406" w:type="pct"/>
            <w:tcBorders>
              <w:top w:val="nil"/>
              <w:left w:val="nil"/>
              <w:bottom w:val="single" w:sz="8" w:space="0" w:color="B3EFFD"/>
              <w:right w:val="nil"/>
            </w:tcBorders>
            <w:shd w:val="clear" w:color="000000" w:fill="FFFFFF"/>
            <w:noWrap/>
            <w:vAlign w:val="center"/>
            <w:hideMark/>
          </w:tcPr>
          <w:p w14:paraId="3816F03E" w14:textId="77777777" w:rsidR="00AC5DE7" w:rsidRPr="00BF46CF" w:rsidRDefault="00AC5DE7" w:rsidP="00BF46CF">
            <w:pPr>
              <w:spacing w:after="0" w:line="240" w:lineRule="auto"/>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Projects</w:t>
            </w:r>
          </w:p>
        </w:tc>
        <w:tc>
          <w:tcPr>
            <w:tcW w:w="392" w:type="pct"/>
            <w:tcBorders>
              <w:top w:val="nil"/>
              <w:left w:val="nil"/>
              <w:bottom w:val="single" w:sz="8" w:space="0" w:color="B3EFFD"/>
              <w:right w:val="nil"/>
            </w:tcBorders>
            <w:shd w:val="clear" w:color="000000" w:fill="FFFFFF"/>
            <w:noWrap/>
            <w:vAlign w:val="center"/>
            <w:hideMark/>
          </w:tcPr>
          <w:p w14:paraId="630B4706"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1 </w:t>
            </w:r>
          </w:p>
        </w:tc>
        <w:tc>
          <w:tcPr>
            <w:tcW w:w="401" w:type="pct"/>
            <w:tcBorders>
              <w:top w:val="nil"/>
              <w:left w:val="nil"/>
              <w:bottom w:val="single" w:sz="8" w:space="0" w:color="B3EFFD"/>
              <w:right w:val="nil"/>
            </w:tcBorders>
            <w:shd w:val="clear" w:color="000000" w:fill="FFFFFF"/>
            <w:noWrap/>
            <w:vAlign w:val="center"/>
            <w:hideMark/>
          </w:tcPr>
          <w:p w14:paraId="42B09C7A"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20.6 </w:t>
            </w:r>
          </w:p>
        </w:tc>
        <w:tc>
          <w:tcPr>
            <w:tcW w:w="560" w:type="pct"/>
            <w:tcBorders>
              <w:top w:val="nil"/>
              <w:left w:val="nil"/>
              <w:bottom w:val="single" w:sz="8" w:space="0" w:color="B3EFFD"/>
              <w:right w:val="nil"/>
            </w:tcBorders>
            <w:shd w:val="clear" w:color="000000" w:fill="FFFFFF"/>
            <w:noWrap/>
            <w:vAlign w:val="center"/>
            <w:hideMark/>
          </w:tcPr>
          <w:p w14:paraId="0C6FD25C" w14:textId="77777777" w:rsidR="00AC5DE7" w:rsidRPr="00BF46CF" w:rsidRDefault="00AC5DE7" w:rsidP="00BF46CF">
            <w:pPr>
              <w:spacing w:after="0" w:line="240" w:lineRule="auto"/>
              <w:jc w:val="center"/>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NO</w:t>
            </w:r>
          </w:p>
        </w:tc>
        <w:tc>
          <w:tcPr>
            <w:tcW w:w="482" w:type="pct"/>
            <w:tcBorders>
              <w:top w:val="nil"/>
              <w:left w:val="nil"/>
              <w:bottom w:val="single" w:sz="8" w:space="0" w:color="B3EFFD"/>
              <w:right w:val="nil"/>
            </w:tcBorders>
            <w:shd w:val="clear" w:color="000000" w:fill="FFFFFF"/>
            <w:noWrap/>
            <w:vAlign w:val="center"/>
            <w:hideMark/>
          </w:tcPr>
          <w:p w14:paraId="38E5C553"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64,469 </w:t>
            </w:r>
          </w:p>
        </w:tc>
        <w:tc>
          <w:tcPr>
            <w:tcW w:w="405" w:type="pct"/>
            <w:tcBorders>
              <w:top w:val="nil"/>
              <w:left w:val="nil"/>
              <w:bottom w:val="single" w:sz="8" w:space="0" w:color="B3EFFD"/>
              <w:right w:val="nil"/>
            </w:tcBorders>
            <w:shd w:val="clear" w:color="000000" w:fill="FFFFFF"/>
            <w:vAlign w:val="center"/>
            <w:hideMark/>
          </w:tcPr>
          <w:p w14:paraId="61CFD9F1"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2,037 </w:t>
            </w:r>
          </w:p>
        </w:tc>
        <w:tc>
          <w:tcPr>
            <w:tcW w:w="405" w:type="pct"/>
            <w:tcBorders>
              <w:top w:val="nil"/>
              <w:left w:val="nil"/>
              <w:bottom w:val="single" w:sz="8" w:space="0" w:color="B3EFFD"/>
              <w:right w:val="nil"/>
            </w:tcBorders>
            <w:vAlign w:val="center"/>
            <w:hideMark/>
          </w:tcPr>
          <w:p w14:paraId="7DE8D5C1" w14:textId="77777777"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1,928 </w:t>
            </w:r>
          </w:p>
        </w:tc>
        <w:tc>
          <w:tcPr>
            <w:tcW w:w="405" w:type="pct"/>
            <w:tcBorders>
              <w:top w:val="nil"/>
              <w:left w:val="nil"/>
              <w:bottom w:val="single" w:sz="8" w:space="0" w:color="B3EFFD"/>
              <w:right w:val="nil"/>
            </w:tcBorders>
            <w:shd w:val="clear" w:color="000000" w:fill="FFFFFF"/>
            <w:noWrap/>
            <w:vAlign w:val="center"/>
            <w:hideMark/>
          </w:tcPr>
          <w:p w14:paraId="685D39D5" w14:textId="78DBECAE" w:rsidR="00AC5DE7" w:rsidRPr="00BF46CF" w:rsidRDefault="00AC5DE7" w:rsidP="00BF46CF">
            <w:pPr>
              <w:spacing w:after="0" w:line="240" w:lineRule="auto"/>
              <w:jc w:val="right"/>
              <w:rPr>
                <w:rFonts w:ascii="Aptos Narrow" w:eastAsia="Times New Roman" w:hAnsi="Aptos Narrow" w:cs="Calibri"/>
                <w:color w:val="000000"/>
                <w:sz w:val="20"/>
                <w:szCs w:val="20"/>
                <w:lang w:eastAsia="en-US"/>
              </w:rPr>
            </w:pPr>
            <w:r w:rsidRPr="00BF46CF">
              <w:rPr>
                <w:rFonts w:ascii="Aptos Narrow" w:eastAsia="Times New Roman" w:hAnsi="Aptos Narrow" w:cs="Calibri"/>
                <w:color w:val="000000"/>
                <w:sz w:val="20"/>
                <w:szCs w:val="20"/>
                <w:lang w:eastAsia="en-US"/>
              </w:rPr>
              <w:t xml:space="preserve"> 829 </w:t>
            </w:r>
          </w:p>
        </w:tc>
      </w:tr>
      <w:tr w:rsidR="00AC5DE7" w:rsidRPr="00BF46CF" w14:paraId="30382521" w14:textId="77777777" w:rsidTr="005A296C">
        <w:trPr>
          <w:trHeight w:val="270"/>
        </w:trPr>
        <w:tc>
          <w:tcPr>
            <w:tcW w:w="1020" w:type="pct"/>
            <w:gridSpan w:val="2"/>
            <w:tcBorders>
              <w:top w:val="single" w:sz="8" w:space="0" w:color="B3EFFD"/>
              <w:left w:val="nil"/>
              <w:bottom w:val="single" w:sz="8" w:space="0" w:color="036479"/>
              <w:right w:val="nil"/>
            </w:tcBorders>
            <w:vAlign w:val="center"/>
            <w:hideMark/>
          </w:tcPr>
          <w:p w14:paraId="6E1962C4" w14:textId="77777777" w:rsidR="00AC5DE7" w:rsidRPr="00BF46CF" w:rsidRDefault="00AC5DE7" w:rsidP="00BF46CF">
            <w:pPr>
              <w:spacing w:after="0" w:line="240" w:lineRule="auto"/>
              <w:rPr>
                <w:rFonts w:ascii="Aptos Narrow" w:eastAsia="Times New Roman" w:hAnsi="Aptos Narrow" w:cs="Calibri"/>
                <w:b/>
                <w:bCs/>
                <w:color w:val="000000"/>
                <w:sz w:val="20"/>
                <w:szCs w:val="20"/>
                <w:lang w:eastAsia="en-US"/>
              </w:rPr>
            </w:pPr>
            <w:r w:rsidRPr="00BF46CF">
              <w:rPr>
                <w:rFonts w:ascii="Aptos Narrow" w:eastAsia="Times New Roman" w:hAnsi="Aptos Narrow" w:cs="Calibri"/>
                <w:b/>
                <w:bCs/>
                <w:color w:val="000000"/>
                <w:sz w:val="20"/>
                <w:szCs w:val="20"/>
                <w:lang w:eastAsia="en-US"/>
              </w:rPr>
              <w:t>Total or Weighted Average</w:t>
            </w:r>
          </w:p>
        </w:tc>
        <w:tc>
          <w:tcPr>
            <w:tcW w:w="524" w:type="pct"/>
            <w:tcBorders>
              <w:top w:val="nil"/>
              <w:left w:val="nil"/>
              <w:bottom w:val="single" w:sz="8" w:space="0" w:color="036479"/>
              <w:right w:val="nil"/>
            </w:tcBorders>
            <w:noWrap/>
            <w:vAlign w:val="center"/>
            <w:hideMark/>
          </w:tcPr>
          <w:p w14:paraId="112D992B" w14:textId="77777777" w:rsidR="00AC5DE7" w:rsidRPr="00BF46CF" w:rsidRDefault="00AC5DE7" w:rsidP="00BF46CF">
            <w:pPr>
              <w:spacing w:after="0" w:line="240" w:lineRule="auto"/>
              <w:rPr>
                <w:rFonts w:ascii="Times New Roman" w:eastAsia="Times New Roman" w:hAnsi="Times New Roman" w:cs="Times New Roman"/>
                <w:sz w:val="20"/>
                <w:szCs w:val="20"/>
                <w:lang w:eastAsia="en-US"/>
              </w:rPr>
            </w:pPr>
          </w:p>
        </w:tc>
        <w:tc>
          <w:tcPr>
            <w:tcW w:w="406" w:type="pct"/>
            <w:tcBorders>
              <w:top w:val="nil"/>
              <w:left w:val="nil"/>
              <w:bottom w:val="single" w:sz="8" w:space="0" w:color="036479"/>
              <w:right w:val="nil"/>
            </w:tcBorders>
            <w:noWrap/>
            <w:vAlign w:val="center"/>
            <w:hideMark/>
          </w:tcPr>
          <w:p w14:paraId="1D59C88F" w14:textId="77777777" w:rsidR="00AC5DE7" w:rsidRPr="00BF46CF" w:rsidRDefault="00AC5DE7" w:rsidP="00BF46CF">
            <w:pPr>
              <w:spacing w:after="0" w:line="240" w:lineRule="auto"/>
              <w:rPr>
                <w:rFonts w:ascii="Times New Roman" w:eastAsia="Times New Roman" w:hAnsi="Times New Roman" w:cs="Times New Roman"/>
                <w:sz w:val="20"/>
                <w:szCs w:val="20"/>
                <w:lang w:eastAsia="en-US"/>
              </w:rPr>
            </w:pPr>
          </w:p>
        </w:tc>
        <w:tc>
          <w:tcPr>
            <w:tcW w:w="392" w:type="pct"/>
            <w:tcBorders>
              <w:top w:val="nil"/>
              <w:left w:val="nil"/>
              <w:bottom w:val="single" w:sz="8" w:space="0" w:color="036479"/>
              <w:right w:val="nil"/>
            </w:tcBorders>
            <w:noWrap/>
            <w:vAlign w:val="center"/>
            <w:hideMark/>
          </w:tcPr>
          <w:p w14:paraId="186FE9CC" w14:textId="77777777" w:rsidR="00AC5DE7" w:rsidRPr="00BF46CF" w:rsidRDefault="00AC5DE7" w:rsidP="00BF46CF">
            <w:pPr>
              <w:spacing w:after="0" w:line="240" w:lineRule="auto"/>
              <w:rPr>
                <w:rFonts w:ascii="Times New Roman" w:eastAsia="Times New Roman" w:hAnsi="Times New Roman" w:cs="Times New Roman"/>
                <w:sz w:val="20"/>
                <w:szCs w:val="20"/>
                <w:lang w:eastAsia="en-US"/>
              </w:rPr>
            </w:pPr>
          </w:p>
        </w:tc>
        <w:tc>
          <w:tcPr>
            <w:tcW w:w="401" w:type="pct"/>
            <w:tcBorders>
              <w:top w:val="nil"/>
              <w:left w:val="nil"/>
              <w:bottom w:val="single" w:sz="8" w:space="0" w:color="036479"/>
              <w:right w:val="nil"/>
            </w:tcBorders>
            <w:noWrap/>
            <w:vAlign w:val="center"/>
            <w:hideMark/>
          </w:tcPr>
          <w:p w14:paraId="1868F467" w14:textId="77777777" w:rsidR="00AC5DE7" w:rsidRPr="00BF46CF" w:rsidRDefault="00AC5DE7" w:rsidP="00BF46CF">
            <w:pPr>
              <w:spacing w:after="0" w:line="240" w:lineRule="auto"/>
              <w:jc w:val="right"/>
              <w:rPr>
                <w:rFonts w:ascii="Aptos Narrow" w:eastAsia="Times New Roman" w:hAnsi="Aptos Narrow" w:cs="Calibri"/>
                <w:b/>
                <w:bCs/>
                <w:color w:val="000000"/>
                <w:sz w:val="20"/>
                <w:szCs w:val="20"/>
                <w:lang w:eastAsia="en-US"/>
              </w:rPr>
            </w:pPr>
            <w:r w:rsidRPr="00BF46CF">
              <w:rPr>
                <w:rFonts w:ascii="Aptos Narrow" w:eastAsia="Times New Roman" w:hAnsi="Aptos Narrow" w:cs="Calibri"/>
                <w:b/>
                <w:bCs/>
                <w:color w:val="000000"/>
                <w:sz w:val="20"/>
                <w:szCs w:val="20"/>
                <w:lang w:eastAsia="en-US"/>
              </w:rPr>
              <w:t xml:space="preserve">20.6 </w:t>
            </w:r>
          </w:p>
        </w:tc>
        <w:tc>
          <w:tcPr>
            <w:tcW w:w="560" w:type="pct"/>
            <w:tcBorders>
              <w:top w:val="nil"/>
              <w:left w:val="nil"/>
              <w:bottom w:val="single" w:sz="8" w:space="0" w:color="036479"/>
              <w:right w:val="nil"/>
            </w:tcBorders>
            <w:noWrap/>
            <w:vAlign w:val="center"/>
            <w:hideMark/>
          </w:tcPr>
          <w:p w14:paraId="0D74DD3A" w14:textId="77777777" w:rsidR="00AC5DE7" w:rsidRPr="00BF46CF" w:rsidRDefault="00AC5DE7" w:rsidP="00BF46CF">
            <w:pPr>
              <w:spacing w:after="0" w:line="240" w:lineRule="auto"/>
              <w:jc w:val="right"/>
              <w:rPr>
                <w:rFonts w:ascii="Aptos Narrow" w:eastAsia="Times New Roman" w:hAnsi="Aptos Narrow" w:cs="Calibri"/>
                <w:b/>
                <w:bCs/>
                <w:color w:val="000000"/>
                <w:sz w:val="20"/>
                <w:szCs w:val="20"/>
                <w:lang w:eastAsia="en-US"/>
              </w:rPr>
            </w:pPr>
          </w:p>
        </w:tc>
        <w:tc>
          <w:tcPr>
            <w:tcW w:w="482" w:type="pct"/>
            <w:tcBorders>
              <w:top w:val="nil"/>
              <w:left w:val="nil"/>
              <w:bottom w:val="single" w:sz="8" w:space="0" w:color="036479"/>
              <w:right w:val="nil"/>
            </w:tcBorders>
            <w:noWrap/>
            <w:vAlign w:val="center"/>
            <w:hideMark/>
          </w:tcPr>
          <w:p w14:paraId="5757AA53" w14:textId="77777777" w:rsidR="00AC5DE7" w:rsidRPr="00BF46CF" w:rsidRDefault="00AC5DE7" w:rsidP="00BF46CF">
            <w:pPr>
              <w:spacing w:after="0" w:line="240" w:lineRule="auto"/>
              <w:jc w:val="right"/>
              <w:rPr>
                <w:rFonts w:ascii="Aptos Narrow" w:eastAsia="Times New Roman" w:hAnsi="Aptos Narrow" w:cs="Calibri"/>
                <w:b/>
                <w:bCs/>
                <w:color w:val="000000"/>
                <w:sz w:val="20"/>
                <w:szCs w:val="20"/>
                <w:lang w:eastAsia="en-US"/>
              </w:rPr>
            </w:pPr>
            <w:r w:rsidRPr="00BF46CF">
              <w:rPr>
                <w:rFonts w:ascii="Aptos Narrow" w:eastAsia="Times New Roman" w:hAnsi="Aptos Narrow" w:cs="Calibri"/>
                <w:b/>
                <w:bCs/>
                <w:color w:val="000000"/>
                <w:sz w:val="20"/>
                <w:szCs w:val="20"/>
                <w:lang w:eastAsia="en-US"/>
              </w:rPr>
              <w:t xml:space="preserve"> 5,254,537 </w:t>
            </w:r>
          </w:p>
        </w:tc>
        <w:tc>
          <w:tcPr>
            <w:tcW w:w="405" w:type="pct"/>
            <w:tcBorders>
              <w:top w:val="nil"/>
              <w:left w:val="nil"/>
              <w:bottom w:val="single" w:sz="8" w:space="0" w:color="036479"/>
              <w:right w:val="nil"/>
            </w:tcBorders>
            <w:noWrap/>
            <w:vAlign w:val="center"/>
            <w:hideMark/>
          </w:tcPr>
          <w:p w14:paraId="592E0B17" w14:textId="77777777" w:rsidR="00AC5DE7" w:rsidRPr="00BF46CF" w:rsidRDefault="00AC5DE7" w:rsidP="00BF46CF">
            <w:pPr>
              <w:spacing w:after="0" w:line="240" w:lineRule="auto"/>
              <w:jc w:val="right"/>
              <w:rPr>
                <w:rFonts w:ascii="Aptos Narrow" w:eastAsia="Times New Roman" w:hAnsi="Aptos Narrow" w:cs="Calibri"/>
                <w:b/>
                <w:bCs/>
                <w:color w:val="000000"/>
                <w:sz w:val="20"/>
                <w:szCs w:val="20"/>
                <w:lang w:eastAsia="en-US"/>
              </w:rPr>
            </w:pPr>
            <w:r w:rsidRPr="00BF46CF">
              <w:rPr>
                <w:rFonts w:ascii="Aptos Narrow" w:eastAsia="Times New Roman" w:hAnsi="Aptos Narrow" w:cs="Calibri"/>
                <w:b/>
                <w:bCs/>
                <w:color w:val="000000"/>
                <w:sz w:val="20"/>
                <w:szCs w:val="20"/>
                <w:lang w:eastAsia="en-US"/>
              </w:rPr>
              <w:t xml:space="preserve"> 102,240 </w:t>
            </w:r>
          </w:p>
        </w:tc>
        <w:tc>
          <w:tcPr>
            <w:tcW w:w="405" w:type="pct"/>
            <w:tcBorders>
              <w:top w:val="nil"/>
              <w:left w:val="nil"/>
              <w:bottom w:val="single" w:sz="8" w:space="0" w:color="036479"/>
              <w:right w:val="nil"/>
            </w:tcBorders>
            <w:noWrap/>
            <w:vAlign w:val="center"/>
            <w:hideMark/>
          </w:tcPr>
          <w:p w14:paraId="566C627F" w14:textId="77777777" w:rsidR="00AC5DE7" w:rsidRPr="00BF46CF" w:rsidRDefault="00AC5DE7" w:rsidP="00BF46CF">
            <w:pPr>
              <w:spacing w:after="0" w:line="240" w:lineRule="auto"/>
              <w:jc w:val="right"/>
              <w:rPr>
                <w:rFonts w:ascii="Aptos Narrow" w:eastAsia="Times New Roman" w:hAnsi="Aptos Narrow" w:cs="Calibri"/>
                <w:b/>
                <w:bCs/>
                <w:color w:val="000000"/>
                <w:sz w:val="20"/>
                <w:szCs w:val="20"/>
                <w:lang w:eastAsia="en-US"/>
              </w:rPr>
            </w:pPr>
            <w:r w:rsidRPr="00BF46CF">
              <w:rPr>
                <w:rFonts w:ascii="Aptos Narrow" w:eastAsia="Times New Roman" w:hAnsi="Aptos Narrow" w:cs="Calibri"/>
                <w:b/>
                <w:bCs/>
                <w:color w:val="000000"/>
                <w:sz w:val="20"/>
                <w:szCs w:val="20"/>
                <w:lang w:eastAsia="en-US"/>
              </w:rPr>
              <w:t xml:space="preserve"> 96,776 </w:t>
            </w:r>
          </w:p>
        </w:tc>
        <w:tc>
          <w:tcPr>
            <w:tcW w:w="405" w:type="pct"/>
            <w:tcBorders>
              <w:top w:val="single" w:sz="8" w:space="0" w:color="B3EFFD"/>
              <w:left w:val="nil"/>
              <w:bottom w:val="single" w:sz="8" w:space="0" w:color="036479"/>
              <w:right w:val="nil"/>
            </w:tcBorders>
            <w:vAlign w:val="center"/>
            <w:hideMark/>
          </w:tcPr>
          <w:p w14:paraId="170B869E" w14:textId="77777777" w:rsidR="00AC5DE7" w:rsidRPr="00BF46CF" w:rsidRDefault="00AC5DE7" w:rsidP="00BF46CF">
            <w:pPr>
              <w:spacing w:after="0" w:line="240" w:lineRule="auto"/>
              <w:jc w:val="right"/>
              <w:rPr>
                <w:rFonts w:ascii="Aptos Narrow" w:eastAsia="Times New Roman" w:hAnsi="Aptos Narrow" w:cs="Calibri"/>
                <w:b/>
                <w:bCs/>
                <w:color w:val="000000"/>
                <w:sz w:val="20"/>
                <w:szCs w:val="20"/>
                <w:lang w:eastAsia="en-US"/>
              </w:rPr>
            </w:pPr>
            <w:r w:rsidRPr="00BF46CF">
              <w:rPr>
                <w:rFonts w:ascii="Aptos Narrow" w:eastAsia="Times New Roman" w:hAnsi="Aptos Narrow" w:cs="Calibri"/>
                <w:b/>
                <w:bCs/>
                <w:color w:val="000000"/>
                <w:sz w:val="20"/>
                <w:szCs w:val="20"/>
                <w:lang w:eastAsia="en-US"/>
              </w:rPr>
              <w:t xml:space="preserve"> 41,614 </w:t>
            </w:r>
          </w:p>
        </w:tc>
      </w:tr>
    </w:tbl>
    <w:p w14:paraId="0148C2BA" w14:textId="52FD2A71" w:rsidR="00672917" w:rsidRPr="00C95E3F" w:rsidRDefault="00672917" w:rsidP="00AC50C1">
      <w:pPr>
        <w:pStyle w:val="TableFigureSource"/>
        <w:rPr>
          <w:i/>
          <w:color w:val="000000" w:themeColor="text1"/>
          <w:szCs w:val="18"/>
        </w:rPr>
      </w:pPr>
      <w:r w:rsidRPr="00C95E3F">
        <w:t xml:space="preserve">*Water savings are due to appliances or water fixtures resulting in natural gas reductions for projects served by Peoples Gas </w:t>
      </w:r>
    </w:p>
    <w:p w14:paraId="3EF4192D" w14:textId="4CF58053" w:rsidR="00672917" w:rsidRPr="00C95E3F" w:rsidRDefault="00672917" w:rsidP="00AC50C1">
      <w:pPr>
        <w:pStyle w:val="TableFigureSource"/>
      </w:pPr>
      <w:r w:rsidRPr="00C95E3F">
        <w:t>Source: Evaluation team analysis.</w:t>
      </w:r>
    </w:p>
    <w:sectPr w:rsidR="00672917" w:rsidRPr="00C95E3F" w:rsidSect="00E150E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37D6" w14:textId="77777777" w:rsidR="00F66F91" w:rsidRDefault="00F66F91" w:rsidP="00BA291E">
      <w:pPr>
        <w:spacing w:after="0" w:line="240" w:lineRule="auto"/>
      </w:pPr>
      <w:r>
        <w:separator/>
      </w:r>
    </w:p>
  </w:endnote>
  <w:endnote w:type="continuationSeparator" w:id="0">
    <w:p w14:paraId="3EF5FB30" w14:textId="77777777" w:rsidR="00F66F91" w:rsidRDefault="00F66F91" w:rsidP="00BA291E">
      <w:pPr>
        <w:spacing w:after="0" w:line="240" w:lineRule="auto"/>
      </w:pPr>
      <w:r>
        <w:continuationSeparator/>
      </w:r>
    </w:p>
  </w:endnote>
  <w:endnote w:type="continuationNotice" w:id="1">
    <w:p w14:paraId="3B163495" w14:textId="77777777" w:rsidR="00F66F91" w:rsidRDefault="00F6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25A89858"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77777777" w:rsidR="00E87E4D" w:rsidRPr="0075421C" w:rsidRDefault="00E87E4D" w:rsidP="00E87E4D">
          <w:pPr>
            <w:pStyle w:val="Footer"/>
            <w:rPr>
              <w:i/>
              <w:iCs/>
              <w:sz w:val="18"/>
            </w:rPr>
          </w:pPr>
          <w:r w:rsidRPr="00322EE7">
            <w:rPr>
              <w:i/>
              <w:iCs/>
              <w:sz w:val="18"/>
            </w:rPr>
            <w:t>© 202</w:t>
          </w:r>
          <w:r>
            <w:rPr>
              <w:i/>
              <w:iCs/>
              <w:sz w:val="18"/>
            </w:rPr>
            <w:t>5</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074033">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074033">
      <w:trPr>
        <w:trHeight w:val="195"/>
        <w:jc w:val="center"/>
      </w:trPr>
      <w:tc>
        <w:tcPr>
          <w:tcW w:w="3569" w:type="pct"/>
          <w:tcBorders>
            <w:top w:val="nil"/>
            <w:left w:val="nil"/>
            <w:bottom w:val="nil"/>
          </w:tcBorders>
          <w:vAlign w:val="center"/>
        </w:tcPr>
        <w:p w14:paraId="3B8C51CF" w14:textId="5CA75688" w:rsidR="00E87E4D" w:rsidRPr="0075421C" w:rsidRDefault="00E87E4D" w:rsidP="00E37CD5">
          <w:pPr>
            <w:pStyle w:val="Footer"/>
            <w:rPr>
              <w:i/>
              <w:iCs/>
              <w:sz w:val="18"/>
            </w:rPr>
          </w:pPr>
          <w:r w:rsidRPr="00322EE7">
            <w:rPr>
              <w:i/>
              <w:iCs/>
              <w:sz w:val="18"/>
            </w:rPr>
            <w:t>© 202</w:t>
          </w:r>
          <w:r w:rsidR="00E26BEA">
            <w:rPr>
              <w:i/>
              <w:iCs/>
              <w:sz w:val="18"/>
            </w:rPr>
            <w:t>6</w:t>
          </w:r>
          <w:r w:rsidRPr="00322EE7">
            <w:rPr>
              <w:i/>
              <w:iCs/>
              <w:sz w:val="18"/>
            </w:rPr>
            <w:t xml:space="preserve"> Guidehouse Inc. All rights reserved.</w:t>
          </w:r>
        </w:p>
      </w:tc>
      <w:tc>
        <w:tcPr>
          <w:tcW w:w="1431" w:type="pct"/>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3D82" w14:textId="77777777" w:rsidR="00F66F91" w:rsidRDefault="00F66F91" w:rsidP="00BA291E">
      <w:pPr>
        <w:spacing w:after="0" w:line="240" w:lineRule="auto"/>
      </w:pPr>
      <w:r>
        <w:separator/>
      </w:r>
    </w:p>
  </w:footnote>
  <w:footnote w:type="continuationSeparator" w:id="0">
    <w:p w14:paraId="36C6D200" w14:textId="77777777" w:rsidR="00F66F91" w:rsidRDefault="00F66F91" w:rsidP="00BA291E">
      <w:pPr>
        <w:spacing w:after="0" w:line="240" w:lineRule="auto"/>
      </w:pPr>
      <w:r>
        <w:continuationSeparator/>
      </w:r>
    </w:p>
  </w:footnote>
  <w:footnote w:type="continuationNotice" w:id="1">
    <w:p w14:paraId="512435EA" w14:textId="77777777" w:rsidR="00F66F91" w:rsidRDefault="00F6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7870AA66" w:rsidR="00ED327C" w:rsidRPr="00F77D23" w:rsidRDefault="00655FB0" w:rsidP="00ED327C">
          <w:pPr>
            <w:pStyle w:val="Header"/>
            <w:jc w:val="right"/>
            <w:rPr>
              <w:bCs/>
              <w:noProof/>
            </w:rPr>
          </w:pPr>
          <w:r>
            <w:rPr>
              <w:bCs/>
              <w:noProof/>
            </w:rPr>
            <w:t>Business New Construction</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trPr>
        <w:jc w:val="center"/>
      </w:trPr>
      <w:tc>
        <w:tcPr>
          <w:tcW w:w="2880" w:type="dxa"/>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116950001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25ABA7FF" w:rsidR="003513F6" w:rsidRPr="00F77D23" w:rsidRDefault="00655FB0" w:rsidP="003513F6">
          <w:pPr>
            <w:pStyle w:val="Header"/>
            <w:jc w:val="right"/>
            <w:rPr>
              <w:bCs/>
              <w:noProof/>
            </w:rPr>
          </w:pPr>
          <w:r>
            <w:rPr>
              <w:bCs/>
              <w:noProof/>
            </w:rPr>
            <w:t>Business New Construction</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074033">
      <w:trPr>
        <w:jc w:val="center"/>
      </w:trPr>
      <w:tc>
        <w:tcPr>
          <w:tcW w:w="1429" w:type="pct"/>
          <w:vAlign w:val="center"/>
        </w:tcPr>
        <w:p w14:paraId="45C22874" w14:textId="77777777" w:rsidR="00766C44" w:rsidRPr="006A71F6" w:rsidRDefault="00766C44" w:rsidP="00766C44">
          <w:pPr>
            <w:pStyle w:val="Header"/>
          </w:pPr>
          <w:r>
            <w:rPr>
              <w:noProof/>
            </w:rPr>
            <w:drawing>
              <wp:inline distT="0" distB="0" distL="0" distR="0" wp14:anchorId="45C5D277" wp14:editId="5127E669">
                <wp:extent cx="1081454" cy="274320"/>
                <wp:effectExtent l="0" t="0" r="4445" b="0"/>
                <wp:docPr id="1237249122"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536321C0" w:rsidR="00766C44" w:rsidRPr="00F77D23" w:rsidRDefault="00655FB0" w:rsidP="00766C44">
          <w:pPr>
            <w:pStyle w:val="Header"/>
            <w:jc w:val="right"/>
            <w:rPr>
              <w:bCs/>
              <w:noProof/>
            </w:rPr>
          </w:pPr>
          <w:r>
            <w:rPr>
              <w:bCs/>
              <w:noProof/>
            </w:rPr>
            <w:t>Business New Construction</w:t>
          </w:r>
          <w:r w:rsidR="00766C44" w:rsidRPr="00F77D23">
            <w:rPr>
              <w:bCs/>
              <w:noProof/>
            </w:rPr>
            <w:t xml:space="preserve"> 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72256DA"/>
    <w:multiLevelType w:val="hybridMultilevel"/>
    <w:tmpl w:val="6FB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720FF"/>
    <w:multiLevelType w:val="hybridMultilevel"/>
    <w:tmpl w:val="42E6EFA2"/>
    <w:styleLink w:val="StyleBulleted"/>
    <w:lvl w:ilvl="0" w:tplc="45B2133C">
      <w:start w:val="1"/>
      <w:numFmt w:val="bullet"/>
      <w:lvlText w:val="»"/>
      <w:lvlJc w:val="left"/>
      <w:pPr>
        <w:tabs>
          <w:tab w:val="num" w:pos="972"/>
        </w:tabs>
        <w:ind w:left="972" w:hanging="432"/>
      </w:pPr>
      <w:rPr>
        <w:rFonts w:ascii="Palatino Linotype" w:hAnsi="Palatino Linotype" w:hint="default"/>
      </w:rPr>
    </w:lvl>
    <w:lvl w:ilvl="1" w:tplc="2F901DC4">
      <w:start w:val="1"/>
      <w:numFmt w:val="bullet"/>
      <w:lvlText w:val="o"/>
      <w:lvlJc w:val="left"/>
      <w:pPr>
        <w:tabs>
          <w:tab w:val="num" w:pos="1440"/>
        </w:tabs>
        <w:ind w:left="1440" w:hanging="360"/>
      </w:pPr>
      <w:rPr>
        <w:rFonts w:ascii="Courier New" w:hAnsi="Courier New" w:hint="default"/>
      </w:rPr>
    </w:lvl>
    <w:lvl w:ilvl="2" w:tplc="472A6C98">
      <w:start w:val="1"/>
      <w:numFmt w:val="bullet"/>
      <w:lvlText w:val=""/>
      <w:lvlJc w:val="left"/>
      <w:pPr>
        <w:tabs>
          <w:tab w:val="num" w:pos="2160"/>
        </w:tabs>
        <w:ind w:left="2160" w:hanging="360"/>
      </w:pPr>
      <w:rPr>
        <w:rFonts w:ascii="Wingdings" w:hAnsi="Wingdings" w:hint="default"/>
      </w:rPr>
    </w:lvl>
    <w:lvl w:ilvl="3" w:tplc="9D9871C0">
      <w:start w:val="1"/>
      <w:numFmt w:val="bullet"/>
      <w:lvlText w:val=""/>
      <w:lvlJc w:val="left"/>
      <w:pPr>
        <w:tabs>
          <w:tab w:val="num" w:pos="2880"/>
        </w:tabs>
        <w:ind w:left="2880" w:hanging="360"/>
      </w:pPr>
      <w:rPr>
        <w:rFonts w:ascii="Symbol" w:hAnsi="Symbol" w:hint="default"/>
      </w:rPr>
    </w:lvl>
    <w:lvl w:ilvl="4" w:tplc="62B4FDA6">
      <w:start w:val="1"/>
      <w:numFmt w:val="bullet"/>
      <w:lvlText w:val="o"/>
      <w:lvlJc w:val="left"/>
      <w:pPr>
        <w:tabs>
          <w:tab w:val="num" w:pos="3600"/>
        </w:tabs>
        <w:ind w:left="3600" w:hanging="360"/>
      </w:pPr>
      <w:rPr>
        <w:rFonts w:ascii="Courier New" w:hAnsi="Courier New" w:cs="Courier New" w:hint="default"/>
      </w:rPr>
    </w:lvl>
    <w:lvl w:ilvl="5" w:tplc="7D663778">
      <w:start w:val="1"/>
      <w:numFmt w:val="bullet"/>
      <w:lvlText w:val=""/>
      <w:lvlJc w:val="left"/>
      <w:pPr>
        <w:tabs>
          <w:tab w:val="num" w:pos="4320"/>
        </w:tabs>
        <w:ind w:left="4320" w:hanging="360"/>
      </w:pPr>
      <w:rPr>
        <w:rFonts w:ascii="Wingdings" w:hAnsi="Wingdings" w:hint="default"/>
      </w:rPr>
    </w:lvl>
    <w:lvl w:ilvl="6" w:tplc="45D6B82E">
      <w:start w:val="1"/>
      <w:numFmt w:val="bullet"/>
      <w:lvlText w:val=""/>
      <w:lvlJc w:val="left"/>
      <w:pPr>
        <w:tabs>
          <w:tab w:val="num" w:pos="5040"/>
        </w:tabs>
        <w:ind w:left="5040" w:hanging="360"/>
      </w:pPr>
      <w:rPr>
        <w:rFonts w:ascii="Symbol" w:hAnsi="Symbol" w:hint="default"/>
      </w:rPr>
    </w:lvl>
    <w:lvl w:ilvl="7" w:tplc="59A0E384">
      <w:start w:val="1"/>
      <w:numFmt w:val="bullet"/>
      <w:lvlText w:val="o"/>
      <w:lvlJc w:val="left"/>
      <w:pPr>
        <w:tabs>
          <w:tab w:val="num" w:pos="5760"/>
        </w:tabs>
        <w:ind w:left="5760" w:hanging="360"/>
      </w:pPr>
      <w:rPr>
        <w:rFonts w:ascii="Courier New" w:hAnsi="Courier New" w:cs="Courier New" w:hint="default"/>
      </w:rPr>
    </w:lvl>
    <w:lvl w:ilvl="8" w:tplc="D65ADB2A">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3"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7FC62AD"/>
    <w:multiLevelType w:val="hybridMultilevel"/>
    <w:tmpl w:val="A982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20"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3"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4"/>
  </w:num>
  <w:num w:numId="2" w16cid:durableId="1897279306">
    <w:abstractNumId w:val="20"/>
  </w:num>
  <w:num w:numId="3" w16cid:durableId="1150948261">
    <w:abstractNumId w:val="4"/>
  </w:num>
  <w:num w:numId="4" w16cid:durableId="424502759">
    <w:abstractNumId w:val="5"/>
  </w:num>
  <w:num w:numId="5" w16cid:durableId="1530214667">
    <w:abstractNumId w:val="27"/>
  </w:num>
  <w:num w:numId="6" w16cid:durableId="820192695">
    <w:abstractNumId w:val="6"/>
  </w:num>
  <w:num w:numId="7" w16cid:durableId="321852425">
    <w:abstractNumId w:val="21"/>
  </w:num>
  <w:num w:numId="8" w16cid:durableId="1755586189">
    <w:abstractNumId w:val="17"/>
  </w:num>
  <w:num w:numId="9" w16cid:durableId="1790969178">
    <w:abstractNumId w:val="26"/>
  </w:num>
  <w:num w:numId="10" w16cid:durableId="1320888804">
    <w:abstractNumId w:val="7"/>
  </w:num>
  <w:num w:numId="11" w16cid:durableId="990789570">
    <w:abstractNumId w:val="13"/>
  </w:num>
  <w:num w:numId="12" w16cid:durableId="499661504">
    <w:abstractNumId w:val="10"/>
  </w:num>
  <w:num w:numId="13" w16cid:durableId="1680110921">
    <w:abstractNumId w:val="25"/>
  </w:num>
  <w:num w:numId="14" w16cid:durableId="869102195">
    <w:abstractNumId w:val="0"/>
  </w:num>
  <w:num w:numId="15" w16cid:durableId="1990472580">
    <w:abstractNumId w:val="22"/>
  </w:num>
  <w:num w:numId="16" w16cid:durableId="812452916">
    <w:abstractNumId w:val="12"/>
  </w:num>
  <w:num w:numId="17" w16cid:durableId="2117434390">
    <w:abstractNumId w:val="11"/>
  </w:num>
  <w:num w:numId="18" w16cid:durableId="913703041">
    <w:abstractNumId w:val="23"/>
  </w:num>
  <w:num w:numId="19" w16cid:durableId="1687176602">
    <w:abstractNumId w:val="19"/>
  </w:num>
  <w:num w:numId="20" w16cid:durableId="1849367968">
    <w:abstractNumId w:val="16"/>
  </w:num>
  <w:num w:numId="21" w16cid:durableId="1668821187">
    <w:abstractNumId w:val="18"/>
  </w:num>
  <w:num w:numId="22" w16cid:durableId="1729065919">
    <w:abstractNumId w:val="14"/>
  </w:num>
  <w:num w:numId="23" w16cid:durableId="380595784">
    <w:abstractNumId w:val="8"/>
  </w:num>
  <w:num w:numId="24" w16cid:durableId="1031690303">
    <w:abstractNumId w:val="3"/>
  </w:num>
  <w:num w:numId="25" w16cid:durableId="118230274">
    <w:abstractNumId w:val="9"/>
  </w:num>
  <w:num w:numId="26" w16cid:durableId="2054033428">
    <w:abstractNumId w:val="1"/>
  </w:num>
  <w:num w:numId="27" w16cid:durableId="1688630771">
    <w:abstractNumId w:val="2"/>
  </w:num>
  <w:num w:numId="28" w16cid:durableId="1177573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3F68"/>
    <w:rsid w:val="000065E9"/>
    <w:rsid w:val="000069F8"/>
    <w:rsid w:val="000173E1"/>
    <w:rsid w:val="00023292"/>
    <w:rsid w:val="00024074"/>
    <w:rsid w:val="00026085"/>
    <w:rsid w:val="0002699F"/>
    <w:rsid w:val="00026C86"/>
    <w:rsid w:val="000270B0"/>
    <w:rsid w:val="00030A7F"/>
    <w:rsid w:val="000349F8"/>
    <w:rsid w:val="00035A6D"/>
    <w:rsid w:val="00036B06"/>
    <w:rsid w:val="000403AA"/>
    <w:rsid w:val="00041D42"/>
    <w:rsid w:val="0004614B"/>
    <w:rsid w:val="00046F8F"/>
    <w:rsid w:val="00052912"/>
    <w:rsid w:val="00055BB6"/>
    <w:rsid w:val="00056BE7"/>
    <w:rsid w:val="00057F9B"/>
    <w:rsid w:val="0006623B"/>
    <w:rsid w:val="00067258"/>
    <w:rsid w:val="0006799E"/>
    <w:rsid w:val="00067F3B"/>
    <w:rsid w:val="000731D2"/>
    <w:rsid w:val="00074033"/>
    <w:rsid w:val="000760FD"/>
    <w:rsid w:val="0007692B"/>
    <w:rsid w:val="000809B4"/>
    <w:rsid w:val="00082BE3"/>
    <w:rsid w:val="00082C83"/>
    <w:rsid w:val="00082D79"/>
    <w:rsid w:val="000840A6"/>
    <w:rsid w:val="000840E9"/>
    <w:rsid w:val="00084201"/>
    <w:rsid w:val="0008553A"/>
    <w:rsid w:val="00085EB7"/>
    <w:rsid w:val="00087B41"/>
    <w:rsid w:val="00094EB4"/>
    <w:rsid w:val="00096ADA"/>
    <w:rsid w:val="00097D48"/>
    <w:rsid w:val="000A21A0"/>
    <w:rsid w:val="000B10F2"/>
    <w:rsid w:val="000B5663"/>
    <w:rsid w:val="000B73B5"/>
    <w:rsid w:val="000B7F56"/>
    <w:rsid w:val="000C2113"/>
    <w:rsid w:val="000C29E0"/>
    <w:rsid w:val="000C2A9C"/>
    <w:rsid w:val="000C2DDD"/>
    <w:rsid w:val="000D1BB9"/>
    <w:rsid w:val="000D3FEE"/>
    <w:rsid w:val="000D42A3"/>
    <w:rsid w:val="000D6656"/>
    <w:rsid w:val="000E5B7D"/>
    <w:rsid w:val="000F28B5"/>
    <w:rsid w:val="000F2C17"/>
    <w:rsid w:val="000F2FB2"/>
    <w:rsid w:val="000F414D"/>
    <w:rsid w:val="000F65B0"/>
    <w:rsid w:val="00101FA3"/>
    <w:rsid w:val="0010260D"/>
    <w:rsid w:val="00106345"/>
    <w:rsid w:val="00114E0B"/>
    <w:rsid w:val="0012137E"/>
    <w:rsid w:val="00122564"/>
    <w:rsid w:val="00123197"/>
    <w:rsid w:val="001233F3"/>
    <w:rsid w:val="00123738"/>
    <w:rsid w:val="00126C7D"/>
    <w:rsid w:val="0012749A"/>
    <w:rsid w:val="00127C01"/>
    <w:rsid w:val="00130CB0"/>
    <w:rsid w:val="00131233"/>
    <w:rsid w:val="00131B5C"/>
    <w:rsid w:val="00131CF5"/>
    <w:rsid w:val="00132B4C"/>
    <w:rsid w:val="001336E1"/>
    <w:rsid w:val="00137EE3"/>
    <w:rsid w:val="0014213A"/>
    <w:rsid w:val="00144E04"/>
    <w:rsid w:val="00150A8D"/>
    <w:rsid w:val="0015129A"/>
    <w:rsid w:val="001513BC"/>
    <w:rsid w:val="001517DB"/>
    <w:rsid w:val="00152FFD"/>
    <w:rsid w:val="001627E9"/>
    <w:rsid w:val="00164B0A"/>
    <w:rsid w:val="00166C34"/>
    <w:rsid w:val="00166FF3"/>
    <w:rsid w:val="0017004C"/>
    <w:rsid w:val="00171B22"/>
    <w:rsid w:val="00173A14"/>
    <w:rsid w:val="0017639E"/>
    <w:rsid w:val="0017702A"/>
    <w:rsid w:val="00180B4F"/>
    <w:rsid w:val="00180CBC"/>
    <w:rsid w:val="00182913"/>
    <w:rsid w:val="00183C10"/>
    <w:rsid w:val="00185805"/>
    <w:rsid w:val="00187113"/>
    <w:rsid w:val="00190360"/>
    <w:rsid w:val="00190A1D"/>
    <w:rsid w:val="001A410E"/>
    <w:rsid w:val="001A4521"/>
    <w:rsid w:val="001A789B"/>
    <w:rsid w:val="001B0034"/>
    <w:rsid w:val="001B064A"/>
    <w:rsid w:val="001B1FAB"/>
    <w:rsid w:val="001B22A8"/>
    <w:rsid w:val="001B330A"/>
    <w:rsid w:val="001B3CD6"/>
    <w:rsid w:val="001B3E46"/>
    <w:rsid w:val="001B4D75"/>
    <w:rsid w:val="001B7B85"/>
    <w:rsid w:val="001C0B5B"/>
    <w:rsid w:val="001C10F5"/>
    <w:rsid w:val="001C17D0"/>
    <w:rsid w:val="001C218D"/>
    <w:rsid w:val="001C5467"/>
    <w:rsid w:val="001C6828"/>
    <w:rsid w:val="001D0625"/>
    <w:rsid w:val="001D5B79"/>
    <w:rsid w:val="001E0441"/>
    <w:rsid w:val="001E1040"/>
    <w:rsid w:val="001E14D1"/>
    <w:rsid w:val="001F0755"/>
    <w:rsid w:val="001F0D32"/>
    <w:rsid w:val="001F1E9D"/>
    <w:rsid w:val="001F25F6"/>
    <w:rsid w:val="001F48F6"/>
    <w:rsid w:val="00202922"/>
    <w:rsid w:val="0020316A"/>
    <w:rsid w:val="002032B9"/>
    <w:rsid w:val="00212FF8"/>
    <w:rsid w:val="00213D3A"/>
    <w:rsid w:val="00216FC1"/>
    <w:rsid w:val="0022080F"/>
    <w:rsid w:val="00221B28"/>
    <w:rsid w:val="00223337"/>
    <w:rsid w:val="00223D93"/>
    <w:rsid w:val="00223DAD"/>
    <w:rsid w:val="00224E60"/>
    <w:rsid w:val="00224ED5"/>
    <w:rsid w:val="002257C3"/>
    <w:rsid w:val="00225BB3"/>
    <w:rsid w:val="00240313"/>
    <w:rsid w:val="00244426"/>
    <w:rsid w:val="00244FCB"/>
    <w:rsid w:val="00247029"/>
    <w:rsid w:val="00251AC6"/>
    <w:rsid w:val="00253550"/>
    <w:rsid w:val="00256D39"/>
    <w:rsid w:val="00260814"/>
    <w:rsid w:val="0026136E"/>
    <w:rsid w:val="00262B49"/>
    <w:rsid w:val="002643C5"/>
    <w:rsid w:val="00270786"/>
    <w:rsid w:val="00274E02"/>
    <w:rsid w:val="00275B65"/>
    <w:rsid w:val="00277933"/>
    <w:rsid w:val="00277C89"/>
    <w:rsid w:val="00282A90"/>
    <w:rsid w:val="002901B5"/>
    <w:rsid w:val="00290D6A"/>
    <w:rsid w:val="002937A7"/>
    <w:rsid w:val="00293E78"/>
    <w:rsid w:val="002947C5"/>
    <w:rsid w:val="002958C0"/>
    <w:rsid w:val="00296B5F"/>
    <w:rsid w:val="002A20A3"/>
    <w:rsid w:val="002A5022"/>
    <w:rsid w:val="002A64B1"/>
    <w:rsid w:val="002B4490"/>
    <w:rsid w:val="002B4D4C"/>
    <w:rsid w:val="002B6C12"/>
    <w:rsid w:val="002C0F42"/>
    <w:rsid w:val="002C27D4"/>
    <w:rsid w:val="002C41DE"/>
    <w:rsid w:val="002C6B85"/>
    <w:rsid w:val="002C7B63"/>
    <w:rsid w:val="002D1F42"/>
    <w:rsid w:val="002D6318"/>
    <w:rsid w:val="002E0934"/>
    <w:rsid w:val="002E09ED"/>
    <w:rsid w:val="002E3A68"/>
    <w:rsid w:val="002E506A"/>
    <w:rsid w:val="002E5670"/>
    <w:rsid w:val="002E5831"/>
    <w:rsid w:val="002E7592"/>
    <w:rsid w:val="002F0B52"/>
    <w:rsid w:val="002F2C0B"/>
    <w:rsid w:val="002F2E0E"/>
    <w:rsid w:val="002F4374"/>
    <w:rsid w:val="0030024F"/>
    <w:rsid w:val="00306745"/>
    <w:rsid w:val="00310CAE"/>
    <w:rsid w:val="00313B55"/>
    <w:rsid w:val="00314BD0"/>
    <w:rsid w:val="003163C8"/>
    <w:rsid w:val="00324EEB"/>
    <w:rsid w:val="00331DDE"/>
    <w:rsid w:val="00331F42"/>
    <w:rsid w:val="003415CB"/>
    <w:rsid w:val="0034355A"/>
    <w:rsid w:val="003437F8"/>
    <w:rsid w:val="0034476B"/>
    <w:rsid w:val="00346931"/>
    <w:rsid w:val="003513F6"/>
    <w:rsid w:val="00351DB2"/>
    <w:rsid w:val="00352065"/>
    <w:rsid w:val="00357FDA"/>
    <w:rsid w:val="00360FE6"/>
    <w:rsid w:val="003620A5"/>
    <w:rsid w:val="003628D3"/>
    <w:rsid w:val="00362DEB"/>
    <w:rsid w:val="00364ACE"/>
    <w:rsid w:val="003654A8"/>
    <w:rsid w:val="0036759E"/>
    <w:rsid w:val="00370486"/>
    <w:rsid w:val="00373D10"/>
    <w:rsid w:val="00375565"/>
    <w:rsid w:val="00377677"/>
    <w:rsid w:val="003806A2"/>
    <w:rsid w:val="00383929"/>
    <w:rsid w:val="00383FB8"/>
    <w:rsid w:val="0038475F"/>
    <w:rsid w:val="00387E0A"/>
    <w:rsid w:val="00387E95"/>
    <w:rsid w:val="003916B4"/>
    <w:rsid w:val="00395AAA"/>
    <w:rsid w:val="00396325"/>
    <w:rsid w:val="003A0007"/>
    <w:rsid w:val="003A1E52"/>
    <w:rsid w:val="003A2344"/>
    <w:rsid w:val="003A2AF2"/>
    <w:rsid w:val="003A6378"/>
    <w:rsid w:val="003B1A9A"/>
    <w:rsid w:val="003B72DE"/>
    <w:rsid w:val="003C1D50"/>
    <w:rsid w:val="003C42BF"/>
    <w:rsid w:val="003C4F1E"/>
    <w:rsid w:val="003C5A92"/>
    <w:rsid w:val="003C6373"/>
    <w:rsid w:val="003D1926"/>
    <w:rsid w:val="003D2055"/>
    <w:rsid w:val="003D264D"/>
    <w:rsid w:val="003E28BD"/>
    <w:rsid w:val="003E3B1B"/>
    <w:rsid w:val="003E69F9"/>
    <w:rsid w:val="003F1466"/>
    <w:rsid w:val="003F3C35"/>
    <w:rsid w:val="003F6D84"/>
    <w:rsid w:val="003F708F"/>
    <w:rsid w:val="003F7BA8"/>
    <w:rsid w:val="00402602"/>
    <w:rsid w:val="00402852"/>
    <w:rsid w:val="00403A29"/>
    <w:rsid w:val="00404647"/>
    <w:rsid w:val="0040595A"/>
    <w:rsid w:val="00410736"/>
    <w:rsid w:val="00410C3F"/>
    <w:rsid w:val="00413B61"/>
    <w:rsid w:val="0041404C"/>
    <w:rsid w:val="00417AAB"/>
    <w:rsid w:val="00421317"/>
    <w:rsid w:val="004218EE"/>
    <w:rsid w:val="00437A94"/>
    <w:rsid w:val="00437D81"/>
    <w:rsid w:val="004402CB"/>
    <w:rsid w:val="00441297"/>
    <w:rsid w:val="00442741"/>
    <w:rsid w:val="004458D3"/>
    <w:rsid w:val="00445FD8"/>
    <w:rsid w:val="00447D25"/>
    <w:rsid w:val="00452E5B"/>
    <w:rsid w:val="00454508"/>
    <w:rsid w:val="00457D06"/>
    <w:rsid w:val="00465217"/>
    <w:rsid w:val="0046698B"/>
    <w:rsid w:val="00466B73"/>
    <w:rsid w:val="004672D5"/>
    <w:rsid w:val="004708A4"/>
    <w:rsid w:val="00472667"/>
    <w:rsid w:val="004729E5"/>
    <w:rsid w:val="00473318"/>
    <w:rsid w:val="004743C8"/>
    <w:rsid w:val="00476898"/>
    <w:rsid w:val="004800DB"/>
    <w:rsid w:val="004804BC"/>
    <w:rsid w:val="0048166A"/>
    <w:rsid w:val="00491462"/>
    <w:rsid w:val="00491AC6"/>
    <w:rsid w:val="004949AD"/>
    <w:rsid w:val="004966AA"/>
    <w:rsid w:val="00497DE5"/>
    <w:rsid w:val="004A1E3E"/>
    <w:rsid w:val="004A3178"/>
    <w:rsid w:val="004A599B"/>
    <w:rsid w:val="004A5EBD"/>
    <w:rsid w:val="004B383E"/>
    <w:rsid w:val="004C00C8"/>
    <w:rsid w:val="004C3211"/>
    <w:rsid w:val="004C36F8"/>
    <w:rsid w:val="004C6A87"/>
    <w:rsid w:val="004C7F09"/>
    <w:rsid w:val="004D0EDD"/>
    <w:rsid w:val="004D1C8E"/>
    <w:rsid w:val="004D4D93"/>
    <w:rsid w:val="004D5811"/>
    <w:rsid w:val="004D63D8"/>
    <w:rsid w:val="004D6FDD"/>
    <w:rsid w:val="004E3983"/>
    <w:rsid w:val="004E5115"/>
    <w:rsid w:val="004F37CA"/>
    <w:rsid w:val="004F72BA"/>
    <w:rsid w:val="004F73C7"/>
    <w:rsid w:val="004F7631"/>
    <w:rsid w:val="0050159C"/>
    <w:rsid w:val="005016B2"/>
    <w:rsid w:val="0050449A"/>
    <w:rsid w:val="0050484C"/>
    <w:rsid w:val="0050501C"/>
    <w:rsid w:val="00505C86"/>
    <w:rsid w:val="0051186F"/>
    <w:rsid w:val="00511F1C"/>
    <w:rsid w:val="00512DC7"/>
    <w:rsid w:val="00513CDF"/>
    <w:rsid w:val="00517193"/>
    <w:rsid w:val="005201F2"/>
    <w:rsid w:val="00521725"/>
    <w:rsid w:val="00526378"/>
    <w:rsid w:val="00526B8D"/>
    <w:rsid w:val="0053126F"/>
    <w:rsid w:val="00532482"/>
    <w:rsid w:val="005328B0"/>
    <w:rsid w:val="00532AC4"/>
    <w:rsid w:val="00532DEB"/>
    <w:rsid w:val="00532EA1"/>
    <w:rsid w:val="00533A6B"/>
    <w:rsid w:val="00534CC8"/>
    <w:rsid w:val="00534DE9"/>
    <w:rsid w:val="0053532C"/>
    <w:rsid w:val="0055163E"/>
    <w:rsid w:val="0055218C"/>
    <w:rsid w:val="005544F7"/>
    <w:rsid w:val="00556902"/>
    <w:rsid w:val="00557115"/>
    <w:rsid w:val="005576DE"/>
    <w:rsid w:val="00557EC8"/>
    <w:rsid w:val="0056157D"/>
    <w:rsid w:val="0056335A"/>
    <w:rsid w:val="00564AAD"/>
    <w:rsid w:val="00564B6A"/>
    <w:rsid w:val="00573576"/>
    <w:rsid w:val="00574AC0"/>
    <w:rsid w:val="005764CB"/>
    <w:rsid w:val="00585331"/>
    <w:rsid w:val="00586255"/>
    <w:rsid w:val="005874F3"/>
    <w:rsid w:val="00592421"/>
    <w:rsid w:val="005929F2"/>
    <w:rsid w:val="0059354C"/>
    <w:rsid w:val="005959A0"/>
    <w:rsid w:val="005A27B7"/>
    <w:rsid w:val="005A296C"/>
    <w:rsid w:val="005A50AE"/>
    <w:rsid w:val="005A7C72"/>
    <w:rsid w:val="005B5320"/>
    <w:rsid w:val="005B6988"/>
    <w:rsid w:val="005B7CF3"/>
    <w:rsid w:val="005B7F30"/>
    <w:rsid w:val="005C6347"/>
    <w:rsid w:val="005C6B82"/>
    <w:rsid w:val="005C6F86"/>
    <w:rsid w:val="005D04B5"/>
    <w:rsid w:val="005D78F3"/>
    <w:rsid w:val="005E5858"/>
    <w:rsid w:val="005E7DC6"/>
    <w:rsid w:val="005F1614"/>
    <w:rsid w:val="005F3989"/>
    <w:rsid w:val="005F4BD9"/>
    <w:rsid w:val="005F54C3"/>
    <w:rsid w:val="005F652E"/>
    <w:rsid w:val="005F6E72"/>
    <w:rsid w:val="005F7150"/>
    <w:rsid w:val="0060368E"/>
    <w:rsid w:val="00604369"/>
    <w:rsid w:val="00604376"/>
    <w:rsid w:val="00606ADA"/>
    <w:rsid w:val="00610964"/>
    <w:rsid w:val="0061245E"/>
    <w:rsid w:val="00612D39"/>
    <w:rsid w:val="00615568"/>
    <w:rsid w:val="00615723"/>
    <w:rsid w:val="00621F07"/>
    <w:rsid w:val="00622418"/>
    <w:rsid w:val="0062434E"/>
    <w:rsid w:val="00626C63"/>
    <w:rsid w:val="00631500"/>
    <w:rsid w:val="006349C6"/>
    <w:rsid w:val="0063626D"/>
    <w:rsid w:val="006429EE"/>
    <w:rsid w:val="006455F3"/>
    <w:rsid w:val="00645636"/>
    <w:rsid w:val="006528C9"/>
    <w:rsid w:val="00653BE7"/>
    <w:rsid w:val="00654B42"/>
    <w:rsid w:val="00655FB0"/>
    <w:rsid w:val="00666AFD"/>
    <w:rsid w:val="006715B5"/>
    <w:rsid w:val="00672917"/>
    <w:rsid w:val="0067656A"/>
    <w:rsid w:val="00684404"/>
    <w:rsid w:val="006903EF"/>
    <w:rsid w:val="00690654"/>
    <w:rsid w:val="00691181"/>
    <w:rsid w:val="006934B2"/>
    <w:rsid w:val="006945F5"/>
    <w:rsid w:val="006956C9"/>
    <w:rsid w:val="006966F5"/>
    <w:rsid w:val="00696C5F"/>
    <w:rsid w:val="006A0887"/>
    <w:rsid w:val="006A12B4"/>
    <w:rsid w:val="006A1E5F"/>
    <w:rsid w:val="006A4B95"/>
    <w:rsid w:val="006A53E7"/>
    <w:rsid w:val="006A55A8"/>
    <w:rsid w:val="006A7142"/>
    <w:rsid w:val="006B23F0"/>
    <w:rsid w:val="006B2BFC"/>
    <w:rsid w:val="006B4DD2"/>
    <w:rsid w:val="006D136D"/>
    <w:rsid w:val="006D15E6"/>
    <w:rsid w:val="006D161F"/>
    <w:rsid w:val="006D1F4D"/>
    <w:rsid w:val="006D4955"/>
    <w:rsid w:val="006D6596"/>
    <w:rsid w:val="006D660F"/>
    <w:rsid w:val="006D75EA"/>
    <w:rsid w:val="006E10A5"/>
    <w:rsid w:val="006E166E"/>
    <w:rsid w:val="006E33DB"/>
    <w:rsid w:val="006E57AE"/>
    <w:rsid w:val="006E68A7"/>
    <w:rsid w:val="006E6D7B"/>
    <w:rsid w:val="006F18EE"/>
    <w:rsid w:val="006F3053"/>
    <w:rsid w:val="006F55F0"/>
    <w:rsid w:val="006F57CF"/>
    <w:rsid w:val="006F6B7F"/>
    <w:rsid w:val="006F7CD6"/>
    <w:rsid w:val="00701793"/>
    <w:rsid w:val="007019DD"/>
    <w:rsid w:val="007066A0"/>
    <w:rsid w:val="00706A34"/>
    <w:rsid w:val="0070739A"/>
    <w:rsid w:val="0071010A"/>
    <w:rsid w:val="00711E83"/>
    <w:rsid w:val="00715C56"/>
    <w:rsid w:val="0071603A"/>
    <w:rsid w:val="00716E94"/>
    <w:rsid w:val="0072494D"/>
    <w:rsid w:val="007279EB"/>
    <w:rsid w:val="00731A74"/>
    <w:rsid w:val="007324BC"/>
    <w:rsid w:val="0073266A"/>
    <w:rsid w:val="00733E75"/>
    <w:rsid w:val="0073467F"/>
    <w:rsid w:val="00737007"/>
    <w:rsid w:val="00745E20"/>
    <w:rsid w:val="00747F6F"/>
    <w:rsid w:val="007517A7"/>
    <w:rsid w:val="00751AB4"/>
    <w:rsid w:val="007531F7"/>
    <w:rsid w:val="0075520B"/>
    <w:rsid w:val="0075744E"/>
    <w:rsid w:val="00760518"/>
    <w:rsid w:val="00762586"/>
    <w:rsid w:val="00766C44"/>
    <w:rsid w:val="0077002E"/>
    <w:rsid w:val="00775890"/>
    <w:rsid w:val="00775D65"/>
    <w:rsid w:val="007777E1"/>
    <w:rsid w:val="0078336D"/>
    <w:rsid w:val="00784099"/>
    <w:rsid w:val="007841B6"/>
    <w:rsid w:val="0078446F"/>
    <w:rsid w:val="00784F1C"/>
    <w:rsid w:val="00785438"/>
    <w:rsid w:val="0078678F"/>
    <w:rsid w:val="00787B77"/>
    <w:rsid w:val="00790ED2"/>
    <w:rsid w:val="007945C8"/>
    <w:rsid w:val="00795553"/>
    <w:rsid w:val="00796645"/>
    <w:rsid w:val="00797C6E"/>
    <w:rsid w:val="007A23C7"/>
    <w:rsid w:val="007A5193"/>
    <w:rsid w:val="007A5CEF"/>
    <w:rsid w:val="007B38F3"/>
    <w:rsid w:val="007B6D39"/>
    <w:rsid w:val="007C0ACF"/>
    <w:rsid w:val="007C1276"/>
    <w:rsid w:val="007C20EE"/>
    <w:rsid w:val="007C2D7E"/>
    <w:rsid w:val="007C32B5"/>
    <w:rsid w:val="007C4E71"/>
    <w:rsid w:val="007C665F"/>
    <w:rsid w:val="007C6A37"/>
    <w:rsid w:val="007D045A"/>
    <w:rsid w:val="007D1E07"/>
    <w:rsid w:val="007D3BAD"/>
    <w:rsid w:val="007E19ED"/>
    <w:rsid w:val="007E4FBB"/>
    <w:rsid w:val="007E6453"/>
    <w:rsid w:val="007E779A"/>
    <w:rsid w:val="007F31CB"/>
    <w:rsid w:val="007F64B9"/>
    <w:rsid w:val="007F6633"/>
    <w:rsid w:val="0080192E"/>
    <w:rsid w:val="00803649"/>
    <w:rsid w:val="00803735"/>
    <w:rsid w:val="008044F9"/>
    <w:rsid w:val="008054D2"/>
    <w:rsid w:val="0080666E"/>
    <w:rsid w:val="00806E30"/>
    <w:rsid w:val="008117CD"/>
    <w:rsid w:val="00812006"/>
    <w:rsid w:val="008137CE"/>
    <w:rsid w:val="00813CC1"/>
    <w:rsid w:val="00816B8E"/>
    <w:rsid w:val="008175DF"/>
    <w:rsid w:val="008175EB"/>
    <w:rsid w:val="00817F5A"/>
    <w:rsid w:val="008245A1"/>
    <w:rsid w:val="00824C6D"/>
    <w:rsid w:val="00827A92"/>
    <w:rsid w:val="00830F5F"/>
    <w:rsid w:val="00832345"/>
    <w:rsid w:val="00833F58"/>
    <w:rsid w:val="00833FAD"/>
    <w:rsid w:val="00836E95"/>
    <w:rsid w:val="008379E0"/>
    <w:rsid w:val="0084578F"/>
    <w:rsid w:val="00847AF3"/>
    <w:rsid w:val="008507B0"/>
    <w:rsid w:val="00852D26"/>
    <w:rsid w:val="00853954"/>
    <w:rsid w:val="00855F7B"/>
    <w:rsid w:val="008569D1"/>
    <w:rsid w:val="00860935"/>
    <w:rsid w:val="0086138F"/>
    <w:rsid w:val="008646E4"/>
    <w:rsid w:val="008665BF"/>
    <w:rsid w:val="00866E5C"/>
    <w:rsid w:val="00867CFE"/>
    <w:rsid w:val="00870843"/>
    <w:rsid w:val="00871384"/>
    <w:rsid w:val="00871863"/>
    <w:rsid w:val="008721B2"/>
    <w:rsid w:val="0087509B"/>
    <w:rsid w:val="00875D9B"/>
    <w:rsid w:val="00876191"/>
    <w:rsid w:val="00880335"/>
    <w:rsid w:val="008911B6"/>
    <w:rsid w:val="008916C3"/>
    <w:rsid w:val="00892695"/>
    <w:rsid w:val="00893DA8"/>
    <w:rsid w:val="00894031"/>
    <w:rsid w:val="00895542"/>
    <w:rsid w:val="00896C09"/>
    <w:rsid w:val="0089777B"/>
    <w:rsid w:val="008A265A"/>
    <w:rsid w:val="008A289F"/>
    <w:rsid w:val="008A2A7C"/>
    <w:rsid w:val="008A414E"/>
    <w:rsid w:val="008A7FEB"/>
    <w:rsid w:val="008B5ECB"/>
    <w:rsid w:val="008B7C33"/>
    <w:rsid w:val="008C0580"/>
    <w:rsid w:val="008C0952"/>
    <w:rsid w:val="008C17F1"/>
    <w:rsid w:val="008C37D8"/>
    <w:rsid w:val="008C40C1"/>
    <w:rsid w:val="008C4B0A"/>
    <w:rsid w:val="008C50E7"/>
    <w:rsid w:val="008C795C"/>
    <w:rsid w:val="008D1624"/>
    <w:rsid w:val="008D29EF"/>
    <w:rsid w:val="008D2CB9"/>
    <w:rsid w:val="008D3D9D"/>
    <w:rsid w:val="008D6789"/>
    <w:rsid w:val="008E45F8"/>
    <w:rsid w:val="008E4C8D"/>
    <w:rsid w:val="008E63A9"/>
    <w:rsid w:val="008F052C"/>
    <w:rsid w:val="008F1DAE"/>
    <w:rsid w:val="008F23F2"/>
    <w:rsid w:val="008F3DFF"/>
    <w:rsid w:val="008F52D8"/>
    <w:rsid w:val="009025DE"/>
    <w:rsid w:val="0090502B"/>
    <w:rsid w:val="009137D9"/>
    <w:rsid w:val="00914721"/>
    <w:rsid w:val="00914F84"/>
    <w:rsid w:val="0092027A"/>
    <w:rsid w:val="00920AF8"/>
    <w:rsid w:val="00924A41"/>
    <w:rsid w:val="00924B0B"/>
    <w:rsid w:val="00924C71"/>
    <w:rsid w:val="00925057"/>
    <w:rsid w:val="009273B6"/>
    <w:rsid w:val="00932BBC"/>
    <w:rsid w:val="00940C8C"/>
    <w:rsid w:val="00941A7D"/>
    <w:rsid w:val="009424F4"/>
    <w:rsid w:val="0094545F"/>
    <w:rsid w:val="009454AD"/>
    <w:rsid w:val="00946C02"/>
    <w:rsid w:val="0094783A"/>
    <w:rsid w:val="00947C61"/>
    <w:rsid w:val="00951162"/>
    <w:rsid w:val="00954348"/>
    <w:rsid w:val="00954FE4"/>
    <w:rsid w:val="009615B4"/>
    <w:rsid w:val="00961FE5"/>
    <w:rsid w:val="00964A7B"/>
    <w:rsid w:val="00967B11"/>
    <w:rsid w:val="00967F9F"/>
    <w:rsid w:val="00970EDD"/>
    <w:rsid w:val="00974B51"/>
    <w:rsid w:val="00990508"/>
    <w:rsid w:val="00991E5F"/>
    <w:rsid w:val="009962A4"/>
    <w:rsid w:val="00996465"/>
    <w:rsid w:val="00996767"/>
    <w:rsid w:val="009A05A1"/>
    <w:rsid w:val="009A2BC5"/>
    <w:rsid w:val="009A2C96"/>
    <w:rsid w:val="009A4174"/>
    <w:rsid w:val="009B0C23"/>
    <w:rsid w:val="009B301E"/>
    <w:rsid w:val="009B781E"/>
    <w:rsid w:val="009B7BB3"/>
    <w:rsid w:val="009B7D56"/>
    <w:rsid w:val="009C0BD4"/>
    <w:rsid w:val="009C338D"/>
    <w:rsid w:val="009C3705"/>
    <w:rsid w:val="009C4582"/>
    <w:rsid w:val="009C65E3"/>
    <w:rsid w:val="009C7758"/>
    <w:rsid w:val="009D2417"/>
    <w:rsid w:val="009D3643"/>
    <w:rsid w:val="009D6A25"/>
    <w:rsid w:val="009E0352"/>
    <w:rsid w:val="009E1032"/>
    <w:rsid w:val="009E222A"/>
    <w:rsid w:val="009F02C6"/>
    <w:rsid w:val="009F79A7"/>
    <w:rsid w:val="00A00C0E"/>
    <w:rsid w:val="00A01A1F"/>
    <w:rsid w:val="00A14613"/>
    <w:rsid w:val="00A14C58"/>
    <w:rsid w:val="00A20C65"/>
    <w:rsid w:val="00A22BFB"/>
    <w:rsid w:val="00A26ABE"/>
    <w:rsid w:val="00A26DBE"/>
    <w:rsid w:val="00A30054"/>
    <w:rsid w:val="00A346CF"/>
    <w:rsid w:val="00A34837"/>
    <w:rsid w:val="00A4472C"/>
    <w:rsid w:val="00A4566F"/>
    <w:rsid w:val="00A45A00"/>
    <w:rsid w:val="00A45A81"/>
    <w:rsid w:val="00A45FCA"/>
    <w:rsid w:val="00A50614"/>
    <w:rsid w:val="00A51B4E"/>
    <w:rsid w:val="00A52BC2"/>
    <w:rsid w:val="00A52CF9"/>
    <w:rsid w:val="00A54F74"/>
    <w:rsid w:val="00A56BC5"/>
    <w:rsid w:val="00A61B1E"/>
    <w:rsid w:val="00A6282D"/>
    <w:rsid w:val="00A62DDE"/>
    <w:rsid w:val="00A657A7"/>
    <w:rsid w:val="00A67FF6"/>
    <w:rsid w:val="00A72598"/>
    <w:rsid w:val="00A72AF9"/>
    <w:rsid w:val="00A754D8"/>
    <w:rsid w:val="00A8048A"/>
    <w:rsid w:val="00A87565"/>
    <w:rsid w:val="00A87D7C"/>
    <w:rsid w:val="00A922E8"/>
    <w:rsid w:val="00A95F02"/>
    <w:rsid w:val="00AA3A63"/>
    <w:rsid w:val="00AA4D16"/>
    <w:rsid w:val="00AB0264"/>
    <w:rsid w:val="00AB11B1"/>
    <w:rsid w:val="00AB11D3"/>
    <w:rsid w:val="00AB1A05"/>
    <w:rsid w:val="00AB4DBA"/>
    <w:rsid w:val="00AB669D"/>
    <w:rsid w:val="00AB6864"/>
    <w:rsid w:val="00AB7C01"/>
    <w:rsid w:val="00AC26D2"/>
    <w:rsid w:val="00AC50C1"/>
    <w:rsid w:val="00AC5DE7"/>
    <w:rsid w:val="00AC6FC0"/>
    <w:rsid w:val="00AC74BD"/>
    <w:rsid w:val="00AC7A6F"/>
    <w:rsid w:val="00AC7BD2"/>
    <w:rsid w:val="00AD03A1"/>
    <w:rsid w:val="00AD1053"/>
    <w:rsid w:val="00AD4B4E"/>
    <w:rsid w:val="00AE116E"/>
    <w:rsid w:val="00AE1E04"/>
    <w:rsid w:val="00AE2BD1"/>
    <w:rsid w:val="00AE32D1"/>
    <w:rsid w:val="00AE539B"/>
    <w:rsid w:val="00AE6836"/>
    <w:rsid w:val="00AF33EC"/>
    <w:rsid w:val="00AF5130"/>
    <w:rsid w:val="00B01AB0"/>
    <w:rsid w:val="00B0395B"/>
    <w:rsid w:val="00B045CE"/>
    <w:rsid w:val="00B05166"/>
    <w:rsid w:val="00B05E18"/>
    <w:rsid w:val="00B06A32"/>
    <w:rsid w:val="00B06B5B"/>
    <w:rsid w:val="00B14CE3"/>
    <w:rsid w:val="00B15008"/>
    <w:rsid w:val="00B17D8B"/>
    <w:rsid w:val="00B21B3C"/>
    <w:rsid w:val="00B22FD0"/>
    <w:rsid w:val="00B2383F"/>
    <w:rsid w:val="00B26154"/>
    <w:rsid w:val="00B278E0"/>
    <w:rsid w:val="00B30624"/>
    <w:rsid w:val="00B32805"/>
    <w:rsid w:val="00B3556A"/>
    <w:rsid w:val="00B36538"/>
    <w:rsid w:val="00B42177"/>
    <w:rsid w:val="00B423C5"/>
    <w:rsid w:val="00B46F80"/>
    <w:rsid w:val="00B47C29"/>
    <w:rsid w:val="00B505D8"/>
    <w:rsid w:val="00B5197B"/>
    <w:rsid w:val="00B55C63"/>
    <w:rsid w:val="00B57B93"/>
    <w:rsid w:val="00B642BC"/>
    <w:rsid w:val="00B64C95"/>
    <w:rsid w:val="00B659CF"/>
    <w:rsid w:val="00B706E2"/>
    <w:rsid w:val="00B70EF3"/>
    <w:rsid w:val="00B71877"/>
    <w:rsid w:val="00B727A2"/>
    <w:rsid w:val="00B773EE"/>
    <w:rsid w:val="00B816C2"/>
    <w:rsid w:val="00B83CEE"/>
    <w:rsid w:val="00B8438B"/>
    <w:rsid w:val="00B8487A"/>
    <w:rsid w:val="00B91244"/>
    <w:rsid w:val="00B945D2"/>
    <w:rsid w:val="00B94A9D"/>
    <w:rsid w:val="00B95F40"/>
    <w:rsid w:val="00BA112B"/>
    <w:rsid w:val="00BA2260"/>
    <w:rsid w:val="00BA291E"/>
    <w:rsid w:val="00BA6FE2"/>
    <w:rsid w:val="00BB1409"/>
    <w:rsid w:val="00BB3949"/>
    <w:rsid w:val="00BB60CF"/>
    <w:rsid w:val="00BC1609"/>
    <w:rsid w:val="00BC68E4"/>
    <w:rsid w:val="00BC6A7B"/>
    <w:rsid w:val="00BD0D15"/>
    <w:rsid w:val="00BD0E01"/>
    <w:rsid w:val="00BD31B2"/>
    <w:rsid w:val="00BE6592"/>
    <w:rsid w:val="00BE679B"/>
    <w:rsid w:val="00BE76D9"/>
    <w:rsid w:val="00BE7FCB"/>
    <w:rsid w:val="00BF0C66"/>
    <w:rsid w:val="00BF243B"/>
    <w:rsid w:val="00BF46CF"/>
    <w:rsid w:val="00C02FAE"/>
    <w:rsid w:val="00C03CA8"/>
    <w:rsid w:val="00C04617"/>
    <w:rsid w:val="00C12856"/>
    <w:rsid w:val="00C14F51"/>
    <w:rsid w:val="00C150D8"/>
    <w:rsid w:val="00C17D13"/>
    <w:rsid w:val="00C21318"/>
    <w:rsid w:val="00C236F1"/>
    <w:rsid w:val="00C247EF"/>
    <w:rsid w:val="00C24BA7"/>
    <w:rsid w:val="00C2788F"/>
    <w:rsid w:val="00C27CB5"/>
    <w:rsid w:val="00C27D5E"/>
    <w:rsid w:val="00C3453D"/>
    <w:rsid w:val="00C35B67"/>
    <w:rsid w:val="00C36283"/>
    <w:rsid w:val="00C37D37"/>
    <w:rsid w:val="00C37F87"/>
    <w:rsid w:val="00C423B9"/>
    <w:rsid w:val="00C44BA8"/>
    <w:rsid w:val="00C458DE"/>
    <w:rsid w:val="00C564D2"/>
    <w:rsid w:val="00C619E0"/>
    <w:rsid w:val="00C648F3"/>
    <w:rsid w:val="00C65F1D"/>
    <w:rsid w:val="00C662C3"/>
    <w:rsid w:val="00C67953"/>
    <w:rsid w:val="00C703F3"/>
    <w:rsid w:val="00C7706F"/>
    <w:rsid w:val="00C777AB"/>
    <w:rsid w:val="00C842B6"/>
    <w:rsid w:val="00C844AA"/>
    <w:rsid w:val="00C858A7"/>
    <w:rsid w:val="00C85BE2"/>
    <w:rsid w:val="00C9084F"/>
    <w:rsid w:val="00C92009"/>
    <w:rsid w:val="00C93634"/>
    <w:rsid w:val="00C93A87"/>
    <w:rsid w:val="00C94046"/>
    <w:rsid w:val="00C949BE"/>
    <w:rsid w:val="00C95E1A"/>
    <w:rsid w:val="00C95E3F"/>
    <w:rsid w:val="00C96E0D"/>
    <w:rsid w:val="00C9706F"/>
    <w:rsid w:val="00CA03C1"/>
    <w:rsid w:val="00CA0968"/>
    <w:rsid w:val="00CA0E27"/>
    <w:rsid w:val="00CB04AF"/>
    <w:rsid w:val="00CC2D05"/>
    <w:rsid w:val="00CC30ED"/>
    <w:rsid w:val="00CC4785"/>
    <w:rsid w:val="00CD2FA7"/>
    <w:rsid w:val="00CE3A52"/>
    <w:rsid w:val="00CF009A"/>
    <w:rsid w:val="00CF08A1"/>
    <w:rsid w:val="00CF16B7"/>
    <w:rsid w:val="00CF2585"/>
    <w:rsid w:val="00CF3DC9"/>
    <w:rsid w:val="00CF44FB"/>
    <w:rsid w:val="00CF7975"/>
    <w:rsid w:val="00D00C64"/>
    <w:rsid w:val="00D04F67"/>
    <w:rsid w:val="00D06A86"/>
    <w:rsid w:val="00D13594"/>
    <w:rsid w:val="00D137A5"/>
    <w:rsid w:val="00D15089"/>
    <w:rsid w:val="00D15683"/>
    <w:rsid w:val="00D1600F"/>
    <w:rsid w:val="00D16324"/>
    <w:rsid w:val="00D23B9A"/>
    <w:rsid w:val="00D32583"/>
    <w:rsid w:val="00D371A8"/>
    <w:rsid w:val="00D37636"/>
    <w:rsid w:val="00D401F5"/>
    <w:rsid w:val="00D44CED"/>
    <w:rsid w:val="00D45813"/>
    <w:rsid w:val="00D46225"/>
    <w:rsid w:val="00D4763F"/>
    <w:rsid w:val="00D50B3E"/>
    <w:rsid w:val="00D6080B"/>
    <w:rsid w:val="00D6202C"/>
    <w:rsid w:val="00D64189"/>
    <w:rsid w:val="00D65695"/>
    <w:rsid w:val="00D665D0"/>
    <w:rsid w:val="00D6677E"/>
    <w:rsid w:val="00D67530"/>
    <w:rsid w:val="00D71539"/>
    <w:rsid w:val="00D72809"/>
    <w:rsid w:val="00D72DD4"/>
    <w:rsid w:val="00D74AF2"/>
    <w:rsid w:val="00D75FF0"/>
    <w:rsid w:val="00D7715A"/>
    <w:rsid w:val="00D81637"/>
    <w:rsid w:val="00D81E22"/>
    <w:rsid w:val="00D82B0B"/>
    <w:rsid w:val="00D82BA0"/>
    <w:rsid w:val="00D8462C"/>
    <w:rsid w:val="00D84ABB"/>
    <w:rsid w:val="00D85B08"/>
    <w:rsid w:val="00D90159"/>
    <w:rsid w:val="00D91FD1"/>
    <w:rsid w:val="00D922A1"/>
    <w:rsid w:val="00D92A9E"/>
    <w:rsid w:val="00D95FC7"/>
    <w:rsid w:val="00D96E10"/>
    <w:rsid w:val="00D9716E"/>
    <w:rsid w:val="00D971BA"/>
    <w:rsid w:val="00DA0152"/>
    <w:rsid w:val="00DA0AB1"/>
    <w:rsid w:val="00DA12A4"/>
    <w:rsid w:val="00DA4EFB"/>
    <w:rsid w:val="00DB3123"/>
    <w:rsid w:val="00DB4021"/>
    <w:rsid w:val="00DB4BB9"/>
    <w:rsid w:val="00DB67C5"/>
    <w:rsid w:val="00DB72D0"/>
    <w:rsid w:val="00DC109F"/>
    <w:rsid w:val="00DC13CB"/>
    <w:rsid w:val="00DC35FA"/>
    <w:rsid w:val="00DC60B3"/>
    <w:rsid w:val="00DC6856"/>
    <w:rsid w:val="00DC7EF7"/>
    <w:rsid w:val="00DD4A6C"/>
    <w:rsid w:val="00DD4F3C"/>
    <w:rsid w:val="00DD5A08"/>
    <w:rsid w:val="00DD718C"/>
    <w:rsid w:val="00DE18E1"/>
    <w:rsid w:val="00DE1C51"/>
    <w:rsid w:val="00DE2CF5"/>
    <w:rsid w:val="00DE49BC"/>
    <w:rsid w:val="00DE6E58"/>
    <w:rsid w:val="00DE720D"/>
    <w:rsid w:val="00DE7590"/>
    <w:rsid w:val="00DF0CE4"/>
    <w:rsid w:val="00DF4AA2"/>
    <w:rsid w:val="00DF6C9C"/>
    <w:rsid w:val="00E001EC"/>
    <w:rsid w:val="00E0033D"/>
    <w:rsid w:val="00E00E36"/>
    <w:rsid w:val="00E04387"/>
    <w:rsid w:val="00E144E6"/>
    <w:rsid w:val="00E150EF"/>
    <w:rsid w:val="00E15C1C"/>
    <w:rsid w:val="00E26BEA"/>
    <w:rsid w:val="00E272BB"/>
    <w:rsid w:val="00E2799C"/>
    <w:rsid w:val="00E30F58"/>
    <w:rsid w:val="00E365DF"/>
    <w:rsid w:val="00E37CD5"/>
    <w:rsid w:val="00E4376D"/>
    <w:rsid w:val="00E437B8"/>
    <w:rsid w:val="00E50251"/>
    <w:rsid w:val="00E50A85"/>
    <w:rsid w:val="00E5383B"/>
    <w:rsid w:val="00E56E35"/>
    <w:rsid w:val="00E62C25"/>
    <w:rsid w:val="00E6431B"/>
    <w:rsid w:val="00E67B85"/>
    <w:rsid w:val="00E75FFB"/>
    <w:rsid w:val="00E77D78"/>
    <w:rsid w:val="00E829D0"/>
    <w:rsid w:val="00E861D0"/>
    <w:rsid w:val="00E86FEA"/>
    <w:rsid w:val="00E87E4D"/>
    <w:rsid w:val="00E9108E"/>
    <w:rsid w:val="00E92A33"/>
    <w:rsid w:val="00EA0446"/>
    <w:rsid w:val="00EA1026"/>
    <w:rsid w:val="00EA18D0"/>
    <w:rsid w:val="00EA2DF3"/>
    <w:rsid w:val="00EA4694"/>
    <w:rsid w:val="00EA4B7B"/>
    <w:rsid w:val="00EB06E4"/>
    <w:rsid w:val="00EB1252"/>
    <w:rsid w:val="00EB405D"/>
    <w:rsid w:val="00EB52F6"/>
    <w:rsid w:val="00EC30A5"/>
    <w:rsid w:val="00EC6115"/>
    <w:rsid w:val="00ED0A6F"/>
    <w:rsid w:val="00ED22FD"/>
    <w:rsid w:val="00ED327C"/>
    <w:rsid w:val="00ED49EE"/>
    <w:rsid w:val="00ED665B"/>
    <w:rsid w:val="00EE336D"/>
    <w:rsid w:val="00EE4ABF"/>
    <w:rsid w:val="00EE4BD7"/>
    <w:rsid w:val="00EE58E8"/>
    <w:rsid w:val="00EE7658"/>
    <w:rsid w:val="00EE7F95"/>
    <w:rsid w:val="00EF3B5A"/>
    <w:rsid w:val="00EF6247"/>
    <w:rsid w:val="00EF6919"/>
    <w:rsid w:val="00F00FCB"/>
    <w:rsid w:val="00F03158"/>
    <w:rsid w:val="00F21B49"/>
    <w:rsid w:val="00F23700"/>
    <w:rsid w:val="00F242A7"/>
    <w:rsid w:val="00F25675"/>
    <w:rsid w:val="00F26CAF"/>
    <w:rsid w:val="00F278AA"/>
    <w:rsid w:val="00F30634"/>
    <w:rsid w:val="00F30ADA"/>
    <w:rsid w:val="00F34CC0"/>
    <w:rsid w:val="00F3560C"/>
    <w:rsid w:val="00F35E6C"/>
    <w:rsid w:val="00F36BF3"/>
    <w:rsid w:val="00F442C3"/>
    <w:rsid w:val="00F61CF7"/>
    <w:rsid w:val="00F637B7"/>
    <w:rsid w:val="00F66F91"/>
    <w:rsid w:val="00F677F8"/>
    <w:rsid w:val="00F70638"/>
    <w:rsid w:val="00F71870"/>
    <w:rsid w:val="00F72B6E"/>
    <w:rsid w:val="00F7384C"/>
    <w:rsid w:val="00F7630D"/>
    <w:rsid w:val="00F77D23"/>
    <w:rsid w:val="00F80298"/>
    <w:rsid w:val="00F8035A"/>
    <w:rsid w:val="00F826F1"/>
    <w:rsid w:val="00F87721"/>
    <w:rsid w:val="00F87F42"/>
    <w:rsid w:val="00F9059C"/>
    <w:rsid w:val="00F920BA"/>
    <w:rsid w:val="00F92E17"/>
    <w:rsid w:val="00FA0B92"/>
    <w:rsid w:val="00FA198A"/>
    <w:rsid w:val="00FA22B3"/>
    <w:rsid w:val="00FA2739"/>
    <w:rsid w:val="00FA38AC"/>
    <w:rsid w:val="00FA5220"/>
    <w:rsid w:val="00FA7217"/>
    <w:rsid w:val="00FA7ACF"/>
    <w:rsid w:val="00FB00C5"/>
    <w:rsid w:val="00FB1640"/>
    <w:rsid w:val="00FB2BF1"/>
    <w:rsid w:val="00FB30FD"/>
    <w:rsid w:val="00FB4946"/>
    <w:rsid w:val="00FC2C8F"/>
    <w:rsid w:val="00FC668D"/>
    <w:rsid w:val="00FD0364"/>
    <w:rsid w:val="00FD08A6"/>
    <w:rsid w:val="00FD7454"/>
    <w:rsid w:val="00FE1C61"/>
    <w:rsid w:val="00FE396F"/>
    <w:rsid w:val="00FE3CB2"/>
    <w:rsid w:val="00FE3DB5"/>
    <w:rsid w:val="00FE561E"/>
    <w:rsid w:val="00FE655D"/>
    <w:rsid w:val="00FE697D"/>
    <w:rsid w:val="00FF4AB3"/>
    <w:rsid w:val="00FF7AE3"/>
    <w:rsid w:val="01EBA232"/>
    <w:rsid w:val="0506C9D0"/>
    <w:rsid w:val="0ECB8547"/>
    <w:rsid w:val="139677BA"/>
    <w:rsid w:val="234651BB"/>
    <w:rsid w:val="236CECAE"/>
    <w:rsid w:val="29836976"/>
    <w:rsid w:val="447DF798"/>
    <w:rsid w:val="457773C0"/>
    <w:rsid w:val="46241FD7"/>
    <w:rsid w:val="4AF6FDA2"/>
    <w:rsid w:val="59804A08"/>
    <w:rsid w:val="69101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AE8BD696-D57A-4B20-A97C-E23F590D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iPriority w:val="35"/>
    <w:unhideWhenUsed/>
    <w:qFormat/>
    <w:rsid w:val="00A754D8"/>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uiPriority w:val="35"/>
    <w:rsid w:val="00A754D8"/>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893DA8"/>
    <w:pPr>
      <w:spacing w:after="0" w:line="240" w:lineRule="auto"/>
    </w:pPr>
    <w:rPr>
      <w:rFonts w:ascii="Arial" w:eastAsia="Times New Roman" w:hAnsi="Arial" w:cs="Times New Roman"/>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link w:val="TableFigureSourceorNoteChar"/>
    <w:qFormat/>
    <w:rsid w:val="00974B51"/>
    <w:pPr>
      <w:spacing w:before="0" w:after="0"/>
    </w:pPr>
    <w:rPr>
      <w:rFonts w:ascii="Aptos Narrow" w:eastAsiaTheme="minorEastAsia" w:hAnsi="Aptos Narrow"/>
      <w:i w:val="0"/>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egoe UI" w:hAnsi="Segoe UI"/>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table" w:customStyle="1" w:styleId="EnergyTable11">
    <w:name w:val="Energy Table11"/>
    <w:basedOn w:val="TableNormal"/>
    <w:uiPriority w:val="99"/>
    <w:qFormat/>
    <w:rsid w:val="008E4C8D"/>
    <w:pPr>
      <w:spacing w:before="40" w:after="40" w:line="240" w:lineRule="auto"/>
      <w:jc w:val="center"/>
    </w:pPr>
    <w:rPr>
      <w:rFonts w:ascii="Arial" w:eastAsia="Times New Roman" w:hAnsi="Arial" w:cs="Times New Roman"/>
      <w:sz w:val="20"/>
      <w:szCs w:val="20"/>
      <w:lang w:eastAsia="en-US"/>
    </w:rPr>
    <w:tblPr>
      <w:tblStyleRowBandSize w:val="1"/>
      <w:jc w:val="center"/>
      <w:tblBorders>
        <w:bottom w:val="single" w:sz="8" w:space="0" w:color="036479"/>
        <w:insideH w:val="single" w:sz="4" w:space="0" w:color="B3EFFD"/>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93D500"/>
          <w:right w:val="nil"/>
          <w:insideH w:val="nil"/>
          <w:insideV w:val="nil"/>
          <w:tl2br w:val="nil"/>
          <w:tr2bl w:val="nil"/>
        </w:tcBorders>
        <w:shd w:val="clear" w:color="auto" w:fill="036479"/>
      </w:tcPr>
    </w:tblStylePr>
    <w:tblStylePr w:type="lastRow">
      <w:pPr>
        <w:jc w:val="center"/>
      </w:pPr>
      <w:rPr>
        <w:rFonts w:ascii="Segoe UI" w:hAnsi="Segoe UI"/>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numbering" w:customStyle="1" w:styleId="StyleBulleted">
    <w:name w:val="Style Bulleted"/>
    <w:basedOn w:val="NoList"/>
    <w:rsid w:val="008E4C8D"/>
    <w:pPr>
      <w:numPr>
        <w:numId w:val="27"/>
      </w:numPr>
    </w:pPr>
  </w:style>
  <w:style w:type="character" w:customStyle="1" w:styleId="TableFigureSourceorNoteChar">
    <w:name w:val="Table/Figure Source or Note Char"/>
    <w:link w:val="TableFigureSourceorNote"/>
    <w:rsid w:val="008E4C8D"/>
    <w:rPr>
      <w:rFonts w:ascii="Aptos Narrow" w:hAnsi="Aptos Narrow" w:cs="Times New Roman"/>
      <w:i/>
      <w:sz w:val="18"/>
      <w:szCs w:val="20"/>
      <w:lang w:eastAsia="en-US"/>
    </w:rPr>
  </w:style>
  <w:style w:type="paragraph" w:customStyle="1" w:styleId="Finding">
    <w:name w:val="Finding"/>
    <w:basedOn w:val="Normal"/>
    <w:link w:val="FindingChar"/>
    <w:rsid w:val="008E4C8D"/>
    <w:pPr>
      <w:ind w:left="360" w:hanging="360"/>
    </w:pPr>
    <w:rPr>
      <w:rFonts w:ascii="Aptos Narrow" w:eastAsia="Yu Gothic" w:hAnsi="Aptos Narrow" w:cs="Arial"/>
    </w:rPr>
  </w:style>
  <w:style w:type="character" w:customStyle="1" w:styleId="FindingChar">
    <w:name w:val="Finding Char"/>
    <w:basedOn w:val="DefaultParagraphFont"/>
    <w:link w:val="Finding"/>
    <w:rsid w:val="008E4C8D"/>
    <w:rPr>
      <w:rFonts w:ascii="Aptos Narrow" w:eastAsia="Yu Gothic" w:hAnsi="Aptos Narrow" w:cs="Arial"/>
      <w:sz w:val="22"/>
    </w:rPr>
  </w:style>
  <w:style w:type="paragraph" w:customStyle="1" w:styleId="Recommendation">
    <w:name w:val="Recommendation"/>
    <w:basedOn w:val="BodyText"/>
    <w:qFormat/>
    <w:rsid w:val="008E4C8D"/>
    <w:pPr>
      <w:suppressAutoHyphens w:val="0"/>
      <w:spacing w:after="160" w:line="278" w:lineRule="auto"/>
      <w:ind w:left="720"/>
    </w:pPr>
    <w:rPr>
      <w:rFonts w:ascii="Aptos Narrow" w:eastAsia="Yu Gothic" w:hAnsi="Aptos Narrow" w:cs="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es.ampong@guidehouse.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laura.agapay.read@guidehous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lsag.info/wp-content/uploads/PGL-NSG-NTG-CY2025-Final-Values-2024-09-18.xlsx" TargetMode="External"/><Relationship Id="rId5" Type="http://schemas.openxmlformats.org/officeDocument/2006/relationships/numbering" Target="numbering.xml"/><Relationship Id="rId15" Type="http://schemas.openxmlformats.org/officeDocument/2006/relationships/hyperlink" Target="mailto:jeff.erickson@guidehouse.com" TargetMode="External"/><Relationship Id="rId23" Type="http://schemas.openxmlformats.org/officeDocument/2006/relationships/hyperlink" Target="https://www.ilsag.info/technical-reference-manual/illinois-statewide-technical-reference-manual-version-13-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glione@guidehouse.com"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43AB6DB4-CE02-46B9-8BFD-E7BF6E043A5B}">
  <ds:schemaRefs>
    <ds:schemaRef ds:uri="http://purl.org/dc/terms/"/>
    <ds:schemaRef ds:uri="http://purl.org/dc/dcmitype/"/>
    <ds:schemaRef ds:uri="http://schemas.microsoft.com/office/2006/metadata/properties"/>
    <ds:schemaRef ds:uri="http://schemas.microsoft.com/sharepoint/v3"/>
    <ds:schemaRef ds:uri="http://www.w3.org/XML/1998/namespace"/>
    <ds:schemaRef ds:uri="http://purl.org/dc/elements/1.1/"/>
    <ds:schemaRef ds:uri="http://schemas.microsoft.com/office/infopath/2007/PartnerControls"/>
    <ds:schemaRef ds:uri="http://schemas.microsoft.com/office/2006/documentManagement/types"/>
    <ds:schemaRef ds:uri="c7dbb18a-942d-48ab-becb-8e31551bea5d"/>
    <ds:schemaRef ds:uri="http://schemas.openxmlformats.org/package/2006/metadata/core-properties"/>
    <ds:schemaRef ds:uri="b2d023fd-748d-47fb-9def-a48ce366a9e6"/>
  </ds:schemaRefs>
</ds:datastoreItem>
</file>

<file path=customXml/itemProps4.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3623</Words>
  <Characters>20728</Characters>
  <Application>Microsoft Office Word</Application>
  <DocSecurity>0</DocSecurity>
  <Lines>829</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2026-03-20T00:38:00Z</dcterms:created>
  <dcterms:modified xsi:type="dcterms:W3CDTF">2026-03-20T00:40:00Z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