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FA44" w14:textId="56819B9E" w:rsidR="009E3DAF" w:rsidRPr="009E3DAF" w:rsidRDefault="006B69C7">
      <w:pPr>
        <w:rPr>
          <w:b/>
        </w:rPr>
      </w:pPr>
      <w:r>
        <w:rPr>
          <w:b/>
        </w:rPr>
        <w:t xml:space="preserve">Peoples Gas &amp; North Shore Gas Fuel Switching Policy Proposal: </w:t>
      </w:r>
      <w:r w:rsidR="009E3DAF">
        <w:rPr>
          <w:b/>
        </w:rPr>
        <w:t xml:space="preserve">Proposed </w:t>
      </w:r>
      <w:r w:rsidR="008625BC">
        <w:rPr>
          <w:b/>
        </w:rPr>
        <w:t>L</w:t>
      </w:r>
      <w:r w:rsidR="009E3DAF">
        <w:rPr>
          <w:b/>
        </w:rPr>
        <w:t>anguage</w:t>
      </w:r>
    </w:p>
    <w:p w14:paraId="19F1E1B7" w14:textId="77777777" w:rsidR="003E73F1" w:rsidRDefault="003E73F1">
      <w:r>
        <w:t xml:space="preserve">In order to ensure that the benefits to the ratepayers are justly prioritized, fuel switching measures </w:t>
      </w:r>
      <w:r w:rsidR="009E3DAF">
        <w:t>must:</w:t>
      </w:r>
    </w:p>
    <w:p w14:paraId="6F6CE93E" w14:textId="77777777" w:rsidR="009E3DAF" w:rsidRDefault="009E3DAF" w:rsidP="009E3DAF">
      <w:pPr>
        <w:pStyle w:val="ListParagraph"/>
        <w:numPr>
          <w:ilvl w:val="0"/>
          <w:numId w:val="1"/>
        </w:numPr>
      </w:pPr>
      <w:r>
        <w:t>Reduce greenhouse gas emissions</w:t>
      </w:r>
    </w:p>
    <w:p w14:paraId="403CDF77" w14:textId="77777777" w:rsidR="009E3DAF" w:rsidRDefault="009E3DAF" w:rsidP="009E3DAF">
      <w:pPr>
        <w:pStyle w:val="ListParagraph"/>
        <w:numPr>
          <w:ilvl w:val="0"/>
          <w:numId w:val="1"/>
        </w:numPr>
      </w:pPr>
      <w:r>
        <w:t>Reduce ratepayers’ energy costs</w:t>
      </w:r>
    </w:p>
    <w:p w14:paraId="7A55C074" w14:textId="77777777" w:rsidR="009E3DAF" w:rsidRDefault="009E3DAF" w:rsidP="009E3DAF">
      <w:pPr>
        <w:pStyle w:val="ListParagraph"/>
        <w:numPr>
          <w:ilvl w:val="0"/>
          <w:numId w:val="1"/>
        </w:numPr>
      </w:pPr>
      <w:r>
        <w:t>Be cost beneficial, considering the costs and benefits from the perspective of the ratepayers, the utility, and society.</w:t>
      </w:r>
    </w:p>
    <w:p w14:paraId="46C51561" w14:textId="77777777" w:rsidR="009E3DAF" w:rsidRDefault="009E3DAF" w:rsidP="009E3DAF">
      <w:r>
        <w:t xml:space="preserve">The SAG facilitator will convene a series of working groups </w:t>
      </w:r>
      <w:r w:rsidR="003B03B3">
        <w:t>where Program Administrators and interested stakeholders will work together, with the goal of achieving consensus, on how best to assess and track the above criteria.</w:t>
      </w:r>
    </w:p>
    <w:p w14:paraId="11D2122B" w14:textId="77777777" w:rsidR="003B03B3" w:rsidRDefault="003B03B3">
      <w:r>
        <w:rPr>
          <w:b/>
        </w:rPr>
        <w:t>Rationale</w:t>
      </w:r>
    </w:p>
    <w:p w14:paraId="430FACA0" w14:textId="77777777" w:rsidR="0009774B" w:rsidRDefault="0009774B" w:rsidP="00206033">
      <w:r>
        <w:t xml:space="preserve">The above criteria ensure that ratepayer energy efficiency </w:t>
      </w:r>
      <w:r w:rsidR="00E16D1D">
        <w:t>funds that are</w:t>
      </w:r>
      <w:r>
        <w:t xml:space="preserve"> spent on fuel switching meet the objectives of sections 8-103B </w:t>
      </w:r>
      <w:r w:rsidR="00245EB1">
        <w:t xml:space="preserve">(Energy efficiency and demand-response measures) </w:t>
      </w:r>
      <w:r>
        <w:t>and 8-104</w:t>
      </w:r>
      <w:r w:rsidR="00245EB1">
        <w:t xml:space="preserve"> (Natural gas energy efficiency programs)</w:t>
      </w:r>
      <w:r>
        <w:t xml:space="preserve">, which govern the use of ratepayer energy efficiency funds. </w:t>
      </w:r>
    </w:p>
    <w:p w14:paraId="4B5E4805" w14:textId="77777777" w:rsidR="00992131" w:rsidRDefault="00AF6C12" w:rsidP="00425E67">
      <w:r>
        <w:t>To determine</w:t>
      </w:r>
      <w:r w:rsidR="00AA3F32">
        <w:t xml:space="preserve"> when fuel switching is </w:t>
      </w:r>
      <w:r>
        <w:t>energy efficiency, we reference t</w:t>
      </w:r>
      <w:r w:rsidR="00992131">
        <w:t xml:space="preserve">he </w:t>
      </w:r>
      <w:r w:rsidR="0009774B">
        <w:t xml:space="preserve">American Council for an Energy Efficient Economy (ACEEE) </w:t>
      </w:r>
      <w:r>
        <w:t>which defines</w:t>
      </w:r>
      <w:r w:rsidR="0009774B">
        <w:t xml:space="preserve"> electrification as a form of energy efficiency when it saves energy, saves money, and reduces emissions</w:t>
      </w:r>
      <w:r w:rsidR="00F834B0">
        <w:rPr>
          <w:rStyle w:val="FootnoteReference"/>
        </w:rPr>
        <w:footnoteReference w:id="1"/>
      </w:r>
      <w:r w:rsidR="0009774B">
        <w:t>.</w:t>
      </w:r>
      <w:r w:rsidR="00E16D1D">
        <w:t xml:space="preserve">  </w:t>
      </w:r>
    </w:p>
    <w:p w14:paraId="7AFDD61C" w14:textId="77777777" w:rsidR="00DF0380" w:rsidRDefault="00AA3F32" w:rsidP="00425E67">
      <w:r>
        <w:t xml:space="preserve">We also want to consider best practices for executing fuel switching for energy efficiency. </w:t>
      </w:r>
      <w:r w:rsidR="00992131">
        <w:t xml:space="preserve">Common practice in the states that allow fuel switching </w:t>
      </w:r>
      <w:r w:rsidR="00631E98">
        <w:t>is to implement safeguards that ensure ratepayer</w:t>
      </w:r>
      <w:r>
        <w:t xml:space="preserve"> energy efficiency</w:t>
      </w:r>
      <w:r w:rsidR="00631E98">
        <w:t xml:space="preserve"> funds are only spent on </w:t>
      </w:r>
      <w:r w:rsidR="00E16D1D">
        <w:t xml:space="preserve">beneficial </w:t>
      </w:r>
      <w:r w:rsidR="00631E98">
        <w:t>fuel switching</w:t>
      </w:r>
      <w:r w:rsidR="00E16D1D">
        <w:t xml:space="preserve">. </w:t>
      </w:r>
      <w:r w:rsidR="00206033">
        <w:t>The method for implementing these safeguards</w:t>
      </w:r>
      <w:r w:rsidR="00DF4438">
        <w:t>/</w:t>
      </w:r>
      <w:r w:rsidR="00E16D1D">
        <w:t xml:space="preserve">screening </w:t>
      </w:r>
      <w:r w:rsidR="00DF4438">
        <w:t>criteria</w:t>
      </w:r>
      <w:r w:rsidR="00206033">
        <w:t xml:space="preserve"> varies by state and often includes one or more of the following:</w:t>
      </w:r>
    </w:p>
    <w:p w14:paraId="770BD865" w14:textId="77777777" w:rsidR="00206033" w:rsidRDefault="00206033" w:rsidP="00206033">
      <w:pPr>
        <w:pStyle w:val="ListParagraph"/>
        <w:numPr>
          <w:ilvl w:val="0"/>
          <w:numId w:val="2"/>
        </w:numPr>
      </w:pPr>
      <w:r>
        <w:t>State legislation</w:t>
      </w:r>
    </w:p>
    <w:p w14:paraId="1C798E02" w14:textId="77777777" w:rsidR="00206033" w:rsidRDefault="00206033" w:rsidP="00206033">
      <w:pPr>
        <w:pStyle w:val="ListParagraph"/>
        <w:numPr>
          <w:ilvl w:val="0"/>
          <w:numId w:val="2"/>
        </w:numPr>
      </w:pPr>
      <w:r>
        <w:t>Technical reference manuals (TRMs)</w:t>
      </w:r>
    </w:p>
    <w:p w14:paraId="7E49AB2E" w14:textId="77777777" w:rsidR="00206033" w:rsidRDefault="00206033" w:rsidP="00206033">
      <w:pPr>
        <w:pStyle w:val="ListParagraph"/>
        <w:numPr>
          <w:ilvl w:val="0"/>
          <w:numId w:val="2"/>
        </w:numPr>
      </w:pPr>
      <w:r>
        <w:t>Policy manuals</w:t>
      </w:r>
    </w:p>
    <w:p w14:paraId="6B38F659" w14:textId="77777777" w:rsidR="00206033" w:rsidRDefault="00206033" w:rsidP="00206033">
      <w:pPr>
        <w:pStyle w:val="ListParagraph"/>
        <w:numPr>
          <w:ilvl w:val="0"/>
          <w:numId w:val="2"/>
        </w:numPr>
      </w:pPr>
      <w:r>
        <w:t>Integrated resource plan requirements</w:t>
      </w:r>
    </w:p>
    <w:p w14:paraId="034FB13E" w14:textId="77777777" w:rsidR="00425E67" w:rsidRDefault="00DF4438">
      <w:r>
        <w:t>Common fuel switch criteria and the states implementing the criteria are included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2063B" w14:paraId="74FB5134" w14:textId="77777777" w:rsidTr="00C2063B">
        <w:tc>
          <w:tcPr>
            <w:tcW w:w="1870" w:type="dxa"/>
          </w:tcPr>
          <w:p w14:paraId="234F4335" w14:textId="77777777" w:rsidR="00C2063B" w:rsidRDefault="0014443C">
            <w:pPr>
              <w:rPr>
                <w:b/>
              </w:rPr>
            </w:pPr>
            <w:r>
              <w:rPr>
                <w:b/>
              </w:rPr>
              <w:t>Fuel Switch Requirement</w:t>
            </w:r>
          </w:p>
          <w:p w14:paraId="32D21E20" w14:textId="77777777" w:rsidR="0014443C" w:rsidRPr="0014443C" w:rsidRDefault="0014443C">
            <w:pPr>
              <w:rPr>
                <w:b/>
              </w:rPr>
            </w:pPr>
          </w:p>
        </w:tc>
        <w:tc>
          <w:tcPr>
            <w:tcW w:w="1870" w:type="dxa"/>
          </w:tcPr>
          <w:p w14:paraId="41DA8240" w14:textId="77777777" w:rsidR="00C2063B" w:rsidRDefault="0014443C">
            <w:r>
              <w:t>Reduce greenhouse gas emissions</w:t>
            </w:r>
          </w:p>
        </w:tc>
        <w:tc>
          <w:tcPr>
            <w:tcW w:w="1870" w:type="dxa"/>
          </w:tcPr>
          <w:p w14:paraId="76C395CE" w14:textId="77777777" w:rsidR="00C2063B" w:rsidRDefault="0014443C">
            <w:r>
              <w:t>Reduce source energy</w:t>
            </w:r>
          </w:p>
        </w:tc>
        <w:tc>
          <w:tcPr>
            <w:tcW w:w="1870" w:type="dxa"/>
          </w:tcPr>
          <w:p w14:paraId="485707C1" w14:textId="77777777" w:rsidR="00C2063B" w:rsidRDefault="0014443C" w:rsidP="0014443C">
            <w:r>
              <w:t>Reduce ratepayers’ costs</w:t>
            </w:r>
          </w:p>
        </w:tc>
        <w:tc>
          <w:tcPr>
            <w:tcW w:w="1870" w:type="dxa"/>
          </w:tcPr>
          <w:p w14:paraId="4DD16422" w14:textId="77777777" w:rsidR="00C2063B" w:rsidRDefault="0014443C">
            <w:r>
              <w:t>Be cost effective</w:t>
            </w:r>
          </w:p>
        </w:tc>
      </w:tr>
      <w:tr w:rsidR="00C2063B" w14:paraId="3F65E6DD" w14:textId="77777777" w:rsidTr="00C2063B">
        <w:tc>
          <w:tcPr>
            <w:tcW w:w="1870" w:type="dxa"/>
          </w:tcPr>
          <w:p w14:paraId="68672476" w14:textId="77777777" w:rsidR="0014443C" w:rsidRDefault="0014443C">
            <w:pPr>
              <w:rPr>
                <w:b/>
              </w:rPr>
            </w:pPr>
            <w:r>
              <w:rPr>
                <w:b/>
              </w:rPr>
              <w:t>States Implementing Requirement</w:t>
            </w:r>
          </w:p>
          <w:p w14:paraId="57EEA459" w14:textId="77777777" w:rsidR="00F834B0" w:rsidRPr="0014443C" w:rsidRDefault="00F834B0">
            <w:pPr>
              <w:rPr>
                <w:b/>
              </w:rPr>
            </w:pPr>
          </w:p>
        </w:tc>
        <w:tc>
          <w:tcPr>
            <w:tcW w:w="1870" w:type="dxa"/>
          </w:tcPr>
          <w:p w14:paraId="7923D03B" w14:textId="77777777" w:rsidR="00C2063B" w:rsidRDefault="0014443C">
            <w:r>
              <w:t>AK, CA, CO, MS, NY, RI, VT, MN, Washington D.C.</w:t>
            </w:r>
          </w:p>
        </w:tc>
        <w:tc>
          <w:tcPr>
            <w:tcW w:w="1870" w:type="dxa"/>
          </w:tcPr>
          <w:p w14:paraId="6DF868D5" w14:textId="77777777" w:rsidR="00C2063B" w:rsidRDefault="0014443C" w:rsidP="0014443C">
            <w:r>
              <w:t>CA, MN</w:t>
            </w:r>
          </w:p>
        </w:tc>
        <w:tc>
          <w:tcPr>
            <w:tcW w:w="1870" w:type="dxa"/>
          </w:tcPr>
          <w:p w14:paraId="6DDAA7E4" w14:textId="77777777" w:rsidR="00C2063B" w:rsidRDefault="0014443C">
            <w:r>
              <w:t>CO, ME, MS, NY, MN</w:t>
            </w:r>
          </w:p>
        </w:tc>
        <w:tc>
          <w:tcPr>
            <w:tcW w:w="1870" w:type="dxa"/>
          </w:tcPr>
          <w:p w14:paraId="7867C10C" w14:textId="77777777" w:rsidR="00C2063B" w:rsidRDefault="0014443C">
            <w:r>
              <w:t>CA, CO, MS, NY, MN, Washington D.C.</w:t>
            </w:r>
          </w:p>
        </w:tc>
      </w:tr>
    </w:tbl>
    <w:p w14:paraId="43568FB7" w14:textId="77777777" w:rsidR="00E5224A" w:rsidRPr="00D57C03" w:rsidRDefault="00E16D1D" w:rsidP="00F834B0">
      <w:r>
        <w:t>Source: ACEEE State Policies and Rules to Enable Beneficial Electrification in Buildings th</w:t>
      </w:r>
      <w:r w:rsidR="00F834B0">
        <w:t>rough Fuel Switching (July 2022)</w:t>
      </w:r>
      <w:r>
        <w:t>.</w:t>
      </w:r>
      <w:r w:rsidR="00F834B0" w:rsidRPr="00F834B0">
        <w:t xml:space="preserve"> </w:t>
      </w:r>
      <w:hyperlink r:id="rId8" w:history="1">
        <w:r w:rsidR="00F834B0" w:rsidRPr="00D57C03">
          <w:rPr>
            <w:rStyle w:val="Hyperlink"/>
          </w:rPr>
          <w:t>https://www.aceee.org/sites/default/files/pdfs/state_fuel-switching_policies_and_rules_7-21-22.pdf</w:t>
        </w:r>
      </w:hyperlink>
    </w:p>
    <w:sectPr w:rsidR="00E5224A" w:rsidRPr="00D5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CF1B" w14:textId="77777777" w:rsidR="003B01EA" w:rsidRDefault="003B01EA" w:rsidP="00F834B0">
      <w:pPr>
        <w:spacing w:after="0" w:line="240" w:lineRule="auto"/>
      </w:pPr>
      <w:r>
        <w:separator/>
      </w:r>
    </w:p>
  </w:endnote>
  <w:endnote w:type="continuationSeparator" w:id="0">
    <w:p w14:paraId="4A866F26" w14:textId="77777777" w:rsidR="003B01EA" w:rsidRDefault="003B01EA" w:rsidP="00F8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6E00" w14:textId="77777777" w:rsidR="003B01EA" w:rsidRDefault="003B01EA" w:rsidP="00F834B0">
      <w:pPr>
        <w:spacing w:after="0" w:line="240" w:lineRule="auto"/>
      </w:pPr>
      <w:r>
        <w:separator/>
      </w:r>
    </w:p>
  </w:footnote>
  <w:footnote w:type="continuationSeparator" w:id="0">
    <w:p w14:paraId="0E5D3E01" w14:textId="77777777" w:rsidR="003B01EA" w:rsidRDefault="003B01EA" w:rsidP="00F834B0">
      <w:pPr>
        <w:spacing w:after="0" w:line="240" w:lineRule="auto"/>
      </w:pPr>
      <w:r>
        <w:continuationSeparator/>
      </w:r>
    </w:p>
  </w:footnote>
  <w:footnote w:id="1">
    <w:p w14:paraId="0E189177" w14:textId="77777777" w:rsidR="00F834B0" w:rsidRDefault="00F834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7C03">
        <w:t xml:space="preserve">ACEEE State Policies and Rules to Enable Beneficial Electrification in Buildings through Fuel Switching (July 2022) </w:t>
      </w:r>
      <w:hyperlink r:id="rId1" w:history="1">
        <w:r w:rsidRPr="00D57C03">
          <w:rPr>
            <w:rStyle w:val="Hyperlink"/>
          </w:rPr>
          <w:t>https://www.aceee.org/sites/default/files/pdfs/state_fuel-switching_policies_and_rules_7-21-22.pdf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395E"/>
    <w:multiLevelType w:val="hybridMultilevel"/>
    <w:tmpl w:val="027A7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B1CE0"/>
    <w:multiLevelType w:val="hybridMultilevel"/>
    <w:tmpl w:val="F90E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898956">
    <w:abstractNumId w:val="0"/>
  </w:num>
  <w:num w:numId="2" w16cid:durableId="174090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F1"/>
    <w:rsid w:val="0009774B"/>
    <w:rsid w:val="001010D9"/>
    <w:rsid w:val="001335C4"/>
    <w:rsid w:val="0014443C"/>
    <w:rsid w:val="00163510"/>
    <w:rsid w:val="001701B5"/>
    <w:rsid w:val="00192FB5"/>
    <w:rsid w:val="001C3BCA"/>
    <w:rsid w:val="00206033"/>
    <w:rsid w:val="002326C9"/>
    <w:rsid w:val="00245EB1"/>
    <w:rsid w:val="0035344B"/>
    <w:rsid w:val="003B01EA"/>
    <w:rsid w:val="003B03B3"/>
    <w:rsid w:val="003E73F1"/>
    <w:rsid w:val="00425E67"/>
    <w:rsid w:val="00631E98"/>
    <w:rsid w:val="006B69C7"/>
    <w:rsid w:val="00726015"/>
    <w:rsid w:val="007762D5"/>
    <w:rsid w:val="008625BC"/>
    <w:rsid w:val="00967D0E"/>
    <w:rsid w:val="00992131"/>
    <w:rsid w:val="009E3DAF"/>
    <w:rsid w:val="00AA3F32"/>
    <w:rsid w:val="00AF6C12"/>
    <w:rsid w:val="00C2063B"/>
    <w:rsid w:val="00C7620D"/>
    <w:rsid w:val="00DF0380"/>
    <w:rsid w:val="00DF4438"/>
    <w:rsid w:val="00E16D1D"/>
    <w:rsid w:val="00E5224A"/>
    <w:rsid w:val="00F603AC"/>
    <w:rsid w:val="00F834B0"/>
    <w:rsid w:val="00FB1D3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6819"/>
  <w15:chartTrackingRefBased/>
  <w15:docId w15:val="{9D7EBB13-F1E2-4E9F-9E7D-EACD942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F"/>
    <w:pPr>
      <w:ind w:left="720"/>
      <w:contextualSpacing/>
    </w:pPr>
  </w:style>
  <w:style w:type="table" w:styleId="TableGrid">
    <w:name w:val="Table Grid"/>
    <w:basedOn w:val="TableNormal"/>
    <w:uiPriority w:val="39"/>
    <w:rsid w:val="00C2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5224A"/>
    <w:rPr>
      <w:color w:val="0000FF"/>
      <w:u w:val="single"/>
    </w:rPr>
  </w:style>
  <w:style w:type="paragraph" w:styleId="FootnoteText">
    <w:name w:val="footnote text"/>
    <w:aliases w:val="TBG Style,Footnote Text1 Char,Footnote Text Char Ch,ALTS FOOTNOTE,Footnote Text 2,fn,Footnote text,FOOTNOTE,Footnote Text Char1 Char,Footnote Text Char Char Char,Footnote Text Char1 Char Char Char"/>
    <w:basedOn w:val="BodyText"/>
    <w:link w:val="FootnoteTextChar"/>
    <w:uiPriority w:val="99"/>
    <w:qFormat/>
    <w:rsid w:val="00E5224A"/>
    <w:pPr>
      <w:spacing w:after="40" w:line="240" w:lineRule="auto"/>
      <w:jc w:val="both"/>
    </w:pPr>
    <w:rPr>
      <w:rFonts w:ascii="Jost" w:eastAsia="Times New Roman" w:hAnsi="Jost" w:cs="Times New Roman"/>
      <w:kern w:val="20"/>
      <w:sz w:val="15"/>
      <w:szCs w:val="15"/>
      <w14:ligatures w14:val="standardContextual"/>
    </w:rPr>
  </w:style>
  <w:style w:type="character" w:customStyle="1" w:styleId="FootnoteTextChar">
    <w:name w:val="Footnote Text Char"/>
    <w:aliases w:val="TBG Style Char,Footnote Text1 Char Char,Footnote Text Char Ch Char,ALTS FOOTNOTE Char,Footnote Text 2 Char,fn Char,Footnote text Char,FOOTNOTE Char,Footnote Text Char1 Char Char,Footnote Text Char Char Char Char"/>
    <w:basedOn w:val="DefaultParagraphFont"/>
    <w:link w:val="FootnoteText"/>
    <w:uiPriority w:val="99"/>
    <w:rsid w:val="00E5224A"/>
    <w:rPr>
      <w:rFonts w:ascii="Jost" w:eastAsia="Times New Roman" w:hAnsi="Jost" w:cs="Times New Roman"/>
      <w:kern w:val="20"/>
      <w:sz w:val="15"/>
      <w:szCs w:val="15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2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24A"/>
  </w:style>
  <w:style w:type="character" w:styleId="FollowedHyperlink">
    <w:name w:val="FollowedHyperlink"/>
    <w:basedOn w:val="DefaultParagraphFont"/>
    <w:uiPriority w:val="99"/>
    <w:semiHidden/>
    <w:unhideWhenUsed/>
    <w:rsid w:val="00E5224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834B0"/>
    <w:rPr>
      <w:vertAlign w:val="superscript"/>
    </w:rPr>
  </w:style>
  <w:style w:type="paragraph" w:styleId="Revision">
    <w:name w:val="Revision"/>
    <w:hidden/>
    <w:uiPriority w:val="99"/>
    <w:semiHidden/>
    <w:rsid w:val="00FB1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ee.org/sites/default/files/pdfs/state_fuel-switching_policies_and_rules_7-21-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eee.org/sites/default/files/pdfs/state_fuel-switching_policies_and_rules_7-21-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EA60-489F-469E-B12B-06439477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 Energy Group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Manjarres, Thomas D</dc:creator>
  <cp:keywords/>
  <dc:description/>
  <cp:lastModifiedBy>Celia Johnson</cp:lastModifiedBy>
  <cp:revision>4</cp:revision>
  <dcterms:created xsi:type="dcterms:W3CDTF">2023-01-26T21:57:00Z</dcterms:created>
  <dcterms:modified xsi:type="dcterms:W3CDTF">2023-01-26T21:58:00Z</dcterms:modified>
</cp:coreProperties>
</file>