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E3CE" w14:textId="77777777" w:rsidR="00585B77" w:rsidRPr="004D2AC4" w:rsidRDefault="00585B77" w:rsidP="00585B77">
      <w:pPr>
        <w:jc w:val="center"/>
        <w:rPr>
          <w:rFonts w:cs="Arial"/>
          <w:b/>
          <w:sz w:val="26"/>
          <w:szCs w:val="26"/>
        </w:rPr>
      </w:pPr>
      <w:r w:rsidRPr="004D2AC4">
        <w:rPr>
          <w:rFonts w:cs="Arial"/>
          <w:b/>
          <w:sz w:val="26"/>
          <w:szCs w:val="26"/>
        </w:rPr>
        <w:t>Illinois Energy Efficiency Stakeholder Advisory Group</w:t>
      </w:r>
    </w:p>
    <w:p w14:paraId="5C4A13BA" w14:textId="77777777" w:rsidR="00585B77" w:rsidRDefault="00585B77" w:rsidP="00585B77">
      <w:pPr>
        <w:jc w:val="center"/>
        <w:rPr>
          <w:rFonts w:cs="Arial"/>
          <w:b/>
          <w:bCs/>
          <w:sz w:val="26"/>
          <w:szCs w:val="26"/>
        </w:rPr>
      </w:pPr>
      <w:r w:rsidRPr="004D2AC4">
        <w:rPr>
          <w:rFonts w:cs="Arial"/>
          <w:b/>
          <w:bCs/>
          <w:sz w:val="26"/>
          <w:szCs w:val="26"/>
        </w:rPr>
        <w:t xml:space="preserve">Policy Manual Subcommittee </w:t>
      </w:r>
    </w:p>
    <w:p w14:paraId="20E3A1C3" w14:textId="77777777" w:rsidR="00585B77" w:rsidRDefault="00585B77" w:rsidP="00585B77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Non-Qualified Equipment Policy</w:t>
      </w:r>
    </w:p>
    <w:p w14:paraId="57C16B7D" w14:textId="30F44765" w:rsidR="00585B77" w:rsidRPr="00B3223D" w:rsidRDefault="00583350" w:rsidP="00585B77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Final (8/28/23)</w:t>
      </w:r>
    </w:p>
    <w:p w14:paraId="20A3A811" w14:textId="77777777" w:rsidR="00585B77" w:rsidRPr="000E174D" w:rsidRDefault="00585B77" w:rsidP="00585B77">
      <w:pPr>
        <w:rPr>
          <w:rFonts w:cs="Arial"/>
          <w:b/>
          <w:bCs/>
          <w:color w:val="4472C4" w:themeColor="accent1"/>
          <w:u w:val="single"/>
        </w:rPr>
      </w:pPr>
    </w:p>
    <w:p w14:paraId="41734687" w14:textId="77777777" w:rsidR="00585B77" w:rsidRPr="000E174D" w:rsidRDefault="00585B77" w:rsidP="00585B77">
      <w:pPr>
        <w:rPr>
          <w:rFonts w:eastAsia="Times New Roman" w:cs="Arial"/>
          <w:b/>
          <w:bCs/>
          <w:color w:val="000000"/>
          <w:u w:val="single"/>
        </w:rPr>
      </w:pPr>
      <w:r w:rsidRPr="000E174D">
        <w:rPr>
          <w:rFonts w:eastAsia="Times New Roman" w:cs="Arial"/>
          <w:b/>
          <w:bCs/>
          <w:color w:val="000000"/>
          <w:u w:val="single"/>
        </w:rPr>
        <w:t>Policy</w:t>
      </w:r>
      <w:r w:rsidRPr="000E174D">
        <w:rPr>
          <w:rFonts w:eastAsia="Times New Roman" w:cs="Arial"/>
          <w:b/>
          <w:bCs/>
          <w:color w:val="000000"/>
        </w:rPr>
        <w:t>:</w:t>
      </w:r>
    </w:p>
    <w:p w14:paraId="7E658547" w14:textId="77777777" w:rsidR="00583350" w:rsidRDefault="00583350"/>
    <w:p w14:paraId="17B6E5A3" w14:textId="77777777" w:rsidR="00585B77" w:rsidRDefault="00585B77">
      <w:r>
        <w:t>Savings from Non-Qualified Equipment (NQE) measures should still be verified during evaluation. In cases where the available information is not sufficient to estimate savings to the typical level of accuracy (i.e., a measure that should have been a custom project, but was processed as prescriptive), the evaluation teams will make their best effort to develop an accurate savings estimate that accounts for the uncertainty of the project,</w:t>
      </w:r>
    </w:p>
    <w:p w14:paraId="5E9466F8" w14:textId="77777777" w:rsidR="00585B77" w:rsidRDefault="00585B77"/>
    <w:p w14:paraId="7E3F203E" w14:textId="77777777" w:rsidR="00585B77" w:rsidRDefault="00585B77">
      <w:r>
        <w:t>Evaluation teams will assess on a case-by-case basis whether the cumulatively persisting annual savings (CPAS) is impacted by the equipment not meeting the program criteria (e.g., warranty not meeting DLC requirements).</w:t>
      </w:r>
    </w:p>
    <w:p w14:paraId="56C4D6CB" w14:textId="77777777" w:rsidR="00585B77" w:rsidRDefault="00585B77"/>
    <w:p w14:paraId="587115B7" w14:textId="77777777" w:rsidR="00585B77" w:rsidRDefault="00585B77">
      <w:r>
        <w:t>NOTE: This is a policy issue previously resolved by SAG in January 2020.</w:t>
      </w:r>
    </w:p>
    <w:p w14:paraId="5ADBBDF5" w14:textId="77777777" w:rsidR="00583350" w:rsidRDefault="00583350"/>
    <w:p w14:paraId="298879D8" w14:textId="20D27CD8" w:rsidR="00583350" w:rsidRPr="000E174D" w:rsidRDefault="00583350" w:rsidP="00583350">
      <w:pPr>
        <w:rPr>
          <w:rFonts w:cs="Arial"/>
          <w:b/>
          <w:bCs/>
          <w:u w:val="single"/>
        </w:rPr>
      </w:pPr>
      <w:r w:rsidRPr="000E174D">
        <w:rPr>
          <w:rFonts w:cs="Arial"/>
          <w:b/>
          <w:bCs/>
          <w:u w:val="single"/>
        </w:rPr>
        <w:t>Effective Date</w:t>
      </w:r>
      <w:r w:rsidRPr="000E174D">
        <w:rPr>
          <w:rFonts w:cs="Arial"/>
          <w:b/>
          <w:bCs/>
        </w:rPr>
        <w:t xml:space="preserve">: </w:t>
      </w:r>
      <w:r w:rsidRPr="00583350">
        <w:rPr>
          <w:rFonts w:cs="Arial"/>
        </w:rPr>
        <w:t>This policy is applicable beginning with the 2023 program year.</w:t>
      </w:r>
    </w:p>
    <w:p w14:paraId="7019D189" w14:textId="77777777" w:rsidR="00583350" w:rsidRDefault="00583350"/>
    <w:sectPr w:rsidR="00583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77"/>
    <w:rsid w:val="00333D76"/>
    <w:rsid w:val="00583350"/>
    <w:rsid w:val="00585B77"/>
    <w:rsid w:val="006913B9"/>
    <w:rsid w:val="007E50BB"/>
    <w:rsid w:val="009F3DB2"/>
    <w:rsid w:val="00AD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2B01"/>
  <w15:chartTrackingRefBased/>
  <w15:docId w15:val="{E5259789-B10B-40A6-A736-B6E7D61A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B77"/>
    <w:pPr>
      <w:spacing w:after="0" w:line="240" w:lineRule="auto"/>
    </w:pPr>
    <w:rPr>
      <w:rFonts w:ascii="Arial" w:hAnsi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3</cp:revision>
  <dcterms:created xsi:type="dcterms:W3CDTF">2023-08-31T16:07:00Z</dcterms:created>
  <dcterms:modified xsi:type="dcterms:W3CDTF">2023-08-31T16:08:00Z</dcterms:modified>
</cp:coreProperties>
</file>