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99EF" w14:textId="77777777" w:rsidR="0084479F" w:rsidRDefault="0084479F" w:rsidP="00CE4A64"/>
    <w:p w14:paraId="7C1B99F0" w14:textId="77777777" w:rsidR="0084479F" w:rsidRDefault="0084479F" w:rsidP="00CE4A64">
      <w:pPr>
        <w:pStyle w:val="Title"/>
      </w:pPr>
    </w:p>
    <w:p w14:paraId="7C1B99F1" w14:textId="22856B68" w:rsidR="0084479F" w:rsidRPr="00190360" w:rsidRDefault="0084479F" w:rsidP="00CE4A64">
      <w:pPr>
        <w:pStyle w:val="Title"/>
      </w:pPr>
      <w:bookmarkStart w:id="0" w:name="Title_Program_Name"/>
      <w:r w:rsidRPr="00B5662A">
        <w:t>Home Energy Efficiency Rebates</w:t>
      </w:r>
      <w:bookmarkEnd w:id="0"/>
      <w:r>
        <w:t xml:space="preserve"> Program Impact Evaluation Report</w:t>
      </w:r>
    </w:p>
    <w:p w14:paraId="7C1B99F2" w14:textId="77777777" w:rsidR="0084479F" w:rsidRDefault="0084479F" w:rsidP="00CE4A64"/>
    <w:p w14:paraId="7C1B99F3" w14:textId="77777777" w:rsidR="0084479F" w:rsidRPr="00903EB1" w:rsidRDefault="0084479F" w:rsidP="00CE4A64">
      <w:pPr>
        <w:pStyle w:val="Subtitle"/>
      </w:pPr>
      <w:r w:rsidRPr="00903EB1">
        <w:t>Energy Efficiency Plan: Program Year 2025</w:t>
      </w:r>
    </w:p>
    <w:p w14:paraId="7C1B99F4" w14:textId="77777777" w:rsidR="0084479F" w:rsidRPr="00903EB1" w:rsidRDefault="0084479F" w:rsidP="00CE4A64">
      <w:pPr>
        <w:pStyle w:val="Subtitle"/>
      </w:pPr>
      <w:r w:rsidRPr="00903EB1">
        <w:t xml:space="preserve">(01/01/2025-12/31/2025) </w:t>
      </w:r>
    </w:p>
    <w:p w14:paraId="7C1B99F5" w14:textId="77777777" w:rsidR="0084479F" w:rsidRPr="005B6988" w:rsidRDefault="0084479F" w:rsidP="00CE4A64"/>
    <w:p w14:paraId="7C1B99F6" w14:textId="77777777" w:rsidR="0084479F" w:rsidRPr="0056335A" w:rsidRDefault="0084479F">
      <w:pPr>
        <w:rPr>
          <w:rStyle w:val="Strong"/>
          <w:sz w:val="28"/>
          <w:szCs w:val="28"/>
        </w:rPr>
      </w:pPr>
      <w:r w:rsidRPr="0056335A">
        <w:rPr>
          <w:rStyle w:val="Strong"/>
          <w:sz w:val="28"/>
          <w:szCs w:val="28"/>
        </w:rPr>
        <w:t>Prepared for:</w:t>
      </w:r>
    </w:p>
    <w:p w14:paraId="7C1B99F7" w14:textId="77777777" w:rsidR="0084479F" w:rsidRPr="0056335A" w:rsidRDefault="0084479F">
      <w:pPr>
        <w:rPr>
          <w:rStyle w:val="Strong"/>
          <w:sz w:val="28"/>
          <w:szCs w:val="28"/>
        </w:rPr>
      </w:pPr>
      <w:r>
        <w:rPr>
          <w:rStyle w:val="Strong"/>
          <w:sz w:val="28"/>
          <w:szCs w:val="28"/>
        </w:rPr>
        <w:t>Nicor Gas Company</w:t>
      </w:r>
    </w:p>
    <w:p w14:paraId="7C1B99F8" w14:textId="77777777" w:rsidR="0084479F" w:rsidRPr="0056335A" w:rsidRDefault="0084479F">
      <w:pPr>
        <w:rPr>
          <w:sz w:val="28"/>
          <w:szCs w:val="28"/>
        </w:rPr>
      </w:pPr>
      <w:r>
        <w:rPr>
          <w:noProof/>
          <w:sz w:val="28"/>
          <w:szCs w:val="28"/>
        </w:rPr>
        <w:drawing>
          <wp:inline distT="0" distB="0" distL="0" distR="0" wp14:anchorId="7C1B9E1D" wp14:editId="7C1B9E1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7C1B99F9" w14:textId="77777777" w:rsidR="0084479F" w:rsidRPr="0056335A" w:rsidRDefault="0084479F">
      <w:pPr>
        <w:rPr>
          <w:rStyle w:val="Strong"/>
          <w:sz w:val="28"/>
          <w:szCs w:val="28"/>
        </w:rPr>
      </w:pPr>
      <w:r w:rsidRPr="0056335A">
        <w:rPr>
          <w:rStyle w:val="Strong"/>
          <w:sz w:val="28"/>
          <w:szCs w:val="28"/>
        </w:rPr>
        <w:t>DRAFT</w:t>
      </w:r>
    </w:p>
    <w:p w14:paraId="7C1B99FA" w14:textId="3DD20AB3" w:rsidR="0084479F" w:rsidRPr="0056335A" w:rsidRDefault="00495E30">
      <w:pPr>
        <w:rPr>
          <w:rStyle w:val="Strong"/>
          <w:sz w:val="28"/>
          <w:szCs w:val="28"/>
        </w:rPr>
      </w:pPr>
      <w:r>
        <w:rPr>
          <w:rStyle w:val="Strong"/>
          <w:sz w:val="28"/>
          <w:szCs w:val="28"/>
        </w:rPr>
        <w:t>March 27, 2026</w:t>
      </w:r>
    </w:p>
    <w:p w14:paraId="7C1B99FB" w14:textId="77777777" w:rsidR="0084479F" w:rsidRDefault="0084479F"/>
    <w:p w14:paraId="7C1B99FC" w14:textId="77777777" w:rsidR="0084479F" w:rsidRPr="00495E30" w:rsidRDefault="0084479F" w:rsidP="00CE4A64">
      <w:pPr>
        <w:pStyle w:val="NoSpacing"/>
        <w:rPr>
          <w:b/>
          <w:sz w:val="22"/>
          <w:szCs w:val="22"/>
        </w:rPr>
      </w:pPr>
      <w:r w:rsidRPr="00495E30">
        <w:rPr>
          <w:b/>
          <w:bCs/>
          <w:sz w:val="22"/>
          <w:szCs w:val="22"/>
        </w:rPr>
        <w:t>Prepared</w:t>
      </w:r>
      <w:r w:rsidRPr="00495E30">
        <w:rPr>
          <w:b/>
          <w:sz w:val="22"/>
          <w:szCs w:val="22"/>
        </w:rPr>
        <w:t xml:space="preserve"> by: </w:t>
      </w:r>
    </w:p>
    <w:p w14:paraId="7C1B99FD" w14:textId="77777777" w:rsidR="0084479F" w:rsidRPr="00495E30" w:rsidRDefault="0084479F" w:rsidP="00CE4A64">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CE4A64" w:rsidRPr="0010260D" w14:paraId="7C1B9A06" w14:textId="77777777" w:rsidTr="00CE4A64">
        <w:trPr>
          <w:trHeight w:val="1134"/>
        </w:trPr>
        <w:tc>
          <w:tcPr>
            <w:tcW w:w="2337" w:type="dxa"/>
          </w:tcPr>
          <w:p w14:paraId="7C1B99FE" w14:textId="72734E90" w:rsidR="0084479F" w:rsidRPr="00495E30" w:rsidRDefault="00495E30" w:rsidP="00CE4A64">
            <w:pPr>
              <w:pStyle w:val="NoSpacing"/>
              <w:rPr>
                <w:b/>
                <w:bCs/>
                <w:sz w:val="22"/>
                <w:szCs w:val="22"/>
              </w:rPr>
            </w:pPr>
            <w:r w:rsidRPr="00495E30">
              <w:rPr>
                <w:b/>
                <w:bCs/>
                <w:sz w:val="22"/>
                <w:szCs w:val="22"/>
              </w:rPr>
              <w:t>Julia Kaplan</w:t>
            </w:r>
          </w:p>
          <w:p w14:paraId="7C1B99FF" w14:textId="45DEE0C1" w:rsidR="0084479F" w:rsidRPr="00495E30" w:rsidRDefault="00495E30" w:rsidP="00CE4A64">
            <w:pPr>
              <w:pStyle w:val="NoSpacing"/>
              <w:rPr>
                <w:sz w:val="22"/>
                <w:szCs w:val="22"/>
              </w:rPr>
            </w:pPr>
            <w:r w:rsidRPr="00495E30">
              <w:rPr>
                <w:sz w:val="22"/>
                <w:szCs w:val="22"/>
              </w:rPr>
              <w:t>Guidehouse</w:t>
            </w:r>
          </w:p>
        </w:tc>
        <w:tc>
          <w:tcPr>
            <w:tcW w:w="2337" w:type="dxa"/>
          </w:tcPr>
          <w:p w14:paraId="7C1B9A00" w14:textId="2F626D24" w:rsidR="0084479F" w:rsidRPr="00495E30" w:rsidRDefault="00495E30" w:rsidP="00CE4A64">
            <w:pPr>
              <w:pStyle w:val="NoSpacing"/>
              <w:rPr>
                <w:b/>
                <w:bCs/>
                <w:sz w:val="22"/>
                <w:szCs w:val="22"/>
              </w:rPr>
            </w:pPr>
            <w:r w:rsidRPr="00495E30">
              <w:rPr>
                <w:b/>
                <w:bCs/>
                <w:sz w:val="22"/>
                <w:szCs w:val="22"/>
              </w:rPr>
              <w:t>Robert Hodge</w:t>
            </w:r>
          </w:p>
          <w:p w14:paraId="7C1B9A01" w14:textId="5911D8E9" w:rsidR="0084479F" w:rsidRPr="00495E30" w:rsidRDefault="00495E30" w:rsidP="00CE4A64">
            <w:pPr>
              <w:pStyle w:val="NoSpacing"/>
              <w:rPr>
                <w:sz w:val="22"/>
                <w:szCs w:val="22"/>
              </w:rPr>
            </w:pPr>
            <w:r w:rsidRPr="00495E30">
              <w:rPr>
                <w:sz w:val="22"/>
                <w:szCs w:val="22"/>
              </w:rPr>
              <w:t>Guidehouse</w:t>
            </w:r>
          </w:p>
        </w:tc>
        <w:tc>
          <w:tcPr>
            <w:tcW w:w="2338" w:type="dxa"/>
          </w:tcPr>
          <w:p w14:paraId="7C1B9A03" w14:textId="4C31AD7F" w:rsidR="0084479F" w:rsidRPr="00495E30" w:rsidRDefault="0084479F" w:rsidP="00CE4A64">
            <w:pPr>
              <w:pStyle w:val="NoSpacing"/>
              <w:rPr>
                <w:sz w:val="22"/>
                <w:szCs w:val="22"/>
              </w:rPr>
            </w:pPr>
          </w:p>
        </w:tc>
        <w:tc>
          <w:tcPr>
            <w:tcW w:w="2338" w:type="dxa"/>
          </w:tcPr>
          <w:p w14:paraId="7C1B9A05" w14:textId="6EAE2EE8" w:rsidR="0084479F" w:rsidRPr="00495E30" w:rsidRDefault="0084479F" w:rsidP="00CE4A64">
            <w:pPr>
              <w:pStyle w:val="NoSpacing"/>
              <w:rPr>
                <w:sz w:val="22"/>
                <w:szCs w:val="22"/>
              </w:rPr>
            </w:pPr>
          </w:p>
        </w:tc>
      </w:tr>
      <w:tr w:rsidR="00CE4A64" w:rsidRPr="0010260D" w14:paraId="7C1B9A0B" w14:textId="77777777" w:rsidTr="00CE4A64">
        <w:trPr>
          <w:trHeight w:val="1134"/>
        </w:trPr>
        <w:tc>
          <w:tcPr>
            <w:tcW w:w="2337" w:type="dxa"/>
          </w:tcPr>
          <w:p w14:paraId="7C1B9A07" w14:textId="5355BA2A" w:rsidR="0084479F" w:rsidRPr="00187113" w:rsidRDefault="0084479F" w:rsidP="00CE4A64">
            <w:pPr>
              <w:pStyle w:val="NoSpacing"/>
              <w:jc w:val="center"/>
              <w:rPr>
                <w:b/>
                <w:bCs/>
                <w:sz w:val="22"/>
                <w:szCs w:val="22"/>
                <w:highlight w:val="yellow"/>
              </w:rPr>
            </w:pPr>
          </w:p>
        </w:tc>
        <w:tc>
          <w:tcPr>
            <w:tcW w:w="2337" w:type="dxa"/>
          </w:tcPr>
          <w:p w14:paraId="7C1B9A08" w14:textId="7F9FDAF9" w:rsidR="0084479F" w:rsidRPr="00187113" w:rsidRDefault="0084479F" w:rsidP="00CE4A64">
            <w:pPr>
              <w:pStyle w:val="NoSpacing"/>
              <w:jc w:val="center"/>
              <w:rPr>
                <w:b/>
                <w:bCs/>
                <w:sz w:val="22"/>
                <w:szCs w:val="22"/>
                <w:highlight w:val="yellow"/>
              </w:rPr>
            </w:pPr>
          </w:p>
        </w:tc>
        <w:tc>
          <w:tcPr>
            <w:tcW w:w="2338" w:type="dxa"/>
          </w:tcPr>
          <w:p w14:paraId="7C1B9A09" w14:textId="735B0C22" w:rsidR="0084479F" w:rsidRPr="00187113" w:rsidRDefault="0084479F" w:rsidP="00CE4A64">
            <w:pPr>
              <w:pStyle w:val="NoSpacing"/>
              <w:jc w:val="center"/>
              <w:rPr>
                <w:b/>
                <w:bCs/>
                <w:sz w:val="22"/>
                <w:szCs w:val="22"/>
                <w:highlight w:val="yellow"/>
              </w:rPr>
            </w:pPr>
          </w:p>
        </w:tc>
        <w:tc>
          <w:tcPr>
            <w:tcW w:w="2338" w:type="dxa"/>
          </w:tcPr>
          <w:p w14:paraId="7C1B9A0A" w14:textId="59EB973F" w:rsidR="0084479F" w:rsidRPr="00187113" w:rsidRDefault="0084479F" w:rsidP="00CE4A64">
            <w:pPr>
              <w:pStyle w:val="NoSpacing"/>
              <w:jc w:val="center"/>
              <w:rPr>
                <w:b/>
                <w:bCs/>
                <w:sz w:val="22"/>
                <w:szCs w:val="22"/>
                <w:highlight w:val="yellow"/>
              </w:rPr>
            </w:pPr>
          </w:p>
        </w:tc>
      </w:tr>
      <w:tr w:rsidR="00CE4A64" w:rsidRPr="0010260D" w14:paraId="7C1B9A10" w14:textId="77777777" w:rsidTr="00CE4A64">
        <w:trPr>
          <w:trHeight w:val="1134"/>
        </w:trPr>
        <w:tc>
          <w:tcPr>
            <w:tcW w:w="2337" w:type="dxa"/>
          </w:tcPr>
          <w:p w14:paraId="7C1B9A0C" w14:textId="79512CB5" w:rsidR="0084479F" w:rsidRPr="00FD0661" w:rsidRDefault="0084479F" w:rsidP="00CE4A64">
            <w:pPr>
              <w:pStyle w:val="NoSpacing"/>
              <w:jc w:val="center"/>
              <w:rPr>
                <w:rFonts w:cs="Arial"/>
                <w:noProof/>
              </w:rPr>
            </w:pPr>
          </w:p>
        </w:tc>
        <w:tc>
          <w:tcPr>
            <w:tcW w:w="2337" w:type="dxa"/>
          </w:tcPr>
          <w:p w14:paraId="7C1B9A0D" w14:textId="77777777" w:rsidR="0084479F" w:rsidRPr="00FD0661" w:rsidRDefault="0084479F" w:rsidP="00CE4A64">
            <w:pPr>
              <w:pStyle w:val="NoSpacing"/>
              <w:jc w:val="center"/>
              <w:rPr>
                <w:rFonts w:cs="Arial"/>
                <w:noProof/>
              </w:rPr>
            </w:pPr>
          </w:p>
        </w:tc>
        <w:tc>
          <w:tcPr>
            <w:tcW w:w="2338" w:type="dxa"/>
          </w:tcPr>
          <w:p w14:paraId="7C1B9A0E" w14:textId="77777777" w:rsidR="0084479F" w:rsidRPr="00FD0661" w:rsidRDefault="0084479F" w:rsidP="00CE4A64">
            <w:pPr>
              <w:pStyle w:val="NoSpacing"/>
              <w:rPr>
                <w:rFonts w:cs="Arial"/>
                <w:noProof/>
              </w:rPr>
            </w:pPr>
          </w:p>
        </w:tc>
        <w:tc>
          <w:tcPr>
            <w:tcW w:w="2338" w:type="dxa"/>
          </w:tcPr>
          <w:p w14:paraId="7C1B9A0F" w14:textId="77777777" w:rsidR="0084479F" w:rsidRPr="00187113" w:rsidRDefault="0084479F" w:rsidP="00CE4A64">
            <w:pPr>
              <w:pStyle w:val="NoSpacing"/>
              <w:rPr>
                <w:b/>
                <w:bCs/>
                <w:sz w:val="22"/>
                <w:szCs w:val="22"/>
                <w:highlight w:val="yellow"/>
              </w:rPr>
            </w:pPr>
          </w:p>
        </w:tc>
      </w:tr>
    </w:tbl>
    <w:p w14:paraId="7C1B9A11" w14:textId="77777777" w:rsidR="0084479F" w:rsidRDefault="0084479F">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CE4A64" w:rsidRPr="009B781E" w14:paraId="7C1B9A18" w14:textId="77777777" w:rsidTr="00CE4A64">
        <w:tc>
          <w:tcPr>
            <w:tcW w:w="386" w:type="dxa"/>
          </w:tcPr>
          <w:p w14:paraId="7C1B9A12" w14:textId="77777777" w:rsidR="0084479F" w:rsidRPr="009B781E" w:rsidRDefault="0084479F" w:rsidP="00CE4A64">
            <w:pPr>
              <w:pStyle w:val="NoSpacing"/>
              <w:rPr>
                <w:i/>
                <w:iCs/>
                <w:noProof/>
              </w:rPr>
            </w:pPr>
          </w:p>
        </w:tc>
        <w:tc>
          <w:tcPr>
            <w:tcW w:w="1870" w:type="dxa"/>
          </w:tcPr>
          <w:p w14:paraId="7C1B9A13" w14:textId="77777777" w:rsidR="0084479F" w:rsidRPr="009B781E" w:rsidRDefault="0084479F" w:rsidP="00CE4A64">
            <w:pPr>
              <w:pStyle w:val="NoSpacing"/>
              <w:rPr>
                <w:i/>
                <w:iCs/>
              </w:rPr>
            </w:pPr>
          </w:p>
        </w:tc>
        <w:tc>
          <w:tcPr>
            <w:tcW w:w="1870" w:type="dxa"/>
          </w:tcPr>
          <w:p w14:paraId="7C1B9A14" w14:textId="77777777" w:rsidR="0084479F" w:rsidRPr="009B781E" w:rsidRDefault="0084479F" w:rsidP="00CE4A64">
            <w:pPr>
              <w:pStyle w:val="NoSpacing"/>
              <w:rPr>
                <w:i/>
                <w:iCs/>
              </w:rPr>
            </w:pPr>
          </w:p>
        </w:tc>
        <w:tc>
          <w:tcPr>
            <w:tcW w:w="1870" w:type="dxa"/>
          </w:tcPr>
          <w:p w14:paraId="7C1B9A15" w14:textId="77777777" w:rsidR="0084479F" w:rsidRPr="009B781E" w:rsidRDefault="0084479F" w:rsidP="00CE4A64">
            <w:pPr>
              <w:pStyle w:val="NoSpacing"/>
              <w:rPr>
                <w:i/>
                <w:iCs/>
              </w:rPr>
            </w:pPr>
          </w:p>
        </w:tc>
        <w:tc>
          <w:tcPr>
            <w:tcW w:w="1870" w:type="dxa"/>
          </w:tcPr>
          <w:p w14:paraId="7C1B9A16" w14:textId="77777777" w:rsidR="0084479F" w:rsidRPr="009B781E" w:rsidRDefault="0084479F" w:rsidP="00CE4A64">
            <w:pPr>
              <w:pStyle w:val="NoSpacing"/>
              <w:rPr>
                <w:i/>
                <w:iCs/>
              </w:rPr>
            </w:pPr>
          </w:p>
        </w:tc>
        <w:tc>
          <w:tcPr>
            <w:tcW w:w="1870" w:type="dxa"/>
          </w:tcPr>
          <w:p w14:paraId="7C1B9A17" w14:textId="77777777" w:rsidR="0084479F" w:rsidRPr="009B781E" w:rsidRDefault="0084479F" w:rsidP="00CE4A64">
            <w:pPr>
              <w:pStyle w:val="NoSpacing"/>
              <w:rPr>
                <w:i/>
                <w:iCs/>
              </w:rPr>
            </w:pPr>
          </w:p>
        </w:tc>
      </w:tr>
    </w:tbl>
    <w:p w14:paraId="7C1B9A19" w14:textId="77777777" w:rsidR="0084479F" w:rsidRPr="00564AAD" w:rsidRDefault="0084479F" w:rsidP="00CE4A64">
      <w:pPr>
        <w:pStyle w:val="NoSpacing"/>
        <w:rPr>
          <w:b/>
          <w:bCs/>
        </w:rPr>
      </w:pPr>
      <w:r w:rsidRPr="00564AAD">
        <w:rPr>
          <w:b/>
          <w:bCs/>
        </w:rPr>
        <w:t>Submitted to:</w:t>
      </w:r>
    </w:p>
    <w:p w14:paraId="7C1B9A1A" w14:textId="77777777" w:rsidR="0084479F" w:rsidRDefault="0084479F" w:rsidP="00CE4A64">
      <w:pPr>
        <w:pStyle w:val="NoSpacing"/>
      </w:pPr>
      <w:r>
        <w:t>Nicor Gas Company</w:t>
      </w:r>
    </w:p>
    <w:p w14:paraId="7C1B9A1B" w14:textId="77777777" w:rsidR="0084479F" w:rsidRDefault="0084479F" w:rsidP="00CE4A64">
      <w:pPr>
        <w:pStyle w:val="NoSpacing"/>
      </w:pPr>
      <w:r>
        <w:t>1844 Ferry Road</w:t>
      </w:r>
    </w:p>
    <w:p w14:paraId="7C1B9A1C" w14:textId="77777777" w:rsidR="0084479F" w:rsidRPr="00564AAD" w:rsidRDefault="0084479F" w:rsidP="00CE4A64">
      <w:pPr>
        <w:pStyle w:val="NoSpacing"/>
      </w:pPr>
      <w:r>
        <w:t>Naperville, IL 60563</w:t>
      </w:r>
    </w:p>
    <w:p w14:paraId="7C1B9A1D" w14:textId="77777777" w:rsidR="0084479F" w:rsidRPr="00564AAD" w:rsidRDefault="0084479F" w:rsidP="00CE4A64">
      <w:pPr>
        <w:pStyle w:val="NoSpacing"/>
      </w:pPr>
    </w:p>
    <w:p w14:paraId="7C1B9A1E" w14:textId="77777777" w:rsidR="0084479F" w:rsidRPr="00564AAD" w:rsidRDefault="0084479F" w:rsidP="00CE4A64">
      <w:pPr>
        <w:pStyle w:val="NoSpacing"/>
        <w:rPr>
          <w:b/>
          <w:bCs/>
        </w:rPr>
      </w:pPr>
      <w:r w:rsidRPr="00564AAD">
        <w:rPr>
          <w:b/>
          <w:bCs/>
        </w:rPr>
        <w:t>Submitted by:</w:t>
      </w:r>
    </w:p>
    <w:p w14:paraId="7C1B9A1F" w14:textId="77777777" w:rsidR="0084479F" w:rsidRPr="00564AAD" w:rsidRDefault="0084479F" w:rsidP="00CE4A64">
      <w:pPr>
        <w:pStyle w:val="NoSpacing"/>
      </w:pPr>
      <w:r w:rsidRPr="00564AAD">
        <w:t>Guidehouse Inc.</w:t>
      </w:r>
    </w:p>
    <w:p w14:paraId="7C1B9A20" w14:textId="77777777" w:rsidR="0084479F" w:rsidRDefault="0084479F" w:rsidP="00CE4A64">
      <w:pPr>
        <w:pStyle w:val="NoSpacing"/>
      </w:pPr>
      <w:r>
        <w:t>167 N. Green Street</w:t>
      </w:r>
    </w:p>
    <w:p w14:paraId="7C1B9A21" w14:textId="77777777" w:rsidR="0084479F" w:rsidRDefault="0084479F" w:rsidP="00CE4A64">
      <w:pPr>
        <w:pStyle w:val="NoSpacing"/>
      </w:pPr>
      <w:r>
        <w:t>12th Floor</w:t>
      </w:r>
    </w:p>
    <w:p w14:paraId="7C1B9A22" w14:textId="77777777" w:rsidR="0084479F" w:rsidRPr="00564AAD" w:rsidRDefault="0084479F" w:rsidP="00CE4A64">
      <w:pPr>
        <w:pStyle w:val="NoSpacing"/>
      </w:pPr>
      <w:r>
        <w:t>Chicago, IL 60607</w:t>
      </w:r>
    </w:p>
    <w:p w14:paraId="7C1B9A23" w14:textId="77777777" w:rsidR="0084479F" w:rsidRPr="00564AAD" w:rsidRDefault="0084479F" w:rsidP="00CE4A64">
      <w:pPr>
        <w:pStyle w:val="NoSpacing"/>
      </w:pPr>
    </w:p>
    <w:p w14:paraId="7C1B9A24" w14:textId="77777777" w:rsidR="0084479F" w:rsidRPr="00564AAD" w:rsidRDefault="0084479F" w:rsidP="00CE4A64">
      <w:pPr>
        <w:pStyle w:val="NoSpacing"/>
      </w:pPr>
    </w:p>
    <w:p w14:paraId="7C1B9A25" w14:textId="77777777" w:rsidR="0084479F" w:rsidRPr="00631500" w:rsidRDefault="0084479F" w:rsidP="00CE4A64">
      <w:pPr>
        <w:pStyle w:val="NoSpacing"/>
        <w:rPr>
          <w:b/>
          <w:bCs/>
        </w:rPr>
      </w:pPr>
      <w:r w:rsidRPr="00631500">
        <w:rPr>
          <w:b/>
          <w:bCs/>
        </w:rPr>
        <w:t>Contact:</w:t>
      </w:r>
    </w:p>
    <w:p w14:paraId="7C1B9A26" w14:textId="77777777" w:rsidR="0084479F" w:rsidRPr="00564AAD" w:rsidRDefault="0084479F" w:rsidP="00CE4A64">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CE4A64" w:rsidRPr="00564AAD" w14:paraId="7C1B9A30" w14:textId="77777777" w:rsidTr="00CE4A64">
        <w:tc>
          <w:tcPr>
            <w:tcW w:w="3330" w:type="dxa"/>
          </w:tcPr>
          <w:p w14:paraId="7C1B9A27" w14:textId="77777777" w:rsidR="0084479F" w:rsidRPr="00AE6836" w:rsidRDefault="0084479F" w:rsidP="00CE4A64">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7C1B9A28" w14:textId="77777777" w:rsidR="0084479F" w:rsidRPr="00AE6836" w:rsidRDefault="0084479F" w:rsidP="00CE4A64">
            <w:pPr>
              <w:spacing w:after="0"/>
              <w:rPr>
                <w:rFonts w:cs="Arial"/>
                <w:sz w:val="21"/>
                <w:szCs w:val="21"/>
              </w:rPr>
            </w:pPr>
            <w:r>
              <w:rPr>
                <w:rFonts w:eastAsia="Arial" w:cs="Arial"/>
                <w:sz w:val="21"/>
                <w:szCs w:val="21"/>
              </w:rPr>
              <w:t>202.481.7352</w:t>
            </w:r>
          </w:p>
          <w:p w14:paraId="7C1B9A29" w14:textId="68A3DC2A" w:rsidR="0084479F" w:rsidRPr="00AE6836" w:rsidRDefault="0084479F" w:rsidP="00CE4A64">
            <w:pPr>
              <w:pStyle w:val="NoSpacing"/>
            </w:pPr>
            <w:hyperlink r:id="rId12" w:history="1">
              <w:r w:rsidRPr="00264ACD">
                <w:rPr>
                  <w:rStyle w:val="Hyperlink"/>
                  <w:rFonts w:cs="Arial"/>
                  <w:b/>
                  <w:color w:val="auto"/>
                  <w:sz w:val="21"/>
                  <w:szCs w:val="21"/>
                </w:rPr>
                <w:t>cmaglione@guidehouse.com</w:t>
              </w:r>
            </w:hyperlink>
          </w:p>
        </w:tc>
        <w:tc>
          <w:tcPr>
            <w:tcW w:w="3060" w:type="dxa"/>
          </w:tcPr>
          <w:p w14:paraId="7C1B9A2A" w14:textId="77777777" w:rsidR="0084479F" w:rsidRPr="00F61CF7" w:rsidRDefault="0084479F" w:rsidP="00CE4A64">
            <w:pPr>
              <w:spacing w:after="0"/>
              <w:rPr>
                <w:rFonts w:cs="Arial"/>
                <w:sz w:val="21"/>
                <w:szCs w:val="21"/>
              </w:rPr>
            </w:pPr>
            <w:r w:rsidRPr="00F61CF7">
              <w:rPr>
                <w:rFonts w:eastAsia="Arial" w:cs="Arial"/>
                <w:sz w:val="21"/>
                <w:szCs w:val="21"/>
              </w:rPr>
              <w:t>Jeff Erickson, Director</w:t>
            </w:r>
          </w:p>
          <w:p w14:paraId="7C1B9A2B" w14:textId="77777777" w:rsidR="0084479F" w:rsidRPr="00F61CF7" w:rsidRDefault="0084479F" w:rsidP="00CE4A64">
            <w:pPr>
              <w:spacing w:after="0"/>
              <w:rPr>
                <w:rFonts w:cs="Arial"/>
                <w:sz w:val="21"/>
                <w:szCs w:val="21"/>
              </w:rPr>
            </w:pPr>
            <w:r w:rsidRPr="00F61CF7">
              <w:rPr>
                <w:rFonts w:eastAsia="Arial" w:cs="Arial"/>
                <w:sz w:val="21"/>
                <w:szCs w:val="21"/>
              </w:rPr>
              <w:t>608.616.4962</w:t>
            </w:r>
          </w:p>
          <w:p w14:paraId="7C1B9A2C" w14:textId="134E0771" w:rsidR="0084479F" w:rsidRPr="00F61CF7" w:rsidRDefault="0084479F" w:rsidP="00CE4A64">
            <w:pPr>
              <w:pStyle w:val="NoSpacing"/>
            </w:pPr>
            <w:hyperlink r:id="rId13" w:history="1">
              <w:r w:rsidRPr="00F61CF7">
                <w:rPr>
                  <w:rStyle w:val="Hyperlink"/>
                  <w:rFonts w:cs="Arial"/>
                  <w:b/>
                  <w:color w:val="auto"/>
                  <w:sz w:val="21"/>
                  <w:szCs w:val="21"/>
                </w:rPr>
                <w:t>jeff.erickson@guidehouse.com</w:t>
              </w:r>
            </w:hyperlink>
          </w:p>
        </w:tc>
        <w:tc>
          <w:tcPr>
            <w:tcW w:w="3870" w:type="dxa"/>
          </w:tcPr>
          <w:p w14:paraId="7C1B9A2D" w14:textId="77777777" w:rsidR="0084479F" w:rsidRPr="00F61CF7" w:rsidRDefault="0084479F" w:rsidP="00CE4A64">
            <w:pPr>
              <w:spacing w:after="0"/>
              <w:rPr>
                <w:rFonts w:cs="Arial"/>
                <w:sz w:val="21"/>
                <w:szCs w:val="21"/>
              </w:rPr>
            </w:pPr>
            <w:r w:rsidRPr="00F61CF7">
              <w:rPr>
                <w:rFonts w:eastAsia="Arial" w:cs="Arial"/>
                <w:sz w:val="21"/>
                <w:szCs w:val="21"/>
              </w:rPr>
              <w:t>Laura Agapay-Read, Associate Director</w:t>
            </w:r>
          </w:p>
          <w:p w14:paraId="7C1B9A2E" w14:textId="77777777" w:rsidR="0084479F" w:rsidRPr="00F61CF7" w:rsidRDefault="0084479F" w:rsidP="00CE4A64">
            <w:pPr>
              <w:spacing w:after="0"/>
              <w:rPr>
                <w:rFonts w:cs="Arial"/>
                <w:sz w:val="21"/>
                <w:szCs w:val="21"/>
              </w:rPr>
            </w:pPr>
            <w:r w:rsidRPr="00F61CF7">
              <w:rPr>
                <w:rFonts w:eastAsia="Arial" w:cs="Arial"/>
                <w:sz w:val="21"/>
                <w:szCs w:val="21"/>
              </w:rPr>
              <w:t>312.583.4178</w:t>
            </w:r>
          </w:p>
          <w:p w14:paraId="7C1B9A2F" w14:textId="56A76DFE" w:rsidR="0084479F" w:rsidRPr="00F61CF7" w:rsidRDefault="0084479F" w:rsidP="00CE4A64">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7C1B9A31" w14:textId="77777777" w:rsidR="0084479F" w:rsidRDefault="0084479F" w:rsidP="00CE4A64">
      <w:pPr>
        <w:pStyle w:val="NoSpacing"/>
      </w:pPr>
    </w:p>
    <w:p w14:paraId="7C1B9A32" w14:textId="77777777" w:rsidR="0084479F" w:rsidRPr="00762586" w:rsidRDefault="0084479F" w:rsidP="00CE4A64">
      <w:pPr>
        <w:pStyle w:val="NoSpacing"/>
        <w:rPr>
          <w:rFonts w:eastAsia="Arial" w:cs="Arial"/>
          <w:sz w:val="21"/>
          <w:szCs w:val="21"/>
        </w:rPr>
      </w:pPr>
      <w:r w:rsidRPr="00762586">
        <w:rPr>
          <w:rFonts w:eastAsia="Arial" w:cs="Arial"/>
          <w:sz w:val="21"/>
          <w:szCs w:val="21"/>
        </w:rPr>
        <w:t>Charles Ampong, Associate Director</w:t>
      </w:r>
    </w:p>
    <w:p w14:paraId="7C1B9A33" w14:textId="77777777" w:rsidR="0084479F" w:rsidRPr="00CA038C" w:rsidRDefault="0084479F" w:rsidP="00CE4A64">
      <w:pPr>
        <w:pStyle w:val="NoSpacing"/>
        <w:rPr>
          <w:rFonts w:eastAsia="Arial" w:cs="Arial"/>
          <w:sz w:val="21"/>
          <w:szCs w:val="21"/>
        </w:rPr>
      </w:pPr>
      <w:r w:rsidRPr="00CA038C">
        <w:rPr>
          <w:rFonts w:eastAsia="Arial" w:cs="Arial"/>
          <w:sz w:val="21"/>
          <w:szCs w:val="21"/>
        </w:rPr>
        <w:t>608.616.4922</w:t>
      </w:r>
    </w:p>
    <w:p w14:paraId="7C1B9A34" w14:textId="02708A44" w:rsidR="0084479F" w:rsidRPr="00CA038C" w:rsidRDefault="0084479F" w:rsidP="00CE4A64">
      <w:pPr>
        <w:pStyle w:val="NoSpacing"/>
        <w:rPr>
          <w:rStyle w:val="Hyperlink"/>
          <w:b/>
          <w:color w:val="auto"/>
        </w:rPr>
      </w:pPr>
      <w:hyperlink r:id="rId15" w:history="1">
        <w:r w:rsidRPr="00CA038C">
          <w:rPr>
            <w:rStyle w:val="Hyperlink"/>
            <w:rFonts w:cs="Arial"/>
            <w:b/>
            <w:color w:val="auto"/>
            <w:sz w:val="21"/>
            <w:szCs w:val="21"/>
          </w:rPr>
          <w:t>charles.ampong@guidehouse.com</w:t>
        </w:r>
      </w:hyperlink>
    </w:p>
    <w:p w14:paraId="7C1B9A35" w14:textId="77777777" w:rsidR="0084479F" w:rsidRPr="00762586" w:rsidRDefault="0084479F" w:rsidP="00CE4A64">
      <w:pPr>
        <w:pStyle w:val="NoSpacing"/>
        <w:rPr>
          <w:rFonts w:eastAsia="Arial" w:cs="Arial"/>
          <w:sz w:val="21"/>
          <w:szCs w:val="21"/>
        </w:rPr>
      </w:pPr>
    </w:p>
    <w:p w14:paraId="7C1B9A36" w14:textId="77777777" w:rsidR="0084479F" w:rsidRPr="00564AAD" w:rsidRDefault="0084479F" w:rsidP="00CE4A64">
      <w:pPr>
        <w:pStyle w:val="NoSpacing"/>
      </w:pPr>
    </w:p>
    <w:p w14:paraId="7C1B9A37" w14:textId="77777777" w:rsidR="0084479F" w:rsidRPr="00035A6D" w:rsidRDefault="0084479F" w:rsidP="00CE4A64">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7C1B9A38" w14:textId="77777777" w:rsidR="0084479F" w:rsidRDefault="0084479F">
      <w:pPr>
        <w:sectPr w:rsidR="0084479F" w:rsidSect="00CE4A64">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7C1B9A39" w14:textId="77777777" w:rsidR="0084479F" w:rsidRDefault="0084479F"/>
    <w:p w14:paraId="7C1B9A3A" w14:textId="77777777" w:rsidR="0084479F" w:rsidRPr="008C17F1" w:rsidRDefault="0084479F">
      <w:pPr>
        <w:rPr>
          <w:sz w:val="40"/>
          <w:szCs w:val="40"/>
        </w:rPr>
      </w:pPr>
      <w:r>
        <w:rPr>
          <w:sz w:val="40"/>
          <w:szCs w:val="40"/>
        </w:rPr>
        <w:t>Table of Contents</w:t>
      </w:r>
    </w:p>
    <w:p w14:paraId="142D94D4" w14:textId="780CE15F" w:rsidR="004D00D9" w:rsidRDefault="0084479F">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437477" w:history="1">
        <w:r w:rsidR="004D00D9" w:rsidRPr="00AC77CC">
          <w:rPr>
            <w:rStyle w:val="Hyperlink"/>
            <w:noProof/>
          </w:rPr>
          <w:t>1</w:t>
        </w:r>
        <w:r w:rsidR="004D00D9">
          <w:rPr>
            <w:rFonts w:cstheme="minorBidi"/>
            <w:noProof/>
            <w:kern w:val="2"/>
            <w:sz w:val="24"/>
            <w:szCs w:val="24"/>
            <w14:ligatures w14:val="standardContextual"/>
          </w:rPr>
          <w:tab/>
        </w:r>
        <w:r w:rsidR="004D00D9" w:rsidRPr="00AC77CC">
          <w:rPr>
            <w:rStyle w:val="Hyperlink"/>
            <w:noProof/>
          </w:rPr>
          <w:t>Introduction</w:t>
        </w:r>
        <w:r w:rsidR="004D00D9">
          <w:rPr>
            <w:noProof/>
            <w:webHidden/>
          </w:rPr>
          <w:tab/>
        </w:r>
        <w:r w:rsidR="004D00D9">
          <w:rPr>
            <w:noProof/>
            <w:webHidden/>
          </w:rPr>
          <w:fldChar w:fldCharType="begin"/>
        </w:r>
        <w:r w:rsidR="004D00D9">
          <w:rPr>
            <w:noProof/>
            <w:webHidden/>
          </w:rPr>
          <w:instrText xml:space="preserve"> PAGEREF _Toc225437477 \h </w:instrText>
        </w:r>
        <w:r w:rsidR="004D00D9">
          <w:rPr>
            <w:noProof/>
            <w:webHidden/>
          </w:rPr>
        </w:r>
        <w:r w:rsidR="004D00D9">
          <w:rPr>
            <w:noProof/>
            <w:webHidden/>
          </w:rPr>
          <w:fldChar w:fldCharType="separate"/>
        </w:r>
        <w:r w:rsidR="004D00D9">
          <w:rPr>
            <w:noProof/>
            <w:webHidden/>
          </w:rPr>
          <w:t>1</w:t>
        </w:r>
        <w:r w:rsidR="004D00D9">
          <w:rPr>
            <w:noProof/>
            <w:webHidden/>
          </w:rPr>
          <w:fldChar w:fldCharType="end"/>
        </w:r>
      </w:hyperlink>
    </w:p>
    <w:p w14:paraId="33B33EAA" w14:textId="1EE47932" w:rsidR="004D00D9" w:rsidRDefault="004D00D9">
      <w:pPr>
        <w:pStyle w:val="TOC1"/>
        <w:tabs>
          <w:tab w:val="left" w:pos="440"/>
          <w:tab w:val="right" w:leader="dot" w:pos="9350"/>
        </w:tabs>
        <w:rPr>
          <w:rFonts w:cstheme="minorBidi"/>
          <w:noProof/>
          <w:kern w:val="2"/>
          <w:sz w:val="24"/>
          <w:szCs w:val="24"/>
          <w14:ligatures w14:val="standardContextual"/>
        </w:rPr>
      </w:pPr>
      <w:hyperlink w:anchor="_Toc225437478" w:history="1">
        <w:r w:rsidRPr="00AC77CC">
          <w:rPr>
            <w:rStyle w:val="Hyperlink"/>
            <w:noProof/>
          </w:rPr>
          <w:t>2</w:t>
        </w:r>
        <w:r>
          <w:rPr>
            <w:rFonts w:cstheme="minorBidi"/>
            <w:noProof/>
            <w:kern w:val="2"/>
            <w:sz w:val="24"/>
            <w:szCs w:val="24"/>
            <w14:ligatures w14:val="standardContextual"/>
          </w:rPr>
          <w:tab/>
        </w:r>
        <w:r w:rsidRPr="00AC77CC">
          <w:rPr>
            <w:rStyle w:val="Hyperlink"/>
            <w:noProof/>
          </w:rPr>
          <w:t>Program Description</w:t>
        </w:r>
        <w:r>
          <w:rPr>
            <w:noProof/>
            <w:webHidden/>
          </w:rPr>
          <w:tab/>
        </w:r>
        <w:r>
          <w:rPr>
            <w:noProof/>
            <w:webHidden/>
          </w:rPr>
          <w:fldChar w:fldCharType="begin"/>
        </w:r>
        <w:r>
          <w:rPr>
            <w:noProof/>
            <w:webHidden/>
          </w:rPr>
          <w:instrText xml:space="preserve"> PAGEREF _Toc225437478 \h </w:instrText>
        </w:r>
        <w:r>
          <w:rPr>
            <w:noProof/>
            <w:webHidden/>
          </w:rPr>
        </w:r>
        <w:r>
          <w:rPr>
            <w:noProof/>
            <w:webHidden/>
          </w:rPr>
          <w:fldChar w:fldCharType="separate"/>
        </w:r>
        <w:r>
          <w:rPr>
            <w:noProof/>
            <w:webHidden/>
          </w:rPr>
          <w:t>1</w:t>
        </w:r>
        <w:r>
          <w:rPr>
            <w:noProof/>
            <w:webHidden/>
          </w:rPr>
          <w:fldChar w:fldCharType="end"/>
        </w:r>
      </w:hyperlink>
    </w:p>
    <w:p w14:paraId="7E77DBB1" w14:textId="2B391C8C" w:rsidR="004D00D9" w:rsidRDefault="004D00D9">
      <w:pPr>
        <w:pStyle w:val="TOC1"/>
        <w:tabs>
          <w:tab w:val="left" w:pos="440"/>
          <w:tab w:val="right" w:leader="dot" w:pos="9350"/>
        </w:tabs>
        <w:rPr>
          <w:rFonts w:cstheme="minorBidi"/>
          <w:noProof/>
          <w:kern w:val="2"/>
          <w:sz w:val="24"/>
          <w:szCs w:val="24"/>
          <w14:ligatures w14:val="standardContextual"/>
        </w:rPr>
      </w:pPr>
      <w:hyperlink w:anchor="_Toc225437479" w:history="1">
        <w:r w:rsidRPr="00AC77CC">
          <w:rPr>
            <w:rStyle w:val="Hyperlink"/>
            <w:noProof/>
          </w:rPr>
          <w:t>3</w:t>
        </w:r>
        <w:r>
          <w:rPr>
            <w:rFonts w:cstheme="minorBidi"/>
            <w:noProof/>
            <w:kern w:val="2"/>
            <w:sz w:val="24"/>
            <w:szCs w:val="24"/>
            <w14:ligatures w14:val="standardContextual"/>
          </w:rPr>
          <w:tab/>
        </w:r>
        <w:r w:rsidRPr="00AC77CC">
          <w:rPr>
            <w:rStyle w:val="Hyperlink"/>
            <w:noProof/>
          </w:rPr>
          <w:t>Program Savings Detail</w:t>
        </w:r>
        <w:r>
          <w:rPr>
            <w:noProof/>
            <w:webHidden/>
          </w:rPr>
          <w:tab/>
        </w:r>
        <w:r>
          <w:rPr>
            <w:noProof/>
            <w:webHidden/>
          </w:rPr>
          <w:fldChar w:fldCharType="begin"/>
        </w:r>
        <w:r>
          <w:rPr>
            <w:noProof/>
            <w:webHidden/>
          </w:rPr>
          <w:instrText xml:space="preserve"> PAGEREF _Toc225437479 \h </w:instrText>
        </w:r>
        <w:r>
          <w:rPr>
            <w:noProof/>
            <w:webHidden/>
          </w:rPr>
        </w:r>
        <w:r>
          <w:rPr>
            <w:noProof/>
            <w:webHidden/>
          </w:rPr>
          <w:fldChar w:fldCharType="separate"/>
        </w:r>
        <w:r>
          <w:rPr>
            <w:noProof/>
            <w:webHidden/>
          </w:rPr>
          <w:t>2</w:t>
        </w:r>
        <w:r>
          <w:rPr>
            <w:noProof/>
            <w:webHidden/>
          </w:rPr>
          <w:fldChar w:fldCharType="end"/>
        </w:r>
      </w:hyperlink>
    </w:p>
    <w:p w14:paraId="573410A2" w14:textId="76D4A292" w:rsidR="004D00D9" w:rsidRDefault="004D00D9">
      <w:pPr>
        <w:pStyle w:val="TOC1"/>
        <w:tabs>
          <w:tab w:val="left" w:pos="440"/>
          <w:tab w:val="right" w:leader="dot" w:pos="9350"/>
        </w:tabs>
        <w:rPr>
          <w:rFonts w:cstheme="minorBidi"/>
          <w:noProof/>
          <w:kern w:val="2"/>
          <w:sz w:val="24"/>
          <w:szCs w:val="24"/>
          <w14:ligatures w14:val="standardContextual"/>
        </w:rPr>
      </w:pPr>
      <w:hyperlink w:anchor="_Toc225437480" w:history="1">
        <w:r w:rsidRPr="00AC77CC">
          <w:rPr>
            <w:rStyle w:val="Hyperlink"/>
            <w:noProof/>
          </w:rPr>
          <w:t>4</w:t>
        </w:r>
        <w:r>
          <w:rPr>
            <w:rFonts w:cstheme="minorBidi"/>
            <w:noProof/>
            <w:kern w:val="2"/>
            <w:sz w:val="24"/>
            <w:szCs w:val="24"/>
            <w14:ligatures w14:val="standardContextual"/>
          </w:rPr>
          <w:tab/>
        </w:r>
        <w:r w:rsidRPr="00AC77CC">
          <w:rPr>
            <w:rStyle w:val="Hyperlink"/>
            <w:noProof/>
          </w:rPr>
          <w:t>Program Savings by Measure</w:t>
        </w:r>
        <w:r>
          <w:rPr>
            <w:noProof/>
            <w:webHidden/>
          </w:rPr>
          <w:tab/>
        </w:r>
        <w:r>
          <w:rPr>
            <w:noProof/>
            <w:webHidden/>
          </w:rPr>
          <w:fldChar w:fldCharType="begin"/>
        </w:r>
        <w:r>
          <w:rPr>
            <w:noProof/>
            <w:webHidden/>
          </w:rPr>
          <w:instrText xml:space="preserve"> PAGEREF _Toc225437480 \h </w:instrText>
        </w:r>
        <w:r>
          <w:rPr>
            <w:noProof/>
            <w:webHidden/>
          </w:rPr>
        </w:r>
        <w:r>
          <w:rPr>
            <w:noProof/>
            <w:webHidden/>
          </w:rPr>
          <w:fldChar w:fldCharType="separate"/>
        </w:r>
        <w:r>
          <w:rPr>
            <w:noProof/>
            <w:webHidden/>
          </w:rPr>
          <w:t>2</w:t>
        </w:r>
        <w:r>
          <w:rPr>
            <w:noProof/>
            <w:webHidden/>
          </w:rPr>
          <w:fldChar w:fldCharType="end"/>
        </w:r>
      </w:hyperlink>
    </w:p>
    <w:p w14:paraId="036EF018" w14:textId="4992B868" w:rsidR="004D00D9" w:rsidRDefault="004D00D9">
      <w:pPr>
        <w:pStyle w:val="TOC1"/>
        <w:tabs>
          <w:tab w:val="left" w:pos="440"/>
          <w:tab w:val="right" w:leader="dot" w:pos="9350"/>
        </w:tabs>
        <w:rPr>
          <w:rFonts w:cstheme="minorBidi"/>
          <w:noProof/>
          <w:kern w:val="2"/>
          <w:sz w:val="24"/>
          <w:szCs w:val="24"/>
          <w14:ligatures w14:val="standardContextual"/>
        </w:rPr>
      </w:pPr>
      <w:hyperlink w:anchor="_Toc225437481" w:history="1">
        <w:r w:rsidRPr="00AC77CC">
          <w:rPr>
            <w:rStyle w:val="Hyperlink"/>
            <w:noProof/>
          </w:rPr>
          <w:t>5</w:t>
        </w:r>
        <w:r>
          <w:rPr>
            <w:rFonts w:cstheme="minorBidi"/>
            <w:noProof/>
            <w:kern w:val="2"/>
            <w:sz w:val="24"/>
            <w:szCs w:val="24"/>
            <w14:ligatures w14:val="standardContextual"/>
          </w:rPr>
          <w:tab/>
        </w:r>
        <w:r w:rsidRPr="00AC77CC">
          <w:rPr>
            <w:rStyle w:val="Hyperlink"/>
            <w:noProof/>
          </w:rPr>
          <w:t>Impact Analysis Findings and Recommendations</w:t>
        </w:r>
        <w:r>
          <w:rPr>
            <w:noProof/>
            <w:webHidden/>
          </w:rPr>
          <w:tab/>
        </w:r>
        <w:r>
          <w:rPr>
            <w:noProof/>
            <w:webHidden/>
          </w:rPr>
          <w:fldChar w:fldCharType="begin"/>
        </w:r>
        <w:r>
          <w:rPr>
            <w:noProof/>
            <w:webHidden/>
          </w:rPr>
          <w:instrText xml:space="preserve"> PAGEREF _Toc225437481 \h </w:instrText>
        </w:r>
        <w:r>
          <w:rPr>
            <w:noProof/>
            <w:webHidden/>
          </w:rPr>
        </w:r>
        <w:r>
          <w:rPr>
            <w:noProof/>
            <w:webHidden/>
          </w:rPr>
          <w:fldChar w:fldCharType="separate"/>
        </w:r>
        <w:r>
          <w:rPr>
            <w:noProof/>
            <w:webHidden/>
          </w:rPr>
          <w:t>4</w:t>
        </w:r>
        <w:r>
          <w:rPr>
            <w:noProof/>
            <w:webHidden/>
          </w:rPr>
          <w:fldChar w:fldCharType="end"/>
        </w:r>
      </w:hyperlink>
    </w:p>
    <w:p w14:paraId="51FD8902" w14:textId="0C25831E" w:rsidR="004D00D9" w:rsidRDefault="004D00D9">
      <w:pPr>
        <w:pStyle w:val="TOC2"/>
        <w:tabs>
          <w:tab w:val="left" w:pos="960"/>
          <w:tab w:val="right" w:leader="dot" w:pos="9350"/>
        </w:tabs>
        <w:rPr>
          <w:rFonts w:cstheme="minorBidi"/>
          <w:noProof/>
          <w:kern w:val="2"/>
          <w:sz w:val="24"/>
          <w:szCs w:val="24"/>
          <w14:ligatures w14:val="standardContextual"/>
        </w:rPr>
      </w:pPr>
      <w:hyperlink w:anchor="_Toc225437482" w:history="1">
        <w:r w:rsidRPr="00AC77CC">
          <w:rPr>
            <w:rStyle w:val="Hyperlink"/>
            <w:noProof/>
          </w:rPr>
          <w:t>5.1</w:t>
        </w:r>
        <w:r>
          <w:rPr>
            <w:rFonts w:cstheme="minorBidi"/>
            <w:noProof/>
            <w:kern w:val="2"/>
            <w:sz w:val="24"/>
            <w:szCs w:val="24"/>
            <w14:ligatures w14:val="standardContextual"/>
          </w:rPr>
          <w:tab/>
        </w:r>
        <w:r w:rsidRPr="00AC77CC">
          <w:rPr>
            <w:rStyle w:val="Hyperlink"/>
            <w:noProof/>
          </w:rPr>
          <w:t>Impact Parameter Estimates</w:t>
        </w:r>
        <w:r>
          <w:rPr>
            <w:noProof/>
            <w:webHidden/>
          </w:rPr>
          <w:tab/>
        </w:r>
        <w:r>
          <w:rPr>
            <w:noProof/>
            <w:webHidden/>
          </w:rPr>
          <w:fldChar w:fldCharType="begin"/>
        </w:r>
        <w:r>
          <w:rPr>
            <w:noProof/>
            <w:webHidden/>
          </w:rPr>
          <w:instrText xml:space="preserve"> PAGEREF _Toc225437482 \h </w:instrText>
        </w:r>
        <w:r>
          <w:rPr>
            <w:noProof/>
            <w:webHidden/>
          </w:rPr>
        </w:r>
        <w:r>
          <w:rPr>
            <w:noProof/>
            <w:webHidden/>
          </w:rPr>
          <w:fldChar w:fldCharType="separate"/>
        </w:r>
        <w:r>
          <w:rPr>
            <w:noProof/>
            <w:webHidden/>
          </w:rPr>
          <w:t>4</w:t>
        </w:r>
        <w:r>
          <w:rPr>
            <w:noProof/>
            <w:webHidden/>
          </w:rPr>
          <w:fldChar w:fldCharType="end"/>
        </w:r>
      </w:hyperlink>
    </w:p>
    <w:p w14:paraId="067DE5BA" w14:textId="75811E96" w:rsidR="004D00D9" w:rsidRDefault="004D00D9">
      <w:pPr>
        <w:pStyle w:val="TOC2"/>
        <w:tabs>
          <w:tab w:val="left" w:pos="960"/>
          <w:tab w:val="right" w:leader="dot" w:pos="9350"/>
        </w:tabs>
        <w:rPr>
          <w:rFonts w:cstheme="minorBidi"/>
          <w:noProof/>
          <w:kern w:val="2"/>
          <w:sz w:val="24"/>
          <w:szCs w:val="24"/>
          <w14:ligatures w14:val="standardContextual"/>
        </w:rPr>
      </w:pPr>
      <w:hyperlink w:anchor="_Toc225437483" w:history="1">
        <w:r w:rsidRPr="00AC77CC">
          <w:rPr>
            <w:rStyle w:val="Hyperlink"/>
            <w:noProof/>
          </w:rPr>
          <w:t>5.2</w:t>
        </w:r>
        <w:r>
          <w:rPr>
            <w:rFonts w:cstheme="minorBidi"/>
            <w:noProof/>
            <w:kern w:val="2"/>
            <w:sz w:val="24"/>
            <w:szCs w:val="24"/>
            <w14:ligatures w14:val="standardContextual"/>
          </w:rPr>
          <w:tab/>
        </w:r>
        <w:r w:rsidRPr="00AC77CC">
          <w:rPr>
            <w:rStyle w:val="Hyperlink"/>
            <w:noProof/>
          </w:rPr>
          <w:t>Findings and Recommendations</w:t>
        </w:r>
        <w:r>
          <w:rPr>
            <w:noProof/>
            <w:webHidden/>
          </w:rPr>
          <w:tab/>
        </w:r>
        <w:r>
          <w:rPr>
            <w:noProof/>
            <w:webHidden/>
          </w:rPr>
          <w:fldChar w:fldCharType="begin"/>
        </w:r>
        <w:r>
          <w:rPr>
            <w:noProof/>
            <w:webHidden/>
          </w:rPr>
          <w:instrText xml:space="preserve"> PAGEREF _Toc225437483 \h </w:instrText>
        </w:r>
        <w:r>
          <w:rPr>
            <w:noProof/>
            <w:webHidden/>
          </w:rPr>
        </w:r>
        <w:r>
          <w:rPr>
            <w:noProof/>
            <w:webHidden/>
          </w:rPr>
          <w:fldChar w:fldCharType="separate"/>
        </w:r>
        <w:r>
          <w:rPr>
            <w:noProof/>
            <w:webHidden/>
          </w:rPr>
          <w:t>4</w:t>
        </w:r>
        <w:r>
          <w:rPr>
            <w:noProof/>
            <w:webHidden/>
          </w:rPr>
          <w:fldChar w:fldCharType="end"/>
        </w:r>
      </w:hyperlink>
    </w:p>
    <w:p w14:paraId="26E2B570" w14:textId="33B2F2B8" w:rsidR="004D00D9" w:rsidRDefault="004D00D9">
      <w:pPr>
        <w:pStyle w:val="TOC1"/>
        <w:tabs>
          <w:tab w:val="right" w:leader="dot" w:pos="9350"/>
        </w:tabs>
        <w:rPr>
          <w:rFonts w:cstheme="minorBidi"/>
          <w:noProof/>
          <w:kern w:val="2"/>
          <w:sz w:val="24"/>
          <w:szCs w:val="24"/>
          <w14:ligatures w14:val="standardContextual"/>
        </w:rPr>
      </w:pPr>
      <w:hyperlink w:anchor="_Toc225437484" w:history="1">
        <w:r w:rsidRPr="00AC77CC">
          <w:rPr>
            <w:rStyle w:val="Hyperlink"/>
            <w:noProof/>
          </w:rPr>
          <w:t>Appendix A. Impact Analysis Methodology</w:t>
        </w:r>
        <w:r>
          <w:rPr>
            <w:noProof/>
            <w:webHidden/>
          </w:rPr>
          <w:tab/>
        </w:r>
        <w:r>
          <w:rPr>
            <w:noProof/>
            <w:webHidden/>
          </w:rPr>
          <w:fldChar w:fldCharType="begin"/>
        </w:r>
        <w:r>
          <w:rPr>
            <w:noProof/>
            <w:webHidden/>
          </w:rPr>
          <w:instrText xml:space="preserve"> PAGEREF _Toc225437484 \h </w:instrText>
        </w:r>
        <w:r>
          <w:rPr>
            <w:noProof/>
            <w:webHidden/>
          </w:rPr>
        </w:r>
        <w:r>
          <w:rPr>
            <w:noProof/>
            <w:webHidden/>
          </w:rPr>
          <w:fldChar w:fldCharType="separate"/>
        </w:r>
        <w:r>
          <w:rPr>
            <w:noProof/>
            <w:webHidden/>
          </w:rPr>
          <w:t>6</w:t>
        </w:r>
        <w:r>
          <w:rPr>
            <w:noProof/>
            <w:webHidden/>
          </w:rPr>
          <w:fldChar w:fldCharType="end"/>
        </w:r>
      </w:hyperlink>
    </w:p>
    <w:p w14:paraId="62574B3F" w14:textId="389B652E" w:rsidR="004D00D9" w:rsidRDefault="004D00D9">
      <w:pPr>
        <w:pStyle w:val="TOC1"/>
        <w:tabs>
          <w:tab w:val="right" w:leader="dot" w:pos="9350"/>
        </w:tabs>
        <w:rPr>
          <w:rFonts w:cstheme="minorBidi"/>
          <w:noProof/>
          <w:kern w:val="2"/>
          <w:sz w:val="24"/>
          <w:szCs w:val="24"/>
          <w14:ligatures w14:val="standardContextual"/>
        </w:rPr>
      </w:pPr>
      <w:hyperlink w:anchor="_Toc225437485" w:history="1">
        <w:r w:rsidRPr="00AC77CC">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_Toc225437485 \h </w:instrText>
        </w:r>
        <w:r>
          <w:rPr>
            <w:noProof/>
            <w:webHidden/>
          </w:rPr>
        </w:r>
        <w:r>
          <w:rPr>
            <w:noProof/>
            <w:webHidden/>
          </w:rPr>
          <w:fldChar w:fldCharType="separate"/>
        </w:r>
        <w:r>
          <w:rPr>
            <w:noProof/>
            <w:webHidden/>
          </w:rPr>
          <w:t>7</w:t>
        </w:r>
        <w:r>
          <w:rPr>
            <w:noProof/>
            <w:webHidden/>
          </w:rPr>
          <w:fldChar w:fldCharType="end"/>
        </w:r>
      </w:hyperlink>
    </w:p>
    <w:p w14:paraId="7C1B9A44" w14:textId="49EEAD9E" w:rsidR="0084479F" w:rsidRDefault="0084479F">
      <w:r>
        <w:fldChar w:fldCharType="end"/>
      </w:r>
    </w:p>
    <w:p w14:paraId="7C1B9A45" w14:textId="77777777" w:rsidR="0084479F" w:rsidRPr="008C17F1" w:rsidRDefault="0084479F">
      <w:pPr>
        <w:rPr>
          <w:sz w:val="40"/>
          <w:szCs w:val="40"/>
        </w:rPr>
      </w:pPr>
      <w:r>
        <w:rPr>
          <w:sz w:val="40"/>
          <w:szCs w:val="40"/>
        </w:rPr>
        <w:t>Table of Tables, Figures, and Equations</w:t>
      </w:r>
    </w:p>
    <w:p w14:paraId="191F87A2" w14:textId="6EE681D5" w:rsidR="004D00D9" w:rsidRDefault="0084479F">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437486" w:history="1">
        <w:r w:rsidR="004D00D9" w:rsidRPr="00D82BEE">
          <w:rPr>
            <w:rStyle w:val="Hyperlink"/>
            <w:noProof/>
          </w:rPr>
          <w:t>Table 1. 2025 Volumetric Findings Detail</w:t>
        </w:r>
        <w:r w:rsidR="004D00D9">
          <w:rPr>
            <w:noProof/>
            <w:webHidden/>
          </w:rPr>
          <w:tab/>
        </w:r>
        <w:r w:rsidR="004D00D9">
          <w:rPr>
            <w:noProof/>
            <w:webHidden/>
          </w:rPr>
          <w:fldChar w:fldCharType="begin"/>
        </w:r>
        <w:r w:rsidR="004D00D9">
          <w:rPr>
            <w:noProof/>
            <w:webHidden/>
          </w:rPr>
          <w:instrText xml:space="preserve"> PAGEREF _Toc225437486 \h </w:instrText>
        </w:r>
        <w:r w:rsidR="004D00D9">
          <w:rPr>
            <w:noProof/>
            <w:webHidden/>
          </w:rPr>
        </w:r>
        <w:r w:rsidR="004D00D9">
          <w:rPr>
            <w:noProof/>
            <w:webHidden/>
          </w:rPr>
          <w:fldChar w:fldCharType="separate"/>
        </w:r>
        <w:r w:rsidR="004D00D9">
          <w:rPr>
            <w:noProof/>
            <w:webHidden/>
          </w:rPr>
          <w:t>1</w:t>
        </w:r>
        <w:r w:rsidR="004D00D9">
          <w:rPr>
            <w:noProof/>
            <w:webHidden/>
          </w:rPr>
          <w:fldChar w:fldCharType="end"/>
        </w:r>
      </w:hyperlink>
    </w:p>
    <w:p w14:paraId="69A31177" w14:textId="2002A254" w:rsidR="004D00D9" w:rsidRDefault="004D00D9">
      <w:pPr>
        <w:pStyle w:val="TableofFigures"/>
        <w:tabs>
          <w:tab w:val="right" w:leader="dot" w:pos="9350"/>
        </w:tabs>
        <w:rPr>
          <w:noProof/>
          <w:kern w:val="2"/>
          <w:sz w:val="24"/>
          <w:lang w:eastAsia="en-US"/>
          <w14:ligatures w14:val="standardContextual"/>
        </w:rPr>
      </w:pPr>
      <w:hyperlink w:anchor="_Toc225437487" w:history="1">
        <w:r w:rsidRPr="00D82BEE">
          <w:rPr>
            <w:rStyle w:val="Hyperlink"/>
            <w:noProof/>
          </w:rPr>
          <w:t>Table 2. 2025 Installed Measure Quantities</w:t>
        </w:r>
        <w:r>
          <w:rPr>
            <w:noProof/>
            <w:webHidden/>
          </w:rPr>
          <w:tab/>
        </w:r>
        <w:r>
          <w:rPr>
            <w:noProof/>
            <w:webHidden/>
          </w:rPr>
          <w:fldChar w:fldCharType="begin"/>
        </w:r>
        <w:r>
          <w:rPr>
            <w:noProof/>
            <w:webHidden/>
          </w:rPr>
          <w:instrText xml:space="preserve"> PAGEREF _Toc225437487 \h </w:instrText>
        </w:r>
        <w:r>
          <w:rPr>
            <w:noProof/>
            <w:webHidden/>
          </w:rPr>
        </w:r>
        <w:r>
          <w:rPr>
            <w:noProof/>
            <w:webHidden/>
          </w:rPr>
          <w:fldChar w:fldCharType="separate"/>
        </w:r>
        <w:r>
          <w:rPr>
            <w:noProof/>
            <w:webHidden/>
          </w:rPr>
          <w:t>1</w:t>
        </w:r>
        <w:r>
          <w:rPr>
            <w:noProof/>
            <w:webHidden/>
          </w:rPr>
          <w:fldChar w:fldCharType="end"/>
        </w:r>
      </w:hyperlink>
    </w:p>
    <w:p w14:paraId="2FE1E43D" w14:textId="2AD1802C" w:rsidR="004D00D9" w:rsidRDefault="004D00D9">
      <w:pPr>
        <w:pStyle w:val="TableofFigures"/>
        <w:tabs>
          <w:tab w:val="right" w:leader="dot" w:pos="9350"/>
        </w:tabs>
        <w:rPr>
          <w:noProof/>
          <w:kern w:val="2"/>
          <w:sz w:val="24"/>
          <w:lang w:eastAsia="en-US"/>
          <w14:ligatures w14:val="standardContextual"/>
        </w:rPr>
      </w:pPr>
      <w:hyperlink w:anchor="_Toc225437488" w:history="1">
        <w:r w:rsidRPr="00D82BEE">
          <w:rPr>
            <w:rStyle w:val="Hyperlink"/>
            <w:noProof/>
          </w:rPr>
          <w:t>Table 3. 2025 Annual Energy Savings Summary</w:t>
        </w:r>
        <w:r>
          <w:rPr>
            <w:noProof/>
            <w:webHidden/>
          </w:rPr>
          <w:tab/>
        </w:r>
        <w:r>
          <w:rPr>
            <w:noProof/>
            <w:webHidden/>
          </w:rPr>
          <w:fldChar w:fldCharType="begin"/>
        </w:r>
        <w:r>
          <w:rPr>
            <w:noProof/>
            <w:webHidden/>
          </w:rPr>
          <w:instrText xml:space="preserve"> PAGEREF _Toc225437488 \h </w:instrText>
        </w:r>
        <w:r>
          <w:rPr>
            <w:noProof/>
            <w:webHidden/>
          </w:rPr>
        </w:r>
        <w:r>
          <w:rPr>
            <w:noProof/>
            <w:webHidden/>
          </w:rPr>
          <w:fldChar w:fldCharType="separate"/>
        </w:r>
        <w:r>
          <w:rPr>
            <w:noProof/>
            <w:webHidden/>
          </w:rPr>
          <w:t>2</w:t>
        </w:r>
        <w:r>
          <w:rPr>
            <w:noProof/>
            <w:webHidden/>
          </w:rPr>
          <w:fldChar w:fldCharType="end"/>
        </w:r>
      </w:hyperlink>
    </w:p>
    <w:p w14:paraId="07FDC21E" w14:textId="1D05E894" w:rsidR="004D00D9" w:rsidRDefault="004D00D9">
      <w:pPr>
        <w:pStyle w:val="TableofFigures"/>
        <w:tabs>
          <w:tab w:val="right" w:leader="dot" w:pos="9350"/>
        </w:tabs>
        <w:rPr>
          <w:noProof/>
          <w:kern w:val="2"/>
          <w:sz w:val="24"/>
          <w:lang w:eastAsia="en-US"/>
          <w14:ligatures w14:val="standardContextual"/>
        </w:rPr>
      </w:pPr>
      <w:hyperlink w:anchor="_Toc225437489" w:history="1">
        <w:r w:rsidRPr="00D82BEE">
          <w:rPr>
            <w:rStyle w:val="Hyperlink"/>
            <w:noProof/>
          </w:rPr>
          <w:t>Table 4. 2025 Annual Energy Savings by Measure</w:t>
        </w:r>
        <w:r>
          <w:rPr>
            <w:noProof/>
            <w:webHidden/>
          </w:rPr>
          <w:tab/>
        </w:r>
        <w:r>
          <w:rPr>
            <w:noProof/>
            <w:webHidden/>
          </w:rPr>
          <w:fldChar w:fldCharType="begin"/>
        </w:r>
        <w:r>
          <w:rPr>
            <w:noProof/>
            <w:webHidden/>
          </w:rPr>
          <w:instrText xml:space="preserve"> PAGEREF _Toc225437489 \h </w:instrText>
        </w:r>
        <w:r>
          <w:rPr>
            <w:noProof/>
            <w:webHidden/>
          </w:rPr>
        </w:r>
        <w:r>
          <w:rPr>
            <w:noProof/>
            <w:webHidden/>
          </w:rPr>
          <w:fldChar w:fldCharType="separate"/>
        </w:r>
        <w:r>
          <w:rPr>
            <w:noProof/>
            <w:webHidden/>
          </w:rPr>
          <w:t>2</w:t>
        </w:r>
        <w:r>
          <w:rPr>
            <w:noProof/>
            <w:webHidden/>
          </w:rPr>
          <w:fldChar w:fldCharType="end"/>
        </w:r>
      </w:hyperlink>
    </w:p>
    <w:p w14:paraId="2D0CB717" w14:textId="63FE8B14" w:rsidR="004D00D9" w:rsidRDefault="004D00D9">
      <w:pPr>
        <w:pStyle w:val="TableofFigures"/>
        <w:tabs>
          <w:tab w:val="right" w:leader="dot" w:pos="9350"/>
        </w:tabs>
        <w:rPr>
          <w:noProof/>
          <w:kern w:val="2"/>
          <w:sz w:val="24"/>
          <w:lang w:eastAsia="en-US"/>
          <w14:ligatures w14:val="standardContextual"/>
        </w:rPr>
      </w:pPr>
      <w:hyperlink w:anchor="_Toc225437490" w:history="1">
        <w:r w:rsidRPr="00D82BEE">
          <w:rPr>
            <w:rStyle w:val="Hyperlink"/>
            <w:noProof/>
          </w:rPr>
          <w:t>Table 5. Verified Gross Savings Parameters</w:t>
        </w:r>
        <w:r>
          <w:rPr>
            <w:noProof/>
            <w:webHidden/>
          </w:rPr>
          <w:tab/>
        </w:r>
        <w:r>
          <w:rPr>
            <w:noProof/>
            <w:webHidden/>
          </w:rPr>
          <w:fldChar w:fldCharType="begin"/>
        </w:r>
        <w:r>
          <w:rPr>
            <w:noProof/>
            <w:webHidden/>
          </w:rPr>
          <w:instrText xml:space="preserve"> PAGEREF _Toc225437490 \h </w:instrText>
        </w:r>
        <w:r>
          <w:rPr>
            <w:noProof/>
            <w:webHidden/>
          </w:rPr>
        </w:r>
        <w:r>
          <w:rPr>
            <w:noProof/>
            <w:webHidden/>
          </w:rPr>
          <w:fldChar w:fldCharType="separate"/>
        </w:r>
        <w:r>
          <w:rPr>
            <w:noProof/>
            <w:webHidden/>
          </w:rPr>
          <w:t>4</w:t>
        </w:r>
        <w:r>
          <w:rPr>
            <w:noProof/>
            <w:webHidden/>
          </w:rPr>
          <w:fldChar w:fldCharType="end"/>
        </w:r>
      </w:hyperlink>
    </w:p>
    <w:p w14:paraId="7C1B9A4B" w14:textId="5BD8BE0D" w:rsidR="0084479F" w:rsidRDefault="0084479F">
      <w:r>
        <w:fldChar w:fldCharType="end"/>
      </w:r>
    </w:p>
    <w:p w14:paraId="7C1B9A4E" w14:textId="77777777" w:rsidR="0084479F" w:rsidRDefault="0084479F"/>
    <w:p w14:paraId="7C1B9A4F" w14:textId="77777777" w:rsidR="0084479F" w:rsidRDefault="0084479F"/>
    <w:p w14:paraId="7C1B9A50" w14:textId="77777777" w:rsidR="0084479F" w:rsidRDefault="0084479F">
      <w:pPr>
        <w:sectPr w:rsidR="0084479F" w:rsidSect="00CE4A64">
          <w:headerReference w:type="first" r:id="rId20"/>
          <w:pgSz w:w="12240" w:h="15840"/>
          <w:pgMar w:top="1440" w:right="1440" w:bottom="1440" w:left="1440" w:header="720" w:footer="720" w:gutter="0"/>
          <w:pgNumType w:fmt="lowerRoman"/>
          <w:cols w:space="720"/>
          <w:titlePg/>
          <w:docGrid w:linePitch="360"/>
        </w:sectPr>
      </w:pPr>
    </w:p>
    <w:p w14:paraId="7C1B9A51" w14:textId="77777777" w:rsidR="0084479F" w:rsidRDefault="0084479F" w:rsidP="00CE4A64">
      <w:pPr>
        <w:pStyle w:val="Heading1"/>
      </w:pPr>
      <w:bookmarkStart w:id="1" w:name="_Toc151976667"/>
      <w:bookmarkStart w:id="2" w:name="_Toc187399541"/>
      <w:bookmarkStart w:id="3" w:name="_Toc225437477"/>
      <w:r>
        <w:lastRenderedPageBreak/>
        <w:t>Introduction</w:t>
      </w:r>
      <w:bookmarkEnd w:id="1"/>
      <w:bookmarkEnd w:id="2"/>
      <w:bookmarkEnd w:id="3"/>
    </w:p>
    <w:p w14:paraId="7C1B9A52" w14:textId="7E2A9307" w:rsidR="0084479F" w:rsidRPr="00D937E4" w:rsidRDefault="0084479F" w:rsidP="00A4481E">
      <w:r w:rsidRPr="00F64B8B">
        <w:t xml:space="preserve">This report presents </w:t>
      </w:r>
      <w:r>
        <w:t xml:space="preserve">the results of the impact evaluation of the Nicor Gas 2025 </w:t>
      </w:r>
      <w:r w:rsidR="00A4481E">
        <w:t xml:space="preserve">Home Energy Efficiency Rebates (HEER) </w:t>
      </w:r>
      <w:r>
        <w:t xml:space="preserve">program. It presents a summary of the energy impacts for the total program and broken out by relevant measure and program structure details. </w:t>
      </w:r>
      <w:r w:rsidR="00FA7DEC" w:rsidRPr="00FA7DEC">
        <w:t>The appendices present the impact analysis methodology and Illinois total resource cost (TRC) inputs</w:t>
      </w:r>
      <w:r>
        <w:t xml:space="preserve">. </w:t>
      </w:r>
      <w:r w:rsidR="001827C9" w:rsidRPr="001827C9">
        <w:t>Program year 2025 cover</w:t>
      </w:r>
      <w:r w:rsidR="001827C9">
        <w:t>ed</w:t>
      </w:r>
      <w:r w:rsidR="001827C9" w:rsidRPr="001827C9">
        <w:t xml:space="preserve"> January 1 to December 31, 2025.</w:t>
      </w:r>
    </w:p>
    <w:p w14:paraId="7C1B9A55" w14:textId="77777777" w:rsidR="0084479F" w:rsidRDefault="0084479F" w:rsidP="00CE4A64">
      <w:pPr>
        <w:pStyle w:val="Heading1"/>
      </w:pPr>
      <w:bookmarkStart w:id="4" w:name="_Toc151976668"/>
      <w:bookmarkStart w:id="5" w:name="_Toc187399542"/>
      <w:bookmarkStart w:id="6" w:name="_Toc225437478"/>
      <w:r>
        <w:t xml:space="preserve">Program </w:t>
      </w:r>
      <w:bookmarkEnd w:id="4"/>
      <w:bookmarkEnd w:id="5"/>
      <w:r>
        <w:t>Description</w:t>
      </w:r>
      <w:bookmarkEnd w:id="6"/>
    </w:p>
    <w:p w14:paraId="0C26DADA" w14:textId="3D5EDDE5" w:rsidR="001D0449" w:rsidRPr="001D0449" w:rsidRDefault="006F59DB" w:rsidP="001D0449">
      <w:bookmarkStart w:id="7" w:name="_Hlk500573405"/>
      <w:r>
        <w:t>The HEER program</w:t>
      </w:r>
      <w:r w:rsidR="001D0449" w:rsidRPr="001D0449">
        <w:t xml:space="preserve"> provides Nicor Gas customers with rebate</w:t>
      </w:r>
      <w:r w:rsidR="008524EB">
        <w:t>s</w:t>
      </w:r>
      <w:r w:rsidR="001D0449" w:rsidRPr="001D0449">
        <w:t xml:space="preserve"> for purchasing high annual fuel utilization efficiency (AFUE) furnaces and boilers, tankless water heaters, advanced thermostats</w:t>
      </w:r>
      <w:r w:rsidR="00125ED2">
        <w:t>, and pool covers</w:t>
      </w:r>
      <w:r w:rsidR="001D0449" w:rsidRPr="001D0449">
        <w:t xml:space="preserve">. Participants may apply for the rebates themselves, or contractors may assist them in the rebate application process. Rebates are processed and sent to residential customers after installation of qualified measures. Members of the Nicor Gas Contractor Circle may offer rebates as instant discounts. </w:t>
      </w:r>
    </w:p>
    <w:p w14:paraId="3667F9A9" w14:textId="6F09B2FF" w:rsidR="001D0449" w:rsidRDefault="001D0449" w:rsidP="004B40E1">
      <w:r>
        <w:t>The program had</w:t>
      </w:r>
      <w:r w:rsidR="007C0F41">
        <w:t xml:space="preserve"> 9,7</w:t>
      </w:r>
      <w:r w:rsidR="00CA0683">
        <w:t>63</w:t>
      </w:r>
      <w:r>
        <w:t xml:space="preserve"> participants in 2025 and completed </w:t>
      </w:r>
      <w:r w:rsidR="00AA6F22">
        <w:t>10,247</w:t>
      </w:r>
      <w:r>
        <w:t xml:space="preserve"> projects as shown in Table 1.</w:t>
      </w:r>
      <w:bookmarkStart w:id="8" w:name="_Toc189750766"/>
      <w:bookmarkEnd w:id="7"/>
    </w:p>
    <w:p w14:paraId="7C1B9A59" w14:textId="76965C8D" w:rsidR="0084479F" w:rsidRDefault="0084479F" w:rsidP="00626539">
      <w:pPr>
        <w:pStyle w:val="Caption"/>
        <w:spacing w:after="0"/>
      </w:pPr>
      <w:bookmarkStart w:id="9" w:name="_Toc225437486"/>
      <w:r>
        <w:t xml:space="preserve">Table </w:t>
      </w:r>
      <w:fldSimple w:instr=" SEQ Table \* ARABIC ">
        <w:r>
          <w:rPr>
            <w:noProof/>
          </w:rPr>
          <w:t>1</w:t>
        </w:r>
      </w:fldSimple>
      <w:r w:rsidRPr="00F7087A">
        <w:t>.</w:t>
      </w:r>
      <w:r>
        <w:t xml:space="preserve"> 2025 </w:t>
      </w:r>
      <w:r w:rsidRPr="005C2837">
        <w:t>Volumetric</w:t>
      </w:r>
      <w:r>
        <w:t xml:space="preserve"> Findings Detail</w:t>
      </w:r>
      <w:bookmarkStart w:id="10" w:name="Table_1"/>
      <w:bookmarkEnd w:id="8"/>
      <w:bookmarkEnd w:id="10"/>
      <w:bookmarkEnd w:id="9"/>
    </w:p>
    <w:tbl>
      <w:tblPr>
        <w:tblW w:w="0" w:type="auto"/>
        <w:jc w:val="center"/>
        <w:tblLayout w:type="fixed"/>
        <w:tblLook w:val="0420" w:firstRow="1" w:lastRow="0" w:firstColumn="0" w:lastColumn="0" w:noHBand="0" w:noVBand="1"/>
      </w:tblPr>
      <w:tblGrid>
        <w:gridCol w:w="2880"/>
        <w:gridCol w:w="2160"/>
      </w:tblGrid>
      <w:tr w:rsidR="00D96DB2" w14:paraId="7C1B9A5D" w14:textId="77777777">
        <w:trPr>
          <w:tblHeader/>
          <w:jc w:val="center"/>
        </w:trPr>
        <w:tc>
          <w:tcPr>
            <w:tcW w:w="28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A5A" w14:textId="77777777"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A5C" w14:textId="77777777"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D96DB2" w14:paraId="7C1B9A89"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86" w14:textId="77777777"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88" w14:textId="32400210" w:rsidR="00D96DB2" w:rsidRDefault="00DB7CC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9,763</w:t>
            </w:r>
          </w:p>
        </w:tc>
      </w:tr>
      <w:tr w:rsidR="00D96DB2" w14:paraId="7C1B9A8D"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8A" w14:textId="77777777"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8C" w14:textId="4EDCEF7F"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r w:rsidR="00C553B6">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247</w:t>
            </w:r>
          </w:p>
        </w:tc>
      </w:tr>
      <w:tr w:rsidR="00D96DB2" w14:paraId="7C1B9A91" w14:textId="77777777">
        <w:trPr>
          <w:jc w:val="center"/>
        </w:trPr>
        <w:tc>
          <w:tcPr>
            <w:tcW w:w="28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A8E" w14:textId="77777777"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A90" w14:textId="77777777" w:rsidR="00D96DB2" w:rsidRDefault="00D96D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r>
    </w:tbl>
    <w:p w14:paraId="7C1B9A92" w14:textId="34822F85" w:rsidR="0084479F" w:rsidRPr="002A3D62" w:rsidRDefault="0084479F" w:rsidP="000B1270">
      <w:pPr>
        <w:pStyle w:val="TableFigureSourceorNote"/>
        <w:ind w:left="2160"/>
      </w:pPr>
      <w:r w:rsidRPr="002A3D62">
        <w:t>* Participants are</w:t>
      </w:r>
      <w:r w:rsidR="00B416F6">
        <w:t xml:space="preserve"> defined as the distinct count of addresses.</w:t>
      </w:r>
    </w:p>
    <w:p w14:paraId="5F55ABCD" w14:textId="77777777" w:rsidR="009802A7" w:rsidRDefault="009802A7" w:rsidP="009802A7">
      <w:pPr>
        <w:pStyle w:val="TableFigureSourceorNote"/>
        <w:ind w:left="2160"/>
      </w:pPr>
      <w:r w:rsidRPr="00752E20">
        <w:t xml:space="preserve">† Installed Projects are defined as </w:t>
      </w:r>
      <w:r>
        <w:t>the distinct count of project IDs.</w:t>
      </w:r>
    </w:p>
    <w:p w14:paraId="74ACD0B4" w14:textId="77777777" w:rsidR="009802A7" w:rsidRPr="00C66B30" w:rsidRDefault="009802A7" w:rsidP="009802A7">
      <w:pPr>
        <w:pStyle w:val="TableFigureSourceorNote"/>
        <w:ind w:left="1440" w:firstLine="720"/>
      </w:pPr>
      <w:r w:rsidRPr="00275636">
        <w:rPr>
          <w:rFonts w:eastAsia="DejaVu Sans"/>
        </w:rPr>
        <w:t xml:space="preserve">‡ </w:t>
      </w:r>
      <w:r>
        <w:t>Measure Types Installed are defined as the distinct count of Nicor Gas measure names.</w:t>
      </w:r>
    </w:p>
    <w:p w14:paraId="7C1B9A94" w14:textId="77777777" w:rsidR="0084479F" w:rsidRDefault="0084479F" w:rsidP="000B1270">
      <w:pPr>
        <w:pStyle w:val="TableFigureSourceorNote"/>
        <w:ind w:left="2160"/>
      </w:pPr>
      <w:r w:rsidRPr="00E47345">
        <w:t xml:space="preserve">Source: </w:t>
      </w:r>
      <w:r>
        <w:t xml:space="preserve">Nicor Gas tracking data and evaluation team </w:t>
      </w:r>
      <w:r w:rsidRPr="00651E3A">
        <w:t>analysis</w:t>
      </w:r>
      <w:r w:rsidRPr="00E47345">
        <w:t>.</w:t>
      </w:r>
    </w:p>
    <w:p w14:paraId="2D04E4A7" w14:textId="77777777" w:rsidR="00C97C3C" w:rsidRDefault="00C97C3C" w:rsidP="000B1270">
      <w:pPr>
        <w:pStyle w:val="TableFigureSourceorNote"/>
        <w:ind w:left="2160"/>
      </w:pPr>
    </w:p>
    <w:p w14:paraId="5AC07682" w14:textId="0EAA512C" w:rsidR="004B40E1" w:rsidRDefault="0084479F" w:rsidP="00CE4A64">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7C1B9A98" w14:textId="2E516B3B" w:rsidR="0084479F" w:rsidRDefault="0084479F" w:rsidP="00066B9E">
      <w:pPr>
        <w:pStyle w:val="Caption"/>
        <w:spacing w:after="0"/>
      </w:pPr>
      <w:bookmarkStart w:id="11" w:name="_Ref189735540"/>
      <w:bookmarkStart w:id="12" w:name="_Toc61360846"/>
      <w:bookmarkStart w:id="13" w:name="_Toc189750767"/>
      <w:bookmarkStart w:id="14" w:name="_Toc225437487"/>
      <w:r>
        <w:t xml:space="preserve">Table </w:t>
      </w:r>
      <w:fldSimple w:instr=" SEQ Table \* ARABIC ">
        <w:r>
          <w:rPr>
            <w:noProof/>
          </w:rPr>
          <w:t>2</w:t>
        </w:r>
      </w:fldSimple>
      <w:bookmarkEnd w:id="11"/>
      <w:r w:rsidRPr="00F7087A">
        <w:t>.</w:t>
      </w:r>
      <w:r>
        <w:t xml:space="preserve"> 2025 Installed </w:t>
      </w:r>
      <w:r w:rsidRPr="0084176E">
        <w:t>Measure</w:t>
      </w:r>
      <w:r>
        <w:t xml:space="preserve"> Quantities</w:t>
      </w:r>
      <w:bookmarkStart w:id="15" w:name="Table_2"/>
      <w:bookmarkEnd w:id="12"/>
      <w:bookmarkEnd w:id="13"/>
      <w:bookmarkEnd w:id="15"/>
      <w:bookmarkEnd w:id="14"/>
    </w:p>
    <w:tbl>
      <w:tblPr>
        <w:tblW w:w="4550" w:type="pct"/>
        <w:jc w:val="center"/>
        <w:tblLook w:val="0420" w:firstRow="1" w:lastRow="0" w:firstColumn="0" w:lastColumn="0" w:noHBand="0" w:noVBand="1"/>
      </w:tblPr>
      <w:tblGrid>
        <w:gridCol w:w="4807"/>
        <w:gridCol w:w="1331"/>
        <w:gridCol w:w="2380"/>
      </w:tblGrid>
      <w:tr w:rsidR="000B1270" w14:paraId="7C1B9A9E" w14:textId="77777777" w:rsidTr="008F3795">
        <w:trPr>
          <w:trHeight w:val="250"/>
          <w:tblHeader/>
          <w:jc w:val="center"/>
        </w:trPr>
        <w:tc>
          <w:tcPr>
            <w:tcW w:w="282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A9B"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7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A9C"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139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A9D" w14:textId="4455609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0B1270" w14:paraId="7C1B9AA4" w14:textId="77777777" w:rsidTr="008F3795">
        <w:trPr>
          <w:trHeight w:val="235"/>
          <w:jc w:val="center"/>
        </w:trPr>
        <w:tc>
          <w:tcPr>
            <w:tcW w:w="282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1"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Manual Baseline</w:t>
            </w:r>
          </w:p>
        </w:tc>
        <w:tc>
          <w:tcPr>
            <w:tcW w:w="7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2"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3"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1,470</w:t>
            </w:r>
          </w:p>
        </w:tc>
      </w:tr>
      <w:tr w:rsidR="000B1270" w14:paraId="7C1B9AAA" w14:textId="77777777" w:rsidTr="008F3795">
        <w:trPr>
          <w:trHeight w:val="250"/>
          <w:jc w:val="center"/>
        </w:trPr>
        <w:tc>
          <w:tcPr>
            <w:tcW w:w="282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7"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Programmable Baseline</w:t>
            </w:r>
          </w:p>
        </w:tc>
        <w:tc>
          <w:tcPr>
            <w:tcW w:w="7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8"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9"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1,477</w:t>
            </w:r>
          </w:p>
        </w:tc>
      </w:tr>
      <w:tr w:rsidR="000B1270" w14:paraId="7C1B9AB0" w14:textId="77777777" w:rsidTr="008F3795">
        <w:trPr>
          <w:trHeight w:val="250"/>
          <w:jc w:val="center"/>
        </w:trPr>
        <w:tc>
          <w:tcPr>
            <w:tcW w:w="282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D"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Boilers, &gt;95% AFUE &lt;300 MBH</w:t>
            </w:r>
          </w:p>
        </w:tc>
        <w:tc>
          <w:tcPr>
            <w:tcW w:w="7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E"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AF"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w:t>
            </w:r>
          </w:p>
        </w:tc>
      </w:tr>
      <w:tr w:rsidR="000B1270" w14:paraId="7C1B9AB6" w14:textId="77777777" w:rsidTr="008F3795">
        <w:trPr>
          <w:trHeight w:val="250"/>
          <w:jc w:val="center"/>
        </w:trPr>
        <w:tc>
          <w:tcPr>
            <w:tcW w:w="282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3"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Boilers, &gt;95% AFUE &lt;300 MBH</w:t>
            </w:r>
          </w:p>
        </w:tc>
        <w:tc>
          <w:tcPr>
            <w:tcW w:w="7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4"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5"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w:t>
            </w:r>
          </w:p>
        </w:tc>
      </w:tr>
      <w:tr w:rsidR="000B1270" w14:paraId="7C1B9ABC" w14:textId="77777777" w:rsidTr="008F3795">
        <w:trPr>
          <w:trHeight w:val="250"/>
          <w:jc w:val="center"/>
        </w:trPr>
        <w:tc>
          <w:tcPr>
            <w:tcW w:w="282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9"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AFUE</w:t>
            </w:r>
          </w:p>
        </w:tc>
        <w:tc>
          <w:tcPr>
            <w:tcW w:w="7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A"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B"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4,482</w:t>
            </w:r>
          </w:p>
        </w:tc>
      </w:tr>
      <w:tr w:rsidR="000B1270" w14:paraId="7C1B9AC2" w14:textId="77777777" w:rsidTr="008F3795">
        <w:trPr>
          <w:trHeight w:val="250"/>
          <w:jc w:val="center"/>
        </w:trPr>
        <w:tc>
          <w:tcPr>
            <w:tcW w:w="282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BF"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&gt;97% AFUE</w:t>
            </w:r>
          </w:p>
        </w:tc>
        <w:tc>
          <w:tcPr>
            <w:tcW w:w="7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C0"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C1"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3,969</w:t>
            </w:r>
          </w:p>
        </w:tc>
      </w:tr>
      <w:tr w:rsidR="000B1270" w14:paraId="7C1B9AC8" w14:textId="77777777" w:rsidTr="008F3795">
        <w:trPr>
          <w:trHeight w:val="250"/>
          <w:jc w:val="center"/>
        </w:trPr>
        <w:tc>
          <w:tcPr>
            <w:tcW w:w="282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C5"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Outdoor Pool Covers</w:t>
            </w:r>
          </w:p>
        </w:tc>
        <w:tc>
          <w:tcPr>
            <w:tcW w:w="7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C6"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AC7"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r>
      <w:tr w:rsidR="000B1270" w14:paraId="7C1B9ACE" w14:textId="77777777" w:rsidTr="008F3795">
        <w:trPr>
          <w:trHeight w:val="250"/>
          <w:jc w:val="center"/>
        </w:trPr>
        <w:tc>
          <w:tcPr>
            <w:tcW w:w="282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ACB"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7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ACC"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39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ACD" w14:textId="77777777" w:rsidR="000B1270" w:rsidRDefault="000B127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w:t>
            </w:r>
          </w:p>
        </w:tc>
      </w:tr>
    </w:tbl>
    <w:p w14:paraId="7C1B9ACF" w14:textId="43A9C1D0" w:rsidR="0084479F" w:rsidRDefault="0084479F" w:rsidP="00905FDB">
      <w:pPr>
        <w:pStyle w:val="TableFigureSourceorNote"/>
        <w:tabs>
          <w:tab w:val="left" w:pos="630"/>
        </w:tabs>
        <w:ind w:left="360"/>
      </w:pPr>
      <w:r w:rsidRPr="00651E3A">
        <w:lastRenderedPageBreak/>
        <w:t xml:space="preserve">Source: </w:t>
      </w:r>
      <w:bookmarkStart w:id="16" w:name="_Hlk186754865"/>
      <w:r>
        <w:t xml:space="preserve">Nicor Gas tracking data and evaluation team </w:t>
      </w:r>
      <w:r w:rsidRPr="00651E3A">
        <w:t>analysis</w:t>
      </w:r>
      <w:bookmarkEnd w:id="16"/>
      <w:r w:rsidRPr="00651E3A">
        <w:t>.</w:t>
      </w:r>
    </w:p>
    <w:p w14:paraId="7C1B9AD0" w14:textId="77777777" w:rsidR="0084479F" w:rsidRDefault="0084479F" w:rsidP="00CE4A64">
      <w:pPr>
        <w:pStyle w:val="Heading1"/>
      </w:pPr>
      <w:bookmarkStart w:id="17" w:name="_Toc225437479"/>
      <w:r>
        <w:t>Program Savings Detail</w:t>
      </w:r>
      <w:bookmarkEnd w:id="17"/>
    </w:p>
    <w:p w14:paraId="7C1B9AD2" w14:textId="67218FA6" w:rsidR="0084479F" w:rsidRDefault="0084479F" w:rsidP="00CE4A64">
      <w:r>
        <w:fldChar w:fldCharType="begin"/>
      </w:r>
      <w:r>
        <w:instrText xml:space="preserve"> REF _Ref500500894 \h </w:instrText>
      </w:r>
      <w:r>
        <w:fldChar w:fldCharType="separate"/>
      </w:r>
      <w:r>
        <w:t xml:space="preserve">Table </w:t>
      </w:r>
      <w:r>
        <w:rPr>
          <w:noProof/>
        </w:rPr>
        <w:t>3</w:t>
      </w:r>
      <w:r>
        <w:fldChar w:fldCharType="end"/>
      </w:r>
      <w:r>
        <w:t xml:space="preserve"> </w:t>
      </w:r>
      <w:r w:rsidRPr="00A90B62">
        <w:t>summarize</w:t>
      </w:r>
      <w:r>
        <w:t>s</w:t>
      </w:r>
      <w:r w:rsidRPr="00A90B62">
        <w:t xml:space="preserve"> the </w:t>
      </w:r>
      <w:r>
        <w:t xml:space="preserve">energy </w:t>
      </w:r>
      <w:r w:rsidRPr="00A90B62">
        <w:t xml:space="preserve">savings the </w:t>
      </w:r>
      <w:r w:rsidR="005F36F2">
        <w:t>HEER</w:t>
      </w:r>
      <w:r>
        <w:t xml:space="preserve"> P</w:t>
      </w:r>
      <w:r w:rsidRPr="00A90B62">
        <w:t>rogram</w:t>
      </w:r>
      <w:r>
        <w:t xml:space="preserve"> achieved in 2025.</w:t>
      </w:r>
    </w:p>
    <w:p w14:paraId="7C1B9AD3" w14:textId="4C72E64B" w:rsidR="0084479F" w:rsidRDefault="0084479F" w:rsidP="008F3795">
      <w:pPr>
        <w:pStyle w:val="Caption"/>
        <w:keepLines/>
        <w:spacing w:after="0"/>
      </w:pPr>
      <w:bookmarkStart w:id="18" w:name="_Ref500500894"/>
      <w:bookmarkStart w:id="19" w:name="_Toc397011684"/>
      <w:bookmarkStart w:id="20" w:name="_Toc397011694"/>
      <w:bookmarkStart w:id="21" w:name="_Toc398541809"/>
      <w:bookmarkStart w:id="22" w:name="_Toc398541922"/>
      <w:bookmarkStart w:id="23" w:name="_Toc398546654"/>
      <w:bookmarkStart w:id="24" w:name="_Toc423009516"/>
      <w:bookmarkStart w:id="25" w:name="_Toc426278634"/>
      <w:bookmarkStart w:id="26" w:name="_Toc61360847"/>
      <w:bookmarkStart w:id="27" w:name="_Toc189750768"/>
      <w:bookmarkStart w:id="28" w:name="_Toc225437488"/>
      <w:r>
        <w:t xml:space="preserve">Table </w:t>
      </w:r>
      <w:fldSimple w:instr=" SEQ Table \* ARABIC ">
        <w:r>
          <w:rPr>
            <w:noProof/>
          </w:rPr>
          <w:t>3</w:t>
        </w:r>
      </w:fldSimple>
      <w:bookmarkEnd w:id="18"/>
      <w:r>
        <w:t>. 2025 Annual Energy Savings Summary</w:t>
      </w:r>
      <w:bookmarkStart w:id="29" w:name="Table_3"/>
      <w:bookmarkEnd w:id="19"/>
      <w:bookmarkEnd w:id="20"/>
      <w:bookmarkEnd w:id="21"/>
      <w:bookmarkEnd w:id="22"/>
      <w:bookmarkEnd w:id="23"/>
      <w:bookmarkEnd w:id="24"/>
      <w:bookmarkEnd w:id="25"/>
      <w:bookmarkEnd w:id="26"/>
      <w:bookmarkEnd w:id="27"/>
      <w:bookmarkEnd w:id="29"/>
      <w:bookmarkEnd w:id="28"/>
    </w:p>
    <w:tbl>
      <w:tblPr>
        <w:tblW w:w="5000" w:type="pct"/>
        <w:jc w:val="center"/>
        <w:tblLook w:val="0420" w:firstRow="1" w:lastRow="0" w:firstColumn="0" w:lastColumn="0" w:noHBand="0" w:noVBand="1"/>
      </w:tblPr>
      <w:tblGrid>
        <w:gridCol w:w="1710"/>
        <w:gridCol w:w="1440"/>
        <w:gridCol w:w="1080"/>
        <w:gridCol w:w="1619"/>
        <w:gridCol w:w="837"/>
        <w:gridCol w:w="1337"/>
        <w:gridCol w:w="1337"/>
      </w:tblGrid>
      <w:tr w:rsidR="0063754E" w14:paraId="7C1B9ADC" w14:textId="77777777" w:rsidTr="00F07736">
        <w:trPr>
          <w:tblHeader/>
          <w:jc w:val="center"/>
        </w:trPr>
        <w:tc>
          <w:tcPr>
            <w:tcW w:w="91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4"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769"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6"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57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7"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86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8"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4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9"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71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A" w14:textId="6281007E"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NP</w:t>
            </w:r>
            <w:r w:rsidR="00DB65EB">
              <w:rPr>
                <w:rFonts w:ascii="Aptos Narrow" w:eastAsia="DejaVu Sans" w:hAnsi="DejaVu Sans" w:cs="DejaVu Sans"/>
                <w:color w:val="FFFFFF"/>
                <w:sz w:val="20"/>
                <w:szCs w:val="20"/>
              </w:rPr>
              <w:t>S</w:t>
            </w:r>
            <w:r>
              <w:rPr>
                <w:rFonts w:ascii="Aptos Narrow" w:eastAsia="DejaVu Sans" w:hAnsi="DejaVu Sans" w:cs="DejaVu Sans"/>
                <w:color w:val="FFFFFF"/>
                <w:sz w:val="20"/>
                <w:szCs w:val="20"/>
              </w:rPr>
              <w:t>O</w:t>
            </w:r>
            <w:r>
              <w:rPr>
                <w:rFonts w:ascii="Aptos Narrow" w:eastAsia="DejaVu Sans" w:hAnsi="DejaVu Sans" w:cs="DejaVu Sans"/>
                <w:color w:val="FFFFFF"/>
                <w:sz w:val="20"/>
                <w:szCs w:val="20"/>
              </w:rPr>
              <w:t>‡</w:t>
            </w:r>
          </w:p>
        </w:tc>
        <w:tc>
          <w:tcPr>
            <w:tcW w:w="71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ADB"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63754E" w14:paraId="7C1B9AE5" w14:textId="77777777" w:rsidTr="00F07736">
        <w:trPr>
          <w:jc w:val="center"/>
        </w:trPr>
        <w:tc>
          <w:tcPr>
            <w:tcW w:w="91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DD"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Non-Disadvantaged Communities</w:t>
            </w:r>
          </w:p>
        </w:tc>
        <w:tc>
          <w:tcPr>
            <w:tcW w:w="769"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DF"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1,857,211</w:t>
            </w:r>
          </w:p>
        </w:tc>
        <w:tc>
          <w:tcPr>
            <w:tcW w:w="57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E0" w14:textId="46A50BCA"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r w:rsidR="0014620D">
              <w:rPr>
                <w:rFonts w:ascii="Aptos Narrow" w:eastAsia="DejaVu Sans" w:hAnsi="DejaVu Sans" w:cs="DejaVu Sans"/>
                <w:color w:val="000000"/>
                <w:sz w:val="20"/>
                <w:szCs w:val="20"/>
              </w:rPr>
              <w:t>%</w:t>
            </w:r>
          </w:p>
        </w:tc>
        <w:tc>
          <w:tcPr>
            <w:tcW w:w="86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E1"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1,863,415</w:t>
            </w:r>
          </w:p>
        </w:tc>
        <w:tc>
          <w:tcPr>
            <w:tcW w:w="44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E2" w14:textId="1DA0B218"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w:t>
            </w:r>
            <w:r w:rsidR="008C3220">
              <w:rPr>
                <w:rFonts w:ascii="Aptos Narrow" w:eastAsia="DejaVu Sans" w:hAnsi="DejaVu Sans" w:cs="DejaVu Sans"/>
                <w:color w:val="000000"/>
                <w:sz w:val="20"/>
                <w:szCs w:val="20"/>
              </w:rPr>
              <w:t>6</w:t>
            </w:r>
          </w:p>
        </w:tc>
        <w:tc>
          <w:tcPr>
            <w:tcW w:w="71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E3" w14:textId="7BF93BE7" w:rsidR="0063754E" w:rsidRDefault="6AD85AA6" w:rsidP="7CE5D1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w:t>
            </w:r>
            <w:r w:rsidR="1AD17230" w:rsidRPr="7CE5D1D7">
              <w:rPr>
                <w:rFonts w:ascii="Aptos Narrow" w:eastAsia="DejaVu Sans" w:hAnsi="DejaVu Sans" w:cs="DejaVu Sans"/>
                <w:color w:val="000000" w:themeColor="text1"/>
                <w:sz w:val="20"/>
                <w:szCs w:val="20"/>
              </w:rPr>
              <w:t>48</w:t>
            </w:r>
          </w:p>
        </w:tc>
        <w:tc>
          <w:tcPr>
            <w:tcW w:w="71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E4" w14:textId="68DA5A8D"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r w:rsidR="00C81278">
              <w:rPr>
                <w:rFonts w:ascii="Aptos Narrow" w:eastAsia="DejaVu Sans" w:hAnsi="DejaVu Sans" w:cs="DejaVu Sans"/>
                <w:color w:val="000000"/>
                <w:sz w:val="20"/>
                <w:szCs w:val="20"/>
              </w:rPr>
              <w:t>84,</w:t>
            </w:r>
            <w:r w:rsidR="0080776D">
              <w:rPr>
                <w:rFonts w:ascii="Aptos Narrow" w:eastAsia="DejaVu Sans" w:hAnsi="DejaVu Sans" w:cs="DejaVu Sans"/>
                <w:color w:val="000000"/>
                <w:sz w:val="20"/>
                <w:szCs w:val="20"/>
              </w:rPr>
              <w:t>654</w:t>
            </w:r>
          </w:p>
        </w:tc>
      </w:tr>
      <w:tr w:rsidR="0063754E" w14:paraId="7C1B9AF7" w14:textId="77777777" w:rsidTr="00F07736">
        <w:trPr>
          <w:jc w:val="center"/>
        </w:trPr>
        <w:tc>
          <w:tcPr>
            <w:tcW w:w="91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EF" w14:textId="128208C9"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Disadvantaged Communities</w:t>
            </w:r>
            <w:r w:rsidR="006D5CCA">
              <w:rPr>
                <w:rFonts w:ascii="Aptos Narrow" w:eastAsia="DejaVu Sans" w:hAnsi="DejaVu Sans" w:cs="DejaVu Sans"/>
                <w:color w:val="000000"/>
                <w:sz w:val="20"/>
                <w:szCs w:val="20"/>
              </w:rPr>
              <w:t xml:space="preserve"> (DAC)</w:t>
            </w:r>
          </w:p>
        </w:tc>
        <w:tc>
          <w:tcPr>
            <w:tcW w:w="769"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F1"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112,362</w:t>
            </w:r>
          </w:p>
        </w:tc>
        <w:tc>
          <w:tcPr>
            <w:tcW w:w="5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F2" w14:textId="2CB6ECC6" w:rsidR="0063754E" w:rsidRDefault="0014620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F3"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112,770</w:t>
            </w:r>
          </w:p>
        </w:tc>
        <w:tc>
          <w:tcPr>
            <w:tcW w:w="44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F4" w14:textId="20300C77" w:rsidR="0063754E" w:rsidRDefault="003707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63754E">
              <w:rPr>
                <w:rFonts w:ascii="Aptos Narrow" w:eastAsia="DejaVu Sans" w:hAnsi="DejaVu Sans" w:cs="DejaVu Sans"/>
                <w:color w:val="000000"/>
                <w:sz w:val="20"/>
                <w:szCs w:val="20"/>
              </w:rPr>
              <w:t>0</w:t>
            </w:r>
            <w:r w:rsidR="00764D02">
              <w:rPr>
                <w:rFonts w:ascii="Aptos Narrow" w:eastAsia="DejaVu Sans" w:hAnsi="DejaVu Sans" w:cs="DejaVu Sans"/>
                <w:color w:val="000000"/>
                <w:sz w:val="20"/>
                <w:szCs w:val="20"/>
              </w:rPr>
              <w:t>0</w:t>
            </w:r>
          </w:p>
        </w:tc>
        <w:tc>
          <w:tcPr>
            <w:tcW w:w="71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F5" w14:textId="33E198F0" w:rsidR="0063754E" w:rsidRDefault="00515EEE" w:rsidP="7CE5D1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themeColor="text1"/>
                <w:sz w:val="20"/>
                <w:szCs w:val="20"/>
              </w:rPr>
              <w:t>N/A</w:t>
            </w:r>
          </w:p>
        </w:tc>
        <w:tc>
          <w:tcPr>
            <w:tcW w:w="71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AF6"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112,770</w:t>
            </w:r>
          </w:p>
        </w:tc>
      </w:tr>
      <w:tr w:rsidR="0063754E" w14:paraId="7C1B9B3F" w14:textId="77777777" w:rsidTr="00F07736">
        <w:trPr>
          <w:jc w:val="center"/>
        </w:trPr>
        <w:tc>
          <w:tcPr>
            <w:tcW w:w="91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7" w14:textId="1AC854A5"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769"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9"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1,969,573</w:t>
            </w:r>
          </w:p>
        </w:tc>
        <w:tc>
          <w:tcPr>
            <w:tcW w:w="57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A" w14:textId="0DB184F1"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r w:rsidR="0014620D">
              <w:rPr>
                <w:rFonts w:ascii="Aptos Narrow" w:eastAsia="DejaVu Sans" w:hAnsi="DejaVu Sans" w:cs="DejaVu Sans"/>
                <w:b/>
                <w:color w:val="000000"/>
                <w:sz w:val="20"/>
                <w:szCs w:val="20"/>
              </w:rPr>
              <w:t>%</w:t>
            </w:r>
          </w:p>
        </w:tc>
        <w:tc>
          <w:tcPr>
            <w:tcW w:w="86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B"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1,976,184</w:t>
            </w:r>
          </w:p>
        </w:tc>
        <w:tc>
          <w:tcPr>
            <w:tcW w:w="44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C"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71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D"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71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B3E" w14:textId="58C8E814"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1,7</w:t>
            </w:r>
            <w:r w:rsidR="00684927">
              <w:rPr>
                <w:rFonts w:ascii="Aptos Narrow" w:eastAsia="DejaVu Sans" w:hAnsi="DejaVu Sans" w:cs="DejaVu Sans"/>
                <w:b/>
                <w:color w:val="000000"/>
                <w:sz w:val="20"/>
                <w:szCs w:val="20"/>
              </w:rPr>
              <w:t>97</w:t>
            </w:r>
            <w:r>
              <w:rPr>
                <w:rFonts w:ascii="Aptos Narrow" w:eastAsia="DejaVu Sans" w:hAnsi="DejaVu Sans" w:cs="DejaVu Sans"/>
                <w:b/>
                <w:color w:val="000000"/>
                <w:sz w:val="20"/>
                <w:szCs w:val="20"/>
              </w:rPr>
              <w:t>,</w:t>
            </w:r>
            <w:r w:rsidR="00684927">
              <w:rPr>
                <w:rFonts w:ascii="Aptos Narrow" w:eastAsia="DejaVu Sans" w:hAnsi="DejaVu Sans" w:cs="DejaVu Sans"/>
                <w:b/>
                <w:color w:val="000000"/>
                <w:sz w:val="20"/>
                <w:szCs w:val="20"/>
              </w:rPr>
              <w:t>424</w:t>
            </w:r>
          </w:p>
        </w:tc>
      </w:tr>
    </w:tbl>
    <w:p w14:paraId="5EEAF576" w14:textId="77777777" w:rsidR="003A1D4E" w:rsidRDefault="003A1D4E" w:rsidP="003A1D4E">
      <w:pPr>
        <w:pStyle w:val="TableFigureSourceorNote"/>
      </w:pPr>
      <w:r>
        <w:t>* Realization Rate (RR) is the ratio of verified gross savings to ex ante gross savings, based on evaluation research findings.</w:t>
      </w:r>
    </w:p>
    <w:p w14:paraId="76D79B03" w14:textId="31C8DAD3" w:rsidR="003A1D4E" w:rsidRDefault="003A1D4E" w:rsidP="003A1D4E">
      <w:pPr>
        <w:pStyle w:val="TableFigureSourceorNote"/>
      </w:pPr>
      <w:r>
        <w:t>†</w:t>
      </w:r>
      <w:r w:rsidRPr="008F26EB">
        <w:t xml:space="preserve"> The program-level NTG values are calculated as Verified Net/Verified Gross. The program-level analysis typically used measure-level deemed NTG values</w:t>
      </w:r>
      <w:r w:rsidR="008B17D9">
        <w:t xml:space="preserve"> (see Table 4)</w:t>
      </w:r>
      <w:r w:rsidRPr="008F26EB">
        <w:t xml:space="preserve">, which are listed here: </w:t>
      </w:r>
      <w:r w:rsidRPr="00F07736">
        <w:t>https://www.ilsag.info/evaluator-ntg-recommendations-for-2025</w:t>
      </w:r>
      <w:r w:rsidR="00F07736">
        <w:t>.</w:t>
      </w:r>
      <w:r w:rsidRPr="00651E3A">
        <w:t xml:space="preserve"> </w:t>
      </w:r>
      <w:r>
        <w:t xml:space="preserve"> </w:t>
      </w:r>
    </w:p>
    <w:p w14:paraId="4862B88D" w14:textId="6C0CE529" w:rsidR="003A1D4E" w:rsidRPr="002B22C2" w:rsidRDefault="003A1D4E" w:rsidP="003A1D4E">
      <w:pPr>
        <w:pStyle w:val="TableFigureSourceorNote"/>
      </w:pPr>
      <w:r>
        <w:t xml:space="preserve">‡ The Non-Disadvantaged Communities net savings were multiplied by a residential non-participant spillover (NPSO) factor of 1.048. </w:t>
      </w:r>
    </w:p>
    <w:p w14:paraId="0E4ED9CF" w14:textId="77777777" w:rsidR="003A1D4E" w:rsidRDefault="003A1D4E" w:rsidP="003A1D4E">
      <w:pPr>
        <w:pStyle w:val="TableFigureSourceorNote"/>
      </w:pPr>
      <w:r>
        <w:t>Source: Evaluation team analysis.</w:t>
      </w:r>
    </w:p>
    <w:p w14:paraId="7F373455" w14:textId="77777777" w:rsidR="003A1D4E" w:rsidRDefault="003A1D4E" w:rsidP="00CE4A64">
      <w:pPr>
        <w:pStyle w:val="TableFigureSourceorNote"/>
      </w:pPr>
    </w:p>
    <w:p w14:paraId="7C1B9B46" w14:textId="77777777" w:rsidR="0084479F" w:rsidRDefault="0084479F" w:rsidP="00CE4A64">
      <w:pPr>
        <w:pStyle w:val="Heading1"/>
      </w:pPr>
      <w:bookmarkStart w:id="30" w:name="_Toc225437480"/>
      <w:r>
        <w:t>Program Savings by Measure</w:t>
      </w:r>
      <w:bookmarkEnd w:id="30"/>
    </w:p>
    <w:p w14:paraId="7C1B9B48" w14:textId="7BA5F68A" w:rsidR="0084479F" w:rsidRPr="00BA5B45" w:rsidRDefault="0084479F" w:rsidP="00CE4A64">
      <w:r w:rsidRPr="00BA5B45">
        <w:t xml:space="preserve">The program includes </w:t>
      </w:r>
      <w:r w:rsidR="00AA6F22">
        <w:t>8</w:t>
      </w:r>
      <w:r w:rsidRPr="00BA5B45">
        <w:t xml:space="preserve"> measures as shown in the following table. </w:t>
      </w:r>
      <w:r w:rsidR="00E61D86" w:rsidRPr="00E61D86">
        <w:t>The advanced thermostat and furnace measures contributed the most savings. Projects in the disadvantaged communities (DAC) sites have a verified net-to-gross ratio (NTG) of 1.00.</w:t>
      </w:r>
    </w:p>
    <w:p w14:paraId="7C1B9B4A" w14:textId="06A87BAB" w:rsidR="0084479F" w:rsidRPr="00A90B62" w:rsidRDefault="0084479F" w:rsidP="008F3795">
      <w:pPr>
        <w:pStyle w:val="Caption"/>
        <w:keepLines/>
        <w:spacing w:after="0"/>
      </w:pPr>
      <w:bookmarkStart w:id="31" w:name="_Toc398546655"/>
      <w:bookmarkStart w:id="32" w:name="_Toc423009517"/>
      <w:bookmarkStart w:id="33" w:name="_Toc426278635"/>
      <w:bookmarkStart w:id="34" w:name="_Toc61360848"/>
      <w:bookmarkStart w:id="35" w:name="_Toc189750769"/>
      <w:bookmarkStart w:id="36" w:name="_Hlk29910940"/>
      <w:bookmarkStart w:id="37" w:name="_Toc225437489"/>
      <w:r>
        <w:t xml:space="preserve">Table </w:t>
      </w:r>
      <w:fldSimple w:instr=" SEQ Table \* ARABIC ">
        <w:r>
          <w:rPr>
            <w:noProof/>
          </w:rPr>
          <w:t>4</w:t>
        </w:r>
      </w:fldSimple>
      <w:r>
        <w:t>. 2025</w:t>
      </w:r>
      <w:r w:rsidRPr="00A90B62">
        <w:t xml:space="preserve"> </w:t>
      </w:r>
      <w:r>
        <w:t>Annual Energy Savings by Measure</w:t>
      </w:r>
      <w:bookmarkStart w:id="38" w:name="Table_4"/>
      <w:bookmarkEnd w:id="31"/>
      <w:bookmarkEnd w:id="32"/>
      <w:bookmarkEnd w:id="33"/>
      <w:bookmarkEnd w:id="34"/>
      <w:bookmarkEnd w:id="35"/>
      <w:bookmarkEnd w:id="38"/>
      <w:bookmarkEnd w:id="37"/>
    </w:p>
    <w:tbl>
      <w:tblPr>
        <w:tblW w:w="5000" w:type="pct"/>
        <w:jc w:val="center"/>
        <w:tblLook w:val="0420" w:firstRow="1" w:lastRow="0" w:firstColumn="0" w:lastColumn="0" w:noHBand="0" w:noVBand="1"/>
      </w:tblPr>
      <w:tblGrid>
        <w:gridCol w:w="1168"/>
        <w:gridCol w:w="1184"/>
        <w:gridCol w:w="1168"/>
        <w:gridCol w:w="1168"/>
        <w:gridCol w:w="1168"/>
        <w:gridCol w:w="1168"/>
        <w:gridCol w:w="1168"/>
        <w:gridCol w:w="1168"/>
      </w:tblGrid>
      <w:tr w:rsidR="0063754E" w14:paraId="7C1B9B56" w14:textId="77777777" w:rsidTr="00E051D2">
        <w:trPr>
          <w:tblHeader/>
          <w:jc w:val="center"/>
        </w:trPr>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4B"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63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4D"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4E"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4F"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50"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51"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52" w14:textId="2F0D3460"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NP</w:t>
            </w:r>
            <w:r w:rsidR="00DB65EB">
              <w:rPr>
                <w:rFonts w:ascii="Aptos Narrow" w:eastAsia="DejaVu Sans" w:hAnsi="DejaVu Sans" w:cs="DejaVu Sans"/>
                <w:color w:val="FFFFFF"/>
                <w:sz w:val="20"/>
                <w:szCs w:val="20"/>
              </w:rPr>
              <w:t>S</w:t>
            </w:r>
            <w:r>
              <w:rPr>
                <w:rFonts w:ascii="Aptos Narrow" w:eastAsia="DejaVu Sans" w:hAnsi="DejaVu Sans" w:cs="DejaVu Sans"/>
                <w:color w:val="FFFFFF"/>
                <w:sz w:val="20"/>
                <w:szCs w:val="20"/>
              </w:rPr>
              <w:t>O</w:t>
            </w:r>
            <w:r>
              <w:rPr>
                <w:rFonts w:ascii="Aptos Narrow" w:eastAsia="DejaVu Sans" w:hAnsi="DejaVu Sans" w:cs="DejaVu Sans"/>
                <w:color w:val="FFFFFF"/>
                <w:sz w:val="20"/>
                <w:szCs w:val="20"/>
              </w:rPr>
              <w:t>‡</w:t>
            </w:r>
          </w:p>
        </w:tc>
        <w:tc>
          <w:tcPr>
            <w:tcW w:w="6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B9B53"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E051D2" w14:paraId="7C1B9B62" w14:textId="77777777" w:rsidTr="00602BBD">
        <w:trPr>
          <w:jc w:val="center"/>
        </w:trPr>
        <w:tc>
          <w:tcPr>
            <w:tcW w:w="624" w:type="pct"/>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C1B9B57" w14:textId="170ABDAB"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Non-DAC</w:t>
            </w:r>
          </w:p>
        </w:tc>
        <w:tc>
          <w:tcPr>
            <w:tcW w:w="63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9"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Manual Baseline</w:t>
            </w:r>
          </w:p>
        </w:tc>
        <w:tc>
          <w:tcPr>
            <w:tcW w:w="6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A"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141,301</w:t>
            </w:r>
          </w:p>
        </w:tc>
        <w:tc>
          <w:tcPr>
            <w:tcW w:w="6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B" w14:textId="2C7B6DB7"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3C6491">
              <w:rPr>
                <w:rFonts w:ascii="Aptos Narrow" w:eastAsia="DejaVu Sans" w:hAnsi="DejaVu Sans" w:cs="DejaVu Sans"/>
                <w:color w:val="000000"/>
                <w:sz w:val="20"/>
                <w:szCs w:val="20"/>
              </w:rPr>
              <w:t>100%</w:t>
            </w:r>
          </w:p>
        </w:tc>
        <w:tc>
          <w:tcPr>
            <w:tcW w:w="6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C"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141,301</w:t>
            </w:r>
          </w:p>
        </w:tc>
        <w:tc>
          <w:tcPr>
            <w:tcW w:w="6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D" w14:textId="3650908F"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0478F3">
              <w:rPr>
                <w:rFonts w:ascii="Aptos Narrow" w:eastAsia="DejaVu Sans" w:hAnsi="DejaVu Sans" w:cs="DejaVu Sans"/>
                <w:color w:val="000000"/>
                <w:sz w:val="20"/>
                <w:szCs w:val="20"/>
              </w:rPr>
              <w:t>95</w:t>
            </w:r>
          </w:p>
        </w:tc>
        <w:tc>
          <w:tcPr>
            <w:tcW w:w="6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E" w14:textId="01CF90B0"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1.048</w:t>
            </w:r>
          </w:p>
        </w:tc>
        <w:tc>
          <w:tcPr>
            <w:tcW w:w="6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5F" w14:textId="404A46D2" w:rsidR="00E051D2" w:rsidRDefault="00B1074F"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0478F3">
              <w:rPr>
                <w:rFonts w:ascii="Aptos Narrow" w:eastAsia="DejaVu Sans" w:hAnsi="DejaVu Sans" w:cs="DejaVu Sans"/>
                <w:color w:val="000000"/>
                <w:sz w:val="20"/>
                <w:szCs w:val="20"/>
              </w:rPr>
              <w:t>40,680</w:t>
            </w:r>
          </w:p>
        </w:tc>
      </w:tr>
      <w:tr w:rsidR="00E051D2" w14:paraId="7C1B9B6E" w14:textId="77777777" w:rsidTr="00602BBD">
        <w:trPr>
          <w:jc w:val="center"/>
        </w:trPr>
        <w:tc>
          <w:tcPr>
            <w:tcW w:w="624" w:type="pct"/>
            <w:vMerge/>
            <w:tcMar>
              <w:top w:w="0" w:type="dxa"/>
              <w:left w:w="0" w:type="dxa"/>
              <w:bottom w:w="0" w:type="dxa"/>
              <w:right w:w="0" w:type="dxa"/>
            </w:tcMar>
            <w:vAlign w:val="center"/>
          </w:tcPr>
          <w:p w14:paraId="7C1B9B63"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5"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Programmable Baseline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6"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98,106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7" w14:textId="51DF25B4"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3C6491">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8"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98,106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9" w14:textId="53000FBB"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C82315">
              <w:rPr>
                <w:rFonts w:ascii="Aptos Narrow" w:eastAsia="DejaVu Sans" w:hAnsi="DejaVu Sans" w:cs="DejaVu Sans"/>
                <w:color w:val="000000"/>
                <w:sz w:val="20"/>
                <w:szCs w:val="20"/>
              </w:rPr>
              <w:t>95</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A" w14:textId="4FD8F6C8"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6B" w14:textId="1DD4B98B" w:rsidR="00E051D2" w:rsidRDefault="000478F3"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97,674</w:t>
            </w:r>
          </w:p>
        </w:tc>
      </w:tr>
      <w:tr w:rsidR="00E051D2" w14:paraId="7C1B9B7A" w14:textId="77777777" w:rsidTr="00602BBD">
        <w:trPr>
          <w:jc w:val="center"/>
        </w:trPr>
        <w:tc>
          <w:tcPr>
            <w:tcW w:w="624" w:type="pct"/>
            <w:vMerge/>
            <w:tcMar>
              <w:top w:w="0" w:type="dxa"/>
              <w:left w:w="0" w:type="dxa"/>
              <w:bottom w:w="0" w:type="dxa"/>
              <w:right w:w="0" w:type="dxa"/>
            </w:tcMar>
            <w:vAlign w:val="center"/>
          </w:tcPr>
          <w:p w14:paraId="7C1B9B6F"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1"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Boilers, &gt;95% AFUE &lt;300 MBH</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2"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22,622</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3" w14:textId="036A1CDA"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3C6491">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4"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22,622</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5"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6" w14:textId="2639D6C8"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7"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19,914</w:t>
            </w:r>
          </w:p>
        </w:tc>
      </w:tr>
      <w:tr w:rsidR="00B1074F" w14:paraId="7C1B9B86" w14:textId="77777777" w:rsidTr="00602BBD">
        <w:trPr>
          <w:jc w:val="center"/>
        </w:trPr>
        <w:tc>
          <w:tcPr>
            <w:tcW w:w="624" w:type="pct"/>
            <w:vMerge/>
            <w:tcMar>
              <w:top w:w="0" w:type="dxa"/>
              <w:left w:w="0" w:type="dxa"/>
              <w:bottom w:w="0" w:type="dxa"/>
              <w:right w:w="0" w:type="dxa"/>
            </w:tcMar>
            <w:vAlign w:val="center"/>
          </w:tcPr>
          <w:p w14:paraId="7C1B9B7B"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D"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Boilers, &gt;95% AFUE &lt;300 MBH</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E"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14,946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7F" w14:textId="5162A51B" w:rsidR="00B1074F"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0"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15,065</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1"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2" w14:textId="2188F2AB" w:rsidR="00B1074F" w:rsidRDefault="023573D5" w:rsidP="7CE5D1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w:t>
            </w:r>
            <w:r w:rsidR="1197C8BE" w:rsidRPr="7CE5D1D7">
              <w:rPr>
                <w:rFonts w:ascii="Aptos Narrow" w:eastAsia="DejaVu Sans" w:hAnsi="DejaVu Sans" w:cs="DejaVu Sans"/>
                <w:color w:val="000000" w:themeColor="text1"/>
                <w:sz w:val="20"/>
                <w:szCs w:val="20"/>
              </w:rPr>
              <w:t>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3"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13,262</w:t>
            </w:r>
          </w:p>
        </w:tc>
      </w:tr>
      <w:tr w:rsidR="00E051D2" w14:paraId="7C1B9B92" w14:textId="77777777" w:rsidTr="00602BBD">
        <w:trPr>
          <w:jc w:val="center"/>
        </w:trPr>
        <w:tc>
          <w:tcPr>
            <w:tcW w:w="624" w:type="pct"/>
            <w:vMerge/>
            <w:tcMar>
              <w:top w:w="0" w:type="dxa"/>
              <w:left w:w="0" w:type="dxa"/>
              <w:bottom w:w="0" w:type="dxa"/>
              <w:right w:w="0" w:type="dxa"/>
            </w:tcMar>
            <w:vAlign w:val="center"/>
          </w:tcPr>
          <w:p w14:paraId="7C1B9B87"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9"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AFUE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A"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757,765</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B" w14:textId="2F549CA3"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7797C">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C"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761,004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D"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E" w14:textId="255864C4"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8F"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669,927</w:t>
            </w:r>
          </w:p>
        </w:tc>
      </w:tr>
      <w:tr w:rsidR="00E051D2" w14:paraId="7C1B9B9E" w14:textId="77777777" w:rsidTr="00602BBD">
        <w:trPr>
          <w:jc w:val="center"/>
        </w:trPr>
        <w:tc>
          <w:tcPr>
            <w:tcW w:w="624" w:type="pct"/>
            <w:vMerge/>
            <w:tcMar>
              <w:top w:w="0" w:type="dxa"/>
              <w:left w:w="0" w:type="dxa"/>
              <w:bottom w:w="0" w:type="dxa"/>
              <w:right w:w="0" w:type="dxa"/>
            </w:tcMar>
            <w:vAlign w:val="center"/>
          </w:tcPr>
          <w:p w14:paraId="7C1B9B93"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5"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&gt;97% AFUE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6"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791,169</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7" w14:textId="00012856"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7797C">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8"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794,551</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9"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A" w14:textId="66878ADA"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9B"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716,113</w:t>
            </w:r>
          </w:p>
        </w:tc>
      </w:tr>
      <w:tr w:rsidR="00E051D2" w14:paraId="7C1B9BAA" w14:textId="77777777" w:rsidTr="00602BBD">
        <w:trPr>
          <w:jc w:val="center"/>
        </w:trPr>
        <w:tc>
          <w:tcPr>
            <w:tcW w:w="624" w:type="pct"/>
            <w:vMerge/>
            <w:tcMar>
              <w:top w:w="0" w:type="dxa"/>
              <w:left w:w="0" w:type="dxa"/>
              <w:bottom w:w="0" w:type="dxa"/>
              <w:right w:w="0" w:type="dxa"/>
            </w:tcMar>
            <w:vAlign w:val="center"/>
          </w:tcPr>
          <w:p w14:paraId="7C1B9B9F"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1"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Outdoor Pool Covers</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2"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3,167</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3" w14:textId="74FFB54E"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07797C">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4"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3,167</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5"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6" w14:textId="6F79A752"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7"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2,788</w:t>
            </w:r>
          </w:p>
        </w:tc>
      </w:tr>
      <w:tr w:rsidR="00B1074F" w14:paraId="7C1B9BB6" w14:textId="77777777" w:rsidTr="00602BBD">
        <w:trPr>
          <w:jc w:val="center"/>
        </w:trPr>
        <w:tc>
          <w:tcPr>
            <w:tcW w:w="624" w:type="pct"/>
            <w:vMerge/>
            <w:tcMar>
              <w:top w:w="0" w:type="dxa"/>
              <w:left w:w="0" w:type="dxa"/>
              <w:bottom w:w="0" w:type="dxa"/>
              <w:right w:w="0" w:type="dxa"/>
            </w:tcMar>
            <w:vAlign w:val="center"/>
          </w:tcPr>
          <w:p w14:paraId="7C1B9BAB"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D"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E"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28,134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AF" w14:textId="398BF977" w:rsidR="00B1074F"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0"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27,600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1"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2" w14:textId="6A8A6137" w:rsidR="00B1074F" w:rsidRDefault="023573D5" w:rsidP="7CE5D1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7CE5D1D7">
              <w:rPr>
                <w:rFonts w:ascii="Aptos Narrow" w:eastAsia="DejaVu Sans" w:hAnsi="DejaVu Sans" w:cs="DejaVu Sans"/>
                <w:color w:val="000000" w:themeColor="text1"/>
                <w:sz w:val="20"/>
                <w:szCs w:val="20"/>
              </w:rPr>
              <w:t>1.0</w:t>
            </w:r>
            <w:r w:rsidR="0864FAF3" w:rsidRPr="7CE5D1D7">
              <w:rPr>
                <w:rFonts w:ascii="Aptos Narrow" w:eastAsia="DejaVu Sans" w:hAnsi="DejaVu Sans" w:cs="DejaVu Sans"/>
                <w:color w:val="000000" w:themeColor="text1"/>
                <w:sz w:val="20"/>
                <w:szCs w:val="20"/>
              </w:rPr>
              <w:t>48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3"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24,296</w:t>
            </w:r>
          </w:p>
        </w:tc>
      </w:tr>
      <w:tr w:rsidR="0063754E" w14:paraId="7C1B9BC2" w14:textId="77777777" w:rsidTr="00602BBD">
        <w:trPr>
          <w:jc w:val="center"/>
        </w:trPr>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7"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Non-DAC Subtotal</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9"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A"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1,857,211</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B" w14:textId="3597FA07" w:rsidR="0063754E" w:rsidRPr="00B1074F"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Pr>
                <w:rFonts w:ascii="Aptos Narrow" w:eastAsia="DejaVu Sans" w:hAnsi="DejaVu Sans" w:cs="DejaVu Sans"/>
                <w:b/>
                <w:bCs/>
                <w:i/>
                <w:iC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C"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1,863,415</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D"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E"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BF" w14:textId="7594348C"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1,</w:t>
            </w:r>
            <w:r w:rsidR="003E300A">
              <w:rPr>
                <w:rFonts w:ascii="Aptos Narrow" w:eastAsia="DejaVu Sans" w:hAnsi="DejaVu Sans" w:cs="DejaVu Sans"/>
                <w:b/>
                <w:bCs/>
                <w:i/>
                <w:iCs/>
                <w:color w:val="000000"/>
                <w:sz w:val="20"/>
                <w:szCs w:val="20"/>
              </w:rPr>
              <w:t>684,654</w:t>
            </w:r>
          </w:p>
        </w:tc>
      </w:tr>
      <w:tr w:rsidR="00E051D2" w14:paraId="7C1B9BCE" w14:textId="77777777" w:rsidTr="00602BBD">
        <w:trPr>
          <w:jc w:val="center"/>
        </w:trPr>
        <w:tc>
          <w:tcPr>
            <w:tcW w:w="624"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C1B9BC3" w14:textId="12D061D5"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DAC</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5"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Manual Baseline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6"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7" w14:textId="128ADE3B"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BD4633">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8"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9" w14:textId="6C8D6934" w:rsidR="00E051D2" w:rsidRDefault="00E45D57"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A" w14:textId="64925413" w:rsidR="00E051D2" w:rsidRDefault="00E45D57"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CB"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5,566</w:t>
            </w:r>
          </w:p>
        </w:tc>
      </w:tr>
      <w:tr w:rsidR="00E051D2" w14:paraId="7C1B9BDA" w14:textId="77777777" w:rsidTr="00602BBD">
        <w:trPr>
          <w:jc w:val="center"/>
        </w:trPr>
        <w:tc>
          <w:tcPr>
            <w:tcW w:w="624" w:type="pct"/>
            <w:vMerge/>
            <w:tcMar>
              <w:top w:w="0" w:type="dxa"/>
              <w:left w:w="0" w:type="dxa"/>
              <w:bottom w:w="0" w:type="dxa"/>
              <w:right w:w="0" w:type="dxa"/>
            </w:tcMar>
            <w:vAlign w:val="center"/>
          </w:tcPr>
          <w:p w14:paraId="7C1B9BCF"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1"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Programmable Baseline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2"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3" w14:textId="5BFFC5B8"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BD4633">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4"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5" w14:textId="4DEF9898" w:rsidR="00E051D2" w:rsidRDefault="00E45D57"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6" w14:textId="3C796EEA" w:rsidR="00E051D2" w:rsidRDefault="00E45D57"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7"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4,166</w:t>
            </w:r>
          </w:p>
        </w:tc>
      </w:tr>
      <w:tr w:rsidR="00E051D2" w14:paraId="7C1B9BE6" w14:textId="77777777" w:rsidTr="00602BBD">
        <w:trPr>
          <w:jc w:val="center"/>
        </w:trPr>
        <w:tc>
          <w:tcPr>
            <w:tcW w:w="624" w:type="pct"/>
            <w:vMerge/>
            <w:tcMar>
              <w:top w:w="0" w:type="dxa"/>
              <w:left w:w="0" w:type="dxa"/>
              <w:bottom w:w="0" w:type="dxa"/>
              <w:right w:w="0" w:type="dxa"/>
            </w:tcMar>
            <w:vAlign w:val="center"/>
          </w:tcPr>
          <w:p w14:paraId="7C1B9BDB"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D"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Boilers, &gt;95% AFUE &lt;300 MBH</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E"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DF" w14:textId="0712125E" w:rsidR="00E051D2" w:rsidRDefault="00E051D2"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BD4633">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0"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1" w14:textId="2B4DFF2D" w:rsidR="00E051D2" w:rsidRDefault="00E45D57"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2" w14:textId="2B34EC4F" w:rsidR="00E051D2" w:rsidRDefault="00E45D57"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3" w14:textId="77777777" w:rsidR="00E051D2" w:rsidRDefault="00E051D2" w:rsidP="00E051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w:t>
            </w:r>
          </w:p>
        </w:tc>
      </w:tr>
      <w:tr w:rsidR="00B1074F" w14:paraId="7C1B9BF2" w14:textId="77777777" w:rsidTr="00602BBD">
        <w:trPr>
          <w:jc w:val="center"/>
        </w:trPr>
        <w:tc>
          <w:tcPr>
            <w:tcW w:w="624" w:type="pct"/>
            <w:vMerge/>
            <w:tcMar>
              <w:top w:w="0" w:type="dxa"/>
              <w:left w:w="0" w:type="dxa"/>
              <w:bottom w:w="0" w:type="dxa"/>
              <w:right w:w="0" w:type="dxa"/>
            </w:tcMar>
            <w:vAlign w:val="center"/>
          </w:tcPr>
          <w:p w14:paraId="7C1B9BE7"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9"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Boilers, &gt;95% AFUE &lt;300 MBH</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A"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B" w14:textId="485AA567" w:rsidR="00B1074F" w:rsidRDefault="00B1074F"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E051D2">
              <w:rPr>
                <w:rFonts w:ascii="Aptos Narrow" w:eastAsia="DejaVu Sans" w:hAnsi="DejaVu Sans" w:cs="DejaVu Sans"/>
                <w:color w:val="000000"/>
                <w:sz w:val="20"/>
                <w:szCs w:val="20"/>
              </w:rPr>
              <w:t>01%</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C"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D" w14:textId="3284C1B2" w:rsidR="00B1074F" w:rsidRDefault="00E45D5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E" w14:textId="0237FC1E" w:rsidR="00B1074F" w:rsidRDefault="00E45D57" w:rsidP="7CE5D1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EF"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w:t>
            </w:r>
          </w:p>
        </w:tc>
      </w:tr>
      <w:tr w:rsidR="00602BBD" w14:paraId="7C1B9BFE" w14:textId="77777777" w:rsidTr="00602BBD">
        <w:trPr>
          <w:jc w:val="center"/>
        </w:trPr>
        <w:tc>
          <w:tcPr>
            <w:tcW w:w="624" w:type="pct"/>
            <w:vMerge/>
            <w:tcMar>
              <w:top w:w="0" w:type="dxa"/>
              <w:left w:w="0" w:type="dxa"/>
              <w:bottom w:w="0" w:type="dxa"/>
              <w:right w:w="0" w:type="dxa"/>
            </w:tcMar>
            <w:vAlign w:val="center"/>
          </w:tcPr>
          <w:p w14:paraId="7C1B9BF3"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5"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AFUE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6"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59,276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7" w14:textId="75F4679D"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E1EE8">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8"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59,529</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9" w14:textId="1E4B3EE9" w:rsidR="00602BBD" w:rsidRDefault="00E45D57"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A" w14:textId="280CC402" w:rsidR="00602BBD" w:rsidRDefault="00E45D57"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BFB"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59,529</w:t>
            </w:r>
          </w:p>
        </w:tc>
      </w:tr>
      <w:tr w:rsidR="00602BBD" w14:paraId="7C1B9C0A" w14:textId="77777777" w:rsidTr="00602BBD">
        <w:trPr>
          <w:jc w:val="center"/>
        </w:trPr>
        <w:tc>
          <w:tcPr>
            <w:tcW w:w="624" w:type="pct"/>
            <w:vMerge/>
            <w:tcMar>
              <w:top w:w="0" w:type="dxa"/>
              <w:left w:w="0" w:type="dxa"/>
              <w:bottom w:w="0" w:type="dxa"/>
              <w:right w:w="0" w:type="dxa"/>
            </w:tcMar>
            <w:vAlign w:val="center"/>
          </w:tcPr>
          <w:p w14:paraId="7C1B9BFF"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1"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&gt;97% AFUE</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2"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3" w14:textId="477D751E"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E1EE8">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4"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40,271</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5" w14:textId="5DCB862D" w:rsidR="00602BBD" w:rsidRDefault="00E45D57"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6" w14:textId="3BBB82C1" w:rsidR="00602BBD" w:rsidRDefault="00E45D57"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7"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40,271</w:t>
            </w:r>
          </w:p>
        </w:tc>
      </w:tr>
      <w:tr w:rsidR="00602BBD" w14:paraId="7C1B9C16" w14:textId="77777777" w:rsidTr="00602BBD">
        <w:trPr>
          <w:jc w:val="center"/>
        </w:trPr>
        <w:tc>
          <w:tcPr>
            <w:tcW w:w="624" w:type="pct"/>
            <w:vMerge/>
            <w:tcMar>
              <w:top w:w="0" w:type="dxa"/>
              <w:left w:w="0" w:type="dxa"/>
              <w:bottom w:w="0" w:type="dxa"/>
              <w:right w:w="0" w:type="dxa"/>
            </w:tcMar>
            <w:vAlign w:val="center"/>
          </w:tcPr>
          <w:p w14:paraId="7C1B9C0B"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D"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Outdoor Pool Covers</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E"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0F" w14:textId="0E2EA76F"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E1EE8">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0"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1" w14:textId="25DF7F37" w:rsidR="00602BBD" w:rsidRDefault="00E45D57"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2" w14:textId="107207FE" w:rsidR="00602BBD" w:rsidRDefault="00E45D57"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3" w14:textId="77777777" w:rsidR="00602BBD"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r>
      <w:tr w:rsidR="00B1074F" w14:paraId="7C1B9C22" w14:textId="77777777" w:rsidTr="00602BBD">
        <w:trPr>
          <w:jc w:val="center"/>
        </w:trPr>
        <w:tc>
          <w:tcPr>
            <w:tcW w:w="624" w:type="pct"/>
            <w:vMerge/>
            <w:tcMar>
              <w:top w:w="0" w:type="dxa"/>
              <w:left w:w="0" w:type="dxa"/>
              <w:bottom w:w="0" w:type="dxa"/>
              <w:right w:w="0" w:type="dxa"/>
            </w:tcMar>
            <w:vAlign w:val="center"/>
          </w:tcPr>
          <w:p w14:paraId="7C1B9C17"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9"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A"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B" w14:textId="118FA3FD" w:rsidR="00B1074F"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C"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D" w14:textId="14F542B3" w:rsidR="00B1074F" w:rsidRDefault="00E45D5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E" w14:textId="1A124D64" w:rsidR="00B1074F" w:rsidRDefault="00E45D57" w:rsidP="7CE5D1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1F" w14:textId="77777777" w:rsidR="00B1074F" w:rsidRDefault="00B107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w:t>
            </w:r>
          </w:p>
        </w:tc>
      </w:tr>
      <w:tr w:rsidR="0063754E" w14:paraId="7C1B9C2E" w14:textId="77777777" w:rsidTr="00602BBD">
        <w:trPr>
          <w:jc w:val="center"/>
        </w:trPr>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3"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DAC Subtotal</w:t>
            </w:r>
          </w:p>
        </w:tc>
        <w:tc>
          <w:tcPr>
            <w:tcW w:w="63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5"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6"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112,362</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7" w14:textId="3C4D3BCE" w:rsidR="0063754E" w:rsidRPr="00B1074F"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Pr>
                <w:rFonts w:ascii="Aptos Narrow" w:eastAsia="DejaVu Sans" w:hAnsi="DejaVu Sans" w:cs="DejaVu Sans"/>
                <w:b/>
                <w:bCs/>
                <w:i/>
                <w:iCs/>
                <w:color w:val="000000"/>
                <w:sz w:val="20"/>
                <w:szCs w:val="20"/>
              </w:rPr>
              <w:t>100%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8"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112,770</w:t>
            </w: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9"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A"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6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B9C2B" w14:textId="77777777" w:rsidR="0063754E" w:rsidRPr="00B1074F"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B1074F">
              <w:rPr>
                <w:rFonts w:ascii="Aptos Narrow" w:eastAsia="DejaVu Sans" w:hAnsi="DejaVu Sans" w:cs="DejaVu Sans"/>
                <w:b/>
                <w:bCs/>
                <w:i/>
                <w:iCs/>
                <w:color w:val="000000"/>
                <w:sz w:val="20"/>
                <w:szCs w:val="20"/>
              </w:rPr>
              <w:t>112,770</w:t>
            </w:r>
          </w:p>
        </w:tc>
      </w:tr>
      <w:tr w:rsidR="0063754E" w14:paraId="7C1B9C82" w14:textId="77777777" w:rsidTr="00602BBD">
        <w:trPr>
          <w:jc w:val="center"/>
        </w:trPr>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7" w14:textId="11793F0D"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63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9" w14:textId="64D34A71"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A"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1,969,573</w:t>
            </w:r>
          </w:p>
        </w:tc>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B" w14:textId="7854152A" w:rsidR="0063754E" w:rsidRDefault="00602BBD" w:rsidP="00602B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C"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1,976,184</w:t>
            </w:r>
          </w:p>
        </w:tc>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D"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E" w14:textId="77777777" w:rsidR="0063754E" w:rsidRDefault="006375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6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C1B9C7F" w14:textId="1266D0F8" w:rsidR="0063754E" w:rsidRDefault="00E45D5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1,7</w:t>
            </w:r>
            <w:r w:rsidR="007F4121">
              <w:rPr>
                <w:rFonts w:ascii="Aptos Narrow" w:eastAsia="DejaVu Sans" w:hAnsi="DejaVu Sans" w:cs="DejaVu Sans"/>
                <w:b/>
                <w:color w:val="000000"/>
                <w:sz w:val="20"/>
                <w:szCs w:val="20"/>
              </w:rPr>
              <w:t>97,424</w:t>
            </w:r>
          </w:p>
        </w:tc>
      </w:tr>
    </w:tbl>
    <w:p w14:paraId="458938DE" w14:textId="77777777" w:rsidR="00FD34A7" w:rsidRDefault="00FD34A7" w:rsidP="00FD34A7">
      <w:pPr>
        <w:pStyle w:val="TableFigureSourceorNote"/>
      </w:pPr>
      <w:r>
        <w:t xml:space="preserve">† The program-level NTG values are calculated as Verified Net/Verified Gross. The program-level analysis typically used measure-level deemed NTG values, which are listed here: https://www.ilsag.info/evaluator-ntg-recommendations-for-2025.  </w:t>
      </w:r>
    </w:p>
    <w:p w14:paraId="79F2E919" w14:textId="0BBB7D12" w:rsidR="0084479F" w:rsidRPr="00305BB9" w:rsidRDefault="0084479F" w:rsidP="0084479F">
      <w:pPr>
        <w:pStyle w:val="TableFigureSourceorNote"/>
      </w:pPr>
      <w:r w:rsidRPr="00305BB9">
        <w:t xml:space="preserve">‡ The </w:t>
      </w:r>
      <w:r w:rsidRPr="007270EC">
        <w:t xml:space="preserve">Non-Disadvantaged Communities </w:t>
      </w:r>
      <w:r w:rsidRPr="00305BB9">
        <w:t>net savings were multiplied by a residential non-participant spillover (NPSO) factor of 1.048. Based on SAG Policy, for DAC projects, if deemed NTG is multiplied by the NPSO and the resulted NTG value is less than 1.00, the evaluation assigned a DAC NTG of 1.00. If the resulted NTG value is &gt;1.00, evaluation used the &gt;1.00 value for calculation of net savings impact</w:t>
      </w:r>
      <w:r>
        <w:t xml:space="preserve"> (the NPSO in this case is left as N/A).</w:t>
      </w:r>
    </w:p>
    <w:p w14:paraId="399F8486" w14:textId="4000BF94" w:rsidR="00FD34A7" w:rsidRDefault="00FD34A7" w:rsidP="00FD34A7">
      <w:pPr>
        <w:pStyle w:val="TableFigureSourceorNote"/>
      </w:pPr>
      <w:r>
        <w:t>Source: Evaluation team analysis.</w:t>
      </w:r>
    </w:p>
    <w:p w14:paraId="7C1B9C84" w14:textId="77777777" w:rsidR="0084479F" w:rsidRDefault="0084479F" w:rsidP="00CE4A64">
      <w:pPr>
        <w:pStyle w:val="Source"/>
      </w:pPr>
    </w:p>
    <w:p w14:paraId="7C1B9C85" w14:textId="77777777" w:rsidR="0084479F" w:rsidRDefault="0084479F" w:rsidP="00CE4A64">
      <w:pPr>
        <w:pStyle w:val="Heading1"/>
      </w:pPr>
      <w:bookmarkStart w:id="39" w:name="_Toc225437481"/>
      <w:bookmarkEnd w:id="36"/>
      <w:r>
        <w:lastRenderedPageBreak/>
        <w:t>Impact Analysis Findings and Recommendations</w:t>
      </w:r>
      <w:bookmarkEnd w:id="39"/>
    </w:p>
    <w:p w14:paraId="7C1B9C8D" w14:textId="72DC9328" w:rsidR="0084479F" w:rsidRDefault="0084479F" w:rsidP="00CE4A64">
      <w:pPr>
        <w:pStyle w:val="Heading2"/>
      </w:pPr>
      <w:bookmarkStart w:id="40" w:name="_Toc225437482"/>
      <w:r>
        <w:t>Impact Parameter Estimates</w:t>
      </w:r>
      <w:bookmarkEnd w:id="40"/>
    </w:p>
    <w:bookmarkStart w:id="41" w:name="_Toc381633053"/>
    <w:p w14:paraId="2A92D0BE" w14:textId="2E81730C" w:rsidR="007B081E" w:rsidRDefault="0084479F" w:rsidP="004D00D9">
      <w:r>
        <w:fldChar w:fldCharType="begin"/>
      </w:r>
      <w:r>
        <w:instrText xml:space="preserve"> REF _Ref503449693 \h </w:instrText>
      </w:r>
      <w:r>
        <w:fldChar w:fldCharType="separate"/>
      </w:r>
      <w:r>
        <w:t xml:space="preserve">Table </w:t>
      </w:r>
      <w:r>
        <w:rPr>
          <w:noProof/>
        </w:rPr>
        <w:t>5</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The realization rate is the ratio of the verified savings to the ex ante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bookmarkStart w:id="42" w:name="_Ref503449693"/>
      <w:bookmarkStart w:id="43" w:name="_Toc61360849"/>
      <w:bookmarkStart w:id="44" w:name="_Toc189750770"/>
      <w:bookmarkEnd w:id="41"/>
    </w:p>
    <w:p w14:paraId="7C1B9C91" w14:textId="3025D3D5" w:rsidR="0084479F" w:rsidRPr="00E8651B" w:rsidRDefault="0084479F" w:rsidP="00CE0777">
      <w:pPr>
        <w:pStyle w:val="Caption"/>
        <w:keepLines/>
        <w:spacing w:after="0"/>
      </w:pPr>
      <w:bookmarkStart w:id="45" w:name="_Toc225437490"/>
      <w:r>
        <w:t xml:space="preserve">Table </w:t>
      </w:r>
      <w:fldSimple w:instr=" SEQ Table \* ARABIC ">
        <w:r>
          <w:rPr>
            <w:noProof/>
          </w:rPr>
          <w:t>5</w:t>
        </w:r>
      </w:fldSimple>
      <w:bookmarkEnd w:id="42"/>
      <w:r>
        <w:t xml:space="preserve">. </w:t>
      </w:r>
      <w:r w:rsidRPr="00E8651B">
        <w:t>Verified Gross Savings Parameters</w:t>
      </w:r>
      <w:bookmarkStart w:id="46" w:name="Table_5"/>
      <w:bookmarkEnd w:id="43"/>
      <w:bookmarkEnd w:id="44"/>
      <w:bookmarkEnd w:id="46"/>
      <w:bookmarkEnd w:id="45"/>
    </w:p>
    <w:tbl>
      <w:tblPr>
        <w:tblW w:w="0" w:type="auto"/>
        <w:jc w:val="center"/>
        <w:tblLayout w:type="fixed"/>
        <w:tblLook w:val="0420" w:firstRow="1" w:lastRow="0" w:firstColumn="0" w:lastColumn="0" w:noHBand="0" w:noVBand="1"/>
      </w:tblPr>
      <w:tblGrid>
        <w:gridCol w:w="2340"/>
        <w:gridCol w:w="780"/>
        <w:gridCol w:w="1560"/>
        <w:gridCol w:w="1560"/>
        <w:gridCol w:w="1560"/>
        <w:gridCol w:w="1560"/>
      </w:tblGrid>
      <w:tr w:rsidR="004A5384" w14:paraId="7C1B9C98" w14:textId="77777777" w:rsidTr="00840088">
        <w:trPr>
          <w:tblHeader/>
          <w:jc w:val="center"/>
        </w:trPr>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C92"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7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C93"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C94"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C95"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C96"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C97" w14:textId="510BCD21"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IL-TRM v13.0 Section</w:t>
            </w:r>
            <w:r w:rsidR="00EC6B07" w:rsidRPr="00EC6B07">
              <w:rPr>
                <w:rFonts w:ascii="Aptos Narrow" w:eastAsia="DejaVu Sans" w:hAnsi="DejaVu Sans" w:cs="DejaVu Sans"/>
                <w:color w:val="FFFFFF"/>
                <w:sz w:val="20"/>
                <w:szCs w:val="20"/>
              </w:rPr>
              <w:t>†</w:t>
            </w:r>
          </w:p>
        </w:tc>
      </w:tr>
      <w:tr w:rsidR="004A5384" w14:paraId="7C1B9C9F" w14:textId="77777777" w:rsidTr="00840088">
        <w:trPr>
          <w:jc w:val="center"/>
        </w:trPr>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99"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Manual Baseline</w:t>
            </w:r>
          </w:p>
        </w:tc>
        <w:tc>
          <w:tcPr>
            <w:tcW w:w="7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9A"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9B"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9C"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9D" w14:textId="115E7789"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00%</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9E"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5.3.16</w:t>
            </w:r>
          </w:p>
        </w:tc>
      </w:tr>
      <w:tr w:rsidR="004A5384" w14:paraId="7C1B9CA6" w14:textId="77777777" w:rsidTr="00840088">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0"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Programmable Baseline</w:t>
            </w:r>
          </w:p>
        </w:tc>
        <w:tc>
          <w:tcPr>
            <w:tcW w:w="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1"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2"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3"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4" w14:textId="2EE714B0"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5"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5.3.16</w:t>
            </w:r>
          </w:p>
        </w:tc>
      </w:tr>
      <w:tr w:rsidR="004A5384" w14:paraId="7C1B9CAD" w14:textId="77777777" w:rsidTr="00840088">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7"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Boilers, &gt;95% AFUE &lt;300 MBH</w:t>
            </w:r>
          </w:p>
        </w:tc>
        <w:tc>
          <w:tcPr>
            <w:tcW w:w="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8"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9"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A"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B" w14:textId="31EAE52D"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C"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5.3.6</w:t>
            </w:r>
          </w:p>
        </w:tc>
      </w:tr>
      <w:tr w:rsidR="004A5384" w14:paraId="7C1B9CB4" w14:textId="77777777" w:rsidTr="00840088">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E"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Boilers, &gt;95% AFUE &lt;300 MBH</w:t>
            </w:r>
          </w:p>
        </w:tc>
        <w:tc>
          <w:tcPr>
            <w:tcW w:w="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AF"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0"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1"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2" w14:textId="536E252F"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01%</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3"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5.3.17</w:t>
            </w:r>
          </w:p>
        </w:tc>
      </w:tr>
      <w:tr w:rsidR="004A5384" w14:paraId="7C1B9CBB" w14:textId="77777777" w:rsidTr="00840088">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5"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AFUE</w:t>
            </w:r>
          </w:p>
        </w:tc>
        <w:tc>
          <w:tcPr>
            <w:tcW w:w="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6"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7"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8"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9" w14:textId="3282AF72"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A"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5.3.7</w:t>
            </w:r>
          </w:p>
        </w:tc>
      </w:tr>
      <w:tr w:rsidR="004A5384" w14:paraId="7C1B9CC2" w14:textId="77777777" w:rsidTr="00840088">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C"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&gt;97% AFUE</w:t>
            </w:r>
          </w:p>
        </w:tc>
        <w:tc>
          <w:tcPr>
            <w:tcW w:w="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D"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E"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BF"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0" w14:textId="384FACE6"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1"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5.3.7</w:t>
            </w:r>
          </w:p>
        </w:tc>
      </w:tr>
      <w:tr w:rsidR="004A5384" w14:paraId="7C1B9CC9" w14:textId="77777777" w:rsidTr="00840088">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3"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Outdoor Pool Covers</w:t>
            </w:r>
          </w:p>
        </w:tc>
        <w:tc>
          <w:tcPr>
            <w:tcW w:w="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4"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5"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395.92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6"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395.92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7" w14:textId="70B5F412"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B081E">
              <w:rPr>
                <w:rFonts w:ascii="Aptos Narrow" w:eastAsia="DejaVu Sans" w:hAnsi="DejaVu Sans" w:cs="DejaVu Sans"/>
                <w:color w:val="000000"/>
                <w:sz w:val="20"/>
                <w:szCs w:val="20"/>
              </w:rPr>
              <w:t>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CC8"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5.4.10</w:t>
            </w:r>
          </w:p>
        </w:tc>
      </w:tr>
      <w:tr w:rsidR="004A5384" w14:paraId="7C1B9CD0" w14:textId="77777777" w:rsidTr="00840088">
        <w:trPr>
          <w:jc w:val="center"/>
        </w:trPr>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CCA"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7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CCB"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CCC"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CCD"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CCE" w14:textId="588E5FB9" w:rsidR="004A5384" w:rsidRDefault="007B081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CCF" w14:textId="77777777" w:rsidR="004A5384" w:rsidRDefault="0084479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5.4.2</w:t>
            </w:r>
          </w:p>
        </w:tc>
      </w:tr>
    </w:tbl>
    <w:p w14:paraId="7C1B9CD2" w14:textId="0900597C" w:rsidR="0084479F" w:rsidRPr="001425B9" w:rsidRDefault="0084479F" w:rsidP="00CE4A64">
      <w:pPr>
        <w:pStyle w:val="TableFigureSourceorNote"/>
      </w:pPr>
      <w:r w:rsidRPr="001425B9">
        <w:t>† State of Illinois Technical Reference Manual version 1</w:t>
      </w:r>
      <w:r>
        <w:t>3</w:t>
      </w:r>
      <w:r w:rsidRPr="001425B9">
        <w:t xml:space="preserve">.0 from </w:t>
      </w:r>
      <w:hyperlink r:id="rId21" w:history="1">
        <w:r w:rsidRPr="001425B9">
          <w:t>http://www.ilsag.info/technical-reference-manual.html</w:t>
        </w:r>
      </w:hyperlink>
      <w:r>
        <w:t xml:space="preserve"> </w:t>
      </w:r>
      <w:r w:rsidRPr="001425B9">
        <w:t>.</w:t>
      </w:r>
    </w:p>
    <w:p w14:paraId="7C1B9CD4" w14:textId="77777777" w:rsidR="0084479F" w:rsidRDefault="0084479F" w:rsidP="00CE4A64"/>
    <w:p w14:paraId="7C1B9CD5" w14:textId="77777777" w:rsidR="0084479F" w:rsidRDefault="0084479F" w:rsidP="00CE4A64">
      <w:pPr>
        <w:pStyle w:val="Heading2"/>
      </w:pPr>
      <w:bookmarkStart w:id="47" w:name="_Toc225437483"/>
      <w:r>
        <w:t>Findings and Recommendations</w:t>
      </w:r>
      <w:bookmarkEnd w:id="47"/>
    </w:p>
    <w:p w14:paraId="7C1B9CD7" w14:textId="4F1D607D" w:rsidR="0084479F" w:rsidRDefault="0061424A" w:rsidP="00CE4A64">
      <w:pPr>
        <w:spacing w:line="264" w:lineRule="auto"/>
      </w:pPr>
      <w:r w:rsidRPr="0061424A">
        <w:t>Overall, the findings listed below had a minor impact on the savings, with the program-level realization rate being 100%.</w:t>
      </w:r>
    </w:p>
    <w:p w14:paraId="7C1B9CD8" w14:textId="70B50A86" w:rsidR="0084479F" w:rsidRDefault="0084479F" w:rsidP="00CE4A64">
      <w:pPr>
        <w:spacing w:line="264" w:lineRule="auto"/>
      </w:pPr>
      <w:r w:rsidRPr="00915A79">
        <w:rPr>
          <w:b/>
        </w:rPr>
        <w:t>Finding 1.</w:t>
      </w:r>
      <w:r w:rsidR="00E87B0F">
        <w:rPr>
          <w:b/>
        </w:rPr>
        <w:t xml:space="preserve"> </w:t>
      </w:r>
      <w:r w:rsidR="00E87B0F">
        <w:t xml:space="preserve">All instances of </w:t>
      </w:r>
      <w:r w:rsidR="00E87B0F" w:rsidRPr="00516BE9">
        <w:t>Combination Boilers, &gt;95% AFUE &lt;300 MBH</w:t>
      </w:r>
      <w:r w:rsidR="00E87B0F">
        <w:t xml:space="preserve"> </w:t>
      </w:r>
      <w:r w:rsidR="00E87B0F" w:rsidRPr="00876753">
        <w:t xml:space="preserve">had a verified gross realization rate of </w:t>
      </w:r>
      <w:r w:rsidR="00E87B0F">
        <w:t xml:space="preserve">101%. </w:t>
      </w:r>
      <w:r w:rsidR="00E87B0F" w:rsidRPr="00876753">
        <w:t xml:space="preserve">It appears that the ex ante calculation used a </w:t>
      </w:r>
      <w:r w:rsidR="00E87B0F">
        <w:t>household</w:t>
      </w:r>
      <w:r w:rsidR="00DA33A0">
        <w:t xml:space="preserve"> </w:t>
      </w:r>
      <w:r w:rsidR="00E87B0F">
        <w:t xml:space="preserve">factor of 2.56 </w:t>
      </w:r>
      <w:r w:rsidR="00E87B0F" w:rsidRPr="00876753">
        <w:t xml:space="preserve">which is assigned </w:t>
      </w:r>
      <w:r w:rsidR="00B21D45">
        <w:t xml:space="preserve">to </w:t>
      </w:r>
      <w:r w:rsidR="00E411ED">
        <w:t>single-family participants</w:t>
      </w:r>
      <w:r w:rsidR="00E87B0F" w:rsidRPr="00876753">
        <w:t xml:space="preserve"> in the TRM</w:t>
      </w:r>
      <w:r w:rsidR="00E411ED">
        <w:t xml:space="preserve"> v12.0</w:t>
      </w:r>
      <w:r w:rsidR="00E87B0F" w:rsidRPr="00876753">
        <w:t xml:space="preserve">. In these instances, Guidehouse </w:t>
      </w:r>
      <w:r w:rsidR="009C2A1E">
        <w:t xml:space="preserve">verified savings used </w:t>
      </w:r>
      <w:r w:rsidR="00E87B0F" w:rsidRPr="00876753">
        <w:t xml:space="preserve">a </w:t>
      </w:r>
      <w:r w:rsidR="00E87B0F">
        <w:t xml:space="preserve">household factor of 2.62, which </w:t>
      </w:r>
      <w:r w:rsidR="006D79B7">
        <w:t>is assigned to</w:t>
      </w:r>
      <w:r w:rsidR="006C3273">
        <w:t xml:space="preserve"> single-family non-</w:t>
      </w:r>
      <w:r w:rsidR="00DA791B">
        <w:t xml:space="preserve">income qualified </w:t>
      </w:r>
      <w:r w:rsidR="006C3273">
        <w:t>participants in the TRM</w:t>
      </w:r>
      <w:r w:rsidR="00E411ED">
        <w:t xml:space="preserve"> v13.0</w:t>
      </w:r>
      <w:r w:rsidR="00E87B0F" w:rsidRPr="00876753">
        <w:t>.</w:t>
      </w:r>
    </w:p>
    <w:p w14:paraId="44C1059B" w14:textId="77777777" w:rsidR="0078540D" w:rsidRPr="00915A79" w:rsidRDefault="0078540D" w:rsidP="0078540D">
      <w:pPr>
        <w:spacing w:line="264" w:lineRule="auto"/>
        <w:rPr>
          <w:b/>
        </w:rPr>
      </w:pPr>
      <w:r w:rsidRPr="00915A79">
        <w:rPr>
          <w:b/>
        </w:rPr>
        <w:t xml:space="preserve">Finding </w:t>
      </w:r>
      <w:r>
        <w:rPr>
          <w:b/>
        </w:rPr>
        <w:t>2</w:t>
      </w:r>
      <w:r w:rsidRPr="00915A79">
        <w:rPr>
          <w:b/>
        </w:rPr>
        <w:t>.</w:t>
      </w:r>
      <w:r>
        <w:rPr>
          <w:b/>
        </w:rPr>
        <w:t xml:space="preserve"> </w:t>
      </w:r>
      <w:r>
        <w:t xml:space="preserve">All instances of Tankless Water Heater </w:t>
      </w:r>
      <w:r w:rsidRPr="00876753">
        <w:t>had a verified gross realization rate of</w:t>
      </w:r>
      <w:r>
        <w:t xml:space="preserve"> 98%. </w:t>
      </w:r>
      <w:r w:rsidRPr="00876753">
        <w:t xml:space="preserve">It appears that the ex ante calculation used a </w:t>
      </w:r>
      <w:r>
        <w:t xml:space="preserve">household factor of 2.67 and 2.18, </w:t>
      </w:r>
      <w:r w:rsidRPr="00876753">
        <w:t xml:space="preserve">which is assigned </w:t>
      </w:r>
      <w:r>
        <w:t xml:space="preserve">to single-family all participants and multifamily all participants </w:t>
      </w:r>
      <w:r w:rsidRPr="00876753">
        <w:t>in the TRM</w:t>
      </w:r>
      <w:r>
        <w:t>, respectively</w:t>
      </w:r>
      <w:r w:rsidRPr="00876753">
        <w:t>. In these instances, Guidehouse</w:t>
      </w:r>
      <w:r>
        <w:t xml:space="preserve"> verified savings </w:t>
      </w:r>
      <w:r w:rsidRPr="00876753">
        <w:t xml:space="preserve">assigned a </w:t>
      </w:r>
      <w:r>
        <w:t xml:space="preserve">household factor of 2.62 and 2.09, which is assigned to single-family </w:t>
      </w:r>
      <w:r w:rsidRPr="00273984">
        <w:t xml:space="preserve">non-income qualified </w:t>
      </w:r>
      <w:r>
        <w:t xml:space="preserve">and multifamily </w:t>
      </w:r>
      <w:r w:rsidRPr="002E2665">
        <w:t>non-income qualified</w:t>
      </w:r>
      <w:r>
        <w:t xml:space="preserve"> participants in the TRM</w:t>
      </w:r>
      <w:r w:rsidRPr="00876753">
        <w:t>.</w:t>
      </w:r>
    </w:p>
    <w:p w14:paraId="365EF4AA" w14:textId="6AEFF5C2" w:rsidR="00A3133F" w:rsidRDefault="0084479F" w:rsidP="000753C0">
      <w:pPr>
        <w:tabs>
          <w:tab w:val="left" w:pos="720"/>
        </w:tabs>
        <w:spacing w:line="264" w:lineRule="auto"/>
        <w:ind w:left="900" w:hanging="360"/>
      </w:pPr>
      <w:r w:rsidRPr="00BB5CF7">
        <w:rPr>
          <w:b/>
        </w:rPr>
        <w:lastRenderedPageBreak/>
        <w:t>Recommendation</w:t>
      </w:r>
      <w:r w:rsidRPr="00BB5CF7">
        <w:rPr>
          <w:b/>
          <w:bCs/>
        </w:rPr>
        <w:t xml:space="preserve"> 1.</w:t>
      </w:r>
      <w:r>
        <w:rPr>
          <w:b/>
          <w:bCs/>
        </w:rPr>
        <w:t xml:space="preserve">  </w:t>
      </w:r>
      <w:r w:rsidR="00612900" w:rsidRPr="00612900">
        <w:t xml:space="preserve">Ensure the </w:t>
      </w:r>
      <w:r w:rsidR="005D71D2">
        <w:t>household factor</w:t>
      </w:r>
      <w:r w:rsidR="00612900" w:rsidRPr="00612900">
        <w:t xml:space="preserve"> values align with the applicable TRM measure section to accurately calculate “GrossAnnualThermSavings” column in the “Measures” tab of tracking data.</w:t>
      </w:r>
    </w:p>
    <w:p w14:paraId="7C1B9CE2" w14:textId="77777777" w:rsidR="0084479F" w:rsidRDefault="0084479F" w:rsidP="00CE4A64">
      <w:pPr>
        <w:sectPr w:rsidR="0084479F" w:rsidSect="00CE4A64">
          <w:headerReference w:type="default" r:id="rId22"/>
          <w:footerReference w:type="default" r:id="rId23"/>
          <w:pgSz w:w="12240" w:h="15840" w:code="1"/>
          <w:pgMar w:top="1440" w:right="1440" w:bottom="1440" w:left="1440" w:header="720" w:footer="720" w:gutter="0"/>
          <w:pgNumType w:start="1"/>
          <w:cols w:space="720"/>
          <w:docGrid w:linePitch="360"/>
        </w:sectPr>
      </w:pPr>
    </w:p>
    <w:p w14:paraId="7C1B9CE3" w14:textId="77777777" w:rsidR="0084479F" w:rsidRDefault="0084479F" w:rsidP="00CE4A64">
      <w:pPr>
        <w:pStyle w:val="Heading1"/>
        <w:numPr>
          <w:ilvl w:val="0"/>
          <w:numId w:val="0"/>
        </w:numPr>
        <w:ind w:left="432" w:hanging="432"/>
      </w:pPr>
      <w:bookmarkStart w:id="48" w:name="_Toc223474635"/>
      <w:bookmarkStart w:id="49" w:name="_Toc224286391"/>
      <w:bookmarkStart w:id="50" w:name="_Toc225437484"/>
      <w:r>
        <w:lastRenderedPageBreak/>
        <w:t xml:space="preserve">Appendix A. </w:t>
      </w:r>
      <w:r w:rsidRPr="002E0934">
        <w:t>Impact Analysis Methodology</w:t>
      </w:r>
      <w:bookmarkEnd w:id="48"/>
      <w:bookmarkEnd w:id="49"/>
      <w:bookmarkEnd w:id="50"/>
    </w:p>
    <w:p w14:paraId="7D6E9E71" w14:textId="764E1002" w:rsidR="00314200" w:rsidRDefault="00314200" w:rsidP="00314200">
      <w:pPr>
        <w:spacing w:after="240"/>
      </w:pPr>
      <w:r w:rsidRPr="5BE7DE10">
        <w:rPr>
          <w:rFonts w:eastAsia="Arial" w:cs="Arial"/>
          <w:szCs w:val="22"/>
        </w:rPr>
        <w:t xml:space="preserve">The evaluation </w:t>
      </w:r>
      <w:r w:rsidR="00D94F79">
        <w:rPr>
          <w:rFonts w:eastAsia="Arial" w:cs="Arial"/>
          <w:szCs w:val="22"/>
        </w:rPr>
        <w:t>v</w:t>
      </w:r>
      <w:r w:rsidRPr="5BE7DE10">
        <w:rPr>
          <w:rFonts w:eastAsia="Arial" w:cs="Arial"/>
          <w:szCs w:val="22"/>
        </w:rPr>
        <w:t xml:space="preserve">erified gross savings were determined for each program measure by: </w:t>
      </w:r>
    </w:p>
    <w:p w14:paraId="17C1551B" w14:textId="77777777" w:rsidR="00314200" w:rsidRDefault="00314200" w:rsidP="00314200">
      <w:pPr>
        <w:pStyle w:val="ListParagraph"/>
        <w:numPr>
          <w:ilvl w:val="0"/>
          <w:numId w:val="26"/>
        </w:numPr>
        <w:suppressAutoHyphens/>
        <w:spacing w:after="0" w:line="264" w:lineRule="auto"/>
        <w:contextualSpacing w:val="0"/>
        <w:rPr>
          <w:rFonts w:eastAsia="Arial" w:cs="Arial"/>
          <w:szCs w:val="22"/>
        </w:rPr>
      </w:pPr>
      <w:r w:rsidRPr="00F42DB3">
        <w:rPr>
          <w:rFonts w:eastAsia="Arial" w:cs="Arial"/>
          <w:szCs w:val="22"/>
        </w:rPr>
        <w:t xml:space="preserve">Reviewing the savings algorithm inputs in the </w:t>
      </w:r>
      <w:r w:rsidRPr="00777FA3">
        <w:rPr>
          <w:rFonts w:eastAsia="Arial" w:cs="Arial"/>
          <w:szCs w:val="22"/>
        </w:rPr>
        <w:t>final 202</w:t>
      </w:r>
      <w:r>
        <w:rPr>
          <w:rFonts w:eastAsia="Arial" w:cs="Arial"/>
          <w:szCs w:val="22"/>
        </w:rPr>
        <w:t>5</w:t>
      </w:r>
      <w:r w:rsidRPr="00777FA3">
        <w:rPr>
          <w:rFonts w:eastAsia="Arial" w:cs="Arial"/>
          <w:szCs w:val="22"/>
        </w:rPr>
        <w:t xml:space="preserve"> tracking data </w:t>
      </w:r>
      <w:r w:rsidRPr="00F42DB3">
        <w:rPr>
          <w:rFonts w:eastAsia="Arial" w:cs="Arial"/>
          <w:szCs w:val="22"/>
        </w:rPr>
        <w:t>for agreement with the IL-TRM v1</w:t>
      </w:r>
      <w:r>
        <w:rPr>
          <w:rFonts w:eastAsia="Arial" w:cs="Arial"/>
          <w:szCs w:val="22"/>
        </w:rPr>
        <w:t>3</w:t>
      </w:r>
      <w:r w:rsidRPr="00F42DB3">
        <w:rPr>
          <w:rFonts w:eastAsia="Arial" w:cs="Arial"/>
          <w:szCs w:val="22"/>
        </w:rPr>
        <w:t xml:space="preserve">.0 and IL-TRM Errata, where applicable. </w:t>
      </w:r>
    </w:p>
    <w:p w14:paraId="6EEAB09E" w14:textId="77777777" w:rsidR="00314200" w:rsidRPr="00F42DB3" w:rsidRDefault="00314200" w:rsidP="00314200">
      <w:pPr>
        <w:pStyle w:val="ListParagraph"/>
        <w:numPr>
          <w:ilvl w:val="0"/>
          <w:numId w:val="26"/>
        </w:numPr>
        <w:suppressAutoHyphens/>
        <w:spacing w:after="0" w:line="264" w:lineRule="auto"/>
        <w:contextualSpacing w:val="0"/>
        <w:rPr>
          <w:rFonts w:eastAsia="Arial" w:cs="Arial"/>
          <w:szCs w:val="22"/>
        </w:rPr>
      </w:pPr>
      <w:r w:rsidRPr="00F42DB3">
        <w:rPr>
          <w:rFonts w:eastAsia="Arial" w:cs="Arial"/>
          <w:szCs w:val="22"/>
        </w:rPr>
        <w:t xml:space="preserve">Validating the savings algorithm was applied correctly. </w:t>
      </w:r>
    </w:p>
    <w:p w14:paraId="3C868600" w14:textId="77777777" w:rsidR="00314200" w:rsidRPr="00F42DB3" w:rsidRDefault="00314200" w:rsidP="00314200">
      <w:pPr>
        <w:pStyle w:val="ListParagraph"/>
        <w:numPr>
          <w:ilvl w:val="0"/>
          <w:numId w:val="26"/>
        </w:numPr>
        <w:suppressAutoHyphens/>
        <w:spacing w:after="0" w:line="264" w:lineRule="auto"/>
        <w:contextualSpacing w:val="0"/>
        <w:rPr>
          <w:rFonts w:eastAsia="Arial" w:cs="Arial"/>
          <w:szCs w:val="22"/>
        </w:rPr>
      </w:pPr>
      <w:r w:rsidRPr="00F42DB3">
        <w:rPr>
          <w:rFonts w:eastAsia="Arial" w:cs="Arial"/>
          <w:szCs w:val="22"/>
        </w:rPr>
        <w:t xml:space="preserve">Cross-checking per-unit savings values in the program tracking data with the verified values in Guidehouse’s calculations. </w:t>
      </w:r>
    </w:p>
    <w:p w14:paraId="0FCF775C" w14:textId="77777777" w:rsidR="00314200" w:rsidRPr="00F42DB3" w:rsidRDefault="00314200" w:rsidP="00314200">
      <w:pPr>
        <w:pStyle w:val="ListParagraph"/>
        <w:numPr>
          <w:ilvl w:val="0"/>
          <w:numId w:val="26"/>
        </w:numPr>
        <w:suppressAutoHyphens/>
        <w:spacing w:after="0" w:line="264" w:lineRule="auto"/>
        <w:contextualSpacing w:val="0"/>
        <w:rPr>
          <w:rFonts w:eastAsia="Arial" w:cs="Arial"/>
          <w:szCs w:val="22"/>
        </w:rPr>
      </w:pPr>
      <w:r w:rsidRPr="00F42DB3">
        <w:rPr>
          <w:rFonts w:eastAsia="Arial" w:cs="Arial"/>
          <w:szCs w:val="22"/>
        </w:rPr>
        <w:t xml:space="preserve">Multiplying the verified per-unit savings value by the quantity reported in the tracking data. The team calculated verified net savings by multiplying the verified gross savings estimates by a NTG ratio. In Program Year 2024, NTG estimates used to calculate the net verified savings were based on past evaluation research and defined by a consensus process through the Illinois SAG. </w:t>
      </w:r>
    </w:p>
    <w:p w14:paraId="7C1B9D2B" w14:textId="3F07457D" w:rsidR="0084479F" w:rsidRPr="00D94F79" w:rsidRDefault="00314200">
      <w:pPr>
        <w:pStyle w:val="ListParagraph"/>
        <w:numPr>
          <w:ilvl w:val="0"/>
          <w:numId w:val="26"/>
        </w:numPr>
        <w:tabs>
          <w:tab w:val="left" w:pos="720"/>
        </w:tabs>
        <w:suppressAutoHyphens/>
        <w:spacing w:after="0" w:line="264" w:lineRule="auto"/>
        <w:contextualSpacing w:val="0"/>
        <w:rPr>
          <w:rFonts w:ascii="Arial" w:eastAsia="Times New Roman" w:hAnsi="Arial" w:cs="Times New Roman"/>
          <w:szCs w:val="20"/>
          <w:lang w:eastAsia="en-US"/>
        </w:rPr>
        <w:sectPr w:rsidR="0084479F" w:rsidRPr="00D94F79" w:rsidSect="00CE4A64">
          <w:headerReference w:type="default" r:id="rId24"/>
          <w:footerReference w:type="default" r:id="rId25"/>
          <w:pgSz w:w="12240" w:h="15840" w:code="1"/>
          <w:pgMar w:top="1440" w:right="1440" w:bottom="1440" w:left="1440" w:header="720" w:footer="720" w:gutter="0"/>
          <w:pgNumType w:chapStyle="5"/>
          <w:cols w:space="720"/>
          <w:docGrid w:linePitch="360"/>
        </w:sectPr>
      </w:pPr>
      <w:r w:rsidRPr="00D94F79">
        <w:rPr>
          <w:rFonts w:eastAsia="Arial" w:cs="Arial"/>
          <w:szCs w:val="22"/>
        </w:rPr>
        <w:t>For DAC projects, if deemed NTG is multiplied by 1.048 Non-Participant Spillover factor (NPSO) and the resulted NTG value is less than 1.00, the evaluation assigned a DAC NTG of 1.00. If the resulted NTG value is &gt;1.00, evaluation used the &gt;1.00 value for calculation of net savings impact.</w:t>
      </w:r>
      <w:bookmarkStart w:id="51" w:name="_Toc507870205"/>
      <w:bookmarkStart w:id="52" w:name="_Toc512873036"/>
    </w:p>
    <w:p w14:paraId="7C1B9D2C" w14:textId="77777777" w:rsidR="0084479F" w:rsidRDefault="0084479F" w:rsidP="00314200">
      <w:pPr>
        <w:pStyle w:val="Heading1"/>
        <w:numPr>
          <w:ilvl w:val="0"/>
          <w:numId w:val="0"/>
        </w:numPr>
      </w:pPr>
      <w:bookmarkStart w:id="53" w:name="_Toc223474636"/>
      <w:bookmarkStart w:id="54" w:name="_Toc224286392"/>
      <w:bookmarkStart w:id="55" w:name="_Toc225437485"/>
      <w:bookmarkEnd w:id="51"/>
      <w:bookmarkEnd w:id="52"/>
      <w:r w:rsidRPr="00AB1A05">
        <w:lastRenderedPageBreak/>
        <w:t>Appendix B. Program Specific Inputs for the Illinois TRC</w:t>
      </w:r>
      <w:bookmarkEnd w:id="53"/>
      <w:bookmarkEnd w:id="54"/>
      <w:bookmarkEnd w:id="55"/>
    </w:p>
    <w:p w14:paraId="7C1B9D2E" w14:textId="43D2EDBB" w:rsidR="0084479F" w:rsidRPr="00D12853" w:rsidRDefault="0084479F" w:rsidP="00CE4A64">
      <w:r>
        <w:fldChar w:fldCharType="begin"/>
      </w:r>
      <w:r>
        <w:instrText xml:space="preserve"> REF _Ref66787029 \h </w:instrText>
      </w:r>
      <w:r>
        <w:fldChar w:fldCharType="separate"/>
      </w:r>
      <w:r>
        <w:t xml:space="preserve">Table </w:t>
      </w:r>
      <w:r>
        <w:rPr>
          <w:noProof/>
        </w:rPr>
        <w:t>B</w:t>
      </w:r>
      <w:r>
        <w:noBreakHyphen/>
      </w:r>
      <w:r>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7C1B9D2F" w14:textId="09122A24" w:rsidR="0084479F" w:rsidRDefault="0084479F" w:rsidP="002049BA">
      <w:pPr>
        <w:pStyle w:val="Caption"/>
        <w:spacing w:after="0"/>
      </w:pPr>
      <w:bookmarkStart w:id="56" w:name="_Ref66787029"/>
      <w:bookmarkStart w:id="57" w:name="_Ref63952142"/>
      <w:bookmarkStart w:id="58" w:name="_Toc367307499"/>
      <w:bookmarkStart w:id="59" w:name="_Toc398541812"/>
      <w:bookmarkStart w:id="60" w:name="_Toc398541925"/>
      <w:bookmarkStart w:id="61" w:name="_Toc398546657"/>
      <w:bookmarkStart w:id="62" w:name="_Toc423009519"/>
      <w:bookmarkStart w:id="63" w:name="_Toc426278637"/>
      <w:bookmarkStart w:id="64" w:name="_Toc63321485"/>
      <w:bookmarkStart w:id="65" w:name="_Toc63961488"/>
      <w:bookmarkStart w:id="66" w:name="_Toc61360851"/>
      <w:bookmarkStart w:id="67" w:name="_Toc189833653"/>
      <w:r>
        <w:t>Table B</w:t>
      </w:r>
      <w:r>
        <w:noBreakHyphen/>
      </w:r>
      <w:fldSimple w:instr=" SEQ Table_Apx \* ARABIC \s 5 ">
        <w:r>
          <w:rPr>
            <w:noProof/>
          </w:rPr>
          <w:t>1</w:t>
        </w:r>
      </w:fldSimple>
      <w:bookmarkEnd w:id="56"/>
      <w:r>
        <w:t>.</w:t>
      </w:r>
      <w:r w:rsidDel="00146395">
        <w:t xml:space="preserve"> </w:t>
      </w:r>
      <w:bookmarkEnd w:id="57"/>
      <w:bookmarkEnd w:id="58"/>
      <w:bookmarkEnd w:id="59"/>
      <w:bookmarkEnd w:id="60"/>
      <w:bookmarkEnd w:id="61"/>
      <w:bookmarkEnd w:id="62"/>
      <w:bookmarkEnd w:id="63"/>
      <w:bookmarkEnd w:id="64"/>
      <w:bookmarkEnd w:id="65"/>
      <w:r>
        <w:t>Verified Cost Effectiveness Inputs</w:t>
      </w:r>
      <w:bookmarkStart w:id="68" w:name="Table_B_1"/>
      <w:bookmarkEnd w:id="66"/>
      <w:bookmarkEnd w:id="67"/>
      <w:bookmarkEnd w:id="68"/>
    </w:p>
    <w:tbl>
      <w:tblPr>
        <w:tblW w:w="12960" w:type="dxa"/>
        <w:jc w:val="center"/>
        <w:tblLayout w:type="fixed"/>
        <w:tblLook w:val="0420" w:firstRow="1" w:lastRow="0" w:firstColumn="0" w:lastColumn="0" w:noHBand="0" w:noVBand="1"/>
      </w:tblPr>
      <w:tblGrid>
        <w:gridCol w:w="2790"/>
        <w:gridCol w:w="990"/>
        <w:gridCol w:w="540"/>
        <w:gridCol w:w="1620"/>
        <w:gridCol w:w="1440"/>
        <w:gridCol w:w="1260"/>
        <w:gridCol w:w="1440"/>
        <w:gridCol w:w="1440"/>
        <w:gridCol w:w="1440"/>
      </w:tblGrid>
      <w:tr w:rsidR="00366C5D" w14:paraId="7C1B9D3C" w14:textId="77777777" w:rsidTr="00EA44E0">
        <w:trPr>
          <w:tblHeader/>
          <w:jc w:val="center"/>
        </w:trPr>
        <w:tc>
          <w:tcPr>
            <w:tcW w:w="279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99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5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16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1B9D3B" w14:textId="5890A03A"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366C5D" w14:paraId="7C1B9D49" w14:textId="77777777" w:rsidTr="00EA44E0">
        <w:trPr>
          <w:jc w:val="center"/>
        </w:trPr>
        <w:tc>
          <w:tcPr>
            <w:tcW w:w="279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3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Manual Baseline</w:t>
            </w:r>
          </w:p>
        </w:tc>
        <w:tc>
          <w:tcPr>
            <w:tcW w:w="99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2" w14:textId="433159CA"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CE077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412</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12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141,301</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141,301</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8" w14:textId="0383A60A"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6F5403">
              <w:rPr>
                <w:rFonts w:ascii="Aptos Narrow" w:eastAsia="DejaVu Sans" w:hAnsi="DejaVu Sans" w:cs="DejaVu Sans"/>
                <w:color w:val="000000"/>
                <w:sz w:val="20"/>
                <w:szCs w:val="20"/>
              </w:rPr>
              <w:t>40</w:t>
            </w:r>
            <w:r>
              <w:rPr>
                <w:rFonts w:ascii="Aptos Narrow" w:eastAsia="DejaVu Sans" w:hAnsi="DejaVu Sans" w:cs="DejaVu Sans"/>
                <w:color w:val="000000"/>
                <w:sz w:val="20"/>
                <w:szCs w:val="20"/>
              </w:rPr>
              <w:t>,</w:t>
            </w:r>
            <w:r w:rsidR="006F5403">
              <w:rPr>
                <w:rFonts w:ascii="Aptos Narrow" w:eastAsia="DejaVu Sans" w:hAnsi="DejaVu Sans" w:cs="DejaVu Sans"/>
                <w:color w:val="000000"/>
                <w:sz w:val="20"/>
                <w:szCs w:val="20"/>
              </w:rPr>
              <w:t>68</w:t>
            </w:r>
            <w:r>
              <w:rPr>
                <w:rFonts w:ascii="Aptos Narrow" w:eastAsia="DejaVu Sans" w:hAnsi="DejaVu Sans" w:cs="DejaVu Sans"/>
                <w:color w:val="000000"/>
                <w:sz w:val="20"/>
                <w:szCs w:val="20"/>
              </w:rPr>
              <w:t>0</w:t>
            </w:r>
          </w:p>
        </w:tc>
      </w:tr>
      <w:tr w:rsidR="00366C5D" w14:paraId="7C1B9D56"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Manual Baseline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4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5,566</w:t>
            </w:r>
          </w:p>
        </w:tc>
      </w:tr>
      <w:tr w:rsidR="00366C5D" w14:paraId="7C1B9D63"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Programmable Baseline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C" w14:textId="61902CEA"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CE077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416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5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98,106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98,106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2" w14:textId="7B6AE4EB" w:rsidR="00366C5D" w:rsidRDefault="004C39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97,674</w:t>
            </w:r>
          </w:p>
        </w:tc>
      </w:tr>
      <w:tr w:rsidR="00366C5D" w14:paraId="7C1B9D70"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Advanced Thermostat - Programmable Baseline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6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4,166</w:t>
            </w:r>
          </w:p>
        </w:tc>
      </w:tr>
      <w:tr w:rsidR="00366C5D" w14:paraId="7C1B9D7D"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Boilers, &gt;95% AFUE &lt;300 MBH</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93</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22,622</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22,622</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7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19,914</w:t>
            </w:r>
          </w:p>
        </w:tc>
      </w:tr>
      <w:tr w:rsidR="00366C5D" w14:paraId="7C1B9D8A"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Boilers, &gt;95% AFUE &lt;300 MBH</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w:t>
            </w:r>
          </w:p>
        </w:tc>
      </w:tr>
      <w:tr w:rsidR="00366C5D" w14:paraId="7C1B9D97"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Boilers, &gt;95% AFUE &lt;300 MBH</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8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14,946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15,065</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13,262</w:t>
            </w:r>
          </w:p>
        </w:tc>
      </w:tr>
      <w:tr w:rsidR="00366C5D" w14:paraId="7C1B9DA4"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Boilers, &gt;95% AFUE &lt;300 MBH</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9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631</w:t>
            </w:r>
          </w:p>
        </w:tc>
      </w:tr>
      <w:tr w:rsidR="00366C5D" w14:paraId="7C1B9DB1"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AFUE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A" w14:textId="011AC464"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CE077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108</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757,765</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A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761,004</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669,927</w:t>
            </w:r>
          </w:p>
        </w:tc>
      </w:tr>
      <w:tr w:rsidR="00366C5D" w14:paraId="7C1B9DBE"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AFUE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59,276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59,529</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B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59,529</w:t>
            </w:r>
          </w:p>
        </w:tc>
      </w:tr>
      <w:tr w:rsidR="00366C5D" w14:paraId="7C1B9DCB"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&gt;97% AFUE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4" w14:textId="4482C75D"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CE077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749</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791,169</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794,551</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716,113</w:t>
            </w:r>
          </w:p>
        </w:tc>
      </w:tr>
      <w:tr w:rsidR="00366C5D" w14:paraId="7C1B9DD8"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&gt;97% AFUE</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C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220</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40,100</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40,271</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40,271</w:t>
            </w:r>
          </w:p>
        </w:tc>
      </w:tr>
      <w:tr w:rsidR="00366C5D" w14:paraId="7C1B9DE5"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Outdoor Pool Covers</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D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3,167</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3,167</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2,788</w:t>
            </w:r>
          </w:p>
        </w:tc>
      </w:tr>
      <w:tr w:rsidR="00366C5D" w14:paraId="7C1B9DF2"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Outdoor Pool Covers</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EF"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0"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1"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792</w:t>
            </w:r>
          </w:p>
        </w:tc>
      </w:tr>
      <w:tr w:rsidR="00366C5D" w14:paraId="7C1B9DFF"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Tankless Water Heater</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8"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364</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C"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28,134</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D"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27,600</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DFE"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24,296</w:t>
            </w:r>
          </w:p>
        </w:tc>
      </w:tr>
      <w:tr w:rsidR="00366C5D" w14:paraId="7C1B9E0C" w14:textId="77777777" w:rsidTr="00EA44E0">
        <w:trPr>
          <w:jc w:val="center"/>
        </w:trPr>
        <w:tc>
          <w:tcPr>
            <w:tcW w:w="2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2"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3"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4"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6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5"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6"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7"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9"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1,168</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A"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1B9E0B" w14:textId="77777777" w:rsidR="00366C5D"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1,146</w:t>
            </w:r>
          </w:p>
        </w:tc>
      </w:tr>
      <w:tr w:rsidR="00EA44E0" w14:paraId="7C1B9E19" w14:textId="77777777" w:rsidTr="00EA44E0">
        <w:trPr>
          <w:jc w:val="center"/>
        </w:trPr>
        <w:tc>
          <w:tcPr>
            <w:tcW w:w="3780" w:type="dxa"/>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0" w14:textId="0B7887B9"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5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1" w14:textId="77777777"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16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2" w14:textId="77777777"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3" w14:textId="77777777"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18.91</w:t>
            </w:r>
          </w:p>
        </w:tc>
        <w:tc>
          <w:tcPr>
            <w:tcW w:w="12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4" w14:textId="77777777"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6" w14:textId="77777777"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1,969,573</w:t>
            </w: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7" w14:textId="77777777" w:rsidR="00EA44E0" w:rsidRDefault="00EA44E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1,976,184</w:t>
            </w: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C1B9E18" w14:textId="748CAB15" w:rsidR="00EA44E0" w:rsidRDefault="00366C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1,7</w:t>
            </w:r>
            <w:r w:rsidR="00924FF2">
              <w:rPr>
                <w:rFonts w:ascii="Aptos Narrow" w:eastAsia="DejaVu Sans" w:hAnsi="DejaVu Sans" w:cs="DejaVu Sans"/>
                <w:b/>
                <w:color w:val="000000"/>
                <w:sz w:val="20"/>
                <w:szCs w:val="20"/>
              </w:rPr>
              <w:t>97,424</w:t>
            </w:r>
          </w:p>
        </w:tc>
      </w:tr>
    </w:tbl>
    <w:p w14:paraId="7C1B9E1A" w14:textId="77777777" w:rsidR="0084479F" w:rsidRPr="00D12853" w:rsidRDefault="0084479F" w:rsidP="00CE4A64">
      <w:pPr>
        <w:pStyle w:val="TableFigureSourceorNote"/>
      </w:pPr>
      <w:r w:rsidRPr="00D12853">
        <w:t xml:space="preserve">Source: </w:t>
      </w:r>
      <w:r>
        <w:t xml:space="preserve">Evaluation </w:t>
      </w:r>
      <w:r w:rsidRPr="00D12853">
        <w:t>team analysis.</w:t>
      </w:r>
    </w:p>
    <w:p w14:paraId="7C1B9E1B" w14:textId="77777777" w:rsidR="0084479F" w:rsidRDefault="0084479F" w:rsidP="00CE4A64"/>
    <w:p w14:paraId="7C1B9E1C" w14:textId="77777777" w:rsidR="0084479F" w:rsidRPr="00F25675" w:rsidRDefault="0084479F" w:rsidP="00CE4A64">
      <w:pPr>
        <w:rPr>
          <w:rFonts w:asciiTheme="majorHAnsi" w:hAnsiTheme="majorHAnsi"/>
        </w:rPr>
      </w:pPr>
    </w:p>
    <w:sectPr w:rsidR="0084479F" w:rsidRPr="00F25675" w:rsidSect="00CE4A64">
      <w:headerReference w:type="default" r:id="rId26"/>
      <w:footerReference w:type="default" r:id="rId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417E" w14:textId="77777777" w:rsidR="00402DA2" w:rsidRDefault="00402DA2">
      <w:pPr>
        <w:spacing w:after="0" w:line="240" w:lineRule="auto"/>
      </w:pPr>
      <w:r>
        <w:separator/>
      </w:r>
    </w:p>
  </w:endnote>
  <w:endnote w:type="continuationSeparator" w:id="0">
    <w:p w14:paraId="56DB1081" w14:textId="77777777" w:rsidR="00402DA2" w:rsidRDefault="0040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CE4A64" w:rsidRPr="00582062" w14:paraId="7C1B9E32" w14:textId="77777777" w:rsidTr="00CE4A64">
      <w:trPr>
        <w:trHeight w:val="144"/>
        <w:jc w:val="center"/>
      </w:trPr>
      <w:tc>
        <w:tcPr>
          <w:tcW w:w="6681" w:type="dxa"/>
          <w:tcBorders>
            <w:top w:val="single" w:sz="8" w:space="0" w:color="8C8C8C"/>
            <w:left w:val="nil"/>
            <w:bottom w:val="nil"/>
          </w:tcBorders>
        </w:tcPr>
        <w:p w14:paraId="7C1B9E30" w14:textId="77777777" w:rsidR="0084479F" w:rsidRPr="00582062" w:rsidRDefault="0084479F" w:rsidP="00CE4A64">
          <w:pPr>
            <w:pStyle w:val="Footer"/>
            <w:spacing w:before="120"/>
            <w:rPr>
              <w:sz w:val="2"/>
              <w:szCs w:val="2"/>
            </w:rPr>
          </w:pPr>
        </w:p>
      </w:tc>
      <w:tc>
        <w:tcPr>
          <w:tcW w:w="2679" w:type="dxa"/>
          <w:tcBorders>
            <w:top w:val="single" w:sz="8" w:space="0" w:color="8C8C8C"/>
          </w:tcBorders>
        </w:tcPr>
        <w:p w14:paraId="7C1B9E31" w14:textId="77777777" w:rsidR="0084479F" w:rsidRPr="00582062" w:rsidRDefault="0084479F" w:rsidP="00CE4A64">
          <w:pPr>
            <w:pStyle w:val="Footer"/>
            <w:spacing w:before="120"/>
            <w:jc w:val="right"/>
            <w:rPr>
              <w:sz w:val="2"/>
              <w:szCs w:val="2"/>
            </w:rPr>
          </w:pPr>
        </w:p>
      </w:tc>
    </w:tr>
    <w:tr w:rsidR="00CE4A64" w:rsidRPr="00EA2FA5" w14:paraId="7C1B9E35" w14:textId="77777777" w:rsidTr="00CE4A64">
      <w:trPr>
        <w:trHeight w:val="195"/>
        <w:jc w:val="center"/>
      </w:trPr>
      <w:tc>
        <w:tcPr>
          <w:tcW w:w="6681" w:type="dxa"/>
          <w:tcBorders>
            <w:top w:val="nil"/>
            <w:left w:val="nil"/>
            <w:bottom w:val="nil"/>
          </w:tcBorders>
          <w:vAlign w:val="center"/>
        </w:tcPr>
        <w:p w14:paraId="7C1B9E33" w14:textId="77777777" w:rsidR="0084479F" w:rsidRPr="0075421C" w:rsidRDefault="0084479F" w:rsidP="00CE4A64">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C1B9E34" w14:textId="77777777" w:rsidR="0084479F" w:rsidRPr="0075421C" w:rsidRDefault="0084479F" w:rsidP="00CE4A64">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7C1B9E36" w14:textId="77777777" w:rsidR="0084479F" w:rsidRPr="00274E02" w:rsidRDefault="0084479F" w:rsidP="00CE4A64">
    <w:pPr>
      <w:pStyle w:val="Footer"/>
      <w:rPr>
        <w:sz w:val="16"/>
        <w:szCs w:val="16"/>
      </w:rPr>
    </w:pPr>
  </w:p>
  <w:p w14:paraId="7C1B9E37" w14:textId="77777777" w:rsidR="0084479F" w:rsidRPr="00E87E4D" w:rsidRDefault="0084479F" w:rsidP="00CE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9E3A" w14:textId="77777777" w:rsidR="0084479F" w:rsidRPr="00FB30FD" w:rsidRDefault="0084479F" w:rsidP="00CE4A64">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CE4A64" w:rsidRPr="00582062" w14:paraId="7C1B9E47" w14:textId="77777777" w:rsidTr="00CE4A64">
      <w:trPr>
        <w:trHeight w:val="144"/>
        <w:jc w:val="center"/>
      </w:trPr>
      <w:tc>
        <w:tcPr>
          <w:tcW w:w="3569" w:type="pct"/>
          <w:tcBorders>
            <w:top w:val="single" w:sz="8" w:space="0" w:color="8C8C8C"/>
            <w:left w:val="nil"/>
            <w:bottom w:val="nil"/>
          </w:tcBorders>
        </w:tcPr>
        <w:p w14:paraId="7C1B9E45" w14:textId="77777777" w:rsidR="0084479F" w:rsidRPr="00582062" w:rsidRDefault="0084479F" w:rsidP="00CE4A64">
          <w:pPr>
            <w:pStyle w:val="Footer"/>
            <w:spacing w:before="120"/>
            <w:rPr>
              <w:sz w:val="2"/>
              <w:szCs w:val="2"/>
            </w:rPr>
          </w:pPr>
        </w:p>
      </w:tc>
      <w:tc>
        <w:tcPr>
          <w:tcW w:w="1431" w:type="pct"/>
          <w:tcBorders>
            <w:top w:val="single" w:sz="8" w:space="0" w:color="8C8C8C"/>
          </w:tcBorders>
        </w:tcPr>
        <w:p w14:paraId="7C1B9E46" w14:textId="77777777" w:rsidR="0084479F" w:rsidRPr="00582062" w:rsidRDefault="0084479F" w:rsidP="00CE4A64">
          <w:pPr>
            <w:pStyle w:val="Footer"/>
            <w:spacing w:before="120"/>
            <w:jc w:val="right"/>
            <w:rPr>
              <w:sz w:val="2"/>
              <w:szCs w:val="2"/>
            </w:rPr>
          </w:pPr>
        </w:p>
      </w:tc>
    </w:tr>
    <w:tr w:rsidR="00CE4A64" w:rsidRPr="00EA2FA5" w14:paraId="7C1B9E4A" w14:textId="77777777" w:rsidTr="00CE4A64">
      <w:trPr>
        <w:trHeight w:val="195"/>
        <w:jc w:val="center"/>
      </w:trPr>
      <w:tc>
        <w:tcPr>
          <w:tcW w:w="3569" w:type="pct"/>
          <w:tcBorders>
            <w:top w:val="nil"/>
            <w:left w:val="nil"/>
            <w:bottom w:val="nil"/>
          </w:tcBorders>
          <w:vAlign w:val="center"/>
        </w:tcPr>
        <w:p w14:paraId="7C1B9E48" w14:textId="77777777" w:rsidR="0084479F" w:rsidRPr="0075421C" w:rsidRDefault="0084479F" w:rsidP="00CE4A64">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C1B9E49" w14:textId="77777777" w:rsidR="0084479F" w:rsidRPr="0075421C" w:rsidRDefault="0084479F" w:rsidP="00CE4A64">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C1B9E4B" w14:textId="77777777" w:rsidR="0084479F" w:rsidRPr="00274E02" w:rsidRDefault="0084479F">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314200" w:rsidRPr="00582062" w14:paraId="332B4624" w14:textId="77777777" w:rsidTr="00CE4A64">
      <w:trPr>
        <w:trHeight w:val="144"/>
        <w:jc w:val="center"/>
      </w:trPr>
      <w:tc>
        <w:tcPr>
          <w:tcW w:w="3569" w:type="pct"/>
          <w:tcBorders>
            <w:top w:val="single" w:sz="8" w:space="0" w:color="8C8C8C"/>
            <w:left w:val="nil"/>
            <w:bottom w:val="nil"/>
          </w:tcBorders>
        </w:tcPr>
        <w:p w14:paraId="72CD92DF" w14:textId="77777777" w:rsidR="00314200" w:rsidRPr="00582062" w:rsidRDefault="00314200" w:rsidP="00CE4A64">
          <w:pPr>
            <w:pStyle w:val="Footer"/>
            <w:spacing w:before="120"/>
            <w:rPr>
              <w:sz w:val="2"/>
              <w:szCs w:val="2"/>
            </w:rPr>
          </w:pPr>
        </w:p>
      </w:tc>
      <w:tc>
        <w:tcPr>
          <w:tcW w:w="1431" w:type="pct"/>
          <w:tcBorders>
            <w:top w:val="single" w:sz="8" w:space="0" w:color="8C8C8C"/>
          </w:tcBorders>
        </w:tcPr>
        <w:p w14:paraId="538868DA" w14:textId="77777777" w:rsidR="00314200" w:rsidRPr="00582062" w:rsidRDefault="00314200" w:rsidP="00CE4A64">
          <w:pPr>
            <w:pStyle w:val="Footer"/>
            <w:spacing w:before="120"/>
            <w:jc w:val="right"/>
            <w:rPr>
              <w:sz w:val="2"/>
              <w:szCs w:val="2"/>
            </w:rPr>
          </w:pPr>
        </w:p>
      </w:tc>
    </w:tr>
    <w:tr w:rsidR="00314200" w:rsidRPr="00EA2FA5" w14:paraId="6532F21F" w14:textId="77777777" w:rsidTr="00CE4A64">
      <w:trPr>
        <w:trHeight w:val="195"/>
        <w:jc w:val="center"/>
      </w:trPr>
      <w:tc>
        <w:tcPr>
          <w:tcW w:w="3569" w:type="pct"/>
          <w:tcBorders>
            <w:top w:val="nil"/>
            <w:left w:val="nil"/>
            <w:bottom w:val="nil"/>
          </w:tcBorders>
          <w:vAlign w:val="center"/>
        </w:tcPr>
        <w:p w14:paraId="1E2EAFD7" w14:textId="77777777" w:rsidR="00314200" w:rsidRPr="0075421C" w:rsidRDefault="00314200" w:rsidP="00CE4A64">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001CA001" w14:textId="77777777" w:rsidR="00314200" w:rsidRPr="0075421C" w:rsidRDefault="00314200" w:rsidP="00CE4A64">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6E7F6C19" w14:textId="77777777" w:rsidR="00314200" w:rsidRPr="00274E02" w:rsidRDefault="00314200">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CE4A64" w:rsidRPr="00582062" w14:paraId="7C1B9E53" w14:textId="77777777" w:rsidTr="00CE4A64">
      <w:trPr>
        <w:trHeight w:val="144"/>
        <w:jc w:val="center"/>
      </w:trPr>
      <w:tc>
        <w:tcPr>
          <w:tcW w:w="3569" w:type="pct"/>
          <w:tcBorders>
            <w:top w:val="single" w:sz="8" w:space="0" w:color="8C8C8C"/>
            <w:left w:val="nil"/>
            <w:bottom w:val="nil"/>
          </w:tcBorders>
        </w:tcPr>
        <w:p w14:paraId="7C1B9E51" w14:textId="77777777" w:rsidR="0084479F" w:rsidRPr="00582062" w:rsidRDefault="0084479F" w:rsidP="00CE4A64">
          <w:pPr>
            <w:pStyle w:val="Footer"/>
            <w:spacing w:before="120"/>
            <w:rPr>
              <w:sz w:val="2"/>
              <w:szCs w:val="2"/>
            </w:rPr>
          </w:pPr>
        </w:p>
      </w:tc>
      <w:tc>
        <w:tcPr>
          <w:tcW w:w="1431" w:type="pct"/>
          <w:tcBorders>
            <w:top w:val="single" w:sz="8" w:space="0" w:color="8C8C8C"/>
          </w:tcBorders>
        </w:tcPr>
        <w:p w14:paraId="7C1B9E52" w14:textId="77777777" w:rsidR="0084479F" w:rsidRPr="00582062" w:rsidRDefault="0084479F" w:rsidP="00CE4A64">
          <w:pPr>
            <w:pStyle w:val="Footer"/>
            <w:spacing w:before="120"/>
            <w:jc w:val="right"/>
            <w:rPr>
              <w:sz w:val="2"/>
              <w:szCs w:val="2"/>
            </w:rPr>
          </w:pPr>
        </w:p>
      </w:tc>
    </w:tr>
    <w:tr w:rsidR="00CE4A64" w:rsidRPr="00EA2FA5" w14:paraId="7C1B9E56" w14:textId="77777777" w:rsidTr="00CE4A64">
      <w:trPr>
        <w:trHeight w:val="195"/>
        <w:jc w:val="center"/>
      </w:trPr>
      <w:tc>
        <w:tcPr>
          <w:tcW w:w="3569" w:type="pct"/>
          <w:tcBorders>
            <w:top w:val="nil"/>
            <w:left w:val="nil"/>
            <w:bottom w:val="nil"/>
          </w:tcBorders>
          <w:vAlign w:val="center"/>
        </w:tcPr>
        <w:p w14:paraId="7C1B9E54" w14:textId="77777777" w:rsidR="0084479F" w:rsidRPr="0075421C" w:rsidRDefault="0084479F" w:rsidP="00CE4A64">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C1B9E55" w14:textId="77777777" w:rsidR="0084479F" w:rsidRPr="0075421C" w:rsidRDefault="0084479F" w:rsidP="00CE4A64">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C1B9E57" w14:textId="77777777" w:rsidR="0084479F" w:rsidRPr="00274E02" w:rsidRDefault="0084479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92BE" w14:textId="77777777" w:rsidR="00402DA2" w:rsidRDefault="00402DA2">
      <w:pPr>
        <w:spacing w:after="0" w:line="240" w:lineRule="auto"/>
      </w:pPr>
      <w:r>
        <w:separator/>
      </w:r>
    </w:p>
  </w:footnote>
  <w:footnote w:type="continuationSeparator" w:id="0">
    <w:p w14:paraId="31234546" w14:textId="77777777" w:rsidR="00402DA2" w:rsidRDefault="00402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CE4A64" w:rsidRPr="00F77D23" w14:paraId="7C1B9E2D" w14:textId="77777777" w:rsidTr="00CE4A64">
      <w:trPr>
        <w:jc w:val="center"/>
      </w:trPr>
      <w:tc>
        <w:tcPr>
          <w:tcW w:w="2880" w:type="dxa"/>
          <w:vAlign w:val="center"/>
        </w:tcPr>
        <w:p w14:paraId="7C1B9E2B" w14:textId="77777777" w:rsidR="0084479F" w:rsidRPr="006A71F6" w:rsidRDefault="0084479F" w:rsidP="00CE4A64">
          <w:pPr>
            <w:pStyle w:val="Header"/>
          </w:pPr>
          <w:r>
            <w:rPr>
              <w:noProof/>
            </w:rPr>
            <w:drawing>
              <wp:inline distT="0" distB="0" distL="0" distR="0" wp14:anchorId="7C1B9E58" wp14:editId="7C1B9E59">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C1B9E2C" w14:textId="7B7C5F75" w:rsidR="0084479F" w:rsidRPr="00F77D23" w:rsidRDefault="0084479F" w:rsidP="00CE4A6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B65EB">
            <w:rPr>
              <w:bCs/>
              <w:noProof/>
            </w:rPr>
            <w:t>Home Energy Efficiency Rebates Program Impact Evaluation Report</w:t>
          </w:r>
          <w:r>
            <w:rPr>
              <w:bCs/>
              <w:noProof/>
            </w:rPr>
            <w:fldChar w:fldCharType="end"/>
          </w:r>
          <w:r w:rsidR="00B025D8">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C1B9E2E" w14:textId="77777777" w:rsidR="0084479F" w:rsidRDefault="0084479F" w:rsidP="00CE4A64">
    <w:pPr>
      <w:pStyle w:val="Header"/>
    </w:pPr>
    <w:r w:rsidRPr="00BA291E">
      <w:br/>
    </w:r>
  </w:p>
  <w:p w14:paraId="7C1B9E2F" w14:textId="77777777" w:rsidR="0084479F" w:rsidRPr="00ED327C" w:rsidRDefault="0084479F" w:rsidP="00CE4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9E38" w14:textId="77777777" w:rsidR="0084479F" w:rsidRDefault="0084479F" w:rsidP="00CE4A64">
    <w:pPr>
      <w:pStyle w:val="Header"/>
    </w:pPr>
    <w:r>
      <w:rPr>
        <w:noProof/>
      </w:rPr>
      <w:drawing>
        <wp:inline distT="0" distB="0" distL="0" distR="0" wp14:anchorId="7C1B9E5A" wp14:editId="7C1B9E5B">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7C1B9E39" w14:textId="77777777" w:rsidR="0084479F" w:rsidRPr="00ED327C" w:rsidRDefault="0084479F" w:rsidP="00CE4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CE4A64" w:rsidRPr="00F77D23" w14:paraId="7C1B9E3D" w14:textId="77777777" w:rsidTr="00CE4A64">
      <w:trPr>
        <w:jc w:val="center"/>
      </w:trPr>
      <w:tc>
        <w:tcPr>
          <w:tcW w:w="2880" w:type="dxa"/>
          <w:vAlign w:val="center"/>
        </w:tcPr>
        <w:p w14:paraId="7C1B9E3B" w14:textId="77777777" w:rsidR="0084479F" w:rsidRPr="006A71F6" w:rsidRDefault="0084479F" w:rsidP="00CE4A64">
          <w:pPr>
            <w:pStyle w:val="Header"/>
          </w:pPr>
          <w:r>
            <w:rPr>
              <w:noProof/>
            </w:rPr>
            <w:drawing>
              <wp:inline distT="0" distB="0" distL="0" distR="0" wp14:anchorId="7C1B9E5C" wp14:editId="7C1B9E5D">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C1B9E3C" w14:textId="1021EDC5" w:rsidR="0084479F" w:rsidRPr="00F77D23" w:rsidRDefault="0084479F" w:rsidP="00CE4A6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B65EB">
            <w:rPr>
              <w:bCs/>
              <w:noProof/>
            </w:rPr>
            <w:t>Home Energy Efficiency Rebates Program Impact Evaluation Report</w:t>
          </w:r>
          <w:r>
            <w:rPr>
              <w:bCs/>
              <w:noProof/>
            </w:rPr>
            <w:fldChar w:fldCharType="end"/>
          </w:r>
          <w:r w:rsidR="00B025D8">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C1B9E3E" w14:textId="77777777" w:rsidR="0084479F" w:rsidRDefault="0084479F" w:rsidP="00CE4A64">
    <w:pPr>
      <w:pStyle w:val="Header"/>
    </w:pPr>
    <w:r w:rsidRPr="00BA291E">
      <w:br/>
    </w:r>
  </w:p>
  <w:p w14:paraId="7C1B9E3F" w14:textId="77777777" w:rsidR="0084479F" w:rsidRDefault="0084479F" w:rsidP="00CE4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CE4A64" w:rsidRPr="00F77D23" w14:paraId="7C1B9E42" w14:textId="77777777" w:rsidTr="00CE4A64">
      <w:trPr>
        <w:jc w:val="center"/>
      </w:trPr>
      <w:tc>
        <w:tcPr>
          <w:tcW w:w="1429" w:type="pct"/>
          <w:vAlign w:val="center"/>
        </w:tcPr>
        <w:p w14:paraId="7C1B9E40" w14:textId="77777777" w:rsidR="0084479F" w:rsidRPr="006A71F6" w:rsidRDefault="0084479F" w:rsidP="00CE4A64">
          <w:pPr>
            <w:pStyle w:val="Header"/>
          </w:pPr>
          <w:r>
            <w:rPr>
              <w:noProof/>
            </w:rPr>
            <w:drawing>
              <wp:inline distT="0" distB="0" distL="0" distR="0" wp14:anchorId="7C1B9E5E" wp14:editId="7C1B9E5F">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7C1B9E41" w14:textId="225BED5D" w:rsidR="0084479F" w:rsidRPr="00F77D23" w:rsidRDefault="0084479F" w:rsidP="00CE4A6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B65EB">
            <w:rPr>
              <w:bCs/>
              <w:noProof/>
            </w:rPr>
            <w:t>Home Energy Efficiency Rebates Program Impact Evaluation Report</w:t>
          </w:r>
          <w:r>
            <w:rPr>
              <w:bCs/>
              <w:noProof/>
            </w:rPr>
            <w:fldChar w:fldCharType="end"/>
          </w:r>
          <w:r w:rsidR="00A50DB7">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C1B9E43" w14:textId="77777777" w:rsidR="0084479F" w:rsidRDefault="0084479F" w:rsidP="00CE4A64">
    <w:pPr>
      <w:pStyle w:val="Header"/>
    </w:pPr>
    <w:r w:rsidRPr="00BA291E">
      <w:br/>
    </w:r>
  </w:p>
  <w:p w14:paraId="7C1B9E44" w14:textId="77777777" w:rsidR="0084479F" w:rsidRDefault="0084479F" w:rsidP="00CE4A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346"/>
      <w:gridCol w:w="7014"/>
    </w:tblGrid>
    <w:tr w:rsidR="00314200" w:rsidRPr="00F77D23" w14:paraId="1B7F1BB5" w14:textId="77777777" w:rsidTr="00CE4A64">
      <w:trPr>
        <w:jc w:val="center"/>
      </w:trPr>
      <w:tc>
        <w:tcPr>
          <w:tcW w:w="1253" w:type="pct"/>
          <w:vAlign w:val="center"/>
        </w:tcPr>
        <w:p w14:paraId="7BFAEE30" w14:textId="77777777" w:rsidR="00314200" w:rsidRPr="006A71F6" w:rsidRDefault="00314200" w:rsidP="00CE4A64">
          <w:pPr>
            <w:pStyle w:val="Header"/>
          </w:pPr>
          <w:r>
            <w:rPr>
              <w:noProof/>
            </w:rPr>
            <w:drawing>
              <wp:inline distT="0" distB="0" distL="0" distR="0" wp14:anchorId="6B584F61" wp14:editId="35EA2656">
                <wp:extent cx="1081454" cy="274320"/>
                <wp:effectExtent l="0" t="0" r="4445" b="0"/>
                <wp:docPr id="58715270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747" w:type="pct"/>
          <w:vAlign w:val="center"/>
        </w:tcPr>
        <w:p w14:paraId="6490A10B" w14:textId="27226A42" w:rsidR="00314200" w:rsidRPr="00F77D23" w:rsidRDefault="00314200" w:rsidP="00CE4A6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B65EB">
            <w:rPr>
              <w:bCs/>
              <w:noProof/>
            </w:rPr>
            <w:t>Home Energy Efficiency Rebates Program Impact Evaluation Report</w:t>
          </w:r>
          <w:r>
            <w:rPr>
              <w:bCs/>
              <w:noProof/>
            </w:rPr>
            <w:fldChar w:fldCharType="end"/>
          </w:r>
          <w:r w:rsidR="00A50DB7">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656BA21" w14:textId="77777777" w:rsidR="00314200" w:rsidRDefault="00314200" w:rsidP="00CE4A64">
    <w:pPr>
      <w:pStyle w:val="Header"/>
    </w:pPr>
    <w:r w:rsidRPr="00BA291E">
      <w:br/>
    </w:r>
  </w:p>
  <w:p w14:paraId="782F79D9" w14:textId="77777777" w:rsidR="00314200" w:rsidRDefault="00314200" w:rsidP="00CE4A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CE4A64" w:rsidRPr="00F77D23" w14:paraId="7C1B9E4E" w14:textId="77777777" w:rsidTr="00CE4A64">
      <w:trPr>
        <w:jc w:val="center"/>
      </w:trPr>
      <w:tc>
        <w:tcPr>
          <w:tcW w:w="1429" w:type="pct"/>
          <w:vAlign w:val="center"/>
        </w:tcPr>
        <w:p w14:paraId="7C1B9E4C" w14:textId="77777777" w:rsidR="0084479F" w:rsidRPr="006A71F6" w:rsidRDefault="0084479F" w:rsidP="00CE4A64">
          <w:pPr>
            <w:pStyle w:val="Header"/>
          </w:pPr>
          <w:r>
            <w:rPr>
              <w:noProof/>
            </w:rPr>
            <w:drawing>
              <wp:inline distT="0" distB="0" distL="0" distR="0" wp14:anchorId="7C1B9E60" wp14:editId="7C1B9E61">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7C1B9E4D" w14:textId="5F739B29" w:rsidR="0084479F" w:rsidRPr="00F77D23" w:rsidRDefault="0084479F" w:rsidP="00CE4A64">
          <w:pPr>
            <w:pStyle w:val="Header"/>
            <w:jc w:val="right"/>
            <w:rPr>
              <w:bCs/>
              <w:noProof/>
            </w:rPr>
          </w:pPr>
          <w:r w:rsidRPr="00A50DB7">
            <w:rPr>
              <w:bCs/>
              <w:noProof/>
            </w:rPr>
            <w:fldChar w:fldCharType="begin"/>
          </w:r>
          <w:r w:rsidRPr="00A50DB7">
            <w:rPr>
              <w:bCs/>
              <w:noProof/>
            </w:rPr>
            <w:instrText xml:space="preserve"> STYLEREF  Title  \* MERGEFORMAT </w:instrText>
          </w:r>
          <w:r w:rsidRPr="00A50DB7">
            <w:rPr>
              <w:bCs/>
              <w:noProof/>
            </w:rPr>
            <w:fldChar w:fldCharType="separate"/>
          </w:r>
          <w:r w:rsidR="00DB65EB">
            <w:rPr>
              <w:bCs/>
              <w:noProof/>
            </w:rPr>
            <w:t>Home Energy Efficiency Rebates Program Impact Evaluation Report</w:t>
          </w:r>
          <w:r w:rsidRPr="00A50DB7">
            <w:rPr>
              <w:bCs/>
              <w:noProof/>
            </w:rPr>
            <w:fldChar w:fldCharType="end"/>
          </w:r>
          <w:r w:rsidR="00A50DB7">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C1B9E4F" w14:textId="77777777" w:rsidR="0084479F" w:rsidRDefault="0084479F" w:rsidP="00CE4A64">
    <w:pPr>
      <w:pStyle w:val="Header"/>
    </w:pPr>
    <w:r w:rsidRPr="00BA291E">
      <w:br/>
    </w:r>
  </w:p>
  <w:p w14:paraId="7C1B9E50" w14:textId="77777777" w:rsidR="0084479F" w:rsidRDefault="0084479F" w:rsidP="00CE4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BC50BBA"/>
    <w:multiLevelType w:val="hybridMultilevel"/>
    <w:tmpl w:val="5D94523E"/>
    <w:lvl w:ilvl="0" w:tplc="6394BBE6">
      <w:start w:val="1"/>
      <w:numFmt w:val="bullet"/>
      <w:lvlText w:val="·"/>
      <w:lvlJc w:val="left"/>
      <w:pPr>
        <w:ind w:left="720" w:hanging="360"/>
      </w:pPr>
      <w:rPr>
        <w:rFonts w:ascii="Symbol" w:hAnsi="Symbol" w:hint="default"/>
      </w:rPr>
    </w:lvl>
    <w:lvl w:ilvl="1" w:tplc="F11E8CDE">
      <w:start w:val="1"/>
      <w:numFmt w:val="bullet"/>
      <w:lvlText w:val="o"/>
      <w:lvlJc w:val="left"/>
      <w:pPr>
        <w:ind w:left="1440" w:hanging="360"/>
      </w:pPr>
      <w:rPr>
        <w:rFonts w:ascii="Courier New" w:hAnsi="Courier New" w:hint="default"/>
      </w:rPr>
    </w:lvl>
    <w:lvl w:ilvl="2" w:tplc="C578FED6">
      <w:start w:val="1"/>
      <w:numFmt w:val="bullet"/>
      <w:lvlText w:val=""/>
      <w:lvlJc w:val="left"/>
      <w:pPr>
        <w:ind w:left="2160" w:hanging="360"/>
      </w:pPr>
      <w:rPr>
        <w:rFonts w:ascii="Wingdings" w:hAnsi="Wingdings" w:hint="default"/>
      </w:rPr>
    </w:lvl>
    <w:lvl w:ilvl="3" w:tplc="FD6802D8">
      <w:start w:val="1"/>
      <w:numFmt w:val="bullet"/>
      <w:lvlText w:val=""/>
      <w:lvlJc w:val="left"/>
      <w:pPr>
        <w:ind w:left="2880" w:hanging="360"/>
      </w:pPr>
      <w:rPr>
        <w:rFonts w:ascii="Symbol" w:hAnsi="Symbol" w:hint="default"/>
      </w:rPr>
    </w:lvl>
    <w:lvl w:ilvl="4" w:tplc="6CF8C066">
      <w:start w:val="1"/>
      <w:numFmt w:val="bullet"/>
      <w:lvlText w:val="o"/>
      <w:lvlJc w:val="left"/>
      <w:pPr>
        <w:ind w:left="3600" w:hanging="360"/>
      </w:pPr>
      <w:rPr>
        <w:rFonts w:ascii="Courier New" w:hAnsi="Courier New" w:hint="default"/>
      </w:rPr>
    </w:lvl>
    <w:lvl w:ilvl="5" w:tplc="C19E4098">
      <w:start w:val="1"/>
      <w:numFmt w:val="bullet"/>
      <w:lvlText w:val=""/>
      <w:lvlJc w:val="left"/>
      <w:pPr>
        <w:ind w:left="4320" w:hanging="360"/>
      </w:pPr>
      <w:rPr>
        <w:rFonts w:ascii="Wingdings" w:hAnsi="Wingdings" w:hint="default"/>
      </w:rPr>
    </w:lvl>
    <w:lvl w:ilvl="6" w:tplc="958EF02E">
      <w:start w:val="1"/>
      <w:numFmt w:val="bullet"/>
      <w:lvlText w:val=""/>
      <w:lvlJc w:val="left"/>
      <w:pPr>
        <w:ind w:left="5040" w:hanging="360"/>
      </w:pPr>
      <w:rPr>
        <w:rFonts w:ascii="Symbol" w:hAnsi="Symbol" w:hint="default"/>
      </w:rPr>
    </w:lvl>
    <w:lvl w:ilvl="7" w:tplc="BEEAB80A">
      <w:start w:val="1"/>
      <w:numFmt w:val="bullet"/>
      <w:lvlText w:val="o"/>
      <w:lvlJc w:val="left"/>
      <w:pPr>
        <w:ind w:left="5760" w:hanging="360"/>
      </w:pPr>
      <w:rPr>
        <w:rFonts w:ascii="Courier New" w:hAnsi="Courier New" w:hint="default"/>
      </w:rPr>
    </w:lvl>
    <w:lvl w:ilvl="8" w:tplc="DF8206D4">
      <w:start w:val="1"/>
      <w:numFmt w:val="bullet"/>
      <w:lvlText w:val=""/>
      <w:lvlJc w:val="left"/>
      <w:pPr>
        <w:ind w:left="6480" w:hanging="360"/>
      </w:pPr>
      <w:rPr>
        <w:rFonts w:ascii="Wingdings" w:hAnsi="Wingdings" w:hint="default"/>
      </w:r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2"/>
  </w:num>
  <w:num w:numId="4" w16cid:durableId="424502759">
    <w:abstractNumId w:val="3"/>
  </w:num>
  <w:num w:numId="5" w16cid:durableId="1530214667">
    <w:abstractNumId w:val="25"/>
  </w:num>
  <w:num w:numId="6" w16cid:durableId="820192695">
    <w:abstractNumId w:val="4"/>
  </w:num>
  <w:num w:numId="7" w16cid:durableId="321852425">
    <w:abstractNumId w:val="19"/>
  </w:num>
  <w:num w:numId="8" w16cid:durableId="1755586189">
    <w:abstractNumId w:val="15"/>
  </w:num>
  <w:num w:numId="9" w16cid:durableId="1790969178">
    <w:abstractNumId w:val="24"/>
  </w:num>
  <w:num w:numId="10" w16cid:durableId="1320888804">
    <w:abstractNumId w:val="5"/>
  </w:num>
  <w:num w:numId="11" w16cid:durableId="990789570">
    <w:abstractNumId w:val="12"/>
  </w:num>
  <w:num w:numId="12" w16cid:durableId="499661504">
    <w:abstractNumId w:val="9"/>
  </w:num>
  <w:num w:numId="13" w16cid:durableId="1680110921">
    <w:abstractNumId w:val="23"/>
  </w:num>
  <w:num w:numId="14" w16cid:durableId="869102195">
    <w:abstractNumId w:val="0"/>
  </w:num>
  <w:num w:numId="15" w16cid:durableId="1990472580">
    <w:abstractNumId w:val="20"/>
  </w:num>
  <w:num w:numId="16" w16cid:durableId="812452916">
    <w:abstractNumId w:val="11"/>
  </w:num>
  <w:num w:numId="17" w16cid:durableId="2117434390">
    <w:abstractNumId w:val="10"/>
  </w:num>
  <w:num w:numId="18" w16cid:durableId="913703041">
    <w:abstractNumId w:val="21"/>
  </w:num>
  <w:num w:numId="19" w16cid:durableId="1687176602">
    <w:abstractNumId w:val="17"/>
  </w:num>
  <w:num w:numId="20" w16cid:durableId="1849367968">
    <w:abstractNumId w:val="14"/>
  </w:num>
  <w:num w:numId="21" w16cid:durableId="1668821187">
    <w:abstractNumId w:val="16"/>
  </w:num>
  <w:num w:numId="22" w16cid:durableId="1729065919">
    <w:abstractNumId w:val="13"/>
  </w:num>
  <w:num w:numId="23" w16cid:durableId="380595784">
    <w:abstractNumId w:val="6"/>
  </w:num>
  <w:num w:numId="24" w16cid:durableId="1031690303">
    <w:abstractNumId w:val="1"/>
  </w:num>
  <w:num w:numId="25" w16cid:durableId="118230274">
    <w:abstractNumId w:val="8"/>
  </w:num>
  <w:num w:numId="26" w16cid:durableId="300771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84"/>
    <w:rsid w:val="00000786"/>
    <w:rsid w:val="00004F0D"/>
    <w:rsid w:val="000247E1"/>
    <w:rsid w:val="00034228"/>
    <w:rsid w:val="000416C3"/>
    <w:rsid w:val="00044546"/>
    <w:rsid w:val="000478F3"/>
    <w:rsid w:val="00055D6F"/>
    <w:rsid w:val="00066B9E"/>
    <w:rsid w:val="000753C0"/>
    <w:rsid w:val="000A4B13"/>
    <w:rsid w:val="000A69E6"/>
    <w:rsid w:val="000A72AC"/>
    <w:rsid w:val="000B1270"/>
    <w:rsid w:val="000B1CAD"/>
    <w:rsid w:val="000E516F"/>
    <w:rsid w:val="000F48B8"/>
    <w:rsid w:val="00104CDF"/>
    <w:rsid w:val="00110928"/>
    <w:rsid w:val="00112E31"/>
    <w:rsid w:val="00116EDF"/>
    <w:rsid w:val="00125ED2"/>
    <w:rsid w:val="00143D8B"/>
    <w:rsid w:val="0014620D"/>
    <w:rsid w:val="0017025B"/>
    <w:rsid w:val="001827C9"/>
    <w:rsid w:val="00194F1A"/>
    <w:rsid w:val="001C12C2"/>
    <w:rsid w:val="001C7C4E"/>
    <w:rsid w:val="001D0449"/>
    <w:rsid w:val="001F7199"/>
    <w:rsid w:val="001F7A9C"/>
    <w:rsid w:val="00204055"/>
    <w:rsid w:val="002047D5"/>
    <w:rsid w:val="002049BA"/>
    <w:rsid w:val="002230B4"/>
    <w:rsid w:val="002304A3"/>
    <w:rsid w:val="002604D6"/>
    <w:rsid w:val="0026173E"/>
    <w:rsid w:val="00273984"/>
    <w:rsid w:val="00277A71"/>
    <w:rsid w:val="002D4BB7"/>
    <w:rsid w:val="002E2665"/>
    <w:rsid w:val="002E4965"/>
    <w:rsid w:val="002E649A"/>
    <w:rsid w:val="002E693A"/>
    <w:rsid w:val="00314200"/>
    <w:rsid w:val="0031453E"/>
    <w:rsid w:val="00366C5D"/>
    <w:rsid w:val="003677EC"/>
    <w:rsid w:val="00370712"/>
    <w:rsid w:val="003A0A97"/>
    <w:rsid w:val="003A1D4E"/>
    <w:rsid w:val="003A2B9D"/>
    <w:rsid w:val="003E300A"/>
    <w:rsid w:val="00402DA2"/>
    <w:rsid w:val="00425D2C"/>
    <w:rsid w:val="00455A34"/>
    <w:rsid w:val="00464C97"/>
    <w:rsid w:val="004657EB"/>
    <w:rsid w:val="00476DF4"/>
    <w:rsid w:val="00492D2F"/>
    <w:rsid w:val="00493A37"/>
    <w:rsid w:val="00495E30"/>
    <w:rsid w:val="004A5384"/>
    <w:rsid w:val="004B35FF"/>
    <w:rsid w:val="004B40E1"/>
    <w:rsid w:val="004C3998"/>
    <w:rsid w:val="004D00D9"/>
    <w:rsid w:val="00503F2D"/>
    <w:rsid w:val="0050464C"/>
    <w:rsid w:val="00515EEE"/>
    <w:rsid w:val="00516BE9"/>
    <w:rsid w:val="00550484"/>
    <w:rsid w:val="00566708"/>
    <w:rsid w:val="00590C43"/>
    <w:rsid w:val="005A7C54"/>
    <w:rsid w:val="005B75E8"/>
    <w:rsid w:val="005D71D2"/>
    <w:rsid w:val="005E203C"/>
    <w:rsid w:val="005F36F2"/>
    <w:rsid w:val="00602BBD"/>
    <w:rsid w:val="00612900"/>
    <w:rsid w:val="0061424A"/>
    <w:rsid w:val="0062086B"/>
    <w:rsid w:val="00626539"/>
    <w:rsid w:val="0063754E"/>
    <w:rsid w:val="00642544"/>
    <w:rsid w:val="006427FD"/>
    <w:rsid w:val="00667BC3"/>
    <w:rsid w:val="00684927"/>
    <w:rsid w:val="006C3273"/>
    <w:rsid w:val="006C6C93"/>
    <w:rsid w:val="006D5CCA"/>
    <w:rsid w:val="006D79B7"/>
    <w:rsid w:val="006E74C9"/>
    <w:rsid w:val="006F5403"/>
    <w:rsid w:val="006F596A"/>
    <w:rsid w:val="006F59DB"/>
    <w:rsid w:val="007109F2"/>
    <w:rsid w:val="00712B12"/>
    <w:rsid w:val="007323E7"/>
    <w:rsid w:val="00742490"/>
    <w:rsid w:val="00764D02"/>
    <w:rsid w:val="00765CF8"/>
    <w:rsid w:val="0077163E"/>
    <w:rsid w:val="00772705"/>
    <w:rsid w:val="0078540D"/>
    <w:rsid w:val="007A3FB3"/>
    <w:rsid w:val="007B081E"/>
    <w:rsid w:val="007B22BE"/>
    <w:rsid w:val="007C0F41"/>
    <w:rsid w:val="007C2666"/>
    <w:rsid w:val="007D36B7"/>
    <w:rsid w:val="007F4121"/>
    <w:rsid w:val="00806098"/>
    <w:rsid w:val="0080776D"/>
    <w:rsid w:val="00813636"/>
    <w:rsid w:val="0082793A"/>
    <w:rsid w:val="00836143"/>
    <w:rsid w:val="00837510"/>
    <w:rsid w:val="00840088"/>
    <w:rsid w:val="00843D87"/>
    <w:rsid w:val="0084479F"/>
    <w:rsid w:val="008524EB"/>
    <w:rsid w:val="00864C76"/>
    <w:rsid w:val="00867769"/>
    <w:rsid w:val="00876753"/>
    <w:rsid w:val="008A0821"/>
    <w:rsid w:val="008B17D9"/>
    <w:rsid w:val="008B17F2"/>
    <w:rsid w:val="008B6499"/>
    <w:rsid w:val="008C3220"/>
    <w:rsid w:val="008E0A9C"/>
    <w:rsid w:val="008E1524"/>
    <w:rsid w:val="008F3795"/>
    <w:rsid w:val="008F65EF"/>
    <w:rsid w:val="00905FDB"/>
    <w:rsid w:val="00924FF2"/>
    <w:rsid w:val="009269AD"/>
    <w:rsid w:val="009802A7"/>
    <w:rsid w:val="009947B9"/>
    <w:rsid w:val="0099668B"/>
    <w:rsid w:val="009C2A1E"/>
    <w:rsid w:val="009D0359"/>
    <w:rsid w:val="009D2C8E"/>
    <w:rsid w:val="00A02838"/>
    <w:rsid w:val="00A1218F"/>
    <w:rsid w:val="00A20115"/>
    <w:rsid w:val="00A24BC4"/>
    <w:rsid w:val="00A3133F"/>
    <w:rsid w:val="00A34277"/>
    <w:rsid w:val="00A37BF5"/>
    <w:rsid w:val="00A4481E"/>
    <w:rsid w:val="00A50DB7"/>
    <w:rsid w:val="00A56427"/>
    <w:rsid w:val="00A60A67"/>
    <w:rsid w:val="00A8279B"/>
    <w:rsid w:val="00AA6F22"/>
    <w:rsid w:val="00AB6D1B"/>
    <w:rsid w:val="00AE2646"/>
    <w:rsid w:val="00AE2EF1"/>
    <w:rsid w:val="00B025D8"/>
    <w:rsid w:val="00B1074F"/>
    <w:rsid w:val="00B21414"/>
    <w:rsid w:val="00B21D45"/>
    <w:rsid w:val="00B31462"/>
    <w:rsid w:val="00B416F6"/>
    <w:rsid w:val="00B5416A"/>
    <w:rsid w:val="00B61A8C"/>
    <w:rsid w:val="00B769A4"/>
    <w:rsid w:val="00BA2377"/>
    <w:rsid w:val="00BA5B45"/>
    <w:rsid w:val="00C06202"/>
    <w:rsid w:val="00C20514"/>
    <w:rsid w:val="00C4657D"/>
    <w:rsid w:val="00C545BD"/>
    <w:rsid w:val="00C553B6"/>
    <w:rsid w:val="00C73097"/>
    <w:rsid w:val="00C75DFB"/>
    <w:rsid w:val="00C81278"/>
    <w:rsid w:val="00C82315"/>
    <w:rsid w:val="00C97C3C"/>
    <w:rsid w:val="00CA0683"/>
    <w:rsid w:val="00CA535A"/>
    <w:rsid w:val="00CC189D"/>
    <w:rsid w:val="00CC58DF"/>
    <w:rsid w:val="00CD3DD1"/>
    <w:rsid w:val="00CE0777"/>
    <w:rsid w:val="00CE1EF8"/>
    <w:rsid w:val="00CE45BD"/>
    <w:rsid w:val="00CE4A64"/>
    <w:rsid w:val="00CE7EEB"/>
    <w:rsid w:val="00CF5B79"/>
    <w:rsid w:val="00D11710"/>
    <w:rsid w:val="00D23117"/>
    <w:rsid w:val="00D30572"/>
    <w:rsid w:val="00D50DA4"/>
    <w:rsid w:val="00D57CB7"/>
    <w:rsid w:val="00D94F79"/>
    <w:rsid w:val="00D96DB2"/>
    <w:rsid w:val="00DA33A0"/>
    <w:rsid w:val="00DA791B"/>
    <w:rsid w:val="00DB65EB"/>
    <w:rsid w:val="00DB7CCF"/>
    <w:rsid w:val="00DD7D6E"/>
    <w:rsid w:val="00DF619D"/>
    <w:rsid w:val="00E01245"/>
    <w:rsid w:val="00E051D2"/>
    <w:rsid w:val="00E1111B"/>
    <w:rsid w:val="00E15F4A"/>
    <w:rsid w:val="00E16444"/>
    <w:rsid w:val="00E37925"/>
    <w:rsid w:val="00E411ED"/>
    <w:rsid w:val="00E45D57"/>
    <w:rsid w:val="00E607DB"/>
    <w:rsid w:val="00E61D86"/>
    <w:rsid w:val="00E61EC8"/>
    <w:rsid w:val="00E67FE3"/>
    <w:rsid w:val="00E85988"/>
    <w:rsid w:val="00E87B0F"/>
    <w:rsid w:val="00E901E7"/>
    <w:rsid w:val="00EA1940"/>
    <w:rsid w:val="00EA44E0"/>
    <w:rsid w:val="00EA551E"/>
    <w:rsid w:val="00EC6B07"/>
    <w:rsid w:val="00EE5DF5"/>
    <w:rsid w:val="00EF6FF0"/>
    <w:rsid w:val="00F07736"/>
    <w:rsid w:val="00F15FB2"/>
    <w:rsid w:val="00F61F94"/>
    <w:rsid w:val="00F92A04"/>
    <w:rsid w:val="00FA7DEC"/>
    <w:rsid w:val="00FD34A7"/>
    <w:rsid w:val="023573D5"/>
    <w:rsid w:val="0864FAF3"/>
    <w:rsid w:val="09D81221"/>
    <w:rsid w:val="0E4126D1"/>
    <w:rsid w:val="0E4CA6D2"/>
    <w:rsid w:val="10BE461B"/>
    <w:rsid w:val="1197C8BE"/>
    <w:rsid w:val="16EABFEE"/>
    <w:rsid w:val="1AD17230"/>
    <w:rsid w:val="214C0BF8"/>
    <w:rsid w:val="2227727A"/>
    <w:rsid w:val="22648D44"/>
    <w:rsid w:val="23774FE1"/>
    <w:rsid w:val="2C0FDF1C"/>
    <w:rsid w:val="2C5769F9"/>
    <w:rsid w:val="31897442"/>
    <w:rsid w:val="3227E04B"/>
    <w:rsid w:val="355B5590"/>
    <w:rsid w:val="392C3E22"/>
    <w:rsid w:val="3C7381FA"/>
    <w:rsid w:val="3D940CEB"/>
    <w:rsid w:val="46BA824E"/>
    <w:rsid w:val="4B4D1CE3"/>
    <w:rsid w:val="53E6E21C"/>
    <w:rsid w:val="55E516E8"/>
    <w:rsid w:val="5727503A"/>
    <w:rsid w:val="5A6211BE"/>
    <w:rsid w:val="6244BABA"/>
    <w:rsid w:val="645CF69F"/>
    <w:rsid w:val="69E4DB4A"/>
    <w:rsid w:val="6AD85AA6"/>
    <w:rsid w:val="73277844"/>
    <w:rsid w:val="7CE5D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99EF"/>
  <w15:docId w15:val="{F116A268-A780-4B9E-9D78-5E9947B1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Paragraph,Resume Bullett,Bullet Points,Bullet Styles para,Dot pt,Indicator Text,List Paragraph - RFP,List Paragraph Char Char Char,List Paragraph1,MAIN CONTENT,No Spacing1,Numbered Para 1,TOC etc.,lp1"/>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Paragraph Char,Resume Bullett Char,Bullet Points Char,Bullet Styles para Char,Dot pt Char,Indicator Text Char,List Paragraph - RFP Char,List Paragraph Char Char Char Char,List Paragraph1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ilsag.info/technical-reference-manual.html" TargetMode="Externa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eader" Target="header4.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purl.org/dc/terms/"/>
    <ds:schemaRef ds:uri="b2d023fd-748d-47fb-9def-a48ce366a9e6"/>
    <ds:schemaRef ds:uri="http://schemas.microsoft.com/office/2006/documentManagement/types"/>
    <ds:schemaRef ds:uri="http://www.w3.org/XML/1998/namespace"/>
    <ds:schemaRef ds:uri="http://schemas.microsoft.com/sharepoint/v3"/>
    <ds:schemaRef ds:uri="http://purl.org/dc/dcmitype/"/>
    <ds:schemaRef ds:uri="http://purl.org/dc/elements/1.1/"/>
    <ds:schemaRef ds:uri="http://schemas.microsoft.com/office/infopath/2007/PartnerControls"/>
    <ds:schemaRef ds:uri="http://schemas.openxmlformats.org/package/2006/metadata/core-properties"/>
    <ds:schemaRef ds:uri="c7dbb18a-942d-48ab-becb-8e31551bea5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2205</Words>
  <Characters>12198</Characters>
  <Application>Microsoft Office Word</Application>
  <DocSecurity>0</DocSecurity>
  <Lines>813</Lines>
  <Paragraphs>626</Paragraphs>
  <ScaleCrop>false</ScaleCrop>
  <Company/>
  <LinksUpToDate>false</LinksUpToDate>
  <CharactersWithSpaces>13777</CharactersWithSpaces>
  <SharedDoc>false</SharedDoc>
  <HLinks>
    <vt:vector size="132" baseType="variant">
      <vt:variant>
        <vt:i4>524369</vt:i4>
      </vt:variant>
      <vt:variant>
        <vt:i4>129</vt:i4>
      </vt:variant>
      <vt:variant>
        <vt:i4>0</vt:i4>
      </vt:variant>
      <vt:variant>
        <vt:i4>5</vt:i4>
      </vt:variant>
      <vt:variant>
        <vt:lpwstr>http://www.ilsag.info/technical-reference-manual.html</vt:lpwstr>
      </vt:variant>
      <vt:variant>
        <vt:lpwstr/>
      </vt:variant>
      <vt:variant>
        <vt:i4>1376333</vt:i4>
      </vt:variant>
      <vt:variant>
        <vt:i4>117</vt:i4>
      </vt:variant>
      <vt:variant>
        <vt:i4>0</vt:i4>
      </vt:variant>
      <vt:variant>
        <vt:i4>5</vt:i4>
      </vt:variant>
      <vt:variant>
        <vt:lpwstr>https://www.ilsag.info/evaluator-ntg-recommendations-for-2025</vt:lpwstr>
      </vt:variant>
      <vt:variant>
        <vt:lpwstr/>
      </vt:variant>
      <vt:variant>
        <vt:i4>2031664</vt:i4>
      </vt:variant>
      <vt:variant>
        <vt:i4>95</vt:i4>
      </vt:variant>
      <vt:variant>
        <vt:i4>0</vt:i4>
      </vt:variant>
      <vt:variant>
        <vt:i4>5</vt:i4>
      </vt:variant>
      <vt:variant>
        <vt:lpwstr/>
      </vt:variant>
      <vt:variant>
        <vt:lpwstr>_Toc223964776</vt:lpwstr>
      </vt:variant>
      <vt:variant>
        <vt:i4>2031664</vt:i4>
      </vt:variant>
      <vt:variant>
        <vt:i4>89</vt:i4>
      </vt:variant>
      <vt:variant>
        <vt:i4>0</vt:i4>
      </vt:variant>
      <vt:variant>
        <vt:i4>5</vt:i4>
      </vt:variant>
      <vt:variant>
        <vt:lpwstr/>
      </vt:variant>
      <vt:variant>
        <vt:lpwstr>_Toc223964775</vt:lpwstr>
      </vt:variant>
      <vt:variant>
        <vt:i4>2031664</vt:i4>
      </vt:variant>
      <vt:variant>
        <vt:i4>83</vt:i4>
      </vt:variant>
      <vt:variant>
        <vt:i4>0</vt:i4>
      </vt:variant>
      <vt:variant>
        <vt:i4>5</vt:i4>
      </vt:variant>
      <vt:variant>
        <vt:lpwstr/>
      </vt:variant>
      <vt:variant>
        <vt:lpwstr>_Toc223964774</vt:lpwstr>
      </vt:variant>
      <vt:variant>
        <vt:i4>2031664</vt:i4>
      </vt:variant>
      <vt:variant>
        <vt:i4>77</vt:i4>
      </vt:variant>
      <vt:variant>
        <vt:i4>0</vt:i4>
      </vt:variant>
      <vt:variant>
        <vt:i4>5</vt:i4>
      </vt:variant>
      <vt:variant>
        <vt:lpwstr/>
      </vt:variant>
      <vt:variant>
        <vt:lpwstr>_Toc223964773</vt:lpwstr>
      </vt:variant>
      <vt:variant>
        <vt:i4>2031664</vt:i4>
      </vt:variant>
      <vt:variant>
        <vt:i4>71</vt:i4>
      </vt:variant>
      <vt:variant>
        <vt:i4>0</vt:i4>
      </vt:variant>
      <vt:variant>
        <vt:i4>5</vt:i4>
      </vt:variant>
      <vt:variant>
        <vt:lpwstr/>
      </vt:variant>
      <vt:variant>
        <vt:lpwstr>_Toc223964772</vt:lpwstr>
      </vt:variant>
      <vt:variant>
        <vt:i4>1572918</vt:i4>
      </vt:variant>
      <vt:variant>
        <vt:i4>62</vt:i4>
      </vt:variant>
      <vt:variant>
        <vt:i4>0</vt:i4>
      </vt:variant>
      <vt:variant>
        <vt:i4>5</vt:i4>
      </vt:variant>
      <vt:variant>
        <vt:lpwstr/>
      </vt:variant>
      <vt:variant>
        <vt:lpwstr>_Toc224633386</vt:lpwstr>
      </vt:variant>
      <vt:variant>
        <vt:i4>1572918</vt:i4>
      </vt:variant>
      <vt:variant>
        <vt:i4>56</vt:i4>
      </vt:variant>
      <vt:variant>
        <vt:i4>0</vt:i4>
      </vt:variant>
      <vt:variant>
        <vt:i4>5</vt:i4>
      </vt:variant>
      <vt:variant>
        <vt:lpwstr/>
      </vt:variant>
      <vt:variant>
        <vt:lpwstr>_Toc224633385</vt:lpwstr>
      </vt:variant>
      <vt:variant>
        <vt:i4>1572918</vt:i4>
      </vt:variant>
      <vt:variant>
        <vt:i4>50</vt:i4>
      </vt:variant>
      <vt:variant>
        <vt:i4>0</vt:i4>
      </vt:variant>
      <vt:variant>
        <vt:i4>5</vt:i4>
      </vt:variant>
      <vt:variant>
        <vt:lpwstr/>
      </vt:variant>
      <vt:variant>
        <vt:lpwstr>_Toc224633384</vt:lpwstr>
      </vt:variant>
      <vt:variant>
        <vt:i4>1572918</vt:i4>
      </vt:variant>
      <vt:variant>
        <vt:i4>44</vt:i4>
      </vt:variant>
      <vt:variant>
        <vt:i4>0</vt:i4>
      </vt:variant>
      <vt:variant>
        <vt:i4>5</vt:i4>
      </vt:variant>
      <vt:variant>
        <vt:lpwstr/>
      </vt:variant>
      <vt:variant>
        <vt:lpwstr>_Toc224633383</vt:lpwstr>
      </vt:variant>
      <vt:variant>
        <vt:i4>1572918</vt:i4>
      </vt:variant>
      <vt:variant>
        <vt:i4>38</vt:i4>
      </vt:variant>
      <vt:variant>
        <vt:i4>0</vt:i4>
      </vt:variant>
      <vt:variant>
        <vt:i4>5</vt:i4>
      </vt:variant>
      <vt:variant>
        <vt:lpwstr/>
      </vt:variant>
      <vt:variant>
        <vt:lpwstr>_Toc224633382</vt:lpwstr>
      </vt:variant>
      <vt:variant>
        <vt:i4>1572918</vt:i4>
      </vt:variant>
      <vt:variant>
        <vt:i4>32</vt:i4>
      </vt:variant>
      <vt:variant>
        <vt:i4>0</vt:i4>
      </vt:variant>
      <vt:variant>
        <vt:i4>5</vt:i4>
      </vt:variant>
      <vt:variant>
        <vt:lpwstr/>
      </vt:variant>
      <vt:variant>
        <vt:lpwstr>_Toc224633381</vt:lpwstr>
      </vt:variant>
      <vt:variant>
        <vt:i4>1572918</vt:i4>
      </vt:variant>
      <vt:variant>
        <vt:i4>26</vt:i4>
      </vt:variant>
      <vt:variant>
        <vt:i4>0</vt:i4>
      </vt:variant>
      <vt:variant>
        <vt:i4>5</vt:i4>
      </vt:variant>
      <vt:variant>
        <vt:lpwstr/>
      </vt:variant>
      <vt:variant>
        <vt:lpwstr>_Toc224633380</vt:lpwstr>
      </vt:variant>
      <vt:variant>
        <vt:i4>1507382</vt:i4>
      </vt:variant>
      <vt:variant>
        <vt:i4>20</vt:i4>
      </vt:variant>
      <vt:variant>
        <vt:i4>0</vt:i4>
      </vt:variant>
      <vt:variant>
        <vt:i4>5</vt:i4>
      </vt:variant>
      <vt:variant>
        <vt:lpwstr/>
      </vt:variant>
      <vt:variant>
        <vt:lpwstr>_Toc224633379</vt:lpwstr>
      </vt:variant>
      <vt:variant>
        <vt:i4>1507382</vt:i4>
      </vt:variant>
      <vt:variant>
        <vt:i4>14</vt:i4>
      </vt:variant>
      <vt:variant>
        <vt:i4>0</vt:i4>
      </vt:variant>
      <vt:variant>
        <vt:i4>5</vt:i4>
      </vt:variant>
      <vt:variant>
        <vt:lpwstr/>
      </vt:variant>
      <vt:variant>
        <vt:lpwstr>_Toc224633378</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2555976</vt:i4>
      </vt:variant>
      <vt:variant>
        <vt:i4>3</vt:i4>
      </vt:variant>
      <vt:variant>
        <vt:i4>0</vt:i4>
      </vt:variant>
      <vt:variant>
        <vt:i4>5</vt:i4>
      </vt:variant>
      <vt:variant>
        <vt:lpwstr>mailto:charles.ampong@guidehouse.com</vt:lpwstr>
      </vt:variant>
      <vt:variant>
        <vt:lpwstr/>
      </vt:variant>
      <vt:variant>
        <vt:i4>6094970</vt:i4>
      </vt:variant>
      <vt:variant>
        <vt:i4>0</vt:i4>
      </vt:variant>
      <vt:variant>
        <vt:i4>0</vt:i4>
      </vt:variant>
      <vt:variant>
        <vt:i4>5</vt:i4>
      </vt:variant>
      <vt:variant>
        <vt:lpwstr>mailto:jkaplan@guidehouse.com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5</cp:revision>
  <dcterms:created xsi:type="dcterms:W3CDTF">2026-03-27T05:24:00Z</dcterms:created>
  <dcterms:modified xsi:type="dcterms:W3CDTF">2026-03-27T10:43:00Z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