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3F72" w14:textId="77777777" w:rsidR="004C3211" w:rsidRDefault="004C3211" w:rsidP="00BA112B">
      <w:pPr>
        <w:pStyle w:val="Title"/>
      </w:pPr>
    </w:p>
    <w:p w14:paraId="1D2C8FD3" w14:textId="04269A6C" w:rsidR="009137D9" w:rsidRPr="00190360" w:rsidRDefault="006E0689" w:rsidP="00BA112B">
      <w:pPr>
        <w:pStyle w:val="Title"/>
      </w:pPr>
      <w:r>
        <w:t>Smart Nei</w:t>
      </w:r>
      <w:r w:rsidR="00433DA8">
        <w:t>ghborhood Builder</w:t>
      </w:r>
      <w:r w:rsidR="006D75EA" w:rsidRPr="00190360">
        <w:t xml:space="preserve"> </w:t>
      </w:r>
      <w:r w:rsidR="001B330A">
        <w:t>Program Impact Evaluation Report</w:t>
      </w:r>
    </w:p>
    <w:p w14:paraId="0506F919" w14:textId="77777777" w:rsidR="003F708F" w:rsidRDefault="003F708F" w:rsidP="003F708F"/>
    <w:p w14:paraId="3A773FF2" w14:textId="013319CC" w:rsidR="007D1E07" w:rsidRDefault="00573576" w:rsidP="5A403B90">
      <w:pPr>
        <w:rPr>
          <w:sz w:val="28"/>
          <w:szCs w:val="28"/>
        </w:rPr>
      </w:pPr>
      <w:r w:rsidRPr="5A403B90">
        <w:rPr>
          <w:sz w:val="28"/>
          <w:szCs w:val="28"/>
        </w:rPr>
        <w:t xml:space="preserve">Energy </w:t>
      </w:r>
      <w:r w:rsidR="00AD1053" w:rsidRPr="5A403B90">
        <w:rPr>
          <w:sz w:val="28"/>
          <w:szCs w:val="28"/>
        </w:rPr>
        <w:t>Efficiency Plan</w:t>
      </w:r>
      <w:r w:rsidR="1BB1A747" w:rsidRPr="5A403B90">
        <w:rPr>
          <w:sz w:val="28"/>
          <w:szCs w:val="28"/>
        </w:rPr>
        <w:t xml:space="preserve">: </w:t>
      </w:r>
      <w:r w:rsidR="007531F7" w:rsidRPr="5A403B90">
        <w:rPr>
          <w:sz w:val="28"/>
          <w:szCs w:val="28"/>
        </w:rPr>
        <w:t>Program Year 20</w:t>
      </w:r>
      <w:r w:rsidR="001B330A" w:rsidRPr="5A403B90">
        <w:rPr>
          <w:sz w:val="28"/>
          <w:szCs w:val="28"/>
        </w:rPr>
        <w:t>25</w:t>
      </w:r>
      <w:r w:rsidR="007531F7" w:rsidRPr="5A403B90">
        <w:rPr>
          <w:sz w:val="28"/>
          <w:szCs w:val="28"/>
        </w:rPr>
        <w:t xml:space="preserve"> </w:t>
      </w:r>
    </w:p>
    <w:p w14:paraId="2E775BE8" w14:textId="6F059625" w:rsidR="000B7F56" w:rsidRPr="005B6988" w:rsidRDefault="001B330A" w:rsidP="5A403B90">
      <w:pPr>
        <w:pStyle w:val="Subtitle"/>
      </w:pPr>
      <w:r>
        <w:t>(01/01/2025-12/31/2025)</w:t>
      </w:r>
      <w:r w:rsidR="007531F7">
        <w:t xml:space="preserve"> </w:t>
      </w: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2B481AA1" w:rsidR="009137D9" w:rsidRPr="0056335A" w:rsidRDefault="004C00C8">
      <w:pPr>
        <w:rPr>
          <w:rStyle w:val="Strong"/>
          <w:sz w:val="28"/>
          <w:szCs w:val="28"/>
        </w:rPr>
      </w:pPr>
      <w:r>
        <w:rPr>
          <w:rStyle w:val="Strong"/>
          <w:sz w:val="28"/>
          <w:szCs w:val="28"/>
        </w:rPr>
        <w:t>Nicor Gas Company</w:t>
      </w:r>
    </w:p>
    <w:p w14:paraId="78219F65" w14:textId="13725934" w:rsidR="009137D9" w:rsidRPr="0056335A" w:rsidRDefault="00D00C64">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BA112B" w:rsidRPr="0056335A" w:rsidRDefault="003F708F">
      <w:pPr>
        <w:rPr>
          <w:rStyle w:val="Strong"/>
          <w:sz w:val="28"/>
          <w:szCs w:val="28"/>
        </w:rPr>
      </w:pPr>
      <w:r w:rsidRPr="0056335A">
        <w:rPr>
          <w:rStyle w:val="Strong"/>
          <w:sz w:val="28"/>
          <w:szCs w:val="28"/>
        </w:rPr>
        <w:t>DRAFT</w:t>
      </w:r>
    </w:p>
    <w:p w14:paraId="21376970" w14:textId="35B94E7C" w:rsidR="00BA112B" w:rsidRPr="0056335A" w:rsidRDefault="0066270D">
      <w:pPr>
        <w:rPr>
          <w:rStyle w:val="Strong"/>
          <w:sz w:val="28"/>
          <w:szCs w:val="28"/>
        </w:rPr>
      </w:pPr>
      <w:r>
        <w:rPr>
          <w:rStyle w:val="Strong"/>
          <w:sz w:val="28"/>
          <w:szCs w:val="28"/>
        </w:rPr>
        <w:t xml:space="preserve">March </w:t>
      </w:r>
      <w:r w:rsidR="00833D51" w:rsidRPr="00385819">
        <w:rPr>
          <w:rStyle w:val="Strong"/>
          <w:sz w:val="28"/>
          <w:szCs w:val="28"/>
        </w:rPr>
        <w:t>2</w:t>
      </w:r>
      <w:r>
        <w:rPr>
          <w:rStyle w:val="Strong"/>
          <w:sz w:val="28"/>
          <w:szCs w:val="28"/>
        </w:rPr>
        <w:t>5</w:t>
      </w:r>
      <w:r w:rsidR="000B5663" w:rsidRPr="00385819">
        <w:rPr>
          <w:rStyle w:val="Strong"/>
          <w:sz w:val="28"/>
          <w:szCs w:val="28"/>
        </w:rPr>
        <w:t xml:space="preserve">, </w:t>
      </w:r>
      <w:r w:rsidR="00833D51" w:rsidRPr="00385819">
        <w:rPr>
          <w:rStyle w:val="Strong"/>
          <w:sz w:val="28"/>
          <w:szCs w:val="28"/>
        </w:rPr>
        <w:t>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75FDD67C" w:rsidR="00DE1C51" w:rsidRPr="00F9648B" w:rsidRDefault="00F9648B" w:rsidP="00751AB4">
            <w:pPr>
              <w:pStyle w:val="NoSpacing"/>
              <w:rPr>
                <w:b/>
                <w:bCs/>
                <w:sz w:val="22"/>
                <w:szCs w:val="22"/>
              </w:rPr>
            </w:pPr>
            <w:r w:rsidRPr="00F9648B">
              <w:rPr>
                <w:b/>
                <w:bCs/>
                <w:sz w:val="22"/>
                <w:szCs w:val="22"/>
              </w:rPr>
              <w:t>Eric Ogbe</w:t>
            </w:r>
          </w:p>
          <w:p w14:paraId="54F55874" w14:textId="4293137C" w:rsidR="00DE1C51" w:rsidRPr="0010260D" w:rsidRDefault="00F9648B" w:rsidP="00751AB4">
            <w:pPr>
              <w:pStyle w:val="NoSpacing"/>
              <w:rPr>
                <w:sz w:val="22"/>
                <w:szCs w:val="22"/>
              </w:rPr>
            </w:pPr>
            <w:r>
              <w:rPr>
                <w:sz w:val="22"/>
                <w:szCs w:val="22"/>
              </w:rPr>
              <w:t>Guidehouse</w:t>
            </w:r>
          </w:p>
        </w:tc>
        <w:tc>
          <w:tcPr>
            <w:tcW w:w="2337" w:type="dxa"/>
          </w:tcPr>
          <w:p w14:paraId="634F2B36" w14:textId="7A26C2B9" w:rsidR="00DE1C51" w:rsidRPr="000618E9" w:rsidRDefault="00DE1C51" w:rsidP="00AB669D">
            <w:pPr>
              <w:pStyle w:val="NoSpacing"/>
              <w:rPr>
                <w:b/>
                <w:bCs/>
                <w:sz w:val="22"/>
                <w:szCs w:val="22"/>
                <w:highlight w:val="yellow"/>
              </w:rPr>
            </w:pPr>
          </w:p>
        </w:tc>
        <w:tc>
          <w:tcPr>
            <w:tcW w:w="2338" w:type="dxa"/>
          </w:tcPr>
          <w:p w14:paraId="6F39A4FC" w14:textId="727AF85D" w:rsidR="00DE1C51" w:rsidRPr="000618E9" w:rsidRDefault="00DE1C51" w:rsidP="00AB669D">
            <w:pPr>
              <w:pStyle w:val="NoSpacing"/>
              <w:rPr>
                <w:b/>
                <w:bCs/>
                <w:sz w:val="22"/>
                <w:szCs w:val="22"/>
                <w:highlight w:val="yellow"/>
              </w:rPr>
            </w:pPr>
          </w:p>
        </w:tc>
        <w:tc>
          <w:tcPr>
            <w:tcW w:w="2338" w:type="dxa"/>
          </w:tcPr>
          <w:p w14:paraId="117B46BE" w14:textId="182F533F" w:rsidR="00DE1C51" w:rsidRPr="000618E9" w:rsidRDefault="00DE1C51" w:rsidP="00AB669D">
            <w:pPr>
              <w:pStyle w:val="NoSpacing"/>
              <w:rPr>
                <w:b/>
                <w:bCs/>
                <w:sz w:val="22"/>
                <w:szCs w:val="22"/>
                <w:highlight w:val="yellow"/>
              </w:rPr>
            </w:pPr>
          </w:p>
        </w:tc>
      </w:tr>
      <w:tr w:rsidR="00BF0C66" w:rsidRPr="0010260D" w14:paraId="73DF88AA" w14:textId="77777777" w:rsidTr="00BC68E4">
        <w:trPr>
          <w:trHeight w:val="1134"/>
        </w:trPr>
        <w:tc>
          <w:tcPr>
            <w:tcW w:w="2337" w:type="dxa"/>
          </w:tcPr>
          <w:p w14:paraId="7E2D130D" w14:textId="45A72E3B" w:rsidR="00BF0C66" w:rsidRPr="00187113" w:rsidRDefault="00BF0C66" w:rsidP="00BC68E4">
            <w:pPr>
              <w:pStyle w:val="NoSpacing"/>
              <w:jc w:val="center"/>
              <w:rPr>
                <w:b/>
                <w:bCs/>
                <w:sz w:val="22"/>
                <w:szCs w:val="22"/>
                <w:highlight w:val="yellow"/>
              </w:rPr>
            </w:pPr>
          </w:p>
        </w:tc>
        <w:tc>
          <w:tcPr>
            <w:tcW w:w="2337" w:type="dxa"/>
          </w:tcPr>
          <w:p w14:paraId="2240E35E" w14:textId="0FAAB368" w:rsidR="00BF0C66" w:rsidRPr="00187113" w:rsidRDefault="00BF0C66" w:rsidP="00BC68E4">
            <w:pPr>
              <w:pStyle w:val="NoSpacing"/>
              <w:jc w:val="center"/>
              <w:rPr>
                <w:b/>
                <w:bCs/>
                <w:sz w:val="22"/>
                <w:szCs w:val="22"/>
                <w:highlight w:val="yellow"/>
              </w:rPr>
            </w:pPr>
          </w:p>
        </w:tc>
        <w:tc>
          <w:tcPr>
            <w:tcW w:w="2338" w:type="dxa"/>
          </w:tcPr>
          <w:p w14:paraId="2E5F5A8D" w14:textId="1619B1DE" w:rsidR="00BF0C66" w:rsidRPr="00187113" w:rsidRDefault="00BF0C66" w:rsidP="00BC68E4">
            <w:pPr>
              <w:pStyle w:val="NoSpacing"/>
              <w:jc w:val="center"/>
              <w:rPr>
                <w:b/>
                <w:bCs/>
                <w:sz w:val="22"/>
                <w:szCs w:val="22"/>
                <w:highlight w:val="yellow"/>
              </w:rPr>
            </w:pPr>
          </w:p>
        </w:tc>
        <w:tc>
          <w:tcPr>
            <w:tcW w:w="2338" w:type="dxa"/>
          </w:tcPr>
          <w:p w14:paraId="1B219F0D" w14:textId="7F5E15C3" w:rsidR="00BF0C66" w:rsidRPr="00187113" w:rsidRDefault="00BF0C66" w:rsidP="00BC68E4">
            <w:pPr>
              <w:pStyle w:val="NoSpacing"/>
              <w:jc w:val="center"/>
              <w:rPr>
                <w:b/>
                <w:bCs/>
                <w:sz w:val="22"/>
                <w:szCs w:val="22"/>
                <w:highlight w:val="yellow"/>
              </w:rPr>
            </w:pPr>
          </w:p>
        </w:tc>
      </w:tr>
      <w:tr w:rsidR="00BC68E4" w:rsidRPr="0010260D" w14:paraId="432CCF57" w14:textId="77777777" w:rsidTr="00BC68E4">
        <w:trPr>
          <w:trHeight w:val="1134"/>
        </w:trPr>
        <w:tc>
          <w:tcPr>
            <w:tcW w:w="2337" w:type="dxa"/>
          </w:tcPr>
          <w:p w14:paraId="43372510" w14:textId="6A994DC2" w:rsidR="00BC68E4" w:rsidRPr="00FD0661" w:rsidRDefault="00BC68E4" w:rsidP="000618E9">
            <w:pPr>
              <w:pStyle w:val="NoSpacing"/>
              <w:rPr>
                <w:rFonts w:cs="Arial"/>
                <w:noProof/>
              </w:rPr>
            </w:pPr>
          </w:p>
        </w:tc>
        <w:tc>
          <w:tcPr>
            <w:tcW w:w="2337" w:type="dxa"/>
          </w:tcPr>
          <w:p w14:paraId="3595A7F6" w14:textId="77777777" w:rsidR="00BC68E4" w:rsidRPr="00FD0661" w:rsidRDefault="00BC68E4" w:rsidP="00BC68E4">
            <w:pPr>
              <w:pStyle w:val="NoSpacing"/>
              <w:jc w:val="center"/>
              <w:rPr>
                <w:rFonts w:cs="Arial"/>
                <w:noProof/>
              </w:rPr>
            </w:pPr>
          </w:p>
        </w:tc>
        <w:tc>
          <w:tcPr>
            <w:tcW w:w="2338" w:type="dxa"/>
          </w:tcPr>
          <w:p w14:paraId="49595757" w14:textId="77777777" w:rsidR="00BC68E4" w:rsidRPr="00FD0661" w:rsidRDefault="00BC68E4" w:rsidP="00AB669D">
            <w:pPr>
              <w:pStyle w:val="NoSpacing"/>
              <w:rPr>
                <w:rFonts w:cs="Arial"/>
                <w:noProof/>
              </w:rPr>
            </w:pPr>
          </w:p>
        </w:tc>
        <w:tc>
          <w:tcPr>
            <w:tcW w:w="2338" w:type="dxa"/>
          </w:tcPr>
          <w:p w14:paraId="03788FAF" w14:textId="77777777" w:rsidR="00BC68E4" w:rsidRPr="00187113" w:rsidRDefault="00BC68E4" w:rsidP="00AB669D">
            <w:pPr>
              <w:pStyle w:val="NoSpacing"/>
              <w:rPr>
                <w:b/>
                <w:bCs/>
                <w:sz w:val="22"/>
                <w:szCs w:val="22"/>
                <w:highlight w:val="yellow"/>
              </w:rPr>
            </w:pPr>
          </w:p>
        </w:tc>
      </w:tr>
    </w:tbl>
    <w:p w14:paraId="25F39255" w14:textId="77777777" w:rsidR="009C65E3" w:rsidRDefault="009C65E3">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t>Submitted to:</w:t>
      </w:r>
    </w:p>
    <w:p w14:paraId="4D4E6119" w14:textId="369C5E75" w:rsidR="00564AAD" w:rsidRDefault="00CF3DC9" w:rsidP="00564AAD">
      <w:pPr>
        <w:pStyle w:val="NoSpacing"/>
      </w:pPr>
      <w:r>
        <w:t>Nicor Gas Company</w:t>
      </w:r>
    </w:p>
    <w:p w14:paraId="6CA78075" w14:textId="405DCF07" w:rsidR="00CF3DC9" w:rsidRDefault="00CF3DC9" w:rsidP="00564AAD">
      <w:pPr>
        <w:pStyle w:val="NoSpacing"/>
      </w:pPr>
      <w:r>
        <w:t>1844 Ferry Road</w:t>
      </w:r>
    </w:p>
    <w:p w14:paraId="395C9214" w14:textId="4C987E15" w:rsidR="00CF3DC9" w:rsidRPr="00564AAD" w:rsidRDefault="00CF3DC9" w:rsidP="00564AAD">
      <w:pPr>
        <w:pStyle w:val="NoSpacing"/>
      </w:pPr>
      <w:r>
        <w:t>Naperville, IL 60563</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762586">
        <w:tc>
          <w:tcPr>
            <w:tcW w:w="3330" w:type="dxa"/>
          </w:tcPr>
          <w:p w14:paraId="2C883693" w14:textId="72BD4D77" w:rsidR="00FA22B3" w:rsidRPr="0066270D" w:rsidRDefault="379A72A5" w:rsidP="00FA22B3">
            <w:pPr>
              <w:spacing w:after="0"/>
              <w:rPr>
                <w:rFonts w:cs="Arial"/>
                <w:sz w:val="21"/>
                <w:szCs w:val="21"/>
              </w:rPr>
            </w:pPr>
            <w:r w:rsidRPr="0066270D">
              <w:rPr>
                <w:rFonts w:eastAsia="Arial" w:cs="Arial"/>
                <w:sz w:val="21"/>
                <w:szCs w:val="21"/>
              </w:rPr>
              <w:t>Charles Maglione</w:t>
            </w:r>
            <w:r w:rsidR="00AE6836" w:rsidRPr="0066270D">
              <w:rPr>
                <w:rFonts w:eastAsia="Arial" w:cs="Arial"/>
                <w:sz w:val="21"/>
                <w:szCs w:val="21"/>
              </w:rPr>
              <w:t>,</w:t>
            </w:r>
            <w:r w:rsidR="00FA22B3" w:rsidRPr="0066270D">
              <w:rPr>
                <w:rFonts w:eastAsia="Arial" w:cs="Arial"/>
                <w:sz w:val="21"/>
                <w:szCs w:val="21"/>
              </w:rPr>
              <w:t xml:space="preserve"> </w:t>
            </w:r>
            <w:r w:rsidR="00B83CEE" w:rsidRPr="0066270D">
              <w:rPr>
                <w:rFonts w:eastAsia="Arial" w:cs="Arial"/>
                <w:sz w:val="21"/>
                <w:szCs w:val="21"/>
              </w:rPr>
              <w:t>Partner</w:t>
            </w:r>
          </w:p>
          <w:p w14:paraId="00A26E03" w14:textId="59E3C3E4" w:rsidR="00FA22B3" w:rsidRPr="0066270D" w:rsidRDefault="7690120C" w:rsidP="00FA22B3">
            <w:pPr>
              <w:spacing w:after="0"/>
              <w:rPr>
                <w:rFonts w:eastAsia="Arial" w:cs="Arial"/>
                <w:sz w:val="21"/>
                <w:szCs w:val="21"/>
              </w:rPr>
            </w:pPr>
            <w:r w:rsidRPr="0066270D">
              <w:rPr>
                <w:rFonts w:eastAsia="Arial" w:cs="Arial"/>
                <w:sz w:val="21"/>
                <w:szCs w:val="21"/>
              </w:rPr>
              <w:t>202.481.7352</w:t>
            </w:r>
          </w:p>
          <w:p w14:paraId="16482BF1" w14:textId="03952E77" w:rsidR="00AB27BC" w:rsidRPr="00AE6836" w:rsidRDefault="00AB27BC" w:rsidP="00AB27BC">
            <w:pPr>
              <w:spacing w:after="0"/>
            </w:pPr>
            <w:hyperlink r:id="rId12" w:history="1">
              <w:r w:rsidRPr="0066270D">
                <w:rPr>
                  <w:rStyle w:val="Hyperlink"/>
                  <w:rFonts w:cs="Arial"/>
                  <w:color w:val="auto"/>
                  <w:sz w:val="21"/>
                  <w:szCs w:val="21"/>
                </w:rPr>
                <w:t>cmaglione@guidehouse.com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6F930DD6" w:rsidR="00FA22B3" w:rsidRPr="00F61CF7" w:rsidRDefault="003A2344" w:rsidP="00FA22B3">
            <w:pPr>
              <w:pStyle w:val="NoSpacing"/>
            </w:pPr>
            <w:hyperlink r:id="rId13"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052CA882" w:rsidR="00FA22B3" w:rsidRPr="00F61CF7" w:rsidRDefault="00F61CF7" w:rsidP="00FA22B3">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4362C113" w:rsidR="00762586" w:rsidRPr="00762586" w:rsidRDefault="00762586" w:rsidP="00564AAD">
      <w:pPr>
        <w:pStyle w:val="NoSpacing"/>
        <w:rPr>
          <w:rFonts w:eastAsia="Arial" w:cs="Arial"/>
          <w:sz w:val="21"/>
          <w:szCs w:val="21"/>
        </w:rPr>
      </w:pPr>
      <w:r w:rsidRPr="00762586">
        <w:rPr>
          <w:rFonts w:eastAsia="Arial" w:cs="Arial"/>
          <w:sz w:val="21"/>
          <w:szCs w:val="21"/>
        </w:rPr>
        <w:t>608.</w:t>
      </w:r>
      <w:r w:rsidR="5D9F3C53" w:rsidRPr="0BF76A9C">
        <w:rPr>
          <w:rFonts w:eastAsia="Arial" w:cs="Arial"/>
          <w:sz w:val="21"/>
          <w:szCs w:val="21"/>
        </w:rPr>
        <w:t>616.4922</w:t>
      </w:r>
    </w:p>
    <w:p w14:paraId="6B447806" w14:textId="4B8A1EA3" w:rsidR="00762586" w:rsidRPr="00AE6836" w:rsidRDefault="383A4C1B" w:rsidP="00564AAD">
      <w:pPr>
        <w:pStyle w:val="NoSpacing"/>
        <w:rPr>
          <w:rFonts w:eastAsia="Arial" w:cs="Arial"/>
          <w:sz w:val="21"/>
          <w:szCs w:val="21"/>
        </w:rPr>
      </w:pPr>
      <w:r w:rsidRPr="00CB79CA">
        <w:rPr>
          <w:rFonts w:eastAsia="Arial" w:cs="Arial"/>
          <w:sz w:val="21"/>
          <w:szCs w:val="21"/>
          <w:u w:val="single"/>
        </w:rPr>
        <w:t>c</w:t>
      </w:r>
      <w:hyperlink r:id="rId15">
        <w:r w:rsidR="76914DD7" w:rsidRPr="0BF76A9C">
          <w:rPr>
            <w:rStyle w:val="Hyperlink"/>
            <w:rFonts w:eastAsia="Arial" w:cs="Arial"/>
            <w:color w:val="auto"/>
            <w:sz w:val="21"/>
            <w:szCs w:val="21"/>
          </w:rPr>
          <w:t>harles.ampong@guidehouse.com</w:t>
        </w:r>
      </w:hyperlink>
    </w:p>
    <w:p w14:paraId="5A3FFA0E" w14:textId="77777777" w:rsidR="00AE6836" w:rsidRPr="00762586" w:rsidRDefault="00AE6836" w:rsidP="00564AAD">
      <w:pPr>
        <w:pStyle w:val="NoSpacing"/>
        <w:rPr>
          <w:rFonts w:eastAsia="Arial" w:cs="Arial"/>
          <w:sz w:val="21"/>
          <w:szCs w:val="21"/>
        </w:rPr>
      </w:pPr>
    </w:p>
    <w:p w14:paraId="246F2D01" w14:textId="77777777" w:rsidR="00631500" w:rsidRPr="00564AAD" w:rsidRDefault="00631500" w:rsidP="00564AAD">
      <w:pPr>
        <w:pStyle w:val="NoSpacing"/>
      </w:pPr>
    </w:p>
    <w:p w14:paraId="4E6E3E1B" w14:textId="6A8ABEC4" w:rsidR="00E62C25" w:rsidRPr="00035A6D" w:rsidRDefault="00564AAD" w:rsidP="005B6988">
      <w:pPr>
        <w:pStyle w:val="NoSpacing"/>
        <w:rPr>
          <w:sz w:val="20"/>
          <w:szCs w:val="20"/>
        </w:rPr>
      </w:pPr>
      <w:r w:rsidRPr="00564AAD">
        <w:rPr>
          <w:sz w:val="20"/>
          <w:szCs w:val="20"/>
        </w:rPr>
        <w:t xml:space="preserve">This report was prepared by Guidehouse for </w:t>
      </w:r>
      <w:r w:rsidR="00F61CF7">
        <w:rPr>
          <w:sz w:val="20"/>
          <w:szCs w:val="20"/>
        </w:rPr>
        <w:t>Nicor Gas Company</w:t>
      </w:r>
      <w:r w:rsidRPr="00564AAD">
        <w:rPr>
          <w:sz w:val="20"/>
          <w:szCs w:val="20"/>
        </w:rPr>
        <w:t xml:space="preserve">.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B34EF6" w:rsidRPr="00564AAD">
        <w:rPr>
          <w:sz w:val="20"/>
          <w:szCs w:val="20"/>
        </w:rPr>
        <w:t>parties and</w:t>
      </w:r>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0DC34332" w14:textId="6A61DF38" w:rsidR="00736C1F" w:rsidRDefault="0BF76A9C">
      <w:pPr>
        <w:pStyle w:val="TOC1"/>
        <w:tabs>
          <w:tab w:val="left" w:pos="440"/>
          <w:tab w:val="right" w:leader="dot" w:pos="9350"/>
        </w:tabs>
        <w:rPr>
          <w:rFonts w:cstheme="minorBidi"/>
          <w:noProof/>
          <w:kern w:val="2"/>
          <w:sz w:val="24"/>
          <w:szCs w:val="24"/>
          <w14:ligatures w14:val="standardContextual"/>
        </w:rPr>
      </w:pPr>
      <w:r>
        <w:fldChar w:fldCharType="begin"/>
      </w:r>
      <w:r w:rsidR="008C17F1">
        <w:instrText>TOC \o "1-3" \z \u \h</w:instrText>
      </w:r>
      <w:r>
        <w:fldChar w:fldCharType="separate"/>
      </w:r>
      <w:hyperlink w:anchor="_Toc225365664" w:history="1">
        <w:r w:rsidR="00736C1F" w:rsidRPr="00A279D7">
          <w:rPr>
            <w:rStyle w:val="Hyperlink"/>
            <w:noProof/>
          </w:rPr>
          <w:t>1</w:t>
        </w:r>
        <w:r w:rsidR="00736C1F">
          <w:rPr>
            <w:rFonts w:cstheme="minorBidi"/>
            <w:noProof/>
            <w:kern w:val="2"/>
            <w:sz w:val="24"/>
            <w:szCs w:val="24"/>
            <w14:ligatures w14:val="standardContextual"/>
          </w:rPr>
          <w:tab/>
        </w:r>
        <w:r w:rsidR="00736C1F" w:rsidRPr="00A279D7">
          <w:rPr>
            <w:rStyle w:val="Hyperlink"/>
            <w:noProof/>
          </w:rPr>
          <w:t>Introduction</w:t>
        </w:r>
        <w:r w:rsidR="00736C1F">
          <w:rPr>
            <w:noProof/>
            <w:webHidden/>
          </w:rPr>
          <w:tab/>
        </w:r>
        <w:r w:rsidR="00736C1F">
          <w:rPr>
            <w:noProof/>
            <w:webHidden/>
          </w:rPr>
          <w:fldChar w:fldCharType="begin"/>
        </w:r>
        <w:r w:rsidR="00736C1F">
          <w:rPr>
            <w:noProof/>
            <w:webHidden/>
          </w:rPr>
          <w:instrText xml:space="preserve"> PAGEREF _Toc225365664 \h </w:instrText>
        </w:r>
        <w:r w:rsidR="00736C1F">
          <w:rPr>
            <w:noProof/>
            <w:webHidden/>
          </w:rPr>
        </w:r>
        <w:r w:rsidR="00736C1F">
          <w:rPr>
            <w:noProof/>
            <w:webHidden/>
          </w:rPr>
          <w:fldChar w:fldCharType="separate"/>
        </w:r>
        <w:r w:rsidR="00736C1F">
          <w:rPr>
            <w:noProof/>
            <w:webHidden/>
          </w:rPr>
          <w:t>1</w:t>
        </w:r>
        <w:r w:rsidR="00736C1F">
          <w:rPr>
            <w:noProof/>
            <w:webHidden/>
          </w:rPr>
          <w:fldChar w:fldCharType="end"/>
        </w:r>
      </w:hyperlink>
    </w:p>
    <w:p w14:paraId="16F59335" w14:textId="47A1DE63" w:rsidR="00736C1F" w:rsidRDefault="00736C1F">
      <w:pPr>
        <w:pStyle w:val="TOC1"/>
        <w:tabs>
          <w:tab w:val="left" w:pos="440"/>
          <w:tab w:val="right" w:leader="dot" w:pos="9350"/>
        </w:tabs>
        <w:rPr>
          <w:rFonts w:cstheme="minorBidi"/>
          <w:noProof/>
          <w:kern w:val="2"/>
          <w:sz w:val="24"/>
          <w:szCs w:val="24"/>
          <w14:ligatures w14:val="standardContextual"/>
        </w:rPr>
      </w:pPr>
      <w:hyperlink w:anchor="_Toc225365665" w:history="1">
        <w:r w:rsidRPr="00A279D7">
          <w:rPr>
            <w:rStyle w:val="Hyperlink"/>
            <w:noProof/>
          </w:rPr>
          <w:t>2</w:t>
        </w:r>
        <w:r>
          <w:rPr>
            <w:rFonts w:cstheme="minorBidi"/>
            <w:noProof/>
            <w:kern w:val="2"/>
            <w:sz w:val="24"/>
            <w:szCs w:val="24"/>
            <w14:ligatures w14:val="standardContextual"/>
          </w:rPr>
          <w:tab/>
        </w:r>
        <w:r w:rsidRPr="00A279D7">
          <w:rPr>
            <w:rStyle w:val="Hyperlink"/>
            <w:noProof/>
          </w:rPr>
          <w:t>Program Description</w:t>
        </w:r>
        <w:r>
          <w:rPr>
            <w:noProof/>
            <w:webHidden/>
          </w:rPr>
          <w:tab/>
        </w:r>
        <w:r>
          <w:rPr>
            <w:noProof/>
            <w:webHidden/>
          </w:rPr>
          <w:fldChar w:fldCharType="begin"/>
        </w:r>
        <w:r>
          <w:rPr>
            <w:noProof/>
            <w:webHidden/>
          </w:rPr>
          <w:instrText xml:space="preserve"> PAGEREF _Toc225365665 \h </w:instrText>
        </w:r>
        <w:r>
          <w:rPr>
            <w:noProof/>
            <w:webHidden/>
          </w:rPr>
        </w:r>
        <w:r>
          <w:rPr>
            <w:noProof/>
            <w:webHidden/>
          </w:rPr>
          <w:fldChar w:fldCharType="separate"/>
        </w:r>
        <w:r>
          <w:rPr>
            <w:noProof/>
            <w:webHidden/>
          </w:rPr>
          <w:t>1</w:t>
        </w:r>
        <w:r>
          <w:rPr>
            <w:noProof/>
            <w:webHidden/>
          </w:rPr>
          <w:fldChar w:fldCharType="end"/>
        </w:r>
      </w:hyperlink>
    </w:p>
    <w:p w14:paraId="661D1B03" w14:textId="6F5D0696" w:rsidR="00736C1F" w:rsidRDefault="00736C1F">
      <w:pPr>
        <w:pStyle w:val="TOC1"/>
        <w:tabs>
          <w:tab w:val="left" w:pos="440"/>
          <w:tab w:val="right" w:leader="dot" w:pos="9350"/>
        </w:tabs>
        <w:rPr>
          <w:rFonts w:cstheme="minorBidi"/>
          <w:noProof/>
          <w:kern w:val="2"/>
          <w:sz w:val="24"/>
          <w:szCs w:val="24"/>
          <w14:ligatures w14:val="standardContextual"/>
        </w:rPr>
      </w:pPr>
      <w:hyperlink w:anchor="_Toc225365666" w:history="1">
        <w:r w:rsidRPr="00A279D7">
          <w:rPr>
            <w:rStyle w:val="Hyperlink"/>
            <w:noProof/>
          </w:rPr>
          <w:t>3</w:t>
        </w:r>
        <w:r>
          <w:rPr>
            <w:rFonts w:cstheme="minorBidi"/>
            <w:noProof/>
            <w:kern w:val="2"/>
            <w:sz w:val="24"/>
            <w:szCs w:val="24"/>
            <w14:ligatures w14:val="standardContextual"/>
          </w:rPr>
          <w:tab/>
        </w:r>
        <w:r w:rsidRPr="00A279D7">
          <w:rPr>
            <w:rStyle w:val="Hyperlink"/>
            <w:noProof/>
          </w:rPr>
          <w:t>Program Savings Detail</w:t>
        </w:r>
        <w:r>
          <w:rPr>
            <w:noProof/>
            <w:webHidden/>
          </w:rPr>
          <w:tab/>
        </w:r>
        <w:r>
          <w:rPr>
            <w:noProof/>
            <w:webHidden/>
          </w:rPr>
          <w:fldChar w:fldCharType="begin"/>
        </w:r>
        <w:r>
          <w:rPr>
            <w:noProof/>
            <w:webHidden/>
          </w:rPr>
          <w:instrText xml:space="preserve"> PAGEREF _Toc225365666 \h </w:instrText>
        </w:r>
        <w:r>
          <w:rPr>
            <w:noProof/>
            <w:webHidden/>
          </w:rPr>
        </w:r>
        <w:r>
          <w:rPr>
            <w:noProof/>
            <w:webHidden/>
          </w:rPr>
          <w:fldChar w:fldCharType="separate"/>
        </w:r>
        <w:r>
          <w:rPr>
            <w:noProof/>
            <w:webHidden/>
          </w:rPr>
          <w:t>2</w:t>
        </w:r>
        <w:r>
          <w:rPr>
            <w:noProof/>
            <w:webHidden/>
          </w:rPr>
          <w:fldChar w:fldCharType="end"/>
        </w:r>
      </w:hyperlink>
    </w:p>
    <w:p w14:paraId="05A23C3A" w14:textId="4FBBC7B9" w:rsidR="00736C1F" w:rsidRDefault="00736C1F">
      <w:pPr>
        <w:pStyle w:val="TOC1"/>
        <w:tabs>
          <w:tab w:val="left" w:pos="440"/>
          <w:tab w:val="right" w:leader="dot" w:pos="9350"/>
        </w:tabs>
        <w:rPr>
          <w:rFonts w:cstheme="minorBidi"/>
          <w:noProof/>
          <w:kern w:val="2"/>
          <w:sz w:val="24"/>
          <w:szCs w:val="24"/>
          <w14:ligatures w14:val="standardContextual"/>
        </w:rPr>
      </w:pPr>
      <w:hyperlink w:anchor="_Toc225365667" w:history="1">
        <w:r w:rsidRPr="00A279D7">
          <w:rPr>
            <w:rStyle w:val="Hyperlink"/>
            <w:noProof/>
          </w:rPr>
          <w:t>4</w:t>
        </w:r>
        <w:r>
          <w:rPr>
            <w:rFonts w:cstheme="minorBidi"/>
            <w:noProof/>
            <w:kern w:val="2"/>
            <w:sz w:val="24"/>
            <w:szCs w:val="24"/>
            <w14:ligatures w14:val="standardContextual"/>
          </w:rPr>
          <w:tab/>
        </w:r>
        <w:r w:rsidRPr="00A279D7">
          <w:rPr>
            <w:rStyle w:val="Hyperlink"/>
            <w:noProof/>
          </w:rPr>
          <w:t>Program Savings by Measure</w:t>
        </w:r>
        <w:r>
          <w:rPr>
            <w:noProof/>
            <w:webHidden/>
          </w:rPr>
          <w:tab/>
        </w:r>
        <w:r>
          <w:rPr>
            <w:noProof/>
            <w:webHidden/>
          </w:rPr>
          <w:fldChar w:fldCharType="begin"/>
        </w:r>
        <w:r>
          <w:rPr>
            <w:noProof/>
            <w:webHidden/>
          </w:rPr>
          <w:instrText xml:space="preserve"> PAGEREF _Toc225365667 \h </w:instrText>
        </w:r>
        <w:r>
          <w:rPr>
            <w:noProof/>
            <w:webHidden/>
          </w:rPr>
        </w:r>
        <w:r>
          <w:rPr>
            <w:noProof/>
            <w:webHidden/>
          </w:rPr>
          <w:fldChar w:fldCharType="separate"/>
        </w:r>
        <w:r>
          <w:rPr>
            <w:noProof/>
            <w:webHidden/>
          </w:rPr>
          <w:t>2</w:t>
        </w:r>
        <w:r>
          <w:rPr>
            <w:noProof/>
            <w:webHidden/>
          </w:rPr>
          <w:fldChar w:fldCharType="end"/>
        </w:r>
      </w:hyperlink>
    </w:p>
    <w:p w14:paraId="3BED3365" w14:textId="33BBE6C0" w:rsidR="00736C1F" w:rsidRDefault="00736C1F">
      <w:pPr>
        <w:pStyle w:val="TOC1"/>
        <w:tabs>
          <w:tab w:val="left" w:pos="440"/>
          <w:tab w:val="right" w:leader="dot" w:pos="9350"/>
        </w:tabs>
        <w:rPr>
          <w:rFonts w:cstheme="minorBidi"/>
          <w:noProof/>
          <w:kern w:val="2"/>
          <w:sz w:val="24"/>
          <w:szCs w:val="24"/>
          <w14:ligatures w14:val="standardContextual"/>
        </w:rPr>
      </w:pPr>
      <w:hyperlink w:anchor="_Toc225365668" w:history="1">
        <w:r w:rsidRPr="00A279D7">
          <w:rPr>
            <w:rStyle w:val="Hyperlink"/>
            <w:noProof/>
          </w:rPr>
          <w:t>5</w:t>
        </w:r>
        <w:r>
          <w:rPr>
            <w:rFonts w:cstheme="minorBidi"/>
            <w:noProof/>
            <w:kern w:val="2"/>
            <w:sz w:val="24"/>
            <w:szCs w:val="24"/>
            <w14:ligatures w14:val="standardContextual"/>
          </w:rPr>
          <w:tab/>
        </w:r>
        <w:r w:rsidRPr="00A279D7">
          <w:rPr>
            <w:rStyle w:val="Hyperlink"/>
            <w:noProof/>
          </w:rPr>
          <w:t>Impact Analysis Findings and Recommendations</w:t>
        </w:r>
        <w:r>
          <w:rPr>
            <w:noProof/>
            <w:webHidden/>
          </w:rPr>
          <w:tab/>
        </w:r>
        <w:r>
          <w:rPr>
            <w:noProof/>
            <w:webHidden/>
          </w:rPr>
          <w:fldChar w:fldCharType="begin"/>
        </w:r>
        <w:r>
          <w:rPr>
            <w:noProof/>
            <w:webHidden/>
          </w:rPr>
          <w:instrText xml:space="preserve"> PAGEREF _Toc225365668 \h </w:instrText>
        </w:r>
        <w:r>
          <w:rPr>
            <w:noProof/>
            <w:webHidden/>
          </w:rPr>
        </w:r>
        <w:r>
          <w:rPr>
            <w:noProof/>
            <w:webHidden/>
          </w:rPr>
          <w:fldChar w:fldCharType="separate"/>
        </w:r>
        <w:r>
          <w:rPr>
            <w:noProof/>
            <w:webHidden/>
          </w:rPr>
          <w:t>3</w:t>
        </w:r>
        <w:r>
          <w:rPr>
            <w:noProof/>
            <w:webHidden/>
          </w:rPr>
          <w:fldChar w:fldCharType="end"/>
        </w:r>
      </w:hyperlink>
    </w:p>
    <w:p w14:paraId="15D9779F" w14:textId="13DC3D73" w:rsidR="00736C1F" w:rsidRDefault="00736C1F">
      <w:pPr>
        <w:pStyle w:val="TOC2"/>
        <w:tabs>
          <w:tab w:val="left" w:pos="960"/>
          <w:tab w:val="right" w:leader="dot" w:pos="9350"/>
        </w:tabs>
        <w:rPr>
          <w:rFonts w:cstheme="minorBidi"/>
          <w:noProof/>
          <w:kern w:val="2"/>
          <w:sz w:val="24"/>
          <w:szCs w:val="24"/>
          <w14:ligatures w14:val="standardContextual"/>
        </w:rPr>
      </w:pPr>
      <w:hyperlink w:anchor="_Toc225365669" w:history="1">
        <w:r w:rsidRPr="00A279D7">
          <w:rPr>
            <w:rStyle w:val="Hyperlink"/>
            <w:noProof/>
          </w:rPr>
          <w:t>5.1</w:t>
        </w:r>
        <w:r>
          <w:rPr>
            <w:rFonts w:cstheme="minorBidi"/>
            <w:noProof/>
            <w:kern w:val="2"/>
            <w:sz w:val="24"/>
            <w:szCs w:val="24"/>
            <w14:ligatures w14:val="standardContextual"/>
          </w:rPr>
          <w:tab/>
        </w:r>
        <w:r w:rsidRPr="00A279D7">
          <w:rPr>
            <w:rStyle w:val="Hyperlink"/>
            <w:noProof/>
          </w:rPr>
          <w:t>Impact Parameter Estimates</w:t>
        </w:r>
        <w:r>
          <w:rPr>
            <w:noProof/>
            <w:webHidden/>
          </w:rPr>
          <w:tab/>
        </w:r>
        <w:r>
          <w:rPr>
            <w:noProof/>
            <w:webHidden/>
          </w:rPr>
          <w:fldChar w:fldCharType="begin"/>
        </w:r>
        <w:r>
          <w:rPr>
            <w:noProof/>
            <w:webHidden/>
          </w:rPr>
          <w:instrText xml:space="preserve"> PAGEREF _Toc225365669 \h </w:instrText>
        </w:r>
        <w:r>
          <w:rPr>
            <w:noProof/>
            <w:webHidden/>
          </w:rPr>
        </w:r>
        <w:r>
          <w:rPr>
            <w:noProof/>
            <w:webHidden/>
          </w:rPr>
          <w:fldChar w:fldCharType="separate"/>
        </w:r>
        <w:r>
          <w:rPr>
            <w:noProof/>
            <w:webHidden/>
          </w:rPr>
          <w:t>3</w:t>
        </w:r>
        <w:r>
          <w:rPr>
            <w:noProof/>
            <w:webHidden/>
          </w:rPr>
          <w:fldChar w:fldCharType="end"/>
        </w:r>
      </w:hyperlink>
    </w:p>
    <w:p w14:paraId="52CEBEA4" w14:textId="1D002949" w:rsidR="00736C1F" w:rsidRDefault="00736C1F">
      <w:pPr>
        <w:pStyle w:val="TOC2"/>
        <w:tabs>
          <w:tab w:val="left" w:pos="960"/>
          <w:tab w:val="right" w:leader="dot" w:pos="9350"/>
        </w:tabs>
        <w:rPr>
          <w:rFonts w:cstheme="minorBidi"/>
          <w:noProof/>
          <w:kern w:val="2"/>
          <w:sz w:val="24"/>
          <w:szCs w:val="24"/>
          <w14:ligatures w14:val="standardContextual"/>
        </w:rPr>
      </w:pPr>
      <w:hyperlink w:anchor="_Toc225365670" w:history="1">
        <w:r w:rsidRPr="00A279D7">
          <w:rPr>
            <w:rStyle w:val="Hyperlink"/>
            <w:noProof/>
          </w:rPr>
          <w:t>5.2</w:t>
        </w:r>
        <w:r>
          <w:rPr>
            <w:rFonts w:cstheme="minorBidi"/>
            <w:noProof/>
            <w:kern w:val="2"/>
            <w:sz w:val="24"/>
            <w:szCs w:val="24"/>
            <w14:ligatures w14:val="standardContextual"/>
          </w:rPr>
          <w:tab/>
        </w:r>
        <w:r w:rsidRPr="00A279D7">
          <w:rPr>
            <w:rStyle w:val="Hyperlink"/>
            <w:noProof/>
          </w:rPr>
          <w:t>Findings and Recommendations</w:t>
        </w:r>
        <w:r>
          <w:rPr>
            <w:noProof/>
            <w:webHidden/>
          </w:rPr>
          <w:tab/>
        </w:r>
        <w:r>
          <w:rPr>
            <w:noProof/>
            <w:webHidden/>
          </w:rPr>
          <w:fldChar w:fldCharType="begin"/>
        </w:r>
        <w:r>
          <w:rPr>
            <w:noProof/>
            <w:webHidden/>
          </w:rPr>
          <w:instrText xml:space="preserve"> PAGEREF _Toc225365670 \h </w:instrText>
        </w:r>
        <w:r>
          <w:rPr>
            <w:noProof/>
            <w:webHidden/>
          </w:rPr>
        </w:r>
        <w:r>
          <w:rPr>
            <w:noProof/>
            <w:webHidden/>
          </w:rPr>
          <w:fldChar w:fldCharType="separate"/>
        </w:r>
        <w:r>
          <w:rPr>
            <w:noProof/>
            <w:webHidden/>
          </w:rPr>
          <w:t>4</w:t>
        </w:r>
        <w:r>
          <w:rPr>
            <w:noProof/>
            <w:webHidden/>
          </w:rPr>
          <w:fldChar w:fldCharType="end"/>
        </w:r>
      </w:hyperlink>
    </w:p>
    <w:p w14:paraId="6074760A" w14:textId="6FC242E9" w:rsidR="00736C1F" w:rsidRDefault="00736C1F">
      <w:pPr>
        <w:pStyle w:val="TOC1"/>
        <w:tabs>
          <w:tab w:val="right" w:leader="dot" w:pos="9350"/>
        </w:tabs>
        <w:rPr>
          <w:rFonts w:cstheme="minorBidi"/>
          <w:noProof/>
          <w:kern w:val="2"/>
          <w:sz w:val="24"/>
          <w:szCs w:val="24"/>
          <w14:ligatures w14:val="standardContextual"/>
        </w:rPr>
      </w:pPr>
      <w:hyperlink w:anchor="_Toc225365671" w:history="1">
        <w:r w:rsidRPr="00A279D7">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_Toc225365671 \h </w:instrText>
        </w:r>
        <w:r>
          <w:rPr>
            <w:noProof/>
            <w:webHidden/>
          </w:rPr>
        </w:r>
        <w:r>
          <w:rPr>
            <w:noProof/>
            <w:webHidden/>
          </w:rPr>
          <w:fldChar w:fldCharType="separate"/>
        </w:r>
        <w:r>
          <w:rPr>
            <w:noProof/>
            <w:webHidden/>
          </w:rPr>
          <w:t>5</w:t>
        </w:r>
        <w:r>
          <w:rPr>
            <w:noProof/>
            <w:webHidden/>
          </w:rPr>
          <w:fldChar w:fldCharType="end"/>
        </w:r>
      </w:hyperlink>
    </w:p>
    <w:p w14:paraId="6EE13D04" w14:textId="0123C410" w:rsidR="00736C1F" w:rsidRDefault="00736C1F">
      <w:pPr>
        <w:pStyle w:val="TOC1"/>
        <w:tabs>
          <w:tab w:val="right" w:leader="dot" w:pos="9350"/>
        </w:tabs>
        <w:rPr>
          <w:rFonts w:cstheme="minorBidi"/>
          <w:noProof/>
          <w:kern w:val="2"/>
          <w:sz w:val="24"/>
          <w:szCs w:val="24"/>
          <w14:ligatures w14:val="standardContextual"/>
        </w:rPr>
      </w:pPr>
      <w:hyperlink w:anchor="_Toc225365672" w:history="1">
        <w:r w:rsidRPr="00A279D7">
          <w:rPr>
            <w:rStyle w:val="Hyperlink"/>
            <w:rFonts w:ascii="Aptos Display" w:eastAsia="Aptos Display" w:hAnsi="Aptos Display" w:cs="Aptos Display"/>
            <w:noProof/>
          </w:rPr>
          <w:t>Appendix B. Program Specific Inputs for the Illinois TRC</w:t>
        </w:r>
        <w:r>
          <w:rPr>
            <w:noProof/>
            <w:webHidden/>
          </w:rPr>
          <w:tab/>
        </w:r>
        <w:r>
          <w:rPr>
            <w:noProof/>
            <w:webHidden/>
          </w:rPr>
          <w:fldChar w:fldCharType="begin"/>
        </w:r>
        <w:r>
          <w:rPr>
            <w:noProof/>
            <w:webHidden/>
          </w:rPr>
          <w:instrText xml:space="preserve"> PAGEREF _Toc225365672 \h </w:instrText>
        </w:r>
        <w:r>
          <w:rPr>
            <w:noProof/>
            <w:webHidden/>
          </w:rPr>
        </w:r>
        <w:r>
          <w:rPr>
            <w:noProof/>
            <w:webHidden/>
          </w:rPr>
          <w:fldChar w:fldCharType="separate"/>
        </w:r>
        <w:r>
          <w:rPr>
            <w:noProof/>
            <w:webHidden/>
          </w:rPr>
          <w:t>6</w:t>
        </w:r>
        <w:r>
          <w:rPr>
            <w:noProof/>
            <w:webHidden/>
          </w:rPr>
          <w:fldChar w:fldCharType="end"/>
        </w:r>
      </w:hyperlink>
    </w:p>
    <w:p w14:paraId="7E613462" w14:textId="51EEA50F" w:rsidR="0BF76A9C" w:rsidRDefault="0BF76A9C" w:rsidP="0BF76A9C">
      <w:pPr>
        <w:pStyle w:val="TOC1"/>
        <w:tabs>
          <w:tab w:val="right" w:leader="dot" w:pos="9345"/>
        </w:tabs>
      </w:pPr>
      <w:r>
        <w:fldChar w:fldCharType="end"/>
      </w:r>
    </w:p>
    <w:p w14:paraId="46033CAD" w14:textId="4194E4AF" w:rsidR="008C17F1" w:rsidRDefault="008C17F1"/>
    <w:p w14:paraId="08802225" w14:textId="4D7A0146" w:rsidR="008C17F1" w:rsidRPr="008C17F1" w:rsidRDefault="008C17F1">
      <w:pPr>
        <w:rPr>
          <w:sz w:val="40"/>
          <w:szCs w:val="40"/>
        </w:rPr>
      </w:pPr>
      <w:r>
        <w:rPr>
          <w:sz w:val="40"/>
          <w:szCs w:val="40"/>
        </w:rPr>
        <w:t>Table of Tables, Figures, and Equations</w:t>
      </w:r>
    </w:p>
    <w:p w14:paraId="2138DDE2" w14:textId="741BACC6" w:rsidR="00736C1F"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365673" w:history="1">
        <w:r w:rsidR="00736C1F" w:rsidRPr="00946742">
          <w:rPr>
            <w:rStyle w:val="Hyperlink"/>
            <w:noProof/>
          </w:rPr>
          <w:t>Table 1. 2025 Volumetric Findings Detail</w:t>
        </w:r>
        <w:r w:rsidR="00736C1F">
          <w:rPr>
            <w:noProof/>
            <w:webHidden/>
          </w:rPr>
          <w:tab/>
        </w:r>
        <w:r w:rsidR="00736C1F">
          <w:rPr>
            <w:noProof/>
            <w:webHidden/>
          </w:rPr>
          <w:fldChar w:fldCharType="begin"/>
        </w:r>
        <w:r w:rsidR="00736C1F">
          <w:rPr>
            <w:noProof/>
            <w:webHidden/>
          </w:rPr>
          <w:instrText xml:space="preserve"> PAGEREF _Toc225365673 \h </w:instrText>
        </w:r>
        <w:r w:rsidR="00736C1F">
          <w:rPr>
            <w:noProof/>
            <w:webHidden/>
          </w:rPr>
        </w:r>
        <w:r w:rsidR="00736C1F">
          <w:rPr>
            <w:noProof/>
            <w:webHidden/>
          </w:rPr>
          <w:fldChar w:fldCharType="separate"/>
        </w:r>
        <w:r w:rsidR="00736C1F">
          <w:rPr>
            <w:noProof/>
            <w:webHidden/>
          </w:rPr>
          <w:t>1</w:t>
        </w:r>
        <w:r w:rsidR="00736C1F">
          <w:rPr>
            <w:noProof/>
            <w:webHidden/>
          </w:rPr>
          <w:fldChar w:fldCharType="end"/>
        </w:r>
      </w:hyperlink>
    </w:p>
    <w:p w14:paraId="1DA4EBE3" w14:textId="38638E09" w:rsidR="00736C1F" w:rsidRDefault="00736C1F">
      <w:pPr>
        <w:pStyle w:val="TableofFigures"/>
        <w:tabs>
          <w:tab w:val="right" w:leader="dot" w:pos="9350"/>
        </w:tabs>
        <w:rPr>
          <w:noProof/>
          <w:kern w:val="2"/>
          <w:sz w:val="24"/>
          <w:lang w:eastAsia="en-US"/>
          <w14:ligatures w14:val="standardContextual"/>
        </w:rPr>
      </w:pPr>
      <w:hyperlink w:anchor="_Toc225365674" w:history="1">
        <w:r w:rsidRPr="00946742">
          <w:rPr>
            <w:rStyle w:val="Hyperlink"/>
            <w:noProof/>
          </w:rPr>
          <w:t>Table 2. 2025 Installed Measure Quantities</w:t>
        </w:r>
        <w:r>
          <w:rPr>
            <w:noProof/>
            <w:webHidden/>
          </w:rPr>
          <w:tab/>
        </w:r>
        <w:r>
          <w:rPr>
            <w:noProof/>
            <w:webHidden/>
          </w:rPr>
          <w:fldChar w:fldCharType="begin"/>
        </w:r>
        <w:r>
          <w:rPr>
            <w:noProof/>
            <w:webHidden/>
          </w:rPr>
          <w:instrText xml:space="preserve"> PAGEREF _Toc225365674 \h </w:instrText>
        </w:r>
        <w:r>
          <w:rPr>
            <w:noProof/>
            <w:webHidden/>
          </w:rPr>
        </w:r>
        <w:r>
          <w:rPr>
            <w:noProof/>
            <w:webHidden/>
          </w:rPr>
          <w:fldChar w:fldCharType="separate"/>
        </w:r>
        <w:r>
          <w:rPr>
            <w:noProof/>
            <w:webHidden/>
          </w:rPr>
          <w:t>2</w:t>
        </w:r>
        <w:r>
          <w:rPr>
            <w:noProof/>
            <w:webHidden/>
          </w:rPr>
          <w:fldChar w:fldCharType="end"/>
        </w:r>
      </w:hyperlink>
    </w:p>
    <w:p w14:paraId="5AFA3390" w14:textId="3F31525C" w:rsidR="00736C1F" w:rsidRDefault="00736C1F">
      <w:pPr>
        <w:pStyle w:val="TableofFigures"/>
        <w:tabs>
          <w:tab w:val="right" w:leader="dot" w:pos="9350"/>
        </w:tabs>
        <w:rPr>
          <w:noProof/>
          <w:kern w:val="2"/>
          <w:sz w:val="24"/>
          <w:lang w:eastAsia="en-US"/>
          <w14:ligatures w14:val="standardContextual"/>
        </w:rPr>
      </w:pPr>
      <w:hyperlink w:anchor="_Toc225365675" w:history="1">
        <w:r w:rsidRPr="00946742">
          <w:rPr>
            <w:rStyle w:val="Hyperlink"/>
            <w:noProof/>
          </w:rPr>
          <w:t>Table 3. 2025 Annual Energy Savings Summary</w:t>
        </w:r>
        <w:r>
          <w:rPr>
            <w:noProof/>
            <w:webHidden/>
          </w:rPr>
          <w:tab/>
        </w:r>
        <w:r>
          <w:rPr>
            <w:noProof/>
            <w:webHidden/>
          </w:rPr>
          <w:fldChar w:fldCharType="begin"/>
        </w:r>
        <w:r>
          <w:rPr>
            <w:noProof/>
            <w:webHidden/>
          </w:rPr>
          <w:instrText xml:space="preserve"> PAGEREF _Toc225365675 \h </w:instrText>
        </w:r>
        <w:r>
          <w:rPr>
            <w:noProof/>
            <w:webHidden/>
          </w:rPr>
        </w:r>
        <w:r>
          <w:rPr>
            <w:noProof/>
            <w:webHidden/>
          </w:rPr>
          <w:fldChar w:fldCharType="separate"/>
        </w:r>
        <w:r>
          <w:rPr>
            <w:noProof/>
            <w:webHidden/>
          </w:rPr>
          <w:t>2</w:t>
        </w:r>
        <w:r>
          <w:rPr>
            <w:noProof/>
            <w:webHidden/>
          </w:rPr>
          <w:fldChar w:fldCharType="end"/>
        </w:r>
      </w:hyperlink>
    </w:p>
    <w:p w14:paraId="4B98FBD2" w14:textId="1A2E7810" w:rsidR="00736C1F" w:rsidRDefault="00736C1F">
      <w:pPr>
        <w:pStyle w:val="TableofFigures"/>
        <w:tabs>
          <w:tab w:val="right" w:leader="dot" w:pos="9350"/>
        </w:tabs>
        <w:rPr>
          <w:noProof/>
          <w:kern w:val="2"/>
          <w:sz w:val="24"/>
          <w:lang w:eastAsia="en-US"/>
          <w14:ligatures w14:val="standardContextual"/>
        </w:rPr>
      </w:pPr>
      <w:hyperlink w:anchor="_Toc225365676" w:history="1">
        <w:r w:rsidRPr="00946742">
          <w:rPr>
            <w:rStyle w:val="Hyperlink"/>
            <w:noProof/>
          </w:rPr>
          <w:t>Table 4. 2025 Annual Energy Savings by Measure</w:t>
        </w:r>
        <w:r>
          <w:rPr>
            <w:noProof/>
            <w:webHidden/>
          </w:rPr>
          <w:tab/>
        </w:r>
        <w:r>
          <w:rPr>
            <w:noProof/>
            <w:webHidden/>
          </w:rPr>
          <w:fldChar w:fldCharType="begin"/>
        </w:r>
        <w:r>
          <w:rPr>
            <w:noProof/>
            <w:webHidden/>
          </w:rPr>
          <w:instrText xml:space="preserve"> PAGEREF _Toc225365676 \h </w:instrText>
        </w:r>
        <w:r>
          <w:rPr>
            <w:noProof/>
            <w:webHidden/>
          </w:rPr>
        </w:r>
        <w:r>
          <w:rPr>
            <w:noProof/>
            <w:webHidden/>
          </w:rPr>
          <w:fldChar w:fldCharType="separate"/>
        </w:r>
        <w:r>
          <w:rPr>
            <w:noProof/>
            <w:webHidden/>
          </w:rPr>
          <w:t>2</w:t>
        </w:r>
        <w:r>
          <w:rPr>
            <w:noProof/>
            <w:webHidden/>
          </w:rPr>
          <w:fldChar w:fldCharType="end"/>
        </w:r>
      </w:hyperlink>
    </w:p>
    <w:p w14:paraId="47017F54" w14:textId="12F0CEF6" w:rsidR="00736C1F" w:rsidRDefault="00736C1F">
      <w:pPr>
        <w:pStyle w:val="TableofFigures"/>
        <w:tabs>
          <w:tab w:val="right" w:leader="dot" w:pos="9350"/>
        </w:tabs>
        <w:rPr>
          <w:noProof/>
          <w:kern w:val="2"/>
          <w:sz w:val="24"/>
          <w:lang w:eastAsia="en-US"/>
          <w14:ligatures w14:val="standardContextual"/>
        </w:rPr>
      </w:pPr>
      <w:hyperlink w:anchor="_Toc225365677" w:history="1">
        <w:r w:rsidRPr="00946742">
          <w:rPr>
            <w:rStyle w:val="Hyperlink"/>
            <w:noProof/>
          </w:rPr>
          <w:t>Table 5. Verified Gross Savings Parameters</w:t>
        </w:r>
        <w:r>
          <w:rPr>
            <w:noProof/>
            <w:webHidden/>
          </w:rPr>
          <w:tab/>
        </w:r>
        <w:r>
          <w:rPr>
            <w:noProof/>
            <w:webHidden/>
          </w:rPr>
          <w:fldChar w:fldCharType="begin"/>
        </w:r>
        <w:r>
          <w:rPr>
            <w:noProof/>
            <w:webHidden/>
          </w:rPr>
          <w:instrText xml:space="preserve"> PAGEREF _Toc225365677 \h </w:instrText>
        </w:r>
        <w:r>
          <w:rPr>
            <w:noProof/>
            <w:webHidden/>
          </w:rPr>
        </w:r>
        <w:r>
          <w:rPr>
            <w:noProof/>
            <w:webHidden/>
          </w:rPr>
          <w:fldChar w:fldCharType="separate"/>
        </w:r>
        <w:r>
          <w:rPr>
            <w:noProof/>
            <w:webHidden/>
          </w:rPr>
          <w:t>3</w:t>
        </w:r>
        <w:r>
          <w:rPr>
            <w:noProof/>
            <w:webHidden/>
          </w:rPr>
          <w:fldChar w:fldCharType="end"/>
        </w:r>
      </w:hyperlink>
    </w:p>
    <w:p w14:paraId="3DA6E9E2" w14:textId="1F7EA3C4" w:rsidR="00E87E4D"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0"/>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5365664"/>
      <w:r>
        <w:lastRenderedPageBreak/>
        <w:t>Introduction</w:t>
      </w:r>
      <w:bookmarkEnd w:id="0"/>
      <w:bookmarkEnd w:id="1"/>
      <w:bookmarkEnd w:id="2"/>
    </w:p>
    <w:p w14:paraId="0D4DE561" w14:textId="2B8CC057" w:rsidR="00BF0C66" w:rsidRPr="00B34EF6" w:rsidRDefault="00BF0C66" w:rsidP="00BF0C66">
      <w:pPr>
        <w:pStyle w:val="BodyText"/>
        <w:rPr>
          <w:rFonts w:asciiTheme="minorHAnsi" w:eastAsiaTheme="minorEastAsia" w:hAnsiTheme="minorHAnsi" w:cstheme="minorBidi"/>
          <w:szCs w:val="24"/>
          <w:lang w:eastAsia="ja-JP"/>
        </w:rPr>
      </w:pPr>
      <w:r w:rsidRPr="00B34EF6">
        <w:rPr>
          <w:rFonts w:asciiTheme="minorHAnsi" w:eastAsiaTheme="minorEastAsia" w:hAnsiTheme="minorHAnsi" w:cstheme="minorBidi"/>
          <w:szCs w:val="24"/>
          <w:lang w:eastAsia="ja-JP"/>
        </w:rPr>
        <w:t xml:space="preserve">This report presents the results of the impact evaluation of the </w:t>
      </w:r>
      <w:r w:rsidR="0036759E" w:rsidRPr="00B34EF6">
        <w:rPr>
          <w:rFonts w:asciiTheme="minorHAnsi" w:eastAsiaTheme="minorEastAsia" w:hAnsiTheme="minorHAnsi" w:cstheme="minorBidi"/>
          <w:szCs w:val="24"/>
          <w:lang w:eastAsia="ja-JP"/>
        </w:rPr>
        <w:t>Nicor Gas 2025</w:t>
      </w:r>
      <w:r w:rsidR="0075744E" w:rsidRPr="00B34EF6">
        <w:rPr>
          <w:rFonts w:asciiTheme="minorHAnsi" w:eastAsiaTheme="minorEastAsia" w:hAnsiTheme="minorHAnsi" w:cstheme="minorBidi"/>
          <w:szCs w:val="24"/>
          <w:lang w:eastAsia="ja-JP"/>
        </w:rPr>
        <w:t xml:space="preserve"> </w:t>
      </w:r>
      <w:r w:rsidR="00BC7395" w:rsidRPr="00B34EF6">
        <w:rPr>
          <w:rFonts w:asciiTheme="minorHAnsi" w:eastAsiaTheme="minorEastAsia" w:hAnsiTheme="minorHAnsi" w:cstheme="minorBidi"/>
          <w:szCs w:val="24"/>
          <w:lang w:eastAsia="ja-JP"/>
        </w:rPr>
        <w:t xml:space="preserve">Smart </w:t>
      </w:r>
      <w:r w:rsidR="00790B2B" w:rsidRPr="00B34EF6">
        <w:rPr>
          <w:rFonts w:asciiTheme="minorHAnsi" w:eastAsiaTheme="minorEastAsia" w:hAnsiTheme="minorHAnsi" w:cstheme="minorBidi"/>
          <w:szCs w:val="24"/>
          <w:lang w:eastAsia="ja-JP"/>
        </w:rPr>
        <w:t>Neighborhood Builder</w:t>
      </w:r>
      <w:r w:rsidR="00E60D99" w:rsidRPr="00B34EF6">
        <w:rPr>
          <w:rFonts w:asciiTheme="minorHAnsi" w:eastAsiaTheme="minorEastAsia" w:hAnsiTheme="minorHAnsi" w:cstheme="minorBidi"/>
          <w:szCs w:val="24"/>
          <w:lang w:eastAsia="ja-JP"/>
        </w:rPr>
        <w:t xml:space="preserve"> </w:t>
      </w:r>
      <w:r w:rsidR="009C3240">
        <w:rPr>
          <w:rFonts w:asciiTheme="minorHAnsi" w:eastAsiaTheme="minorEastAsia" w:hAnsiTheme="minorHAnsi" w:cstheme="minorBidi"/>
          <w:szCs w:val="24"/>
          <w:lang w:eastAsia="ja-JP"/>
        </w:rPr>
        <w:t>(SNB)</w:t>
      </w:r>
      <w:r w:rsidR="00E60D99" w:rsidRPr="00B34EF6">
        <w:rPr>
          <w:rFonts w:asciiTheme="minorHAnsi" w:eastAsiaTheme="minorEastAsia" w:hAnsiTheme="minorHAnsi" w:cstheme="minorBidi"/>
          <w:szCs w:val="24"/>
          <w:lang w:eastAsia="ja-JP"/>
        </w:rPr>
        <w:t xml:space="preserve"> </w:t>
      </w:r>
      <w:r w:rsidR="0011574B">
        <w:rPr>
          <w:rFonts w:asciiTheme="minorHAnsi" w:eastAsiaTheme="minorEastAsia" w:hAnsiTheme="minorHAnsi" w:cstheme="minorBidi"/>
          <w:szCs w:val="24"/>
          <w:lang w:eastAsia="ja-JP"/>
        </w:rPr>
        <w:t>P</w:t>
      </w:r>
      <w:r w:rsidRPr="00B34EF6">
        <w:rPr>
          <w:rFonts w:asciiTheme="minorHAnsi" w:eastAsiaTheme="minorEastAsia" w:hAnsiTheme="minorHAnsi" w:cstheme="minorBidi"/>
          <w:szCs w:val="24"/>
          <w:lang w:eastAsia="ja-JP"/>
        </w:rPr>
        <w:t>rogram</w:t>
      </w:r>
      <w:r w:rsidR="000D42A3" w:rsidRPr="00B34EF6">
        <w:rPr>
          <w:rFonts w:asciiTheme="minorHAnsi" w:eastAsiaTheme="minorEastAsia" w:hAnsiTheme="minorHAnsi" w:cstheme="minorBidi"/>
          <w:szCs w:val="24"/>
          <w:lang w:eastAsia="ja-JP"/>
        </w:rPr>
        <w:t xml:space="preserve">. It </w:t>
      </w:r>
      <w:r w:rsidR="002A64B1" w:rsidRPr="00B34EF6">
        <w:rPr>
          <w:rFonts w:asciiTheme="minorHAnsi" w:eastAsiaTheme="minorEastAsia" w:hAnsiTheme="minorHAnsi" w:cstheme="minorBidi"/>
          <w:szCs w:val="24"/>
          <w:lang w:eastAsia="ja-JP"/>
        </w:rPr>
        <w:t xml:space="preserve">presents a summary of the </w:t>
      </w:r>
      <w:r w:rsidR="009F02C6" w:rsidRPr="00B34EF6">
        <w:rPr>
          <w:rFonts w:asciiTheme="minorHAnsi" w:eastAsiaTheme="minorEastAsia" w:hAnsiTheme="minorHAnsi" w:cstheme="minorBidi"/>
          <w:szCs w:val="24"/>
          <w:lang w:eastAsia="ja-JP"/>
        </w:rPr>
        <w:t>energy</w:t>
      </w:r>
      <w:r w:rsidR="002A64B1" w:rsidRPr="00B34EF6">
        <w:rPr>
          <w:rFonts w:asciiTheme="minorHAnsi" w:eastAsiaTheme="minorEastAsia" w:hAnsiTheme="minorHAnsi" w:cstheme="minorBidi"/>
          <w:szCs w:val="24"/>
          <w:lang w:eastAsia="ja-JP"/>
        </w:rPr>
        <w:t xml:space="preserve"> impacts for the total program and broken out by relevant measure and program </w:t>
      </w:r>
      <w:r w:rsidR="009F02C6" w:rsidRPr="00B34EF6">
        <w:rPr>
          <w:rFonts w:asciiTheme="minorHAnsi" w:eastAsiaTheme="minorEastAsia" w:hAnsiTheme="minorHAnsi" w:cstheme="minorBidi"/>
          <w:szCs w:val="24"/>
          <w:lang w:eastAsia="ja-JP"/>
        </w:rPr>
        <w:t>structure</w:t>
      </w:r>
      <w:r w:rsidR="002A64B1" w:rsidRPr="00B34EF6">
        <w:rPr>
          <w:rFonts w:asciiTheme="minorHAnsi" w:eastAsiaTheme="minorEastAsia" w:hAnsiTheme="minorHAnsi" w:cstheme="minorBidi"/>
          <w:szCs w:val="24"/>
          <w:lang w:eastAsia="ja-JP"/>
        </w:rPr>
        <w:t xml:space="preserve"> details. The appendi</w:t>
      </w:r>
      <w:r w:rsidR="002B3553">
        <w:rPr>
          <w:rFonts w:asciiTheme="minorHAnsi" w:eastAsiaTheme="minorEastAsia" w:hAnsiTheme="minorHAnsi" w:cstheme="minorBidi"/>
          <w:szCs w:val="24"/>
          <w:lang w:eastAsia="ja-JP"/>
        </w:rPr>
        <w:t>ces</w:t>
      </w:r>
      <w:r w:rsidR="002A64B1" w:rsidRPr="00B34EF6">
        <w:rPr>
          <w:rFonts w:asciiTheme="minorHAnsi" w:eastAsiaTheme="minorEastAsia" w:hAnsiTheme="minorHAnsi" w:cstheme="minorBidi"/>
          <w:szCs w:val="24"/>
          <w:lang w:eastAsia="ja-JP"/>
        </w:rPr>
        <w:t xml:space="preserve"> present the impact analysis methodology</w:t>
      </w:r>
      <w:r w:rsidR="002B7FF2">
        <w:rPr>
          <w:rFonts w:asciiTheme="minorHAnsi" w:eastAsiaTheme="minorEastAsia" w:hAnsiTheme="minorHAnsi" w:cstheme="minorBidi"/>
          <w:szCs w:val="24"/>
          <w:lang w:eastAsia="ja-JP"/>
        </w:rPr>
        <w:t xml:space="preserve"> and inputs for the Illinois TRC</w:t>
      </w:r>
      <w:r w:rsidR="002A64B1" w:rsidRPr="00B34EF6">
        <w:rPr>
          <w:rFonts w:asciiTheme="minorHAnsi" w:eastAsiaTheme="minorEastAsia" w:hAnsiTheme="minorHAnsi" w:cstheme="minorBidi"/>
          <w:szCs w:val="24"/>
          <w:lang w:eastAsia="ja-JP"/>
        </w:rPr>
        <w:t>.</w:t>
      </w:r>
      <w:r w:rsidR="009F02C6" w:rsidRPr="00B34EF6">
        <w:rPr>
          <w:rFonts w:asciiTheme="minorHAnsi" w:eastAsiaTheme="minorEastAsia" w:hAnsiTheme="minorHAnsi" w:cstheme="minorBidi"/>
          <w:szCs w:val="24"/>
          <w:lang w:eastAsia="ja-JP"/>
        </w:rPr>
        <w:t xml:space="preserve"> Program year 2025 covers </w:t>
      </w:r>
      <w:r w:rsidRPr="00B34EF6">
        <w:rPr>
          <w:rFonts w:asciiTheme="minorHAnsi" w:eastAsiaTheme="minorEastAsia" w:hAnsiTheme="minorHAnsi" w:cstheme="minorBidi"/>
          <w:szCs w:val="24"/>
          <w:lang w:eastAsia="ja-JP"/>
        </w:rPr>
        <w:t>January 1 to December 31, 202</w:t>
      </w:r>
      <w:r w:rsidR="002E09ED" w:rsidRPr="00B34EF6">
        <w:rPr>
          <w:rFonts w:asciiTheme="minorHAnsi" w:eastAsiaTheme="minorEastAsia" w:hAnsiTheme="minorHAnsi" w:cstheme="minorBidi"/>
          <w:szCs w:val="24"/>
          <w:lang w:eastAsia="ja-JP"/>
        </w:rPr>
        <w:t>5</w:t>
      </w:r>
      <w:r w:rsidRPr="00B34EF6">
        <w:rPr>
          <w:rFonts w:asciiTheme="minorHAnsi" w:eastAsiaTheme="minorEastAsia" w:hAnsiTheme="minorHAnsi" w:cstheme="minorBidi"/>
          <w:szCs w:val="24"/>
          <w:lang w:eastAsia="ja-JP"/>
        </w:rPr>
        <w:t xml:space="preserve">. The program was designed to </w:t>
      </w:r>
      <w:r w:rsidR="00556724" w:rsidRPr="00B34EF6">
        <w:rPr>
          <w:rFonts w:asciiTheme="minorHAnsi" w:eastAsiaTheme="minorEastAsia" w:hAnsiTheme="minorHAnsi" w:cstheme="minorBidi"/>
          <w:szCs w:val="24"/>
          <w:lang w:eastAsia="ja-JP"/>
        </w:rPr>
        <w:t>encourage</w:t>
      </w:r>
      <w:r w:rsidR="002F72F4" w:rsidRPr="00B34EF6">
        <w:rPr>
          <w:rFonts w:asciiTheme="minorHAnsi" w:eastAsiaTheme="minorEastAsia" w:hAnsiTheme="minorHAnsi" w:cstheme="minorBidi"/>
          <w:szCs w:val="24"/>
          <w:lang w:eastAsia="ja-JP"/>
        </w:rPr>
        <w:t xml:space="preserve"> the construction of energy-efficient new homes by </w:t>
      </w:r>
      <w:r w:rsidR="00A9174A" w:rsidRPr="00B34EF6">
        <w:rPr>
          <w:rFonts w:asciiTheme="minorHAnsi" w:eastAsiaTheme="minorEastAsia" w:hAnsiTheme="minorHAnsi" w:cstheme="minorBidi"/>
          <w:szCs w:val="24"/>
          <w:lang w:eastAsia="ja-JP"/>
        </w:rPr>
        <w:t>incen</w:t>
      </w:r>
      <w:r w:rsidR="00890292" w:rsidRPr="00B34EF6">
        <w:rPr>
          <w:rFonts w:asciiTheme="minorHAnsi" w:eastAsiaTheme="minorEastAsia" w:hAnsiTheme="minorHAnsi" w:cstheme="minorBidi"/>
          <w:szCs w:val="24"/>
          <w:lang w:eastAsia="ja-JP"/>
        </w:rPr>
        <w:t>tivizing builders to construct new homes that exceed energy code requirements</w:t>
      </w:r>
      <w:r w:rsidR="00573046" w:rsidRPr="00B34EF6">
        <w:rPr>
          <w:rFonts w:asciiTheme="minorHAnsi" w:eastAsiaTheme="minorEastAsia" w:hAnsiTheme="minorHAnsi" w:cstheme="minorBidi"/>
          <w:szCs w:val="24"/>
          <w:lang w:eastAsia="ja-JP"/>
        </w:rPr>
        <w:t xml:space="preserve">, resulting in reduced </w:t>
      </w:r>
      <w:r w:rsidR="000D6E3F" w:rsidRPr="00B34EF6">
        <w:rPr>
          <w:rFonts w:asciiTheme="minorHAnsi" w:eastAsiaTheme="minorEastAsia" w:hAnsiTheme="minorHAnsi" w:cstheme="minorBidi"/>
          <w:szCs w:val="24"/>
          <w:lang w:eastAsia="ja-JP"/>
        </w:rPr>
        <w:t>natural</w:t>
      </w:r>
      <w:r w:rsidR="00573046" w:rsidRPr="00B34EF6">
        <w:rPr>
          <w:rFonts w:asciiTheme="minorHAnsi" w:eastAsiaTheme="minorEastAsia" w:hAnsiTheme="minorHAnsi" w:cstheme="minorBidi"/>
          <w:szCs w:val="24"/>
          <w:lang w:eastAsia="ja-JP"/>
        </w:rPr>
        <w:t xml:space="preserve"> gas consumption and improved </w:t>
      </w:r>
      <w:r w:rsidR="000D6E3F" w:rsidRPr="00B34EF6">
        <w:rPr>
          <w:rFonts w:asciiTheme="minorHAnsi" w:eastAsiaTheme="minorEastAsia" w:hAnsiTheme="minorHAnsi" w:cstheme="minorBidi"/>
          <w:szCs w:val="24"/>
          <w:lang w:eastAsia="ja-JP"/>
        </w:rPr>
        <w:t>overall energy efficiency.</w:t>
      </w:r>
    </w:p>
    <w:p w14:paraId="18549E79" w14:textId="46D5C7AA" w:rsidR="00BF0C66" w:rsidRDefault="00BF0C66" w:rsidP="00BF0C66">
      <w:pPr>
        <w:pStyle w:val="Heading1"/>
      </w:pPr>
      <w:bookmarkStart w:id="3" w:name="_Toc151976668"/>
      <w:bookmarkStart w:id="4" w:name="_Toc187399542"/>
      <w:bookmarkStart w:id="5" w:name="_Toc225365665"/>
      <w:r>
        <w:t xml:space="preserve">Program </w:t>
      </w:r>
      <w:bookmarkEnd w:id="3"/>
      <w:bookmarkEnd w:id="4"/>
      <w:r w:rsidR="005A50AE">
        <w:t>Description</w:t>
      </w:r>
      <w:bookmarkEnd w:id="5"/>
    </w:p>
    <w:p w14:paraId="70247403" w14:textId="264C2028" w:rsidR="00CC0A50" w:rsidRDefault="000E2027" w:rsidP="00B773EE">
      <w:bookmarkStart w:id="6" w:name="_Hlk500573405"/>
      <w:r>
        <w:t>The</w:t>
      </w:r>
      <w:r w:rsidR="00CC0A50">
        <w:t xml:space="preserve"> SNB program’s objective is to</w:t>
      </w:r>
      <w:r w:rsidR="00D80200">
        <w:t xml:space="preserve"> </w:t>
      </w:r>
      <w:r w:rsidR="00D80200" w:rsidRPr="00D80200">
        <w:t xml:space="preserve">obtain energy savings by increasing the energy efficiency of new </w:t>
      </w:r>
      <w:proofErr w:type="gramStart"/>
      <w:r w:rsidR="00D80200" w:rsidRPr="00D80200">
        <w:t>construction</w:t>
      </w:r>
      <w:proofErr w:type="gramEnd"/>
      <w:r w:rsidR="00D80200" w:rsidRPr="00D80200">
        <w:t xml:space="preserve"> single-family detached homes and townhomes. The program provides participating new home </w:t>
      </w:r>
      <w:r w:rsidR="00D140AE" w:rsidRPr="00D80200">
        <w:t>builders with</w:t>
      </w:r>
      <w:r w:rsidR="00D80200" w:rsidRPr="00D80200">
        <w:t xml:space="preserve"> a financial incentive to </w:t>
      </w:r>
      <w:proofErr w:type="gramStart"/>
      <w:r w:rsidR="00D80200" w:rsidRPr="00D80200">
        <w:t>either a)</w:t>
      </w:r>
      <w:proofErr w:type="gramEnd"/>
      <w:r w:rsidR="00D80200" w:rsidRPr="00D80200">
        <w:t xml:space="preserve"> exceed state and local building code requirements regarding duct and air sealing</w:t>
      </w:r>
      <w:r w:rsidR="00A14D7F">
        <w:t xml:space="preserve"> and install</w:t>
      </w:r>
      <w:r w:rsidR="00D80200" w:rsidRPr="00D80200">
        <w:t xml:space="preserve"> specific high-efficiency equipment, or b) install prescriptive high-efficiency equipment only.</w:t>
      </w:r>
    </w:p>
    <w:p w14:paraId="3BE2B44A" w14:textId="6B4129F4" w:rsidR="00B773EE" w:rsidRDefault="00B773EE" w:rsidP="00B773EE">
      <w:r>
        <w:t xml:space="preserve">The </w:t>
      </w:r>
      <w:r w:rsidR="00B34EF6">
        <w:t xml:space="preserve">SNB </w:t>
      </w:r>
      <w:r>
        <w:t>program had</w:t>
      </w:r>
      <w:r w:rsidR="00B34EF6">
        <w:t xml:space="preserve"> 1</w:t>
      </w:r>
      <w:r w:rsidR="0027053B">
        <w:t>,</w:t>
      </w:r>
      <w:r w:rsidR="00B34EF6">
        <w:t>760</w:t>
      </w:r>
      <w:r>
        <w:t xml:space="preserve"> participants in 202</w:t>
      </w:r>
      <w:r w:rsidR="00B34EF6">
        <w:t>5</w:t>
      </w:r>
      <w:r>
        <w:t xml:space="preserve"> and completed </w:t>
      </w:r>
      <w:r w:rsidR="00B34EF6">
        <w:t>1</w:t>
      </w:r>
      <w:r w:rsidR="0027053B">
        <w:t>,</w:t>
      </w:r>
      <w:r w:rsidR="00B34EF6">
        <w:t>762</w:t>
      </w:r>
      <w:r>
        <w:t xml:space="preserve"> projects as shown in the following table. </w:t>
      </w:r>
    </w:p>
    <w:p w14:paraId="7C6AECFE" w14:textId="0E9934F4" w:rsidR="00B773EE" w:rsidRDefault="00B773EE" w:rsidP="00AD3BC4">
      <w:pPr>
        <w:pStyle w:val="Caption"/>
      </w:pPr>
      <w:bookmarkStart w:id="7" w:name="_Toc189750766"/>
      <w:bookmarkStart w:id="8" w:name="_Toc225365673"/>
      <w:bookmarkEnd w:id="6"/>
      <w:r>
        <w:t xml:space="preserve">Table </w:t>
      </w:r>
      <w:r>
        <w:fldChar w:fldCharType="begin"/>
      </w:r>
      <w:r>
        <w:instrText xml:space="preserve"> SEQ Table \* ARABIC </w:instrText>
      </w:r>
      <w:r>
        <w:fldChar w:fldCharType="separate"/>
      </w:r>
      <w:r>
        <w:rPr>
          <w:noProof/>
        </w:rPr>
        <w:t>1</w:t>
      </w:r>
      <w:r>
        <w:fldChar w:fldCharType="end"/>
      </w:r>
      <w:r w:rsidRPr="00F7087A">
        <w:t>.</w:t>
      </w:r>
      <w:r>
        <w:t xml:space="preserve"> 202</w:t>
      </w:r>
      <w:r w:rsidR="002F0B52">
        <w:t>5</w:t>
      </w:r>
      <w:r>
        <w:t xml:space="preserve"> </w:t>
      </w:r>
      <w:r w:rsidRPr="005C2837">
        <w:t>Volumetric</w:t>
      </w:r>
      <w:r>
        <w:t xml:space="preserve"> Findings Detail</w:t>
      </w:r>
      <w:bookmarkEnd w:id="7"/>
      <w:bookmarkEnd w:id="8"/>
    </w:p>
    <w:tbl>
      <w:tblPr>
        <w:tblStyle w:val="EnergyTable"/>
        <w:tblW w:w="2933" w:type="pct"/>
        <w:tblLook w:val="04A0" w:firstRow="1" w:lastRow="0" w:firstColumn="1" w:lastColumn="0" w:noHBand="0" w:noVBand="1"/>
      </w:tblPr>
      <w:tblGrid>
        <w:gridCol w:w="4232"/>
        <w:gridCol w:w="1259"/>
      </w:tblGrid>
      <w:tr w:rsidR="002D71C1" w:rsidRPr="00B34EF6" w14:paraId="4B12B572" w14:textId="77777777" w:rsidTr="004970AD">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854" w:type="pct"/>
            <w:hideMark/>
          </w:tcPr>
          <w:p w14:paraId="2D12D9AA" w14:textId="77777777" w:rsidR="002D71C1" w:rsidRPr="00B34EF6" w:rsidRDefault="002D71C1">
            <w:pPr>
              <w:keepNext/>
              <w:keepLines/>
              <w:jc w:val="left"/>
              <w:rPr>
                <w:rFonts w:ascii="Aptos Narrow" w:eastAsia="Calibri" w:hAnsi="Aptos Narrow"/>
                <w:b w:val="0"/>
                <w:bCs/>
                <w:sz w:val="20"/>
              </w:rPr>
            </w:pPr>
            <w:r w:rsidRPr="00B34EF6">
              <w:rPr>
                <w:rFonts w:ascii="Aptos Narrow" w:hAnsi="Aptos Narrow"/>
                <w:b w:val="0"/>
                <w:bCs/>
                <w:sz w:val="20"/>
              </w:rPr>
              <w:t>Participation</w:t>
            </w:r>
          </w:p>
        </w:tc>
        <w:tc>
          <w:tcPr>
            <w:tcW w:w="1146" w:type="pct"/>
            <w:hideMark/>
          </w:tcPr>
          <w:p w14:paraId="5A96178F" w14:textId="76868846" w:rsidR="002D71C1" w:rsidRPr="00B34EF6" w:rsidRDefault="002D71C1">
            <w:pPr>
              <w:keepNext/>
              <w:keepLines/>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b w:val="0"/>
                <w:bCs/>
                <w:sz w:val="20"/>
              </w:rPr>
            </w:pPr>
            <w:r w:rsidRPr="00B34EF6">
              <w:rPr>
                <w:rFonts w:ascii="Aptos Narrow" w:hAnsi="Aptos Narrow"/>
                <w:b w:val="0"/>
                <w:bCs/>
                <w:sz w:val="20"/>
              </w:rPr>
              <w:t>SNB</w:t>
            </w:r>
            <w:r w:rsidR="00E64F57" w:rsidRPr="00B34EF6">
              <w:rPr>
                <w:rFonts w:ascii="Aptos Narrow" w:hAnsi="Aptos Narrow"/>
                <w:b w:val="0"/>
                <w:bCs/>
                <w:sz w:val="20"/>
              </w:rPr>
              <w:t xml:space="preserve"> </w:t>
            </w:r>
            <w:r w:rsidRPr="00B34EF6">
              <w:rPr>
                <w:rFonts w:ascii="Aptos Narrow" w:hAnsi="Aptos Narrow"/>
                <w:b w:val="0"/>
                <w:bCs/>
                <w:sz w:val="20"/>
              </w:rPr>
              <w:t>Total</w:t>
            </w:r>
          </w:p>
        </w:tc>
      </w:tr>
      <w:tr w:rsidR="002D71C1" w:rsidRPr="00B34EF6" w14:paraId="67EC15B7" w14:textId="77777777" w:rsidTr="004970A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54" w:type="pct"/>
            <w:noWrap/>
          </w:tcPr>
          <w:p w14:paraId="27C7B0DB" w14:textId="77777777" w:rsidR="002D71C1" w:rsidRPr="00B34EF6" w:rsidRDefault="002D71C1">
            <w:pPr>
              <w:keepNext/>
              <w:keepLines/>
              <w:jc w:val="left"/>
              <w:rPr>
                <w:rFonts w:ascii="Aptos Narrow" w:eastAsia="Calibri" w:hAnsi="Aptos Narrow"/>
                <w:color w:val="000000"/>
                <w:sz w:val="20"/>
              </w:rPr>
            </w:pPr>
            <w:r w:rsidRPr="00B34EF6">
              <w:rPr>
                <w:rFonts w:ascii="Aptos Narrow" w:eastAsia="Calibri" w:hAnsi="Aptos Narrow"/>
                <w:color w:val="000000"/>
                <w:sz w:val="20"/>
              </w:rPr>
              <w:t xml:space="preserve">Participants </w:t>
            </w:r>
            <w:r w:rsidRPr="00B34EF6">
              <w:rPr>
                <w:rFonts w:ascii="Aptos Narrow" w:hAnsi="Aptos Narrow"/>
                <w:sz w:val="20"/>
              </w:rPr>
              <w:t>*</w:t>
            </w:r>
          </w:p>
        </w:tc>
        <w:tc>
          <w:tcPr>
            <w:tcW w:w="1146" w:type="pct"/>
          </w:tcPr>
          <w:p w14:paraId="0ABBF67F" w14:textId="60587895" w:rsidR="002D71C1" w:rsidRPr="00B34EF6" w:rsidRDefault="00377E6A">
            <w:pPr>
              <w:keepNext/>
              <w:keepLines/>
              <w:jc w:val="right"/>
              <w:cnfStyle w:val="000000100000" w:firstRow="0" w:lastRow="0" w:firstColumn="0" w:lastColumn="0" w:oddVBand="0" w:evenVBand="0" w:oddHBand="1" w:evenHBand="0" w:firstRowFirstColumn="0" w:firstRowLastColumn="0" w:lastRowFirstColumn="0" w:lastRowLastColumn="0"/>
              <w:rPr>
                <w:rFonts w:eastAsia="Calibri"/>
                <w:color w:val="000000"/>
                <w:sz w:val="20"/>
              </w:rPr>
            </w:pPr>
            <w:r w:rsidRPr="00B34EF6">
              <w:rPr>
                <w:rFonts w:eastAsia="Calibri"/>
                <w:color w:val="000000"/>
                <w:sz w:val="20"/>
              </w:rPr>
              <w:t>1</w:t>
            </w:r>
            <w:r w:rsidR="00907414" w:rsidRPr="00B34EF6">
              <w:rPr>
                <w:rFonts w:eastAsia="Calibri"/>
                <w:color w:val="000000"/>
                <w:sz w:val="20"/>
              </w:rPr>
              <w:t>,</w:t>
            </w:r>
            <w:r w:rsidRPr="00B34EF6">
              <w:rPr>
                <w:rFonts w:eastAsia="Calibri"/>
                <w:color w:val="000000"/>
                <w:sz w:val="20"/>
              </w:rPr>
              <w:t>7</w:t>
            </w:r>
            <w:r w:rsidR="00907414" w:rsidRPr="00B34EF6">
              <w:rPr>
                <w:rFonts w:eastAsia="Calibri"/>
                <w:color w:val="000000"/>
                <w:sz w:val="20"/>
              </w:rPr>
              <w:t>60</w:t>
            </w:r>
          </w:p>
        </w:tc>
      </w:tr>
      <w:tr w:rsidR="002D71C1" w:rsidRPr="00B34EF6" w14:paraId="06AF6039" w14:textId="77777777" w:rsidTr="004970A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54" w:type="pct"/>
            <w:noWrap/>
          </w:tcPr>
          <w:p w14:paraId="6709F46E" w14:textId="77777777" w:rsidR="002D71C1" w:rsidRPr="00B34EF6" w:rsidRDefault="002D71C1">
            <w:pPr>
              <w:keepNext/>
              <w:keepLines/>
              <w:jc w:val="left"/>
              <w:rPr>
                <w:rFonts w:ascii="Aptos Narrow" w:eastAsia="Calibri" w:hAnsi="Aptos Narrow"/>
                <w:bCs/>
                <w:color w:val="000000"/>
                <w:sz w:val="20"/>
              </w:rPr>
            </w:pPr>
            <w:r w:rsidRPr="00B34EF6">
              <w:rPr>
                <w:rFonts w:ascii="Aptos Narrow" w:eastAsia="Calibri" w:hAnsi="Aptos Narrow"/>
                <w:bCs/>
                <w:color w:val="000000"/>
                <w:sz w:val="20"/>
              </w:rPr>
              <w:t xml:space="preserve">Installed Projects </w:t>
            </w:r>
            <w:r w:rsidRPr="00B34EF6">
              <w:rPr>
                <w:rFonts w:ascii="Aptos Narrow" w:hAnsi="Aptos Narrow"/>
                <w:sz w:val="20"/>
              </w:rPr>
              <w:t>†</w:t>
            </w:r>
          </w:p>
        </w:tc>
        <w:tc>
          <w:tcPr>
            <w:tcW w:w="1146" w:type="pct"/>
          </w:tcPr>
          <w:p w14:paraId="57D7A3AF" w14:textId="581E2D8D" w:rsidR="002D71C1" w:rsidRPr="00B34EF6" w:rsidRDefault="00907414">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B34EF6">
              <w:rPr>
                <w:rFonts w:cs="Calibri"/>
                <w:color w:val="000000"/>
                <w:sz w:val="20"/>
              </w:rPr>
              <w:t>1,762</w:t>
            </w:r>
          </w:p>
        </w:tc>
      </w:tr>
      <w:tr w:rsidR="002D71C1" w:rsidRPr="00B34EF6" w14:paraId="45F49E3C" w14:textId="77777777" w:rsidTr="004970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54" w:type="pct"/>
            <w:noWrap/>
          </w:tcPr>
          <w:p w14:paraId="3759234E" w14:textId="33C9CF78" w:rsidR="002D71C1" w:rsidRPr="00B34EF6" w:rsidRDefault="004970AD">
            <w:pPr>
              <w:keepNext/>
              <w:keepLines/>
              <w:jc w:val="left"/>
              <w:rPr>
                <w:rFonts w:ascii="Aptos Narrow" w:hAnsi="Aptos Narrow"/>
                <w:color w:val="000000"/>
                <w:sz w:val="20"/>
              </w:rPr>
            </w:pPr>
            <w:r w:rsidRPr="00B34EF6">
              <w:rPr>
                <w:rFonts w:ascii="Aptos Narrow" w:hAnsi="Aptos Narrow"/>
                <w:color w:val="000000"/>
                <w:sz w:val="20"/>
              </w:rPr>
              <w:t>Measure Installed</w:t>
            </w:r>
            <w:r w:rsidR="00AB59D4" w:rsidRPr="00B34EF6">
              <w:rPr>
                <w:rFonts w:ascii="Aptos Narrow" w:hAnsi="Aptos Narrow"/>
                <w:color w:val="000000"/>
                <w:sz w:val="20"/>
              </w:rPr>
              <w:t>‡</w:t>
            </w:r>
          </w:p>
        </w:tc>
        <w:tc>
          <w:tcPr>
            <w:tcW w:w="1146" w:type="pct"/>
          </w:tcPr>
          <w:p w14:paraId="33D3230E" w14:textId="02076CAF" w:rsidR="002D71C1" w:rsidRPr="00B34EF6" w:rsidRDefault="006A4C3B">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Pr>
                <w:rFonts w:cs="Calibri"/>
                <w:color w:val="000000"/>
                <w:sz w:val="20"/>
              </w:rPr>
              <w:t>6</w:t>
            </w:r>
          </w:p>
        </w:tc>
      </w:tr>
    </w:tbl>
    <w:p w14:paraId="54674EF2" w14:textId="1DF88CE8" w:rsidR="00B773EE" w:rsidRPr="002A3D62" w:rsidRDefault="00B773EE" w:rsidP="00B34EF6">
      <w:pPr>
        <w:pStyle w:val="GraphFootnote"/>
        <w:ind w:firstLine="1890"/>
        <w:rPr>
          <w:rFonts w:ascii="Arial" w:hAnsi="Arial"/>
          <w:i/>
          <w:iCs/>
          <w:color w:val="000000" w:themeColor="text1"/>
          <w:sz w:val="16"/>
        </w:rPr>
      </w:pPr>
      <w:r w:rsidRPr="002A3D62">
        <w:rPr>
          <w:rFonts w:ascii="Arial" w:hAnsi="Arial"/>
          <w:i/>
          <w:iCs/>
          <w:color w:val="000000" w:themeColor="text1"/>
          <w:sz w:val="16"/>
        </w:rPr>
        <w:t xml:space="preserve">* Participants are defined as </w:t>
      </w:r>
      <w:r w:rsidR="00EB406C">
        <w:rPr>
          <w:rFonts w:ascii="Arial" w:hAnsi="Arial"/>
          <w:i/>
          <w:iCs/>
          <w:color w:val="000000" w:themeColor="text1"/>
          <w:sz w:val="16"/>
        </w:rPr>
        <w:t>distinct count of addresses</w:t>
      </w:r>
      <w:r w:rsidR="00B00B46">
        <w:rPr>
          <w:rFonts w:ascii="Arial" w:hAnsi="Arial"/>
          <w:i/>
          <w:iCs/>
          <w:color w:val="000000" w:themeColor="text1"/>
          <w:sz w:val="16"/>
        </w:rPr>
        <w:t>.</w:t>
      </w:r>
    </w:p>
    <w:p w14:paraId="1A4C6A04" w14:textId="76925C0E" w:rsidR="00B773EE" w:rsidRDefault="00B773EE" w:rsidP="00B34EF6">
      <w:pPr>
        <w:pStyle w:val="GraphFootnote"/>
        <w:ind w:firstLine="1890"/>
        <w:rPr>
          <w:rFonts w:ascii="Arial" w:hAnsi="Arial"/>
          <w:i/>
          <w:iCs/>
          <w:color w:val="000000" w:themeColor="text1"/>
          <w:sz w:val="16"/>
        </w:rPr>
      </w:pPr>
      <w:r w:rsidRPr="002A3D62">
        <w:rPr>
          <w:rFonts w:ascii="Arial" w:hAnsi="Arial"/>
          <w:i/>
          <w:iCs/>
          <w:color w:val="000000" w:themeColor="text1"/>
          <w:sz w:val="16"/>
        </w:rPr>
        <w:t xml:space="preserve">† Installed Projects are defined as </w:t>
      </w:r>
      <w:r w:rsidR="00B00B46">
        <w:rPr>
          <w:rFonts w:ascii="Arial" w:hAnsi="Arial"/>
          <w:i/>
          <w:iCs/>
          <w:color w:val="000000" w:themeColor="text1"/>
          <w:sz w:val="16"/>
        </w:rPr>
        <w:t>distinct count of project IDs</w:t>
      </w:r>
      <w:r w:rsidR="007C2FF8">
        <w:rPr>
          <w:rFonts w:ascii="Arial" w:hAnsi="Arial"/>
          <w:i/>
          <w:iCs/>
          <w:color w:val="000000" w:themeColor="text1"/>
          <w:sz w:val="16"/>
        </w:rPr>
        <w:t>.</w:t>
      </w:r>
    </w:p>
    <w:p w14:paraId="7AA1E22E" w14:textId="5061E4BA" w:rsidR="00A57718" w:rsidRPr="002F681D" w:rsidRDefault="002F681D" w:rsidP="00B34EF6">
      <w:pPr>
        <w:spacing w:after="0" w:line="240" w:lineRule="auto"/>
        <w:ind w:firstLine="1890"/>
        <w:rPr>
          <w:rFonts w:ascii="Arial" w:hAnsi="Arial" w:cs="Arial"/>
          <w:i/>
          <w:iCs/>
          <w:sz w:val="16"/>
          <w:szCs w:val="16"/>
          <w:lang w:eastAsia="en-US"/>
        </w:rPr>
      </w:pPr>
      <w:r w:rsidRPr="002F681D">
        <w:rPr>
          <w:rFonts w:ascii="Arial" w:hAnsi="Arial" w:cs="Arial"/>
          <w:i/>
          <w:iCs/>
          <w:sz w:val="16"/>
          <w:szCs w:val="16"/>
          <w:lang w:eastAsia="en-US"/>
        </w:rPr>
        <w:t>‡ Measure Types Installed are defined as distinct count of Nicor measure names</w:t>
      </w:r>
    </w:p>
    <w:p w14:paraId="008BD59A" w14:textId="77777777" w:rsidR="00B773EE" w:rsidRDefault="00B773EE" w:rsidP="00B34EF6">
      <w:pPr>
        <w:pStyle w:val="StyleSourceFirstline106"/>
        <w:keepNext/>
        <w:keepLines/>
        <w:ind w:firstLine="1890"/>
      </w:pPr>
      <w:r w:rsidRPr="00E47345">
        <w:t xml:space="preserve">Source: </w:t>
      </w:r>
      <w:r>
        <w:t xml:space="preserve">Nicor Gas tracking data and evaluation team </w:t>
      </w:r>
      <w:r w:rsidRPr="00651E3A">
        <w:t>analysis</w:t>
      </w:r>
      <w:r w:rsidRPr="00E47345">
        <w:t>.</w:t>
      </w:r>
    </w:p>
    <w:p w14:paraId="7815715C" w14:textId="77777777" w:rsidR="00DF3C27" w:rsidRDefault="00DF3C27" w:rsidP="00B773EE"/>
    <w:p w14:paraId="6E4423CB" w14:textId="77777777" w:rsidR="00B773EE" w:rsidRDefault="00B773EE" w:rsidP="00B773EE">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2B214889" w:rsidR="00B773EE" w:rsidRDefault="00B773EE" w:rsidP="00AD3BC4">
      <w:pPr>
        <w:pStyle w:val="Caption"/>
      </w:pPr>
      <w:bookmarkStart w:id="9" w:name="_Ref189735540"/>
      <w:bookmarkStart w:id="10" w:name="_Toc61360846"/>
      <w:bookmarkStart w:id="11" w:name="_Toc189750767"/>
      <w:bookmarkStart w:id="12" w:name="_Toc225365674"/>
      <w:r>
        <w:lastRenderedPageBreak/>
        <w:t xml:space="preserve">Table </w:t>
      </w:r>
      <w:r>
        <w:fldChar w:fldCharType="begin"/>
      </w:r>
      <w:r>
        <w:instrText xml:space="preserve"> SEQ Table \* ARABIC </w:instrText>
      </w:r>
      <w:r>
        <w:fldChar w:fldCharType="separate"/>
      </w:r>
      <w:r>
        <w:rPr>
          <w:noProof/>
        </w:rPr>
        <w:t>2</w:t>
      </w:r>
      <w:r>
        <w:fldChar w:fldCharType="end"/>
      </w:r>
      <w:bookmarkEnd w:id="9"/>
      <w:r w:rsidRPr="00F7087A">
        <w:t>.</w:t>
      </w:r>
      <w:r>
        <w:t xml:space="preserve"> 202</w:t>
      </w:r>
      <w:r w:rsidR="002F0B52">
        <w:t>5</w:t>
      </w:r>
      <w:r>
        <w:t xml:space="preserve"> Installed </w:t>
      </w:r>
      <w:r w:rsidRPr="0084176E">
        <w:t>Measure</w:t>
      </w:r>
      <w:r>
        <w:t xml:space="preserve"> Quantities</w:t>
      </w:r>
      <w:bookmarkEnd w:id="10"/>
      <w:bookmarkEnd w:id="11"/>
      <w:bookmarkEnd w:id="12"/>
    </w:p>
    <w:tbl>
      <w:tblPr>
        <w:tblStyle w:val="EnergyTable"/>
        <w:tblW w:w="5000" w:type="pct"/>
        <w:tblLook w:val="04A0" w:firstRow="1" w:lastRow="0" w:firstColumn="1" w:lastColumn="0" w:noHBand="0" w:noVBand="1"/>
      </w:tblPr>
      <w:tblGrid>
        <w:gridCol w:w="5427"/>
        <w:gridCol w:w="1492"/>
        <w:gridCol w:w="2441"/>
      </w:tblGrid>
      <w:tr w:rsidR="003F663D" w:rsidRPr="00B34EF6" w14:paraId="36DBAB91" w14:textId="77777777" w:rsidTr="00155585">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899" w:type="pct"/>
          </w:tcPr>
          <w:p w14:paraId="72CE0253" w14:textId="29FA23F1" w:rsidR="003F663D" w:rsidRPr="0030106D" w:rsidRDefault="00411278">
            <w:pPr>
              <w:keepNext/>
              <w:keepLines/>
              <w:jc w:val="left"/>
              <w:rPr>
                <w:rFonts w:asciiTheme="minorHAnsi" w:hAnsiTheme="minorHAnsi" w:cs="Arial"/>
                <w:b w:val="0"/>
                <w:color w:val="FFFFFF"/>
                <w:sz w:val="20"/>
              </w:rPr>
            </w:pPr>
            <w:r w:rsidRPr="0030106D">
              <w:rPr>
                <w:rFonts w:asciiTheme="minorHAnsi" w:hAnsiTheme="minorHAnsi" w:cs="Arial"/>
                <w:b w:val="0"/>
                <w:color w:val="FFFFFF"/>
                <w:sz w:val="20"/>
              </w:rPr>
              <w:t>Measure</w:t>
            </w:r>
          </w:p>
        </w:tc>
        <w:tc>
          <w:tcPr>
            <w:tcW w:w="797" w:type="pct"/>
          </w:tcPr>
          <w:p w14:paraId="72881E5C" w14:textId="77777777" w:rsidR="003F663D" w:rsidRPr="0030106D" w:rsidRDefault="003F663D" w:rsidP="00E03E2E">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0106D">
              <w:rPr>
                <w:rFonts w:asciiTheme="minorHAnsi" w:hAnsiTheme="minorHAnsi"/>
                <w:b w:val="0"/>
                <w:sz w:val="20"/>
              </w:rPr>
              <w:t>Quantity Unit</w:t>
            </w:r>
          </w:p>
        </w:tc>
        <w:tc>
          <w:tcPr>
            <w:tcW w:w="1304" w:type="pct"/>
          </w:tcPr>
          <w:p w14:paraId="6B0195C6" w14:textId="77777777" w:rsidR="003F663D" w:rsidRPr="0030106D" w:rsidRDefault="003F663D">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sz w:val="20"/>
              </w:rPr>
            </w:pPr>
            <w:r w:rsidRPr="0030106D">
              <w:rPr>
                <w:rFonts w:asciiTheme="minorHAnsi" w:hAnsiTheme="minorHAnsi"/>
                <w:b w:val="0"/>
                <w:sz w:val="20"/>
              </w:rPr>
              <w:t>Installed Quantity</w:t>
            </w:r>
          </w:p>
        </w:tc>
      </w:tr>
      <w:tr w:rsidR="00585E81" w:rsidRPr="00B34EF6" w14:paraId="2CB5AE47" w14:textId="77777777" w:rsidTr="001555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6A02476C" w14:textId="719D4C78" w:rsidR="00585E81" w:rsidRPr="00AD3BC4" w:rsidRDefault="00585E81">
            <w:pPr>
              <w:keepNext/>
              <w:keepLines/>
              <w:jc w:val="left"/>
              <w:rPr>
                <w:rFonts w:asciiTheme="minorHAnsi" w:hAnsiTheme="minorHAnsi" w:cs="Calibri"/>
                <w:color w:val="000000"/>
                <w:sz w:val="20"/>
              </w:rPr>
            </w:pPr>
            <w:r w:rsidRPr="00AD3BC4">
              <w:rPr>
                <w:rFonts w:asciiTheme="minorHAnsi" w:hAnsiTheme="minorHAnsi" w:cs="Calibri"/>
                <w:color w:val="000000"/>
                <w:sz w:val="20"/>
              </w:rPr>
              <w:t>Advanced Thermostat</w:t>
            </w:r>
          </w:p>
        </w:tc>
        <w:tc>
          <w:tcPr>
            <w:tcW w:w="797" w:type="pct"/>
            <w:noWrap/>
          </w:tcPr>
          <w:p w14:paraId="2862E05A" w14:textId="7DED4C5B" w:rsidR="00585E81" w:rsidRPr="00AD3BC4" w:rsidRDefault="00585E81" w:rsidP="00E03E2E">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Unit</w:t>
            </w:r>
          </w:p>
        </w:tc>
        <w:tc>
          <w:tcPr>
            <w:tcW w:w="1304" w:type="pct"/>
            <w:noWrap/>
          </w:tcPr>
          <w:p w14:paraId="744596C3" w14:textId="0D2875A8" w:rsidR="00585E81" w:rsidRPr="00AD3BC4" w:rsidRDefault="00585E81">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1,760</w:t>
            </w:r>
          </w:p>
        </w:tc>
      </w:tr>
      <w:tr w:rsidR="00585E81" w:rsidRPr="00B34EF6" w14:paraId="4998F5F4" w14:textId="77777777" w:rsidTr="0015558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7AB0BE0B" w14:textId="5E169BE2" w:rsidR="00585E81" w:rsidRPr="00AD3BC4" w:rsidRDefault="00585E81">
            <w:pPr>
              <w:keepNext/>
              <w:keepLines/>
              <w:jc w:val="left"/>
              <w:rPr>
                <w:rFonts w:asciiTheme="minorHAnsi" w:hAnsiTheme="minorHAnsi" w:cs="Calibri"/>
                <w:color w:val="000000"/>
                <w:sz w:val="20"/>
              </w:rPr>
            </w:pPr>
            <w:r w:rsidRPr="00AD3BC4">
              <w:rPr>
                <w:rFonts w:asciiTheme="minorHAnsi" w:hAnsiTheme="minorHAnsi" w:cs="Calibri"/>
                <w:color w:val="000000"/>
                <w:sz w:val="20"/>
              </w:rPr>
              <w:t>Air Sealing</w:t>
            </w:r>
          </w:p>
        </w:tc>
        <w:tc>
          <w:tcPr>
            <w:tcW w:w="797" w:type="pct"/>
            <w:noWrap/>
          </w:tcPr>
          <w:p w14:paraId="2B4A5DFD" w14:textId="4B4BC691" w:rsidR="00585E81" w:rsidRPr="00AD3BC4" w:rsidRDefault="00585E81" w:rsidP="00E03E2E">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Project</w:t>
            </w:r>
          </w:p>
        </w:tc>
        <w:tc>
          <w:tcPr>
            <w:tcW w:w="1304" w:type="pct"/>
            <w:noWrap/>
          </w:tcPr>
          <w:p w14:paraId="5F0478BE" w14:textId="57836D2B" w:rsidR="00585E81" w:rsidRPr="00AD3BC4" w:rsidRDefault="00585E81">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1,760</w:t>
            </w:r>
          </w:p>
        </w:tc>
      </w:tr>
      <w:tr w:rsidR="00585E81" w:rsidRPr="00B34EF6" w14:paraId="10ADDE83" w14:textId="77777777" w:rsidTr="001555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3CEACB7E" w14:textId="259DB94A" w:rsidR="00585E81" w:rsidRPr="00AD3BC4" w:rsidRDefault="00585E81">
            <w:pPr>
              <w:keepNext/>
              <w:keepLines/>
              <w:jc w:val="left"/>
              <w:rPr>
                <w:rFonts w:asciiTheme="minorHAnsi" w:hAnsiTheme="minorHAnsi" w:cs="Calibri"/>
                <w:color w:val="000000"/>
                <w:sz w:val="20"/>
              </w:rPr>
            </w:pPr>
            <w:r w:rsidRPr="00AD3BC4">
              <w:rPr>
                <w:rFonts w:asciiTheme="minorHAnsi" w:hAnsiTheme="minorHAnsi" w:cs="Calibri"/>
                <w:color w:val="000000"/>
                <w:sz w:val="20"/>
              </w:rPr>
              <w:t>Duct Insulation and Sealing</w:t>
            </w:r>
          </w:p>
        </w:tc>
        <w:tc>
          <w:tcPr>
            <w:tcW w:w="797" w:type="pct"/>
            <w:noWrap/>
          </w:tcPr>
          <w:p w14:paraId="4B32DB64" w14:textId="2C7AC87F" w:rsidR="00585E81" w:rsidRPr="00AD3BC4" w:rsidRDefault="00585E81" w:rsidP="00E03E2E">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Project</w:t>
            </w:r>
          </w:p>
        </w:tc>
        <w:tc>
          <w:tcPr>
            <w:tcW w:w="1304" w:type="pct"/>
            <w:noWrap/>
          </w:tcPr>
          <w:p w14:paraId="79175F3F" w14:textId="6A85165F" w:rsidR="00585E81" w:rsidRPr="00AD3BC4" w:rsidRDefault="00585E81">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1,760</w:t>
            </w:r>
          </w:p>
        </w:tc>
      </w:tr>
      <w:tr w:rsidR="00585E81" w:rsidRPr="00B34EF6" w14:paraId="7482858B" w14:textId="77777777" w:rsidTr="0015558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00B8116B" w14:textId="33DE8194" w:rsidR="00585E81" w:rsidRPr="00AD3BC4" w:rsidRDefault="00585E81" w:rsidP="00FC44BE">
            <w:pPr>
              <w:keepNext/>
              <w:keepLines/>
              <w:jc w:val="left"/>
              <w:rPr>
                <w:rFonts w:asciiTheme="minorHAnsi" w:hAnsiTheme="minorHAnsi" w:cs="Calibri"/>
                <w:color w:val="000000"/>
                <w:sz w:val="20"/>
              </w:rPr>
            </w:pPr>
            <w:r w:rsidRPr="00AD3BC4">
              <w:rPr>
                <w:rFonts w:asciiTheme="minorHAnsi" w:hAnsiTheme="minorHAnsi" w:cs="Calibri"/>
                <w:color w:val="000000"/>
                <w:sz w:val="20"/>
              </w:rPr>
              <w:t>Gas High Efficiency Furnace &gt;95% AFUE*</w:t>
            </w:r>
          </w:p>
        </w:tc>
        <w:tc>
          <w:tcPr>
            <w:tcW w:w="797" w:type="pct"/>
            <w:noWrap/>
          </w:tcPr>
          <w:p w14:paraId="5CE9687A" w14:textId="15478C8A" w:rsidR="00585E81" w:rsidRPr="00AD3BC4" w:rsidRDefault="00585E81" w:rsidP="00E03E2E">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Unit</w:t>
            </w:r>
          </w:p>
        </w:tc>
        <w:tc>
          <w:tcPr>
            <w:tcW w:w="1304" w:type="pct"/>
            <w:noWrap/>
          </w:tcPr>
          <w:p w14:paraId="0159FE6E" w14:textId="0BFF9591" w:rsidR="00585E81" w:rsidRPr="00AD3BC4" w:rsidRDefault="00585E81">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1,761</w:t>
            </w:r>
          </w:p>
        </w:tc>
      </w:tr>
      <w:tr w:rsidR="00585E81" w:rsidRPr="00B34EF6" w14:paraId="1EBC4553" w14:textId="77777777" w:rsidTr="001555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5C92ED4A" w14:textId="331C68B7" w:rsidR="00585E81" w:rsidRPr="00AD3BC4" w:rsidRDefault="00585E81">
            <w:pPr>
              <w:keepNext/>
              <w:keepLines/>
              <w:jc w:val="left"/>
              <w:rPr>
                <w:rFonts w:asciiTheme="minorHAnsi" w:hAnsiTheme="minorHAnsi" w:cs="Calibri"/>
                <w:color w:val="000000"/>
                <w:sz w:val="20"/>
              </w:rPr>
            </w:pPr>
            <w:r w:rsidRPr="00AD3BC4">
              <w:rPr>
                <w:rFonts w:asciiTheme="minorHAnsi" w:hAnsiTheme="minorHAnsi" w:cs="Calibri"/>
                <w:color w:val="000000"/>
                <w:sz w:val="20"/>
              </w:rPr>
              <w:t>On Demand Water Heater</w:t>
            </w:r>
          </w:p>
        </w:tc>
        <w:tc>
          <w:tcPr>
            <w:tcW w:w="797" w:type="pct"/>
            <w:noWrap/>
          </w:tcPr>
          <w:p w14:paraId="004D9C27" w14:textId="45AA2D8F" w:rsidR="00585E81" w:rsidRPr="00AD3BC4" w:rsidRDefault="00585E81" w:rsidP="00E03E2E">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Unit</w:t>
            </w:r>
          </w:p>
        </w:tc>
        <w:tc>
          <w:tcPr>
            <w:tcW w:w="1304" w:type="pct"/>
            <w:noWrap/>
          </w:tcPr>
          <w:p w14:paraId="3C6C3865" w14:textId="77D8C125" w:rsidR="00585E81" w:rsidRPr="00AD3BC4" w:rsidRDefault="00585E81">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789</w:t>
            </w:r>
          </w:p>
        </w:tc>
      </w:tr>
      <w:tr w:rsidR="00585E81" w:rsidRPr="00B34EF6" w14:paraId="1A30EB16" w14:textId="77777777" w:rsidTr="0015558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30416369" w14:textId="20F916EE" w:rsidR="00585E81" w:rsidRPr="00AD3BC4" w:rsidRDefault="00585E81" w:rsidP="006C793B">
            <w:pPr>
              <w:keepNext/>
              <w:keepLines/>
              <w:jc w:val="left"/>
              <w:rPr>
                <w:rFonts w:asciiTheme="minorHAnsi" w:hAnsiTheme="minorHAnsi" w:cs="Calibri"/>
                <w:color w:val="000000"/>
                <w:sz w:val="20"/>
              </w:rPr>
            </w:pPr>
            <w:r w:rsidRPr="00AD3BC4">
              <w:rPr>
                <w:rFonts w:asciiTheme="minorHAnsi" w:hAnsiTheme="minorHAnsi" w:cs="Calibri"/>
                <w:color w:val="000000"/>
                <w:sz w:val="20"/>
              </w:rPr>
              <w:t>Storage Water Heater</w:t>
            </w:r>
          </w:p>
        </w:tc>
        <w:tc>
          <w:tcPr>
            <w:tcW w:w="797" w:type="pct"/>
            <w:noWrap/>
          </w:tcPr>
          <w:p w14:paraId="38293C57" w14:textId="173654E5" w:rsidR="00585E81" w:rsidRPr="00AD3BC4" w:rsidRDefault="00585E81" w:rsidP="00E03E2E">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Unit</w:t>
            </w:r>
          </w:p>
        </w:tc>
        <w:tc>
          <w:tcPr>
            <w:tcW w:w="1304" w:type="pct"/>
            <w:noWrap/>
          </w:tcPr>
          <w:p w14:paraId="20FCB823" w14:textId="55BCD2E3" w:rsidR="00585E81" w:rsidRPr="00AD3BC4" w:rsidRDefault="00585E81">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AD3BC4">
              <w:rPr>
                <w:rFonts w:asciiTheme="minorHAnsi" w:hAnsiTheme="minorHAnsi" w:cs="Calibri"/>
                <w:color w:val="000000"/>
                <w:sz w:val="20"/>
              </w:rPr>
              <w:t>413</w:t>
            </w:r>
          </w:p>
        </w:tc>
      </w:tr>
      <w:tr w:rsidR="003F663D" w:rsidRPr="00B34EF6" w14:paraId="2ECB9836" w14:textId="77777777" w:rsidTr="001555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9" w:type="pct"/>
          </w:tcPr>
          <w:p w14:paraId="4BE54305" w14:textId="63C1C8E1" w:rsidR="003F663D" w:rsidRPr="0030106D" w:rsidRDefault="00155585" w:rsidP="00155585">
            <w:pPr>
              <w:keepNext/>
              <w:keepLines/>
              <w:jc w:val="left"/>
              <w:rPr>
                <w:rFonts w:asciiTheme="minorHAnsi" w:hAnsiTheme="minorHAnsi"/>
                <w:b/>
                <w:color w:val="000000"/>
                <w:sz w:val="20"/>
              </w:rPr>
            </w:pPr>
            <w:r w:rsidRPr="0030106D">
              <w:rPr>
                <w:rFonts w:asciiTheme="minorHAnsi" w:hAnsiTheme="minorHAnsi"/>
                <w:b/>
                <w:bCs/>
                <w:color w:val="000000"/>
                <w:sz w:val="20"/>
              </w:rPr>
              <w:t>Total</w:t>
            </w:r>
          </w:p>
        </w:tc>
        <w:tc>
          <w:tcPr>
            <w:tcW w:w="797" w:type="pct"/>
            <w:noWrap/>
          </w:tcPr>
          <w:p w14:paraId="4AC968C1" w14:textId="77777777" w:rsidR="003F663D" w:rsidRPr="0030106D" w:rsidRDefault="003F663D" w:rsidP="00E03E2E">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p>
        </w:tc>
        <w:tc>
          <w:tcPr>
            <w:tcW w:w="1304" w:type="pct"/>
            <w:noWrap/>
          </w:tcPr>
          <w:p w14:paraId="2BC48FC1" w14:textId="55CCE173" w:rsidR="003F663D" w:rsidRPr="0030106D" w:rsidRDefault="0000541C">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0"/>
              </w:rPr>
            </w:pPr>
            <w:r w:rsidRPr="0030106D">
              <w:rPr>
                <w:rFonts w:asciiTheme="minorHAnsi" w:hAnsiTheme="minorHAnsi"/>
                <w:b/>
                <w:color w:val="000000"/>
                <w:sz w:val="20"/>
              </w:rPr>
              <w:t>8,243</w:t>
            </w:r>
          </w:p>
        </w:tc>
      </w:tr>
    </w:tbl>
    <w:p w14:paraId="539B12D4" w14:textId="77777777" w:rsidR="00B773EE" w:rsidRDefault="00B773EE" w:rsidP="00B773EE">
      <w:pPr>
        <w:pStyle w:val="Source"/>
        <w:keepNext/>
        <w:keepLines/>
      </w:pPr>
      <w:r w:rsidRPr="00651E3A">
        <w:t xml:space="preserve">Source: </w:t>
      </w:r>
      <w:bookmarkStart w:id="13" w:name="_Hlk186754865"/>
      <w:r>
        <w:t xml:space="preserve">Nicor Gas tracking data and evaluation team </w:t>
      </w:r>
      <w:r w:rsidRPr="00651E3A">
        <w:t>analysis</w:t>
      </w:r>
      <w:bookmarkEnd w:id="13"/>
      <w:r w:rsidRPr="00651E3A">
        <w:t>.</w:t>
      </w:r>
    </w:p>
    <w:p w14:paraId="2CBD6F36" w14:textId="77777777" w:rsidR="005A50AE" w:rsidRDefault="005A50AE" w:rsidP="005A50AE">
      <w:pPr>
        <w:pStyle w:val="Heading1"/>
      </w:pPr>
      <w:bookmarkStart w:id="14" w:name="_Toc225365666"/>
      <w:r>
        <w:t>Program Savings Detail</w:t>
      </w:r>
      <w:bookmarkEnd w:id="14"/>
    </w:p>
    <w:p w14:paraId="492DB125" w14:textId="5AD1671C" w:rsidR="00B0395B" w:rsidRDefault="00B0395B" w:rsidP="00B0395B">
      <w:r>
        <w:fldChar w:fldCharType="begin"/>
      </w:r>
      <w:r>
        <w:instrText xml:space="preserve"> REF _Ref500500894 \h </w:instrText>
      </w:r>
      <w:r>
        <w:fldChar w:fldCharType="separate"/>
      </w:r>
      <w:r>
        <w:t xml:space="preserve">Table </w:t>
      </w:r>
      <w:r>
        <w:rPr>
          <w:noProof/>
        </w:rPr>
        <w:t>3</w:t>
      </w:r>
      <w:r>
        <w:fldChar w:fldCharType="end"/>
      </w:r>
      <w:r>
        <w:t xml:space="preserve"> </w:t>
      </w:r>
      <w:r w:rsidRPr="00A90B62">
        <w:t>summarize</w:t>
      </w:r>
      <w:r>
        <w:t>s</w:t>
      </w:r>
      <w:r w:rsidRPr="00A90B62">
        <w:t xml:space="preserve"> the </w:t>
      </w:r>
      <w:r>
        <w:t xml:space="preserve">energy </w:t>
      </w:r>
      <w:r w:rsidRPr="00A90B62">
        <w:t xml:space="preserve">savings the </w:t>
      </w:r>
      <w:r w:rsidR="009468F7">
        <w:t xml:space="preserve">SNB </w:t>
      </w:r>
      <w:r>
        <w:t>P</w:t>
      </w:r>
      <w:r w:rsidRPr="00A90B62">
        <w:t>rogram</w:t>
      </w:r>
      <w:r>
        <w:t xml:space="preserve"> achieved by path in 202</w:t>
      </w:r>
      <w:r w:rsidR="00452E5B">
        <w:t>5</w:t>
      </w:r>
      <w:r>
        <w:t>.</w:t>
      </w:r>
      <w:r w:rsidR="00C11F4E">
        <w:t xml:space="preserve"> </w:t>
      </w:r>
      <w:r w:rsidR="00E841E3" w:rsidRPr="00E841E3">
        <w:t>The</w:t>
      </w:r>
      <w:r w:rsidR="007B3222">
        <w:t xml:space="preserve"> program </w:t>
      </w:r>
      <w:r w:rsidR="009B603E">
        <w:t>did</w:t>
      </w:r>
      <w:r w:rsidR="00E841E3" w:rsidRPr="00E841E3">
        <w:t xml:space="preserve"> no</w:t>
      </w:r>
      <w:r w:rsidR="009B603E">
        <w:t>t</w:t>
      </w:r>
      <w:r w:rsidR="00E841E3" w:rsidRPr="00E841E3">
        <w:t xml:space="preserve"> </w:t>
      </w:r>
      <w:r w:rsidR="009B603E">
        <w:t>have any</w:t>
      </w:r>
      <w:r w:rsidR="00E841E3" w:rsidRPr="00E841E3">
        <w:t xml:space="preserve"> </w:t>
      </w:r>
      <w:r w:rsidR="00B52742">
        <w:t xml:space="preserve">qualified </w:t>
      </w:r>
      <w:r w:rsidR="00E841E3" w:rsidRPr="00E841E3">
        <w:t xml:space="preserve">disadvantaged community </w:t>
      </w:r>
      <w:r w:rsidR="00B52742">
        <w:t xml:space="preserve">(DAC) </w:t>
      </w:r>
      <w:r w:rsidR="00E841E3" w:rsidRPr="00E841E3">
        <w:t>project in 2025</w:t>
      </w:r>
      <w:r w:rsidR="00E841E3">
        <w:t>.</w:t>
      </w:r>
    </w:p>
    <w:p w14:paraId="6D95EBB4" w14:textId="23E06347" w:rsidR="00B0395B" w:rsidRDefault="00B0395B" w:rsidP="00AD3BC4">
      <w:pPr>
        <w:pStyle w:val="Caption"/>
      </w:pPr>
      <w:bookmarkStart w:id="15" w:name="_Ref500500894"/>
      <w:bookmarkStart w:id="16" w:name="_Toc397011684"/>
      <w:bookmarkStart w:id="17" w:name="_Toc397011694"/>
      <w:bookmarkStart w:id="18" w:name="_Toc398541809"/>
      <w:bookmarkStart w:id="19" w:name="_Toc398541922"/>
      <w:bookmarkStart w:id="20" w:name="_Toc398546654"/>
      <w:bookmarkStart w:id="21" w:name="_Toc423009516"/>
      <w:bookmarkStart w:id="22" w:name="_Toc426278634"/>
      <w:bookmarkStart w:id="23" w:name="_Toc61360847"/>
      <w:bookmarkStart w:id="24" w:name="_Toc189750768"/>
      <w:bookmarkStart w:id="25" w:name="_Toc225365675"/>
      <w:r>
        <w:t xml:space="preserve">Table </w:t>
      </w:r>
      <w:r>
        <w:fldChar w:fldCharType="begin"/>
      </w:r>
      <w:r>
        <w:instrText xml:space="preserve"> SEQ Table \* ARABIC </w:instrText>
      </w:r>
      <w:r>
        <w:fldChar w:fldCharType="separate"/>
      </w:r>
      <w:r>
        <w:rPr>
          <w:noProof/>
        </w:rPr>
        <w:t>3</w:t>
      </w:r>
      <w:r>
        <w:fldChar w:fldCharType="end"/>
      </w:r>
      <w:bookmarkEnd w:id="15"/>
      <w:r>
        <w:t>. 202</w:t>
      </w:r>
      <w:r w:rsidR="00452E5B">
        <w:t>5</w:t>
      </w:r>
      <w:r>
        <w:t xml:space="preserve"> Annual Energy Savings Summary</w:t>
      </w:r>
      <w:bookmarkEnd w:id="16"/>
      <w:bookmarkEnd w:id="17"/>
      <w:bookmarkEnd w:id="18"/>
      <w:bookmarkEnd w:id="19"/>
      <w:bookmarkEnd w:id="20"/>
      <w:bookmarkEnd w:id="21"/>
      <w:bookmarkEnd w:id="22"/>
      <w:bookmarkEnd w:id="23"/>
      <w:bookmarkEnd w:id="24"/>
      <w:bookmarkEnd w:id="25"/>
      <w:r>
        <w:t xml:space="preserve"> </w:t>
      </w:r>
    </w:p>
    <w:tbl>
      <w:tblPr>
        <w:tblW w:w="5000" w:type="pct"/>
        <w:tblCellMar>
          <w:top w:w="15" w:type="dxa"/>
          <w:bottom w:w="15" w:type="dxa"/>
        </w:tblCellMar>
        <w:tblLook w:val="04A0" w:firstRow="1" w:lastRow="0" w:firstColumn="1" w:lastColumn="0" w:noHBand="0" w:noVBand="1"/>
      </w:tblPr>
      <w:tblGrid>
        <w:gridCol w:w="1334"/>
        <w:gridCol w:w="1106"/>
        <w:gridCol w:w="1335"/>
        <w:gridCol w:w="1689"/>
        <w:gridCol w:w="1700"/>
        <w:gridCol w:w="917"/>
        <w:gridCol w:w="1279"/>
      </w:tblGrid>
      <w:tr w:rsidR="00FE63BE" w:rsidRPr="00FE63BE" w14:paraId="6B033FF1" w14:textId="77777777" w:rsidTr="00315710">
        <w:trPr>
          <w:trHeight w:val="825"/>
        </w:trPr>
        <w:tc>
          <w:tcPr>
            <w:tcW w:w="713" w:type="pct"/>
            <w:tcBorders>
              <w:top w:val="nil"/>
              <w:left w:val="nil"/>
              <w:bottom w:val="single" w:sz="12" w:space="0" w:color="95D600"/>
              <w:right w:val="nil"/>
            </w:tcBorders>
            <w:shd w:val="clear" w:color="000000" w:fill="036479"/>
            <w:vAlign w:val="center"/>
            <w:hideMark/>
          </w:tcPr>
          <w:p w14:paraId="38480509" w14:textId="77777777" w:rsidR="00FE63BE" w:rsidRPr="00FE63BE" w:rsidRDefault="00FE63BE" w:rsidP="00FE63BE">
            <w:pPr>
              <w:spacing w:after="0" w:line="240" w:lineRule="auto"/>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Program Path</w:t>
            </w:r>
          </w:p>
        </w:tc>
        <w:tc>
          <w:tcPr>
            <w:tcW w:w="591" w:type="pct"/>
            <w:tcBorders>
              <w:top w:val="nil"/>
              <w:left w:val="nil"/>
              <w:bottom w:val="single" w:sz="12" w:space="0" w:color="95D600"/>
              <w:right w:val="nil"/>
            </w:tcBorders>
            <w:shd w:val="clear" w:color="000000" w:fill="036479"/>
            <w:vAlign w:val="center"/>
            <w:hideMark/>
          </w:tcPr>
          <w:p w14:paraId="3DF5ED42"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Ex Ante Gross Savings (Therms)</w:t>
            </w:r>
          </w:p>
        </w:tc>
        <w:tc>
          <w:tcPr>
            <w:tcW w:w="713" w:type="pct"/>
            <w:tcBorders>
              <w:top w:val="nil"/>
              <w:left w:val="nil"/>
              <w:bottom w:val="single" w:sz="12" w:space="0" w:color="95D600"/>
              <w:right w:val="nil"/>
            </w:tcBorders>
            <w:shd w:val="clear" w:color="000000" w:fill="036479"/>
            <w:vAlign w:val="center"/>
            <w:hideMark/>
          </w:tcPr>
          <w:p w14:paraId="1E9BBF4A"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Verified Gross RR*</w:t>
            </w:r>
          </w:p>
        </w:tc>
        <w:tc>
          <w:tcPr>
            <w:tcW w:w="902" w:type="pct"/>
            <w:tcBorders>
              <w:top w:val="nil"/>
              <w:left w:val="nil"/>
              <w:bottom w:val="single" w:sz="12" w:space="0" w:color="95D600"/>
              <w:right w:val="nil"/>
            </w:tcBorders>
            <w:shd w:val="clear" w:color="000000" w:fill="036479"/>
            <w:vAlign w:val="center"/>
            <w:hideMark/>
          </w:tcPr>
          <w:p w14:paraId="58064A34"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Verified Gross Savings (Therms)</w:t>
            </w:r>
          </w:p>
        </w:tc>
        <w:tc>
          <w:tcPr>
            <w:tcW w:w="908" w:type="pct"/>
            <w:tcBorders>
              <w:top w:val="nil"/>
              <w:left w:val="nil"/>
              <w:bottom w:val="single" w:sz="12" w:space="0" w:color="95D600"/>
              <w:right w:val="nil"/>
            </w:tcBorders>
            <w:shd w:val="clear" w:color="000000" w:fill="036479"/>
            <w:vAlign w:val="center"/>
            <w:hideMark/>
          </w:tcPr>
          <w:p w14:paraId="0459A24F"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NTG†</w:t>
            </w:r>
          </w:p>
        </w:tc>
        <w:tc>
          <w:tcPr>
            <w:tcW w:w="490" w:type="pct"/>
            <w:tcBorders>
              <w:top w:val="nil"/>
              <w:left w:val="nil"/>
              <w:bottom w:val="single" w:sz="12" w:space="0" w:color="95D600"/>
              <w:right w:val="nil"/>
            </w:tcBorders>
            <w:shd w:val="clear" w:color="000000" w:fill="036479"/>
            <w:vAlign w:val="center"/>
            <w:hideMark/>
          </w:tcPr>
          <w:p w14:paraId="7DB45603"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NSPO‡</w:t>
            </w:r>
          </w:p>
        </w:tc>
        <w:tc>
          <w:tcPr>
            <w:tcW w:w="683" w:type="pct"/>
            <w:tcBorders>
              <w:top w:val="nil"/>
              <w:left w:val="nil"/>
              <w:bottom w:val="single" w:sz="12" w:space="0" w:color="95D600"/>
              <w:right w:val="nil"/>
            </w:tcBorders>
            <w:shd w:val="clear" w:color="000000" w:fill="036479"/>
            <w:vAlign w:val="center"/>
            <w:hideMark/>
          </w:tcPr>
          <w:p w14:paraId="0A549C77" w14:textId="77777777" w:rsidR="00FE63BE" w:rsidRPr="00FE63BE" w:rsidRDefault="00FE63BE" w:rsidP="00FE63BE">
            <w:pPr>
              <w:spacing w:after="0" w:line="240" w:lineRule="auto"/>
              <w:jc w:val="right"/>
              <w:rPr>
                <w:rFonts w:ascii="Aptos Narrow" w:eastAsia="Times New Roman" w:hAnsi="Aptos Narrow" w:cs="Calibri"/>
                <w:color w:val="FFFFFF"/>
                <w:sz w:val="20"/>
                <w:szCs w:val="20"/>
                <w:lang w:eastAsia="en-US"/>
              </w:rPr>
            </w:pPr>
            <w:r w:rsidRPr="00FE63BE">
              <w:rPr>
                <w:rFonts w:ascii="Aptos Narrow" w:eastAsia="Times New Roman" w:hAnsi="Aptos Narrow" w:cs="Calibri"/>
                <w:color w:val="FFFFFF"/>
                <w:sz w:val="20"/>
                <w:szCs w:val="20"/>
                <w:lang w:eastAsia="en-US"/>
              </w:rPr>
              <w:t>Verified Net Savings (Therms)</w:t>
            </w:r>
          </w:p>
        </w:tc>
      </w:tr>
      <w:tr w:rsidR="00FE63BE" w:rsidRPr="00FE63BE" w14:paraId="6C62F877" w14:textId="77777777" w:rsidTr="00315710">
        <w:trPr>
          <w:trHeight w:val="300"/>
        </w:trPr>
        <w:tc>
          <w:tcPr>
            <w:tcW w:w="713" w:type="pct"/>
            <w:tcBorders>
              <w:top w:val="nil"/>
              <w:left w:val="nil"/>
              <w:bottom w:val="single" w:sz="8" w:space="0" w:color="B3EFFD"/>
              <w:right w:val="nil"/>
            </w:tcBorders>
            <w:shd w:val="clear" w:color="000000" w:fill="FFFFFF"/>
            <w:vAlign w:val="center"/>
            <w:hideMark/>
          </w:tcPr>
          <w:p w14:paraId="328F9B96" w14:textId="5C48527E" w:rsidR="00FE63BE" w:rsidRPr="00FE63BE" w:rsidRDefault="00FE63BE" w:rsidP="00FE63BE">
            <w:pPr>
              <w:spacing w:after="0" w:line="240" w:lineRule="auto"/>
              <w:rPr>
                <w:rFonts w:ascii="Aptos Narrow" w:eastAsia="Times New Roman" w:hAnsi="Aptos Narrow" w:cs="Calibri"/>
                <w:color w:val="000000"/>
                <w:sz w:val="20"/>
                <w:szCs w:val="20"/>
                <w:lang w:eastAsia="en-US"/>
              </w:rPr>
            </w:pPr>
            <w:r>
              <w:rPr>
                <w:rFonts w:ascii="Aptos Narrow" w:eastAsia="Times New Roman" w:hAnsi="Aptos Narrow" w:cs="Calibri"/>
                <w:color w:val="000000"/>
                <w:sz w:val="20"/>
                <w:szCs w:val="20"/>
                <w:lang w:eastAsia="en-US"/>
              </w:rPr>
              <w:t>SNB</w:t>
            </w:r>
          </w:p>
        </w:tc>
        <w:tc>
          <w:tcPr>
            <w:tcW w:w="591" w:type="pct"/>
            <w:tcBorders>
              <w:top w:val="nil"/>
              <w:left w:val="nil"/>
              <w:bottom w:val="single" w:sz="8" w:space="0" w:color="B3EFFD"/>
              <w:right w:val="nil"/>
            </w:tcBorders>
            <w:vAlign w:val="center"/>
            <w:hideMark/>
          </w:tcPr>
          <w:p w14:paraId="4A50A9A0" w14:textId="77777777" w:rsidR="00FE63BE" w:rsidRPr="00FE63BE" w:rsidRDefault="00FE63BE" w:rsidP="00FE63BE">
            <w:pPr>
              <w:spacing w:after="0" w:line="240" w:lineRule="auto"/>
              <w:jc w:val="right"/>
              <w:rPr>
                <w:rFonts w:ascii="Aptos Narrow" w:eastAsia="Times New Roman" w:hAnsi="Aptos Narrow" w:cs="Calibri"/>
                <w:color w:val="000000"/>
                <w:sz w:val="20"/>
                <w:szCs w:val="20"/>
                <w:lang w:eastAsia="en-US"/>
              </w:rPr>
            </w:pPr>
            <w:r w:rsidRPr="00FE63BE">
              <w:rPr>
                <w:rFonts w:ascii="Aptos Narrow" w:eastAsia="Times New Roman" w:hAnsi="Aptos Narrow" w:cs="Calibri"/>
                <w:color w:val="000000"/>
                <w:sz w:val="20"/>
                <w:szCs w:val="20"/>
                <w:lang w:eastAsia="en-US"/>
              </w:rPr>
              <w:t xml:space="preserve">657,964 </w:t>
            </w:r>
          </w:p>
        </w:tc>
        <w:tc>
          <w:tcPr>
            <w:tcW w:w="713" w:type="pct"/>
            <w:tcBorders>
              <w:top w:val="nil"/>
              <w:left w:val="nil"/>
              <w:bottom w:val="single" w:sz="8" w:space="0" w:color="B3EFFD"/>
              <w:right w:val="nil"/>
            </w:tcBorders>
            <w:noWrap/>
            <w:vAlign w:val="center"/>
            <w:hideMark/>
          </w:tcPr>
          <w:p w14:paraId="13883AB1" w14:textId="77777777" w:rsidR="00FE63BE" w:rsidRPr="00FE63BE" w:rsidRDefault="00FE63BE" w:rsidP="00FE63BE">
            <w:pPr>
              <w:spacing w:after="0" w:line="240" w:lineRule="auto"/>
              <w:jc w:val="right"/>
              <w:rPr>
                <w:rFonts w:ascii="Aptos Narrow" w:eastAsia="Times New Roman" w:hAnsi="Aptos Narrow" w:cs="Calibri"/>
                <w:color w:val="000000"/>
                <w:sz w:val="20"/>
                <w:szCs w:val="20"/>
                <w:lang w:eastAsia="en-US"/>
              </w:rPr>
            </w:pPr>
            <w:r w:rsidRPr="00FE63BE">
              <w:rPr>
                <w:rFonts w:ascii="Aptos Narrow" w:eastAsia="Times New Roman" w:hAnsi="Aptos Narrow" w:cs="Calibri"/>
                <w:color w:val="000000"/>
                <w:sz w:val="20"/>
                <w:szCs w:val="20"/>
                <w:lang w:eastAsia="en-US"/>
              </w:rPr>
              <w:t>99%</w:t>
            </w:r>
          </w:p>
        </w:tc>
        <w:tc>
          <w:tcPr>
            <w:tcW w:w="902" w:type="pct"/>
            <w:tcBorders>
              <w:top w:val="nil"/>
              <w:left w:val="nil"/>
              <w:bottom w:val="single" w:sz="8" w:space="0" w:color="B3EFFD"/>
              <w:right w:val="nil"/>
            </w:tcBorders>
            <w:noWrap/>
            <w:vAlign w:val="center"/>
            <w:hideMark/>
          </w:tcPr>
          <w:p w14:paraId="6C404A6D" w14:textId="127DFAF7" w:rsidR="00FE63BE" w:rsidRPr="00FE63BE" w:rsidRDefault="00FE63BE" w:rsidP="00FE63BE">
            <w:pPr>
              <w:spacing w:after="0" w:line="240" w:lineRule="auto"/>
              <w:jc w:val="right"/>
              <w:rPr>
                <w:rFonts w:ascii="Aptos Narrow" w:eastAsia="Times New Roman" w:hAnsi="Aptos Narrow" w:cs="Calibri"/>
                <w:color w:val="000000"/>
                <w:sz w:val="20"/>
                <w:szCs w:val="20"/>
                <w:lang w:eastAsia="en-US"/>
              </w:rPr>
            </w:pPr>
            <w:r w:rsidRPr="00FE63BE">
              <w:rPr>
                <w:rFonts w:ascii="Aptos Narrow" w:eastAsia="Times New Roman" w:hAnsi="Aptos Narrow" w:cs="Calibri"/>
                <w:color w:val="000000"/>
                <w:sz w:val="20"/>
                <w:szCs w:val="20"/>
                <w:lang w:eastAsia="en-US"/>
              </w:rPr>
              <w:t>651,</w:t>
            </w:r>
            <w:r w:rsidR="00AE3B75">
              <w:rPr>
                <w:rFonts w:ascii="Aptos Narrow" w:eastAsia="Times New Roman" w:hAnsi="Aptos Narrow" w:cs="Calibri"/>
                <w:color w:val="000000"/>
                <w:sz w:val="20"/>
                <w:szCs w:val="20"/>
                <w:lang w:eastAsia="en-US"/>
              </w:rPr>
              <w:t>288</w:t>
            </w:r>
            <w:r w:rsidRPr="00FE63BE">
              <w:rPr>
                <w:rFonts w:ascii="Aptos Narrow" w:eastAsia="Times New Roman" w:hAnsi="Aptos Narrow" w:cs="Calibri"/>
                <w:color w:val="000000"/>
                <w:sz w:val="20"/>
                <w:szCs w:val="20"/>
                <w:lang w:eastAsia="en-US"/>
              </w:rPr>
              <w:t xml:space="preserve"> </w:t>
            </w:r>
          </w:p>
        </w:tc>
        <w:tc>
          <w:tcPr>
            <w:tcW w:w="908" w:type="pct"/>
            <w:tcBorders>
              <w:top w:val="nil"/>
              <w:left w:val="nil"/>
              <w:bottom w:val="single" w:sz="8" w:space="0" w:color="B3EFFD"/>
              <w:right w:val="nil"/>
            </w:tcBorders>
            <w:noWrap/>
            <w:vAlign w:val="center"/>
            <w:hideMark/>
          </w:tcPr>
          <w:p w14:paraId="7974254A" w14:textId="41C8625B" w:rsidR="00FE63BE" w:rsidRPr="00FE63BE" w:rsidRDefault="00175811" w:rsidP="00FE63BE">
            <w:pPr>
              <w:spacing w:after="0" w:line="240" w:lineRule="auto"/>
              <w:jc w:val="right"/>
              <w:rPr>
                <w:rFonts w:ascii="Aptos Narrow" w:eastAsia="Times New Roman" w:hAnsi="Aptos Narrow" w:cs="Calibri"/>
                <w:color w:val="000000"/>
                <w:sz w:val="20"/>
                <w:szCs w:val="20"/>
                <w:lang w:eastAsia="en-US"/>
              </w:rPr>
            </w:pPr>
            <w:r>
              <w:rPr>
                <w:rFonts w:ascii="Aptos Narrow" w:eastAsia="Times New Roman" w:hAnsi="Aptos Narrow" w:cs="Calibri"/>
                <w:color w:val="000000"/>
                <w:sz w:val="20"/>
                <w:szCs w:val="20"/>
                <w:lang w:eastAsia="en-US"/>
              </w:rPr>
              <w:t>0.86</w:t>
            </w:r>
          </w:p>
        </w:tc>
        <w:tc>
          <w:tcPr>
            <w:tcW w:w="490" w:type="pct"/>
            <w:tcBorders>
              <w:top w:val="nil"/>
              <w:left w:val="nil"/>
              <w:bottom w:val="single" w:sz="8" w:space="0" w:color="B3EFFD"/>
              <w:right w:val="nil"/>
            </w:tcBorders>
            <w:noWrap/>
            <w:vAlign w:val="center"/>
            <w:hideMark/>
          </w:tcPr>
          <w:p w14:paraId="77C78516" w14:textId="77777777" w:rsidR="00FE63BE" w:rsidRPr="00FE63BE" w:rsidRDefault="00FE63BE" w:rsidP="00FE63BE">
            <w:pPr>
              <w:spacing w:after="0" w:line="240" w:lineRule="auto"/>
              <w:jc w:val="right"/>
              <w:rPr>
                <w:rFonts w:ascii="Aptos Narrow" w:eastAsia="Times New Roman" w:hAnsi="Aptos Narrow" w:cs="Calibri"/>
                <w:color w:val="000000"/>
                <w:sz w:val="20"/>
                <w:szCs w:val="20"/>
                <w:lang w:eastAsia="en-US"/>
              </w:rPr>
            </w:pPr>
            <w:r w:rsidRPr="00FE63BE">
              <w:rPr>
                <w:rFonts w:ascii="Aptos Narrow" w:eastAsia="Times New Roman" w:hAnsi="Aptos Narrow" w:cs="Calibri"/>
                <w:color w:val="000000"/>
                <w:sz w:val="20"/>
                <w:szCs w:val="20"/>
                <w:lang w:eastAsia="en-US"/>
              </w:rPr>
              <w:t xml:space="preserve">1.048 </w:t>
            </w:r>
          </w:p>
        </w:tc>
        <w:tc>
          <w:tcPr>
            <w:tcW w:w="683" w:type="pct"/>
            <w:tcBorders>
              <w:top w:val="nil"/>
              <w:left w:val="nil"/>
              <w:bottom w:val="single" w:sz="8" w:space="0" w:color="B3EFFD"/>
              <w:right w:val="nil"/>
            </w:tcBorders>
            <w:noWrap/>
            <w:vAlign w:val="center"/>
            <w:hideMark/>
          </w:tcPr>
          <w:p w14:paraId="3C498AEA" w14:textId="48F7ED47" w:rsidR="00FE63BE" w:rsidRPr="00FE63BE" w:rsidRDefault="00FE63BE" w:rsidP="00FE63BE">
            <w:pPr>
              <w:spacing w:after="0" w:line="240" w:lineRule="auto"/>
              <w:jc w:val="right"/>
              <w:rPr>
                <w:rFonts w:ascii="Aptos Narrow" w:eastAsia="Times New Roman" w:hAnsi="Aptos Narrow" w:cs="Calibri"/>
                <w:color w:val="000000"/>
                <w:sz w:val="20"/>
                <w:szCs w:val="20"/>
                <w:lang w:eastAsia="en-US"/>
              </w:rPr>
            </w:pPr>
            <w:r w:rsidRPr="00FE63BE">
              <w:rPr>
                <w:rFonts w:ascii="Aptos Narrow" w:eastAsia="Times New Roman" w:hAnsi="Aptos Narrow" w:cs="Calibri"/>
                <w:color w:val="000000"/>
                <w:sz w:val="20"/>
                <w:szCs w:val="20"/>
                <w:lang w:eastAsia="en-US"/>
              </w:rPr>
              <w:t xml:space="preserve"> 559,</w:t>
            </w:r>
            <w:r w:rsidR="00AE3B75">
              <w:rPr>
                <w:rFonts w:ascii="Aptos Narrow" w:eastAsia="Times New Roman" w:hAnsi="Aptos Narrow" w:cs="Calibri"/>
                <w:color w:val="000000"/>
                <w:sz w:val="20"/>
                <w:szCs w:val="20"/>
                <w:lang w:eastAsia="en-US"/>
              </w:rPr>
              <w:t>208</w:t>
            </w:r>
            <w:r w:rsidRPr="00FE63BE">
              <w:rPr>
                <w:rFonts w:ascii="Aptos Narrow" w:eastAsia="Times New Roman" w:hAnsi="Aptos Narrow" w:cs="Calibri"/>
                <w:color w:val="000000"/>
                <w:sz w:val="20"/>
                <w:szCs w:val="20"/>
                <w:lang w:eastAsia="en-US"/>
              </w:rPr>
              <w:t xml:space="preserve"> </w:t>
            </w:r>
          </w:p>
        </w:tc>
      </w:tr>
      <w:tr w:rsidR="00FE63BE" w:rsidRPr="00FE63BE" w14:paraId="67C58B2A" w14:textId="77777777" w:rsidTr="00315710">
        <w:trPr>
          <w:trHeight w:val="315"/>
        </w:trPr>
        <w:tc>
          <w:tcPr>
            <w:tcW w:w="713" w:type="pct"/>
            <w:tcBorders>
              <w:top w:val="single" w:sz="8" w:space="0" w:color="B3EFFD"/>
              <w:left w:val="nil"/>
              <w:bottom w:val="single" w:sz="8" w:space="0" w:color="036479"/>
              <w:right w:val="nil"/>
            </w:tcBorders>
            <w:vAlign w:val="center"/>
            <w:hideMark/>
          </w:tcPr>
          <w:p w14:paraId="382C5625" w14:textId="2281E0E1" w:rsidR="00FE63BE" w:rsidRPr="00FE63BE" w:rsidRDefault="00FE63BE" w:rsidP="00FE63BE">
            <w:pPr>
              <w:spacing w:after="0" w:line="240" w:lineRule="auto"/>
              <w:rPr>
                <w:rFonts w:ascii="Aptos Narrow" w:eastAsia="Times New Roman" w:hAnsi="Aptos Narrow" w:cs="Calibri"/>
                <w:b/>
                <w:bCs/>
                <w:color w:val="000000"/>
                <w:sz w:val="20"/>
                <w:szCs w:val="20"/>
                <w:lang w:eastAsia="en-US"/>
              </w:rPr>
            </w:pPr>
            <w:r>
              <w:rPr>
                <w:rFonts w:ascii="Aptos Narrow" w:eastAsia="Times New Roman" w:hAnsi="Aptos Narrow" w:cs="Calibri"/>
                <w:b/>
                <w:bCs/>
                <w:color w:val="000000"/>
                <w:sz w:val="20"/>
                <w:szCs w:val="20"/>
                <w:lang w:eastAsia="en-US"/>
              </w:rPr>
              <w:t>Total</w:t>
            </w:r>
          </w:p>
        </w:tc>
        <w:tc>
          <w:tcPr>
            <w:tcW w:w="591" w:type="pct"/>
            <w:tcBorders>
              <w:top w:val="single" w:sz="8" w:space="0" w:color="B3EFFD"/>
              <w:left w:val="nil"/>
              <w:bottom w:val="single" w:sz="8" w:space="0" w:color="036479"/>
              <w:right w:val="nil"/>
            </w:tcBorders>
            <w:vAlign w:val="center"/>
            <w:hideMark/>
          </w:tcPr>
          <w:p w14:paraId="17F18C6E" w14:textId="77777777" w:rsidR="00FE63BE" w:rsidRPr="00FE63BE" w:rsidRDefault="00FE63BE" w:rsidP="00FE63BE">
            <w:pPr>
              <w:spacing w:after="0" w:line="240" w:lineRule="auto"/>
              <w:jc w:val="right"/>
              <w:rPr>
                <w:rFonts w:ascii="Aptos Narrow" w:eastAsia="Times New Roman" w:hAnsi="Aptos Narrow" w:cs="Calibri"/>
                <w:b/>
                <w:bCs/>
                <w:color w:val="000000"/>
                <w:sz w:val="20"/>
                <w:szCs w:val="20"/>
                <w:lang w:eastAsia="en-US"/>
              </w:rPr>
            </w:pPr>
            <w:r w:rsidRPr="00FE63BE">
              <w:rPr>
                <w:rFonts w:ascii="Aptos Narrow" w:eastAsia="Times New Roman" w:hAnsi="Aptos Narrow" w:cs="Calibri"/>
                <w:b/>
                <w:bCs/>
                <w:color w:val="000000"/>
                <w:sz w:val="20"/>
                <w:szCs w:val="20"/>
                <w:lang w:eastAsia="en-US"/>
              </w:rPr>
              <w:t xml:space="preserve"> 657,964 </w:t>
            </w:r>
          </w:p>
        </w:tc>
        <w:tc>
          <w:tcPr>
            <w:tcW w:w="713" w:type="pct"/>
            <w:tcBorders>
              <w:top w:val="nil"/>
              <w:left w:val="nil"/>
              <w:bottom w:val="single" w:sz="8" w:space="0" w:color="036479"/>
              <w:right w:val="nil"/>
            </w:tcBorders>
            <w:noWrap/>
            <w:vAlign w:val="center"/>
            <w:hideMark/>
          </w:tcPr>
          <w:p w14:paraId="28A51A46" w14:textId="77777777" w:rsidR="00FE63BE" w:rsidRPr="00FE63BE" w:rsidRDefault="00FE63BE" w:rsidP="00FE63BE">
            <w:pPr>
              <w:spacing w:after="0" w:line="240" w:lineRule="auto"/>
              <w:jc w:val="right"/>
              <w:rPr>
                <w:rFonts w:ascii="Aptos Narrow" w:eastAsia="Times New Roman" w:hAnsi="Aptos Narrow" w:cs="Calibri"/>
                <w:b/>
                <w:bCs/>
                <w:color w:val="000000"/>
                <w:sz w:val="20"/>
                <w:szCs w:val="20"/>
                <w:lang w:eastAsia="en-US"/>
              </w:rPr>
            </w:pPr>
            <w:r w:rsidRPr="00FE63BE">
              <w:rPr>
                <w:rFonts w:ascii="Aptos Narrow" w:eastAsia="Times New Roman" w:hAnsi="Aptos Narrow" w:cs="Calibri"/>
                <w:b/>
                <w:bCs/>
                <w:color w:val="000000"/>
                <w:sz w:val="20"/>
                <w:szCs w:val="20"/>
                <w:lang w:eastAsia="en-US"/>
              </w:rPr>
              <w:t>99%</w:t>
            </w:r>
          </w:p>
        </w:tc>
        <w:tc>
          <w:tcPr>
            <w:tcW w:w="902" w:type="pct"/>
            <w:tcBorders>
              <w:top w:val="nil"/>
              <w:left w:val="nil"/>
              <w:bottom w:val="single" w:sz="8" w:space="0" w:color="036479"/>
              <w:right w:val="nil"/>
            </w:tcBorders>
            <w:noWrap/>
            <w:vAlign w:val="center"/>
            <w:hideMark/>
          </w:tcPr>
          <w:p w14:paraId="60EDBFC0" w14:textId="424FE473" w:rsidR="00FE63BE" w:rsidRPr="00FE63BE" w:rsidRDefault="00FE63BE" w:rsidP="00FE63BE">
            <w:pPr>
              <w:spacing w:after="0" w:line="240" w:lineRule="auto"/>
              <w:jc w:val="right"/>
              <w:rPr>
                <w:rFonts w:ascii="Aptos Narrow" w:eastAsia="Times New Roman" w:hAnsi="Aptos Narrow" w:cs="Calibri"/>
                <w:b/>
                <w:bCs/>
                <w:color w:val="000000"/>
                <w:sz w:val="20"/>
                <w:szCs w:val="20"/>
                <w:lang w:eastAsia="en-US"/>
              </w:rPr>
            </w:pPr>
            <w:r w:rsidRPr="00FE63BE">
              <w:rPr>
                <w:rFonts w:ascii="Aptos Narrow" w:eastAsia="Times New Roman" w:hAnsi="Aptos Narrow" w:cs="Calibri"/>
                <w:b/>
                <w:bCs/>
                <w:color w:val="000000"/>
                <w:sz w:val="20"/>
                <w:szCs w:val="20"/>
                <w:lang w:eastAsia="en-US"/>
              </w:rPr>
              <w:t>651,</w:t>
            </w:r>
            <w:r w:rsidR="00AE3B75">
              <w:rPr>
                <w:rFonts w:ascii="Aptos Narrow" w:eastAsia="Times New Roman" w:hAnsi="Aptos Narrow" w:cs="Calibri"/>
                <w:b/>
                <w:bCs/>
                <w:color w:val="000000"/>
                <w:sz w:val="20"/>
                <w:szCs w:val="20"/>
                <w:lang w:eastAsia="en-US"/>
              </w:rPr>
              <w:t>288</w:t>
            </w:r>
            <w:r w:rsidRPr="00FE63BE">
              <w:rPr>
                <w:rFonts w:ascii="Aptos Narrow" w:eastAsia="Times New Roman" w:hAnsi="Aptos Narrow" w:cs="Calibri"/>
                <w:b/>
                <w:bCs/>
                <w:color w:val="000000"/>
                <w:sz w:val="20"/>
                <w:szCs w:val="20"/>
                <w:lang w:eastAsia="en-US"/>
              </w:rPr>
              <w:t xml:space="preserve"> </w:t>
            </w:r>
          </w:p>
        </w:tc>
        <w:tc>
          <w:tcPr>
            <w:tcW w:w="908" w:type="pct"/>
            <w:tcBorders>
              <w:top w:val="nil"/>
              <w:left w:val="nil"/>
              <w:bottom w:val="single" w:sz="8" w:space="0" w:color="036479"/>
              <w:right w:val="nil"/>
            </w:tcBorders>
            <w:noWrap/>
            <w:vAlign w:val="center"/>
            <w:hideMark/>
          </w:tcPr>
          <w:p w14:paraId="1BE21E2A" w14:textId="77777777" w:rsidR="00FE63BE" w:rsidRPr="00FE63BE" w:rsidRDefault="00FE63BE" w:rsidP="00FE63BE">
            <w:pPr>
              <w:spacing w:after="0" w:line="240" w:lineRule="auto"/>
              <w:jc w:val="right"/>
              <w:rPr>
                <w:rFonts w:ascii="Aptos Narrow" w:eastAsia="Times New Roman" w:hAnsi="Aptos Narrow" w:cs="Calibri"/>
                <w:b/>
                <w:bCs/>
                <w:color w:val="000000"/>
                <w:sz w:val="20"/>
                <w:szCs w:val="20"/>
                <w:lang w:eastAsia="en-US"/>
              </w:rPr>
            </w:pPr>
          </w:p>
        </w:tc>
        <w:tc>
          <w:tcPr>
            <w:tcW w:w="490" w:type="pct"/>
            <w:tcBorders>
              <w:top w:val="nil"/>
              <w:left w:val="nil"/>
              <w:bottom w:val="single" w:sz="8" w:space="0" w:color="036479"/>
              <w:right w:val="nil"/>
            </w:tcBorders>
            <w:noWrap/>
            <w:vAlign w:val="center"/>
            <w:hideMark/>
          </w:tcPr>
          <w:p w14:paraId="4CABFCEF" w14:textId="77777777" w:rsidR="00FE63BE" w:rsidRPr="00FE63BE" w:rsidRDefault="00FE63BE" w:rsidP="00FE63BE">
            <w:pPr>
              <w:spacing w:after="0" w:line="240" w:lineRule="auto"/>
              <w:jc w:val="right"/>
              <w:rPr>
                <w:rFonts w:ascii="Times New Roman" w:eastAsia="Times New Roman" w:hAnsi="Times New Roman" w:cs="Times New Roman"/>
                <w:sz w:val="20"/>
                <w:szCs w:val="20"/>
                <w:lang w:eastAsia="en-US"/>
              </w:rPr>
            </w:pPr>
          </w:p>
        </w:tc>
        <w:tc>
          <w:tcPr>
            <w:tcW w:w="683" w:type="pct"/>
            <w:tcBorders>
              <w:top w:val="nil"/>
              <w:left w:val="nil"/>
              <w:bottom w:val="single" w:sz="8" w:space="0" w:color="036479"/>
              <w:right w:val="nil"/>
            </w:tcBorders>
            <w:noWrap/>
            <w:vAlign w:val="center"/>
            <w:hideMark/>
          </w:tcPr>
          <w:p w14:paraId="7D134831" w14:textId="7F852FDC" w:rsidR="00FE63BE" w:rsidRPr="00FE63BE" w:rsidRDefault="00FE63BE" w:rsidP="00FE63BE">
            <w:pPr>
              <w:spacing w:after="0" w:line="240" w:lineRule="auto"/>
              <w:jc w:val="right"/>
              <w:rPr>
                <w:rFonts w:ascii="Aptos Narrow" w:eastAsia="Times New Roman" w:hAnsi="Aptos Narrow" w:cs="Calibri"/>
                <w:b/>
                <w:bCs/>
                <w:color w:val="000000"/>
                <w:sz w:val="20"/>
                <w:szCs w:val="20"/>
                <w:lang w:eastAsia="en-US"/>
              </w:rPr>
            </w:pPr>
            <w:r w:rsidRPr="00FE63BE">
              <w:rPr>
                <w:rFonts w:ascii="Aptos Narrow" w:eastAsia="Times New Roman" w:hAnsi="Aptos Narrow" w:cs="Calibri"/>
                <w:b/>
                <w:bCs/>
                <w:color w:val="000000"/>
                <w:sz w:val="20"/>
                <w:szCs w:val="20"/>
                <w:lang w:eastAsia="en-US"/>
              </w:rPr>
              <w:t xml:space="preserve"> 559,</w:t>
            </w:r>
            <w:r w:rsidR="00AE3B75">
              <w:rPr>
                <w:rFonts w:ascii="Aptos Narrow" w:eastAsia="Times New Roman" w:hAnsi="Aptos Narrow" w:cs="Calibri"/>
                <w:b/>
                <w:bCs/>
                <w:color w:val="000000"/>
                <w:sz w:val="20"/>
                <w:szCs w:val="20"/>
                <w:lang w:eastAsia="en-US"/>
              </w:rPr>
              <w:t>208</w:t>
            </w:r>
            <w:r w:rsidRPr="00FE63BE">
              <w:rPr>
                <w:rFonts w:ascii="Aptos Narrow" w:eastAsia="Times New Roman" w:hAnsi="Aptos Narrow" w:cs="Calibri"/>
                <w:b/>
                <w:bCs/>
                <w:color w:val="000000"/>
                <w:sz w:val="20"/>
                <w:szCs w:val="20"/>
                <w:lang w:eastAsia="en-US"/>
              </w:rPr>
              <w:t xml:space="preserve"> </w:t>
            </w:r>
          </w:p>
        </w:tc>
      </w:tr>
    </w:tbl>
    <w:p w14:paraId="3A653FD6" w14:textId="77777777" w:rsidR="00175811" w:rsidRPr="00B34EF6" w:rsidRDefault="00175811" w:rsidP="00175811">
      <w:pPr>
        <w:spacing w:after="0" w:line="240" w:lineRule="auto"/>
        <w:rPr>
          <w:rFonts w:eastAsia="Times New Roman" w:cs="Times New Roman"/>
          <w:i/>
          <w:color w:val="000000" w:themeColor="text1"/>
          <w:sz w:val="18"/>
          <w:szCs w:val="18"/>
          <w:lang w:eastAsia="en-US"/>
        </w:rPr>
      </w:pPr>
      <w:r w:rsidRPr="00B34EF6">
        <w:rPr>
          <w:rFonts w:eastAsia="Times New Roman" w:cs="Times New Roman"/>
          <w:i/>
          <w:color w:val="000000" w:themeColor="text1"/>
          <w:sz w:val="18"/>
          <w:szCs w:val="18"/>
          <w:lang w:eastAsia="en-US"/>
        </w:rPr>
        <w:t>* Realization Rate (RR) is the ratio of verified gross savings to ex ante gross savings, based on evaluation research findings.</w:t>
      </w:r>
    </w:p>
    <w:p w14:paraId="594ED087" w14:textId="77777777" w:rsidR="00175811" w:rsidRPr="00B34EF6" w:rsidRDefault="00175811" w:rsidP="00175811">
      <w:pPr>
        <w:spacing w:after="0" w:line="240" w:lineRule="auto"/>
        <w:rPr>
          <w:rFonts w:eastAsia="Times New Roman" w:cs="Times New Roman"/>
          <w:i/>
          <w:color w:val="000000" w:themeColor="text1"/>
          <w:sz w:val="18"/>
          <w:szCs w:val="18"/>
          <w:lang w:eastAsia="en-US"/>
        </w:rPr>
      </w:pPr>
      <w:r w:rsidRPr="00B34EF6">
        <w:rPr>
          <w:rFonts w:eastAsia="Times New Roman" w:cs="Times New Roman"/>
          <w:i/>
          <w:color w:val="000000" w:themeColor="text1"/>
          <w:sz w:val="18"/>
          <w:szCs w:val="18"/>
          <w:lang w:eastAsia="en-US"/>
        </w:rPr>
        <w:t xml:space="preserve">† </w:t>
      </w:r>
      <w:r w:rsidRPr="00226480">
        <w:rPr>
          <w:rFonts w:eastAsia="Times New Roman" w:cs="Times New Roman"/>
          <w:i/>
          <w:color w:val="000000" w:themeColor="text1"/>
          <w:sz w:val="18"/>
          <w:szCs w:val="18"/>
          <w:lang w:eastAsia="en-US"/>
        </w:rPr>
        <w:t>The program-level NTG value</w:t>
      </w:r>
      <w:r>
        <w:rPr>
          <w:rFonts w:eastAsia="Times New Roman" w:cs="Times New Roman"/>
          <w:i/>
          <w:color w:val="000000" w:themeColor="text1"/>
          <w:sz w:val="18"/>
          <w:szCs w:val="18"/>
          <w:lang w:eastAsia="en-US"/>
        </w:rPr>
        <w:t xml:space="preserve"> is</w:t>
      </w:r>
      <w:r w:rsidRPr="00226480">
        <w:rPr>
          <w:rFonts w:eastAsia="Times New Roman" w:cs="Times New Roman"/>
          <w:i/>
          <w:color w:val="000000" w:themeColor="text1"/>
          <w:sz w:val="18"/>
          <w:szCs w:val="18"/>
          <w:lang w:eastAsia="en-US"/>
        </w:rPr>
        <w:t xml:space="preserve"> calculated as Verified Net/Verified Gross. The program-level analysis typically used measure-level deemed NTG values</w:t>
      </w:r>
      <w:r>
        <w:rPr>
          <w:rFonts w:eastAsia="Times New Roman" w:cs="Times New Roman"/>
          <w:i/>
          <w:color w:val="000000" w:themeColor="text1"/>
          <w:sz w:val="18"/>
          <w:szCs w:val="18"/>
          <w:lang w:eastAsia="en-US"/>
        </w:rPr>
        <w:t xml:space="preserve"> (see Table 4)</w:t>
      </w:r>
      <w:r w:rsidRPr="00226480">
        <w:rPr>
          <w:rFonts w:eastAsia="Times New Roman" w:cs="Times New Roman"/>
          <w:i/>
          <w:color w:val="000000" w:themeColor="text1"/>
          <w:sz w:val="18"/>
          <w:szCs w:val="18"/>
          <w:lang w:eastAsia="en-US"/>
        </w:rPr>
        <w:t xml:space="preserve">, which are listed here: https://www.ilsag.info/evaluator-ntg-recommendations-for-2025.  </w:t>
      </w:r>
    </w:p>
    <w:p w14:paraId="3FA2B870" w14:textId="0EF985D3" w:rsidR="00175811" w:rsidRPr="00B34EF6" w:rsidRDefault="00175811" w:rsidP="00175811">
      <w:pPr>
        <w:spacing w:after="0" w:line="240" w:lineRule="auto"/>
        <w:rPr>
          <w:rFonts w:eastAsia="Times New Roman" w:cs="Times New Roman"/>
          <w:i/>
          <w:color w:val="000000" w:themeColor="text1"/>
          <w:sz w:val="18"/>
          <w:szCs w:val="18"/>
          <w:lang w:eastAsia="en-US"/>
        </w:rPr>
      </w:pPr>
      <w:r w:rsidRPr="00B34EF6">
        <w:rPr>
          <w:rFonts w:eastAsia="Times New Roman" w:cs="Times New Roman"/>
          <w:i/>
          <w:color w:val="000000" w:themeColor="text1"/>
          <w:sz w:val="18"/>
          <w:szCs w:val="18"/>
          <w:lang w:eastAsia="en-US"/>
        </w:rPr>
        <w:t xml:space="preserve">‡ </w:t>
      </w:r>
      <w:r w:rsidR="00736C1F" w:rsidRPr="00736C1F">
        <w:rPr>
          <w:rFonts w:eastAsia="Times New Roman" w:cs="Times New Roman"/>
          <w:i/>
          <w:color w:val="000000" w:themeColor="text1"/>
          <w:sz w:val="18"/>
          <w:szCs w:val="18"/>
          <w:lang w:eastAsia="en-US"/>
        </w:rPr>
        <w:t xml:space="preserve">The Non-Disadvantaged Communities net savings were multiplied by a residential non-participant spillover (NPSO) factor of 1.048. </w:t>
      </w:r>
      <w:r w:rsidRPr="00B34EF6">
        <w:rPr>
          <w:rFonts w:eastAsia="Times New Roman" w:cs="Times New Roman"/>
          <w:i/>
          <w:color w:val="000000" w:themeColor="text1"/>
          <w:sz w:val="18"/>
          <w:szCs w:val="18"/>
          <w:lang w:eastAsia="en-US"/>
        </w:rPr>
        <w:t xml:space="preserve"> </w:t>
      </w:r>
    </w:p>
    <w:p w14:paraId="608A8205" w14:textId="77777777" w:rsidR="00175811" w:rsidRPr="00B34EF6" w:rsidRDefault="00175811" w:rsidP="00175811">
      <w:pPr>
        <w:spacing w:after="0" w:line="240" w:lineRule="auto"/>
        <w:rPr>
          <w:rFonts w:eastAsia="Times New Roman" w:cs="Times New Roman"/>
          <w:i/>
          <w:color w:val="000000" w:themeColor="text1"/>
          <w:sz w:val="18"/>
          <w:szCs w:val="18"/>
          <w:lang w:eastAsia="en-US"/>
        </w:rPr>
      </w:pPr>
      <w:r w:rsidRPr="00B34EF6">
        <w:rPr>
          <w:rFonts w:eastAsia="Times New Roman" w:cs="Times New Roman"/>
          <w:i/>
          <w:color w:val="000000" w:themeColor="text1"/>
          <w:sz w:val="18"/>
          <w:szCs w:val="18"/>
          <w:lang w:eastAsia="en-US"/>
        </w:rPr>
        <w:t>Source: Evaluation team analysis.</w:t>
      </w:r>
    </w:p>
    <w:p w14:paraId="492C45AC" w14:textId="43FD7461" w:rsidR="00BF0C66" w:rsidRDefault="00D6080B" w:rsidP="00BF0C66">
      <w:pPr>
        <w:pStyle w:val="Heading1"/>
      </w:pPr>
      <w:bookmarkStart w:id="26" w:name="_Toc225365667"/>
      <w:r>
        <w:t>Program Savings by Measure</w:t>
      </w:r>
      <w:bookmarkEnd w:id="26"/>
    </w:p>
    <w:p w14:paraId="1F8DC23A" w14:textId="391DA61A" w:rsidR="00F36BF3" w:rsidRDefault="00F36BF3" w:rsidP="00F36BF3">
      <w:r>
        <w:t>The program includes</w:t>
      </w:r>
      <w:r w:rsidRPr="00D22A14">
        <w:rPr>
          <w:color w:val="000000" w:themeColor="text1"/>
        </w:rPr>
        <w:t xml:space="preserve"> </w:t>
      </w:r>
      <w:r w:rsidR="00D22A14" w:rsidRPr="00D22A14">
        <w:rPr>
          <w:color w:val="000000" w:themeColor="text1"/>
        </w:rPr>
        <w:t>six</w:t>
      </w:r>
      <w:r w:rsidRPr="00D22A14">
        <w:rPr>
          <w:color w:val="000000" w:themeColor="text1"/>
        </w:rPr>
        <w:t xml:space="preserve"> </w:t>
      </w:r>
      <w:r>
        <w:t>measures as shown in the following table. The</w:t>
      </w:r>
      <w:r w:rsidR="00531013">
        <w:t xml:space="preserve"> Advanced Thermostat and Gas High Efficiency</w:t>
      </w:r>
      <w:r w:rsidR="00A90389">
        <w:t xml:space="preserve"> Furnace measures </w:t>
      </w:r>
      <w:r>
        <w:t>contributed the most savings.</w:t>
      </w:r>
    </w:p>
    <w:p w14:paraId="361B4633" w14:textId="0BEEA0F2" w:rsidR="00F36BF3" w:rsidRDefault="00F36BF3" w:rsidP="00AD3BC4">
      <w:pPr>
        <w:pStyle w:val="Caption"/>
      </w:pPr>
      <w:bookmarkStart w:id="27" w:name="_Toc398546655"/>
      <w:bookmarkStart w:id="28" w:name="_Toc423009517"/>
      <w:bookmarkStart w:id="29" w:name="_Toc426278635"/>
      <w:bookmarkStart w:id="30" w:name="_Toc61360848"/>
      <w:bookmarkStart w:id="31" w:name="_Toc189750769"/>
      <w:bookmarkStart w:id="32" w:name="_Hlk29910940"/>
      <w:bookmarkStart w:id="33" w:name="_Toc225365676"/>
      <w:r>
        <w:t xml:space="preserve">Table </w:t>
      </w:r>
      <w:r>
        <w:fldChar w:fldCharType="begin"/>
      </w:r>
      <w:r>
        <w:instrText xml:space="preserve"> SEQ Table \* ARABIC </w:instrText>
      </w:r>
      <w:r>
        <w:fldChar w:fldCharType="separate"/>
      </w:r>
      <w:r>
        <w:rPr>
          <w:noProof/>
        </w:rPr>
        <w:t>4</w:t>
      </w:r>
      <w:r>
        <w:fldChar w:fldCharType="end"/>
      </w:r>
      <w:r>
        <w:t>. 202</w:t>
      </w:r>
      <w:r w:rsidR="003346D5">
        <w:t>5</w:t>
      </w:r>
      <w:r w:rsidRPr="00A90B62">
        <w:t xml:space="preserve"> </w:t>
      </w:r>
      <w:r>
        <w:t>Annual Energy Savings by Measure</w:t>
      </w:r>
      <w:bookmarkEnd w:id="27"/>
      <w:bookmarkEnd w:id="28"/>
      <w:bookmarkEnd w:id="29"/>
      <w:bookmarkEnd w:id="30"/>
      <w:bookmarkEnd w:id="31"/>
      <w:bookmarkEnd w:id="33"/>
    </w:p>
    <w:tbl>
      <w:tblPr>
        <w:tblW w:w="5000" w:type="pct"/>
        <w:tblLook w:val="04A0" w:firstRow="1" w:lastRow="0" w:firstColumn="1" w:lastColumn="0" w:noHBand="0" w:noVBand="1"/>
      </w:tblPr>
      <w:tblGrid>
        <w:gridCol w:w="2788"/>
        <w:gridCol w:w="1177"/>
        <w:gridCol w:w="1058"/>
        <w:gridCol w:w="1108"/>
        <w:gridCol w:w="1093"/>
        <w:gridCol w:w="1061"/>
        <w:gridCol w:w="1075"/>
      </w:tblGrid>
      <w:tr w:rsidR="00AD3BC4" w:rsidRPr="00AD3BC4" w14:paraId="726C1B09" w14:textId="77777777" w:rsidTr="11DBE3B8">
        <w:trPr>
          <w:trHeight w:val="1095"/>
          <w:tblHeader/>
        </w:trPr>
        <w:tc>
          <w:tcPr>
            <w:tcW w:w="1489" w:type="pct"/>
            <w:tcBorders>
              <w:top w:val="nil"/>
              <w:left w:val="nil"/>
              <w:bottom w:val="single" w:sz="12" w:space="0" w:color="95D600"/>
              <w:right w:val="nil"/>
            </w:tcBorders>
            <w:shd w:val="clear" w:color="auto" w:fill="036479"/>
            <w:vAlign w:val="center"/>
            <w:hideMark/>
          </w:tcPr>
          <w:p w14:paraId="743546EB" w14:textId="77777777" w:rsidR="00AD3BC4" w:rsidRPr="00AD3BC4" w:rsidRDefault="00AD3BC4" w:rsidP="00AD3BC4">
            <w:pPr>
              <w:spacing w:after="0" w:line="240" w:lineRule="auto"/>
              <w:rPr>
                <w:rFonts w:eastAsia="Times New Roman" w:cs="Calibri"/>
                <w:color w:val="FFFFFF"/>
                <w:sz w:val="20"/>
                <w:szCs w:val="20"/>
                <w:lang w:eastAsia="en-US"/>
              </w:rPr>
            </w:pPr>
            <w:r w:rsidRPr="00AD3BC4">
              <w:rPr>
                <w:rFonts w:eastAsia="Times New Roman" w:cs="Calibri"/>
                <w:color w:val="FFFFFF"/>
                <w:sz w:val="20"/>
                <w:szCs w:val="20"/>
                <w:lang w:eastAsia="en-US"/>
              </w:rPr>
              <w:t>Savings Category</w:t>
            </w:r>
          </w:p>
        </w:tc>
        <w:tc>
          <w:tcPr>
            <w:tcW w:w="629" w:type="pct"/>
            <w:tcBorders>
              <w:top w:val="nil"/>
              <w:left w:val="nil"/>
              <w:bottom w:val="single" w:sz="12" w:space="0" w:color="95D600"/>
              <w:right w:val="nil"/>
            </w:tcBorders>
            <w:shd w:val="clear" w:color="auto" w:fill="036479"/>
            <w:vAlign w:val="center"/>
            <w:hideMark/>
          </w:tcPr>
          <w:p w14:paraId="3AEEADE4" w14:textId="77777777" w:rsidR="00AD3BC4" w:rsidRPr="00AD3BC4" w:rsidRDefault="00AD3BC4" w:rsidP="00AD3BC4">
            <w:pPr>
              <w:spacing w:after="0" w:line="240" w:lineRule="auto"/>
              <w:ind w:firstLineChars="100" w:firstLine="200"/>
              <w:jc w:val="right"/>
              <w:rPr>
                <w:rFonts w:eastAsia="Times New Roman" w:cs="Calibri"/>
                <w:color w:val="FFFFFF"/>
                <w:sz w:val="20"/>
                <w:szCs w:val="20"/>
                <w:lang w:eastAsia="en-US"/>
              </w:rPr>
            </w:pPr>
            <w:r w:rsidRPr="00AD3BC4">
              <w:rPr>
                <w:rFonts w:eastAsia="Times New Roman" w:cs="Calibri"/>
                <w:color w:val="FFFFFF"/>
                <w:sz w:val="20"/>
                <w:szCs w:val="20"/>
                <w:lang w:eastAsia="en-US"/>
              </w:rPr>
              <w:t xml:space="preserve"> Ex Ante Gross Savings (Therms) </w:t>
            </w:r>
          </w:p>
        </w:tc>
        <w:tc>
          <w:tcPr>
            <w:tcW w:w="565" w:type="pct"/>
            <w:tcBorders>
              <w:top w:val="nil"/>
              <w:left w:val="nil"/>
              <w:bottom w:val="single" w:sz="12" w:space="0" w:color="95D600"/>
              <w:right w:val="nil"/>
            </w:tcBorders>
            <w:shd w:val="clear" w:color="auto" w:fill="036479"/>
            <w:vAlign w:val="center"/>
            <w:hideMark/>
          </w:tcPr>
          <w:p w14:paraId="7191DBDE" w14:textId="77777777" w:rsidR="00AD3BC4" w:rsidRPr="00AD3BC4" w:rsidRDefault="00AD3BC4" w:rsidP="00AD3BC4">
            <w:pPr>
              <w:spacing w:after="0" w:line="240" w:lineRule="auto"/>
              <w:jc w:val="right"/>
              <w:rPr>
                <w:rFonts w:eastAsia="Times New Roman" w:cs="Calibri"/>
                <w:color w:val="FFFFFF"/>
                <w:sz w:val="20"/>
                <w:szCs w:val="20"/>
                <w:lang w:eastAsia="en-US"/>
              </w:rPr>
            </w:pPr>
            <w:r w:rsidRPr="00AD3BC4">
              <w:rPr>
                <w:rFonts w:eastAsia="Times New Roman" w:cs="Calibri"/>
                <w:color w:val="FFFFFF"/>
                <w:sz w:val="20"/>
                <w:szCs w:val="20"/>
                <w:lang w:eastAsia="en-US"/>
              </w:rPr>
              <w:t>Verified Gross RR*</w:t>
            </w:r>
          </w:p>
        </w:tc>
        <w:tc>
          <w:tcPr>
            <w:tcW w:w="592" w:type="pct"/>
            <w:tcBorders>
              <w:top w:val="nil"/>
              <w:left w:val="nil"/>
              <w:bottom w:val="single" w:sz="12" w:space="0" w:color="95D600"/>
              <w:right w:val="nil"/>
            </w:tcBorders>
            <w:shd w:val="clear" w:color="auto" w:fill="036479"/>
            <w:vAlign w:val="center"/>
            <w:hideMark/>
          </w:tcPr>
          <w:p w14:paraId="03ACBDE7" w14:textId="77777777" w:rsidR="00AD3BC4" w:rsidRPr="00AD3BC4" w:rsidRDefault="00AD3BC4" w:rsidP="00AD3BC4">
            <w:pPr>
              <w:spacing w:after="0" w:line="240" w:lineRule="auto"/>
              <w:jc w:val="right"/>
              <w:rPr>
                <w:rFonts w:eastAsia="Times New Roman" w:cs="Calibri"/>
                <w:color w:val="FFFFFF"/>
                <w:sz w:val="20"/>
                <w:szCs w:val="20"/>
                <w:lang w:eastAsia="en-US"/>
              </w:rPr>
            </w:pPr>
            <w:r w:rsidRPr="00AD3BC4">
              <w:rPr>
                <w:rFonts w:eastAsia="Times New Roman" w:cs="Calibri"/>
                <w:color w:val="FFFFFF"/>
                <w:sz w:val="20"/>
                <w:szCs w:val="20"/>
                <w:lang w:eastAsia="en-US"/>
              </w:rPr>
              <w:t xml:space="preserve"> Verified Gross Savings (Therms) </w:t>
            </w:r>
          </w:p>
        </w:tc>
        <w:tc>
          <w:tcPr>
            <w:tcW w:w="584" w:type="pct"/>
            <w:tcBorders>
              <w:top w:val="nil"/>
              <w:left w:val="nil"/>
              <w:bottom w:val="single" w:sz="12" w:space="0" w:color="95D600"/>
              <w:right w:val="nil"/>
            </w:tcBorders>
            <w:shd w:val="clear" w:color="auto" w:fill="036479"/>
            <w:vAlign w:val="center"/>
            <w:hideMark/>
          </w:tcPr>
          <w:p w14:paraId="14FDE9EA" w14:textId="77777777" w:rsidR="00AD3BC4" w:rsidRPr="00AD3BC4" w:rsidRDefault="00AD3BC4" w:rsidP="00AD3BC4">
            <w:pPr>
              <w:spacing w:after="0" w:line="240" w:lineRule="auto"/>
              <w:jc w:val="right"/>
              <w:rPr>
                <w:rFonts w:eastAsia="Times New Roman" w:cs="Calibri"/>
                <w:color w:val="FFFFFF"/>
                <w:sz w:val="20"/>
                <w:szCs w:val="20"/>
                <w:lang w:eastAsia="en-US"/>
              </w:rPr>
            </w:pPr>
            <w:r w:rsidRPr="00AD3BC4">
              <w:rPr>
                <w:rFonts w:eastAsia="Times New Roman" w:cs="Calibri"/>
                <w:color w:val="FFFFFF"/>
                <w:sz w:val="20"/>
                <w:szCs w:val="20"/>
                <w:lang w:eastAsia="en-US"/>
              </w:rPr>
              <w:t xml:space="preserve"> NTG† </w:t>
            </w:r>
          </w:p>
        </w:tc>
        <w:tc>
          <w:tcPr>
            <w:tcW w:w="567" w:type="pct"/>
            <w:tcBorders>
              <w:top w:val="nil"/>
              <w:left w:val="nil"/>
              <w:bottom w:val="single" w:sz="12" w:space="0" w:color="95D600"/>
              <w:right w:val="nil"/>
            </w:tcBorders>
            <w:shd w:val="clear" w:color="auto" w:fill="036479"/>
            <w:vAlign w:val="center"/>
            <w:hideMark/>
          </w:tcPr>
          <w:p w14:paraId="6C0362D0" w14:textId="77777777" w:rsidR="00AD3BC4" w:rsidRPr="00AD3BC4" w:rsidRDefault="00AD3BC4" w:rsidP="00AD3BC4">
            <w:pPr>
              <w:spacing w:after="0" w:line="240" w:lineRule="auto"/>
              <w:jc w:val="right"/>
              <w:rPr>
                <w:rFonts w:eastAsia="Times New Roman" w:cs="Calibri"/>
                <w:color w:val="FFFFFF"/>
                <w:sz w:val="20"/>
                <w:szCs w:val="20"/>
                <w:lang w:eastAsia="en-US"/>
              </w:rPr>
            </w:pPr>
            <w:r w:rsidRPr="00AD3BC4">
              <w:rPr>
                <w:rFonts w:eastAsia="Times New Roman" w:cs="Calibri"/>
                <w:color w:val="FFFFFF"/>
                <w:sz w:val="20"/>
                <w:szCs w:val="20"/>
                <w:lang w:eastAsia="en-US"/>
              </w:rPr>
              <w:t xml:space="preserve"> NSPO‡ </w:t>
            </w:r>
          </w:p>
        </w:tc>
        <w:tc>
          <w:tcPr>
            <w:tcW w:w="574" w:type="pct"/>
            <w:tcBorders>
              <w:top w:val="nil"/>
              <w:left w:val="nil"/>
              <w:bottom w:val="single" w:sz="12" w:space="0" w:color="95D600"/>
              <w:right w:val="nil"/>
            </w:tcBorders>
            <w:shd w:val="clear" w:color="auto" w:fill="036479"/>
            <w:vAlign w:val="center"/>
            <w:hideMark/>
          </w:tcPr>
          <w:p w14:paraId="58F2B73A" w14:textId="77777777" w:rsidR="00AD3BC4" w:rsidRPr="00AD3BC4" w:rsidRDefault="00AD3BC4" w:rsidP="00AD3BC4">
            <w:pPr>
              <w:spacing w:after="0" w:line="240" w:lineRule="auto"/>
              <w:jc w:val="right"/>
              <w:rPr>
                <w:rFonts w:eastAsia="Times New Roman" w:cs="Calibri"/>
                <w:color w:val="FFFFFF"/>
                <w:sz w:val="20"/>
                <w:szCs w:val="20"/>
                <w:lang w:eastAsia="en-US"/>
              </w:rPr>
            </w:pPr>
            <w:r w:rsidRPr="00AD3BC4">
              <w:rPr>
                <w:rFonts w:eastAsia="Times New Roman" w:cs="Calibri"/>
                <w:color w:val="FFFFFF"/>
                <w:sz w:val="20"/>
                <w:szCs w:val="20"/>
                <w:lang w:eastAsia="en-US"/>
              </w:rPr>
              <w:t xml:space="preserve"> Verified Net Savings (Therms) </w:t>
            </w:r>
          </w:p>
        </w:tc>
      </w:tr>
      <w:tr w:rsidR="00AD3BC4" w:rsidRPr="00AD3BC4" w14:paraId="41478D41" w14:textId="77777777" w:rsidTr="11DBE3B8">
        <w:trPr>
          <w:trHeight w:val="330"/>
        </w:trPr>
        <w:tc>
          <w:tcPr>
            <w:tcW w:w="1489" w:type="pct"/>
            <w:tcBorders>
              <w:top w:val="nil"/>
              <w:left w:val="nil"/>
              <w:bottom w:val="single" w:sz="8" w:space="0" w:color="B3EFFD" w:themeColor="text2" w:themeTint="33"/>
              <w:right w:val="nil"/>
            </w:tcBorders>
            <w:shd w:val="clear" w:color="auto" w:fill="FFFFFF" w:themeFill="background1"/>
            <w:vAlign w:val="center"/>
            <w:hideMark/>
          </w:tcPr>
          <w:p w14:paraId="5C69DAFB"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t xml:space="preserve">Advanced Thermostat </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6402BA54" w14:textId="479F43F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125,585</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57B31EFA" w14:textId="7777777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100%</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0DB83D55" w14:textId="6126871E"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125,664</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7015978E" w14:textId="7670EFD2"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0.90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07640CD7" w14:textId="40EBB87D"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244D3719" w14:textId="6C992D6E"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118,526</w:t>
            </w:r>
          </w:p>
        </w:tc>
      </w:tr>
      <w:tr w:rsidR="00AD3BC4" w:rsidRPr="00AD3BC4" w14:paraId="71EBE8E0" w14:textId="77777777" w:rsidTr="11DBE3B8">
        <w:trPr>
          <w:trHeight w:val="315"/>
        </w:trPr>
        <w:tc>
          <w:tcPr>
            <w:tcW w:w="1489" w:type="pct"/>
            <w:tcBorders>
              <w:top w:val="nil"/>
              <w:left w:val="nil"/>
              <w:bottom w:val="single" w:sz="8" w:space="0" w:color="B3EFFD" w:themeColor="text2" w:themeTint="33"/>
              <w:right w:val="nil"/>
            </w:tcBorders>
            <w:vAlign w:val="center"/>
            <w:hideMark/>
          </w:tcPr>
          <w:p w14:paraId="11D61CE8"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t>Air Sealing</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5E1F9D29" w14:textId="40167BCE"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121,051</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7DDD2687" w14:textId="7777777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100%</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281BF3D1" w14:textId="25ABD695"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120,968</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53656C9F" w14:textId="49A1C580"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0.80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7504E57A" w14:textId="6FD4969D"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57E471BB" w14:textId="09BFD85E"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101,419</w:t>
            </w:r>
          </w:p>
        </w:tc>
      </w:tr>
      <w:tr w:rsidR="00AD3BC4" w:rsidRPr="00AD3BC4" w14:paraId="5A048EC2" w14:textId="77777777" w:rsidTr="11DBE3B8">
        <w:trPr>
          <w:trHeight w:val="270"/>
        </w:trPr>
        <w:tc>
          <w:tcPr>
            <w:tcW w:w="1489" w:type="pct"/>
            <w:tcBorders>
              <w:top w:val="nil"/>
              <w:left w:val="nil"/>
              <w:bottom w:val="single" w:sz="8" w:space="0" w:color="B3EFFD" w:themeColor="text2" w:themeTint="33"/>
              <w:right w:val="nil"/>
            </w:tcBorders>
            <w:shd w:val="clear" w:color="auto" w:fill="FFFFFF" w:themeFill="background1"/>
            <w:vAlign w:val="center"/>
            <w:hideMark/>
          </w:tcPr>
          <w:p w14:paraId="154C202C"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t>Duct Insulation and Sealing</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247B00AB" w14:textId="608F0021"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99,434</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1DD571F2" w14:textId="7777777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94%</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208111E1" w14:textId="7C98814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93,274</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1297AAB9" w14:textId="49F9B903"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0.80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5F7D47B5" w14:textId="60E9109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6434D60D" w14:textId="055EDBAB"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78,201</w:t>
            </w:r>
          </w:p>
        </w:tc>
      </w:tr>
      <w:tr w:rsidR="00AD3BC4" w:rsidRPr="00AD3BC4" w14:paraId="1B41480C" w14:textId="77777777" w:rsidTr="11DBE3B8">
        <w:trPr>
          <w:trHeight w:val="270"/>
        </w:trPr>
        <w:tc>
          <w:tcPr>
            <w:tcW w:w="1489" w:type="pct"/>
            <w:tcBorders>
              <w:top w:val="nil"/>
              <w:left w:val="nil"/>
              <w:bottom w:val="single" w:sz="8" w:space="0" w:color="B3EFFD" w:themeColor="text2" w:themeTint="33"/>
              <w:right w:val="nil"/>
            </w:tcBorders>
            <w:shd w:val="clear" w:color="auto" w:fill="FFFFFF" w:themeFill="background1"/>
            <w:vAlign w:val="center"/>
            <w:hideMark/>
          </w:tcPr>
          <w:p w14:paraId="2E88D1D1"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lastRenderedPageBreak/>
              <w:t>Gas High Efficiency Furnace &gt;95% AFUE</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51E5FBD7" w14:textId="4A9C6F7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237,725</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7EFB5ACB" w14:textId="7777777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100%</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0BD708F9" w14:textId="179F4DB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237,592</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537FE93C" w14:textId="0AB824B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0.80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6D238626" w14:textId="5348CC2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06DE5A77" w14:textId="3AE66F9D"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199,197</w:t>
            </w:r>
          </w:p>
        </w:tc>
      </w:tr>
      <w:tr w:rsidR="00AD3BC4" w:rsidRPr="00AD3BC4" w14:paraId="07CF7B0D" w14:textId="77777777" w:rsidTr="11DBE3B8">
        <w:trPr>
          <w:trHeight w:val="270"/>
        </w:trPr>
        <w:tc>
          <w:tcPr>
            <w:tcW w:w="1489" w:type="pct"/>
            <w:tcBorders>
              <w:top w:val="nil"/>
              <w:left w:val="nil"/>
              <w:bottom w:val="single" w:sz="8" w:space="0" w:color="B3EFFD" w:themeColor="text2" w:themeTint="33"/>
              <w:right w:val="nil"/>
            </w:tcBorders>
            <w:shd w:val="clear" w:color="auto" w:fill="FFFFFF" w:themeFill="background1"/>
            <w:vAlign w:val="center"/>
            <w:hideMark/>
          </w:tcPr>
          <w:p w14:paraId="6763E686"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t>On Demand Water Heater</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7E8F8D39" w14:textId="0BF8BBE6"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61,268</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6429CF26" w14:textId="77777777"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100%</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32FCBFFE" w14:textId="07D882FF"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61,268</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255E4F4A" w14:textId="0BFEEA4B"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0.80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2E147F75" w14:textId="36F1D765"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636A8079" w14:textId="316AEF72"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51,367</w:t>
            </w:r>
          </w:p>
        </w:tc>
      </w:tr>
      <w:tr w:rsidR="00AD3BC4" w:rsidRPr="00AD3BC4" w14:paraId="601CEA88" w14:textId="77777777" w:rsidTr="11DBE3B8">
        <w:trPr>
          <w:trHeight w:val="315"/>
        </w:trPr>
        <w:tc>
          <w:tcPr>
            <w:tcW w:w="1489" w:type="pct"/>
            <w:tcBorders>
              <w:top w:val="nil"/>
              <w:left w:val="nil"/>
              <w:bottom w:val="single" w:sz="8" w:space="0" w:color="B3EFFD" w:themeColor="text2" w:themeTint="33"/>
              <w:right w:val="nil"/>
            </w:tcBorders>
            <w:vAlign w:val="center"/>
            <w:hideMark/>
          </w:tcPr>
          <w:p w14:paraId="30963924" w14:textId="77777777" w:rsidR="00AD3BC4" w:rsidRPr="00AD3BC4" w:rsidRDefault="00AD3BC4" w:rsidP="00AD3BC4">
            <w:pPr>
              <w:spacing w:after="0" w:line="240" w:lineRule="auto"/>
              <w:rPr>
                <w:rFonts w:eastAsia="Times New Roman" w:cs="Calibri"/>
                <w:color w:val="000000"/>
                <w:sz w:val="20"/>
                <w:szCs w:val="20"/>
                <w:lang w:eastAsia="en-US"/>
              </w:rPr>
            </w:pPr>
            <w:r w:rsidRPr="00AD3BC4">
              <w:rPr>
                <w:rFonts w:eastAsia="Times New Roman" w:cs="Calibri"/>
                <w:color w:val="000000"/>
                <w:sz w:val="20"/>
                <w:szCs w:val="20"/>
                <w:lang w:eastAsia="en-US"/>
              </w:rPr>
              <w:t>Storage Water Heater</w:t>
            </w:r>
          </w:p>
        </w:tc>
        <w:tc>
          <w:tcPr>
            <w:tcW w:w="629" w:type="pct"/>
            <w:tcBorders>
              <w:top w:val="nil"/>
              <w:left w:val="nil"/>
              <w:bottom w:val="single" w:sz="8" w:space="0" w:color="B3EFFD" w:themeColor="text2" w:themeTint="33"/>
              <w:right w:val="nil"/>
            </w:tcBorders>
            <w:shd w:val="clear" w:color="auto" w:fill="FFFFFF" w:themeFill="background1"/>
            <w:noWrap/>
            <w:vAlign w:val="center"/>
            <w:hideMark/>
          </w:tcPr>
          <w:p w14:paraId="0E1AE48F" w14:textId="75241CF1"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12,901</w:t>
            </w:r>
          </w:p>
        </w:tc>
        <w:tc>
          <w:tcPr>
            <w:tcW w:w="565" w:type="pct"/>
            <w:tcBorders>
              <w:top w:val="nil"/>
              <w:left w:val="nil"/>
              <w:bottom w:val="single" w:sz="8" w:space="0" w:color="B3EFFD" w:themeColor="text2" w:themeTint="33"/>
              <w:right w:val="nil"/>
            </w:tcBorders>
            <w:shd w:val="clear" w:color="auto" w:fill="FFFFFF" w:themeFill="background1"/>
            <w:noWrap/>
            <w:vAlign w:val="center"/>
            <w:hideMark/>
          </w:tcPr>
          <w:p w14:paraId="38BF0A8E" w14:textId="64E2929E"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9</w:t>
            </w:r>
            <w:r w:rsidR="00E55726">
              <w:rPr>
                <w:rFonts w:eastAsia="Times New Roman" w:cs="Calibri"/>
                <w:color w:val="000000"/>
                <w:sz w:val="20"/>
                <w:szCs w:val="20"/>
                <w:lang w:eastAsia="en-US"/>
              </w:rPr>
              <w:t>7</w:t>
            </w:r>
            <w:r w:rsidRPr="00AD3BC4">
              <w:rPr>
                <w:rFonts w:eastAsia="Times New Roman" w:cs="Calibri"/>
                <w:color w:val="000000"/>
                <w:sz w:val="20"/>
                <w:szCs w:val="20"/>
                <w:lang w:eastAsia="en-US"/>
              </w:rPr>
              <w:t>%</w:t>
            </w:r>
          </w:p>
        </w:tc>
        <w:tc>
          <w:tcPr>
            <w:tcW w:w="592" w:type="pct"/>
            <w:tcBorders>
              <w:top w:val="nil"/>
              <w:left w:val="nil"/>
              <w:bottom w:val="single" w:sz="8" w:space="0" w:color="B3EFFD" w:themeColor="text2" w:themeTint="33"/>
              <w:right w:val="nil"/>
            </w:tcBorders>
            <w:shd w:val="clear" w:color="auto" w:fill="FFFFFF" w:themeFill="background1"/>
            <w:noWrap/>
            <w:vAlign w:val="center"/>
            <w:hideMark/>
          </w:tcPr>
          <w:p w14:paraId="1404C3CD" w14:textId="2060A82A"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12,</w:t>
            </w:r>
            <w:r w:rsidR="00E55726">
              <w:rPr>
                <w:rFonts w:eastAsia="Times New Roman" w:cs="Calibri"/>
                <w:color w:val="000000"/>
                <w:sz w:val="20"/>
                <w:szCs w:val="20"/>
                <w:lang w:eastAsia="en-US"/>
              </w:rPr>
              <w:t>522</w:t>
            </w:r>
          </w:p>
        </w:tc>
        <w:tc>
          <w:tcPr>
            <w:tcW w:w="584" w:type="pct"/>
            <w:tcBorders>
              <w:top w:val="nil"/>
              <w:left w:val="nil"/>
              <w:bottom w:val="single" w:sz="8" w:space="0" w:color="B3EFFD" w:themeColor="text2" w:themeTint="33"/>
              <w:right w:val="nil"/>
            </w:tcBorders>
            <w:shd w:val="clear" w:color="auto" w:fill="FFFFFF" w:themeFill="background1"/>
            <w:noWrap/>
            <w:vAlign w:val="center"/>
            <w:hideMark/>
          </w:tcPr>
          <w:p w14:paraId="15D85DA0" w14:textId="6BBCD7B2"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0.80</w:t>
            </w:r>
          </w:p>
        </w:tc>
        <w:tc>
          <w:tcPr>
            <w:tcW w:w="567" w:type="pct"/>
            <w:tcBorders>
              <w:top w:val="nil"/>
              <w:left w:val="nil"/>
              <w:bottom w:val="single" w:sz="8" w:space="0" w:color="B3EFFD" w:themeColor="text2" w:themeTint="33"/>
              <w:right w:val="nil"/>
            </w:tcBorders>
            <w:shd w:val="clear" w:color="auto" w:fill="FFFFFF" w:themeFill="background1"/>
            <w:noWrap/>
            <w:vAlign w:val="center"/>
            <w:hideMark/>
          </w:tcPr>
          <w:p w14:paraId="288C87E9" w14:textId="44C0DC9C"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1.048</w:t>
            </w:r>
          </w:p>
        </w:tc>
        <w:tc>
          <w:tcPr>
            <w:tcW w:w="574" w:type="pct"/>
            <w:tcBorders>
              <w:top w:val="nil"/>
              <w:left w:val="nil"/>
              <w:bottom w:val="single" w:sz="8" w:space="0" w:color="B3EFFD" w:themeColor="text2" w:themeTint="33"/>
              <w:right w:val="nil"/>
            </w:tcBorders>
            <w:shd w:val="clear" w:color="auto" w:fill="FFFFFF" w:themeFill="background1"/>
            <w:vAlign w:val="center"/>
            <w:hideMark/>
          </w:tcPr>
          <w:p w14:paraId="3246C5BE" w14:textId="33AAE380" w:rsidR="00AD3BC4" w:rsidRPr="00AD3BC4" w:rsidRDefault="00AD3BC4" w:rsidP="00AD3BC4">
            <w:pPr>
              <w:spacing w:after="0" w:line="240" w:lineRule="auto"/>
              <w:jc w:val="right"/>
              <w:rPr>
                <w:rFonts w:eastAsia="Times New Roman" w:cs="Calibri"/>
                <w:color w:val="000000"/>
                <w:sz w:val="20"/>
                <w:szCs w:val="20"/>
                <w:lang w:eastAsia="en-US"/>
              </w:rPr>
            </w:pPr>
            <w:r w:rsidRPr="00AD3BC4">
              <w:rPr>
                <w:rFonts w:eastAsia="Times New Roman" w:cs="Calibri"/>
                <w:color w:val="000000"/>
                <w:sz w:val="20"/>
                <w:szCs w:val="20"/>
                <w:lang w:eastAsia="en-US"/>
              </w:rPr>
              <w:t>10,</w:t>
            </w:r>
            <w:r w:rsidR="00E55726">
              <w:rPr>
                <w:rFonts w:eastAsia="Times New Roman" w:cs="Calibri"/>
                <w:color w:val="000000"/>
                <w:sz w:val="20"/>
                <w:szCs w:val="20"/>
                <w:lang w:eastAsia="en-US"/>
              </w:rPr>
              <w:t>498</w:t>
            </w:r>
          </w:p>
        </w:tc>
      </w:tr>
      <w:tr w:rsidR="00AD3BC4" w:rsidRPr="00AD3BC4" w14:paraId="33996E6C" w14:textId="77777777" w:rsidTr="11DBE3B8">
        <w:trPr>
          <w:trHeight w:val="315"/>
        </w:trPr>
        <w:tc>
          <w:tcPr>
            <w:tcW w:w="1489" w:type="pct"/>
            <w:tcBorders>
              <w:top w:val="single" w:sz="8" w:space="0" w:color="B3EFFD" w:themeColor="text2" w:themeTint="33"/>
              <w:left w:val="nil"/>
              <w:bottom w:val="single" w:sz="8" w:space="0" w:color="036479"/>
              <w:right w:val="nil"/>
            </w:tcBorders>
            <w:vAlign w:val="center"/>
          </w:tcPr>
          <w:p w14:paraId="505E3B72" w14:textId="761A807B" w:rsidR="00AD3BC4" w:rsidRPr="00AD3BC4" w:rsidRDefault="7D821DD8" w:rsidP="00AD3BC4">
            <w:pPr>
              <w:spacing w:after="0" w:line="240" w:lineRule="auto"/>
              <w:rPr>
                <w:rFonts w:eastAsia="Times New Roman" w:cs="Calibri"/>
                <w:b/>
                <w:bCs/>
                <w:color w:val="000000"/>
                <w:sz w:val="20"/>
                <w:szCs w:val="20"/>
                <w:lang w:eastAsia="en-US"/>
              </w:rPr>
            </w:pPr>
            <w:r w:rsidRPr="11DBE3B8">
              <w:rPr>
                <w:rFonts w:eastAsia="Times New Roman" w:cs="Calibri"/>
                <w:b/>
                <w:bCs/>
                <w:color w:val="000000" w:themeColor="text1"/>
                <w:sz w:val="20"/>
                <w:szCs w:val="20"/>
                <w:lang w:eastAsia="en-US"/>
              </w:rPr>
              <w:t>Total</w:t>
            </w:r>
          </w:p>
        </w:tc>
        <w:tc>
          <w:tcPr>
            <w:tcW w:w="629" w:type="pct"/>
            <w:tcBorders>
              <w:top w:val="nil"/>
              <w:left w:val="nil"/>
              <w:bottom w:val="single" w:sz="8" w:space="0" w:color="036479"/>
              <w:right w:val="nil"/>
            </w:tcBorders>
            <w:noWrap/>
            <w:vAlign w:val="center"/>
            <w:hideMark/>
          </w:tcPr>
          <w:p w14:paraId="4A1B6EA9" w14:textId="7BC5E044" w:rsidR="00AD3BC4" w:rsidRPr="00AD3BC4" w:rsidRDefault="00AD3BC4" w:rsidP="00AD3BC4">
            <w:pPr>
              <w:spacing w:after="0" w:line="240" w:lineRule="auto"/>
              <w:jc w:val="right"/>
              <w:rPr>
                <w:rFonts w:eastAsia="Times New Roman" w:cs="Calibri"/>
                <w:b/>
                <w:bCs/>
                <w:color w:val="000000"/>
                <w:sz w:val="20"/>
                <w:szCs w:val="20"/>
                <w:lang w:eastAsia="en-US"/>
              </w:rPr>
            </w:pPr>
            <w:r w:rsidRPr="00AD3BC4">
              <w:rPr>
                <w:rFonts w:eastAsia="Times New Roman" w:cs="Calibri"/>
                <w:b/>
                <w:bCs/>
                <w:color w:val="000000"/>
                <w:sz w:val="20"/>
                <w:szCs w:val="20"/>
                <w:lang w:eastAsia="en-US"/>
              </w:rPr>
              <w:t>657,964</w:t>
            </w:r>
          </w:p>
        </w:tc>
        <w:tc>
          <w:tcPr>
            <w:tcW w:w="565" w:type="pct"/>
            <w:tcBorders>
              <w:top w:val="nil"/>
              <w:left w:val="nil"/>
              <w:bottom w:val="single" w:sz="8" w:space="0" w:color="036479"/>
              <w:right w:val="nil"/>
            </w:tcBorders>
            <w:noWrap/>
            <w:vAlign w:val="center"/>
            <w:hideMark/>
          </w:tcPr>
          <w:p w14:paraId="197138F7" w14:textId="77777777" w:rsidR="00AD3BC4" w:rsidRPr="00AD3BC4" w:rsidRDefault="00AD3BC4" w:rsidP="00AD3BC4">
            <w:pPr>
              <w:spacing w:after="0" w:line="240" w:lineRule="auto"/>
              <w:jc w:val="right"/>
              <w:rPr>
                <w:rFonts w:eastAsia="Times New Roman" w:cs="Calibri"/>
                <w:b/>
                <w:bCs/>
                <w:color w:val="000000"/>
                <w:sz w:val="20"/>
                <w:szCs w:val="20"/>
                <w:lang w:eastAsia="en-US"/>
              </w:rPr>
            </w:pPr>
            <w:r w:rsidRPr="00AD3BC4">
              <w:rPr>
                <w:rFonts w:eastAsia="Times New Roman" w:cs="Calibri"/>
                <w:b/>
                <w:bCs/>
                <w:color w:val="000000"/>
                <w:sz w:val="20"/>
                <w:szCs w:val="20"/>
                <w:lang w:eastAsia="en-US"/>
              </w:rPr>
              <w:t>99%</w:t>
            </w:r>
          </w:p>
        </w:tc>
        <w:tc>
          <w:tcPr>
            <w:tcW w:w="592" w:type="pct"/>
            <w:tcBorders>
              <w:top w:val="nil"/>
              <w:left w:val="nil"/>
              <w:bottom w:val="single" w:sz="8" w:space="0" w:color="036479"/>
              <w:right w:val="nil"/>
            </w:tcBorders>
            <w:noWrap/>
            <w:vAlign w:val="center"/>
            <w:hideMark/>
          </w:tcPr>
          <w:p w14:paraId="27A320F7" w14:textId="0C270741" w:rsidR="00AD3BC4" w:rsidRPr="00AD3BC4" w:rsidRDefault="00AD3BC4" w:rsidP="00AD3BC4">
            <w:pPr>
              <w:spacing w:after="0" w:line="240" w:lineRule="auto"/>
              <w:jc w:val="right"/>
              <w:rPr>
                <w:rFonts w:eastAsia="Times New Roman" w:cs="Calibri"/>
                <w:b/>
                <w:bCs/>
                <w:color w:val="000000"/>
                <w:sz w:val="20"/>
                <w:szCs w:val="20"/>
                <w:lang w:eastAsia="en-US"/>
              </w:rPr>
            </w:pPr>
            <w:r w:rsidRPr="00AD3BC4">
              <w:rPr>
                <w:rFonts w:eastAsia="Times New Roman" w:cs="Calibri"/>
                <w:b/>
                <w:bCs/>
                <w:color w:val="000000"/>
                <w:sz w:val="20"/>
                <w:szCs w:val="20"/>
                <w:lang w:eastAsia="en-US"/>
              </w:rPr>
              <w:t>651,</w:t>
            </w:r>
            <w:r w:rsidR="00E55726">
              <w:rPr>
                <w:rFonts w:eastAsia="Times New Roman" w:cs="Calibri"/>
                <w:b/>
                <w:bCs/>
                <w:color w:val="000000"/>
                <w:sz w:val="20"/>
                <w:szCs w:val="20"/>
                <w:lang w:eastAsia="en-US"/>
              </w:rPr>
              <w:t>288</w:t>
            </w:r>
          </w:p>
        </w:tc>
        <w:tc>
          <w:tcPr>
            <w:tcW w:w="584" w:type="pct"/>
            <w:tcBorders>
              <w:top w:val="nil"/>
              <w:left w:val="nil"/>
              <w:bottom w:val="single" w:sz="8" w:space="0" w:color="036479"/>
              <w:right w:val="nil"/>
            </w:tcBorders>
            <w:noWrap/>
            <w:vAlign w:val="center"/>
            <w:hideMark/>
          </w:tcPr>
          <w:p w14:paraId="38347747" w14:textId="1A591F85" w:rsidR="00AD3BC4" w:rsidRPr="00AD3BC4" w:rsidRDefault="00AD3BC4" w:rsidP="00AD3BC4">
            <w:pPr>
              <w:spacing w:after="0" w:line="240" w:lineRule="auto"/>
              <w:jc w:val="right"/>
              <w:rPr>
                <w:rFonts w:eastAsia="Times New Roman" w:cs="Calibri"/>
                <w:b/>
                <w:bCs/>
                <w:color w:val="000000"/>
                <w:sz w:val="20"/>
                <w:szCs w:val="20"/>
                <w:lang w:eastAsia="en-US"/>
              </w:rPr>
            </w:pPr>
          </w:p>
        </w:tc>
        <w:tc>
          <w:tcPr>
            <w:tcW w:w="567" w:type="pct"/>
            <w:tcBorders>
              <w:top w:val="nil"/>
              <w:left w:val="nil"/>
              <w:bottom w:val="single" w:sz="8" w:space="0" w:color="036479"/>
              <w:right w:val="nil"/>
            </w:tcBorders>
            <w:noWrap/>
            <w:vAlign w:val="center"/>
            <w:hideMark/>
          </w:tcPr>
          <w:p w14:paraId="4FD0A693" w14:textId="681AE76A" w:rsidR="00AD3BC4" w:rsidRPr="00AD3BC4" w:rsidRDefault="00AD3BC4" w:rsidP="00AD3BC4">
            <w:pPr>
              <w:spacing w:after="0" w:line="240" w:lineRule="auto"/>
              <w:jc w:val="right"/>
              <w:rPr>
                <w:rFonts w:eastAsia="Times New Roman" w:cs="Calibri"/>
                <w:b/>
                <w:bCs/>
                <w:color w:val="000000"/>
                <w:sz w:val="20"/>
                <w:szCs w:val="20"/>
                <w:lang w:eastAsia="en-US"/>
              </w:rPr>
            </w:pPr>
          </w:p>
        </w:tc>
        <w:tc>
          <w:tcPr>
            <w:tcW w:w="574" w:type="pct"/>
            <w:tcBorders>
              <w:top w:val="nil"/>
              <w:left w:val="nil"/>
              <w:bottom w:val="single" w:sz="8" w:space="0" w:color="036479"/>
              <w:right w:val="nil"/>
            </w:tcBorders>
            <w:vAlign w:val="center"/>
            <w:hideMark/>
          </w:tcPr>
          <w:p w14:paraId="12932FB2" w14:textId="77FD37AA" w:rsidR="00AD3BC4" w:rsidRPr="00AD3BC4" w:rsidRDefault="00AD3BC4" w:rsidP="00AD3BC4">
            <w:pPr>
              <w:spacing w:after="0" w:line="240" w:lineRule="auto"/>
              <w:jc w:val="right"/>
              <w:rPr>
                <w:rFonts w:eastAsia="Times New Roman" w:cs="Calibri"/>
                <w:b/>
                <w:bCs/>
                <w:color w:val="000000"/>
                <w:sz w:val="20"/>
                <w:szCs w:val="20"/>
                <w:lang w:eastAsia="en-US"/>
              </w:rPr>
            </w:pPr>
            <w:r w:rsidRPr="00AD3BC4">
              <w:rPr>
                <w:rFonts w:eastAsia="Times New Roman" w:cs="Calibri"/>
                <w:b/>
                <w:bCs/>
                <w:color w:val="000000"/>
                <w:sz w:val="20"/>
                <w:szCs w:val="20"/>
                <w:lang w:eastAsia="en-US"/>
              </w:rPr>
              <w:t>559,</w:t>
            </w:r>
            <w:r w:rsidR="00E55726">
              <w:rPr>
                <w:rFonts w:eastAsia="Times New Roman" w:cs="Calibri"/>
                <w:b/>
                <w:bCs/>
                <w:color w:val="000000"/>
                <w:sz w:val="20"/>
                <w:szCs w:val="20"/>
                <w:lang w:eastAsia="en-US"/>
              </w:rPr>
              <w:t>208</w:t>
            </w:r>
          </w:p>
        </w:tc>
      </w:tr>
    </w:tbl>
    <w:p w14:paraId="6416091A" w14:textId="77777777" w:rsidR="00514E5B" w:rsidRPr="00B34EF6" w:rsidRDefault="00514E5B" w:rsidP="00514E5B">
      <w:pPr>
        <w:pStyle w:val="Source"/>
        <w:rPr>
          <w:rFonts w:asciiTheme="minorHAnsi" w:hAnsiTheme="minorHAnsi"/>
          <w:sz w:val="18"/>
          <w:szCs w:val="18"/>
        </w:rPr>
      </w:pPr>
      <w:r w:rsidRPr="00B34EF6">
        <w:rPr>
          <w:rFonts w:asciiTheme="minorHAnsi" w:hAnsiTheme="minorHAnsi"/>
          <w:sz w:val="18"/>
          <w:szCs w:val="18"/>
        </w:rPr>
        <w:t>* Realization Rate (RR) is the ratio of verified gross savings to ex ante gross savings, based on evaluation research findings.</w:t>
      </w:r>
    </w:p>
    <w:p w14:paraId="2B227B9D" w14:textId="1C1E15DA" w:rsidR="00B34EF6" w:rsidRPr="00B34EF6" w:rsidRDefault="00B34EF6" w:rsidP="00B34EF6">
      <w:pPr>
        <w:pStyle w:val="Source"/>
        <w:rPr>
          <w:rFonts w:asciiTheme="minorHAnsi" w:hAnsiTheme="minorHAnsi"/>
          <w:sz w:val="18"/>
          <w:szCs w:val="18"/>
        </w:rPr>
      </w:pPr>
      <w:r w:rsidRPr="00B34EF6">
        <w:rPr>
          <w:rFonts w:asciiTheme="minorHAnsi" w:hAnsiTheme="minorHAnsi"/>
          <w:sz w:val="18"/>
          <w:szCs w:val="18"/>
        </w:rPr>
        <w:t xml:space="preserve">† NTG, Net to Gross is the deemed value available on the SAG website: </w:t>
      </w:r>
      <w:hyperlink r:id="rId21">
        <w:r w:rsidRPr="00B34EF6">
          <w:rPr>
            <w:rFonts w:asciiTheme="minorHAnsi" w:hAnsiTheme="minorHAnsi"/>
            <w:sz w:val="18"/>
            <w:szCs w:val="18"/>
          </w:rPr>
          <w:t>https://www.ilsag.info/evaluator-ntg-recommendations-for-2025/</w:t>
        </w:r>
      </w:hyperlink>
      <w:r w:rsidRPr="00B34EF6">
        <w:rPr>
          <w:rFonts w:asciiTheme="minorHAnsi" w:hAnsiTheme="minorHAnsi"/>
          <w:sz w:val="18"/>
          <w:szCs w:val="18"/>
        </w:rPr>
        <w:t xml:space="preserve">. </w:t>
      </w:r>
    </w:p>
    <w:p w14:paraId="6FB2EBB2" w14:textId="6849B836" w:rsidR="00514E5B" w:rsidRPr="00B34EF6" w:rsidRDefault="09CE4446" w:rsidP="11DBE3B8">
      <w:pPr>
        <w:pStyle w:val="Source"/>
        <w:rPr>
          <w:rFonts w:asciiTheme="minorHAnsi" w:hAnsiTheme="minorHAnsi"/>
          <w:sz w:val="18"/>
          <w:szCs w:val="18"/>
        </w:rPr>
      </w:pPr>
      <w:r w:rsidRPr="11DBE3B8">
        <w:rPr>
          <w:rFonts w:asciiTheme="minorHAnsi" w:hAnsiTheme="minorHAnsi"/>
          <w:sz w:val="18"/>
          <w:szCs w:val="18"/>
        </w:rPr>
        <w:t xml:space="preserve">‡ </w:t>
      </w:r>
      <w:r w:rsidR="002C4AED" w:rsidRPr="002C4AED">
        <w:rPr>
          <w:rFonts w:asciiTheme="minorHAnsi" w:hAnsiTheme="minorHAnsi"/>
          <w:sz w:val="18"/>
          <w:szCs w:val="18"/>
        </w:rPr>
        <w:t xml:space="preserve">The Non-Disadvantaged Communities net savings were multiplied by a residential non-participant spillover (NPSO) factor of 1.048.  </w:t>
      </w:r>
    </w:p>
    <w:p w14:paraId="211CFFC2" w14:textId="26520D68" w:rsidR="00F36BF3" w:rsidRPr="00B34EF6" w:rsidRDefault="00514E5B" w:rsidP="00F36BF3">
      <w:pPr>
        <w:pStyle w:val="Source"/>
        <w:rPr>
          <w:rFonts w:asciiTheme="minorHAnsi" w:hAnsiTheme="minorHAnsi"/>
          <w:sz w:val="18"/>
          <w:szCs w:val="18"/>
        </w:rPr>
      </w:pPr>
      <w:r w:rsidRPr="00B34EF6">
        <w:rPr>
          <w:rFonts w:asciiTheme="minorHAnsi" w:hAnsiTheme="minorHAnsi"/>
          <w:sz w:val="18"/>
          <w:szCs w:val="18"/>
        </w:rPr>
        <w:t>Source: Evaluation team analysis.</w:t>
      </w:r>
    </w:p>
    <w:p w14:paraId="708C7371" w14:textId="77777777" w:rsidR="00F36BF3" w:rsidRDefault="00F36BF3" w:rsidP="00F36BF3">
      <w:pPr>
        <w:pStyle w:val="Source"/>
      </w:pPr>
    </w:p>
    <w:p w14:paraId="5CFA31C9" w14:textId="0265D9D9" w:rsidR="00F36BF3" w:rsidRDefault="007C32B5" w:rsidP="004708A4">
      <w:pPr>
        <w:pStyle w:val="Heading1"/>
      </w:pPr>
      <w:bookmarkStart w:id="34" w:name="_Toc225365668"/>
      <w:bookmarkEnd w:id="32"/>
      <w:r>
        <w:t>Impact Analysis Findings and Recommendations</w:t>
      </w:r>
      <w:bookmarkEnd w:id="34"/>
    </w:p>
    <w:p w14:paraId="742A0594" w14:textId="28562DB4" w:rsidR="001B064A" w:rsidRDefault="001B064A" w:rsidP="00B436FA">
      <w:pPr>
        <w:pStyle w:val="Heading2"/>
      </w:pPr>
      <w:bookmarkStart w:id="35" w:name="_Toc225365669"/>
      <w:r>
        <w:t>Impact Parameter Estimates</w:t>
      </w:r>
      <w:bookmarkEnd w:id="35"/>
    </w:p>
    <w:bookmarkStart w:id="36" w:name="_Toc381633053"/>
    <w:p w14:paraId="48F0B77B" w14:textId="12A61C4A" w:rsidR="00E67B85" w:rsidRDefault="00E67B85" w:rsidP="00AD5F80">
      <w:pPr>
        <w:keepNext/>
        <w:keepLines/>
      </w:pPr>
      <w:r>
        <w:fldChar w:fldCharType="begin"/>
      </w:r>
      <w:r>
        <w:instrText xml:space="preserve"> REF _Ref503449693 \h </w:instrText>
      </w:r>
      <w:r>
        <w:fldChar w:fldCharType="separate"/>
      </w:r>
      <w:r w:rsidR="539E4219">
        <w:t xml:space="preserve">Table </w:t>
      </w:r>
      <w:r w:rsidR="539E4219" w:rsidRPr="11DBE3B8">
        <w:rPr>
          <w:noProof/>
        </w:rPr>
        <w:t>5</w:t>
      </w:r>
      <w:r>
        <w:fldChar w:fldCharType="end"/>
      </w:r>
      <w:r w:rsidR="539E4219">
        <w:t xml:space="preserve"> shows the unit therm savings and realization rate findings by measure. The realization rate is the ratio of the verified savings to the </w:t>
      </w:r>
      <w:proofErr w:type="gramStart"/>
      <w:r w:rsidR="539E4219">
        <w:t>ex ante</w:t>
      </w:r>
      <w:proofErr w:type="gramEnd"/>
      <w:r w:rsidR="539E4219">
        <w:t xml:space="preserve"> savings. Following the table, we provide findings and recommendations, including discussion of all measures with realization rates above or below 100%. Appendix A provides a description of the impact analysis methodology.</w:t>
      </w:r>
    </w:p>
    <w:p w14:paraId="20A1ADD6" w14:textId="77777777" w:rsidR="00E67B85" w:rsidRPr="00E8651B" w:rsidRDefault="00E67B85" w:rsidP="00AD3BC4">
      <w:pPr>
        <w:pStyle w:val="Caption"/>
      </w:pPr>
      <w:bookmarkStart w:id="37" w:name="_Ref503449693"/>
      <w:bookmarkStart w:id="38" w:name="_Toc61360849"/>
      <w:bookmarkStart w:id="39" w:name="_Toc189750770"/>
      <w:bookmarkStart w:id="40" w:name="_Toc225365677"/>
      <w:bookmarkEnd w:id="36"/>
      <w:r>
        <w:t xml:space="preserve">Table </w:t>
      </w:r>
      <w:r>
        <w:fldChar w:fldCharType="begin"/>
      </w:r>
      <w:r>
        <w:instrText xml:space="preserve"> SEQ Table \* ARABIC </w:instrText>
      </w:r>
      <w:r>
        <w:fldChar w:fldCharType="separate"/>
      </w:r>
      <w:r>
        <w:rPr>
          <w:noProof/>
        </w:rPr>
        <w:t>5</w:t>
      </w:r>
      <w:r>
        <w:fldChar w:fldCharType="end"/>
      </w:r>
      <w:bookmarkEnd w:id="37"/>
      <w:r>
        <w:t xml:space="preserve">. </w:t>
      </w:r>
      <w:r w:rsidRPr="00E8651B">
        <w:t>Verified Gross Savings Parameters</w:t>
      </w:r>
      <w:bookmarkEnd w:id="38"/>
      <w:bookmarkEnd w:id="39"/>
      <w:bookmarkEnd w:id="40"/>
    </w:p>
    <w:tbl>
      <w:tblPr>
        <w:tblStyle w:val="EnergyTable"/>
        <w:tblW w:w="5000" w:type="pct"/>
        <w:tblLook w:val="04A0" w:firstRow="1" w:lastRow="0" w:firstColumn="1" w:lastColumn="0" w:noHBand="0" w:noVBand="1"/>
      </w:tblPr>
      <w:tblGrid>
        <w:gridCol w:w="2088"/>
        <w:gridCol w:w="816"/>
        <w:gridCol w:w="1342"/>
        <w:gridCol w:w="1342"/>
        <w:gridCol w:w="1760"/>
        <w:gridCol w:w="2012"/>
      </w:tblGrid>
      <w:tr w:rsidR="00E67B85" w:rsidRPr="00307D3B" w14:paraId="653E634E" w14:textId="77777777" w:rsidTr="00F2460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115" w:type="pct"/>
          </w:tcPr>
          <w:p w14:paraId="7596A1F6" w14:textId="77777777" w:rsidR="00E67B85" w:rsidRPr="00307D3B" w:rsidRDefault="00E67B85">
            <w:pPr>
              <w:keepNext/>
              <w:keepLines/>
              <w:spacing w:before="60" w:after="60"/>
              <w:jc w:val="left"/>
              <w:rPr>
                <w:rFonts w:ascii="Aptos Narrow" w:hAnsi="Aptos Narrow"/>
                <w:b w:val="0"/>
                <w:color w:val="FFFFFF"/>
                <w:sz w:val="20"/>
              </w:rPr>
            </w:pPr>
            <w:r w:rsidRPr="00307D3B">
              <w:rPr>
                <w:rFonts w:ascii="Aptos Narrow" w:hAnsi="Aptos Narrow"/>
                <w:b w:val="0"/>
                <w:color w:val="FFFFFF"/>
                <w:sz w:val="20"/>
              </w:rPr>
              <w:t>Measure</w:t>
            </w:r>
          </w:p>
        </w:tc>
        <w:tc>
          <w:tcPr>
            <w:tcW w:w="436" w:type="pct"/>
          </w:tcPr>
          <w:p w14:paraId="2ED0558D" w14:textId="77777777" w:rsidR="00E67B85" w:rsidRPr="00307D3B" w:rsidRDefault="00E67B85" w:rsidP="00F2460E">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307D3B">
              <w:rPr>
                <w:rFonts w:ascii="Aptos Narrow" w:hAnsi="Aptos Narrow"/>
                <w:b w:val="0"/>
                <w:color w:val="FFFFFF"/>
                <w:sz w:val="20"/>
              </w:rPr>
              <w:t>Unit Basis</w:t>
            </w:r>
          </w:p>
        </w:tc>
        <w:tc>
          <w:tcPr>
            <w:tcW w:w="717" w:type="pct"/>
          </w:tcPr>
          <w:p w14:paraId="096ECD61" w14:textId="77777777" w:rsidR="00E67B85" w:rsidRPr="00307D3B" w:rsidRDefault="00E67B85" w:rsidP="00F2460E">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307D3B">
              <w:rPr>
                <w:rFonts w:ascii="Aptos Narrow" w:hAnsi="Aptos Narrow"/>
                <w:b w:val="0"/>
                <w:color w:val="FFFFFF"/>
                <w:sz w:val="20"/>
              </w:rPr>
              <w:t>Ex Ante Gross (therms/unit)</w:t>
            </w:r>
          </w:p>
        </w:tc>
        <w:tc>
          <w:tcPr>
            <w:tcW w:w="717" w:type="pct"/>
          </w:tcPr>
          <w:p w14:paraId="7AC9BCD4" w14:textId="77777777" w:rsidR="00E67B85" w:rsidRPr="00307D3B" w:rsidRDefault="00E67B85" w:rsidP="00F2460E">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307D3B">
              <w:rPr>
                <w:rFonts w:ascii="Aptos Narrow" w:hAnsi="Aptos Narrow"/>
                <w:b w:val="0"/>
                <w:color w:val="FFFFFF"/>
                <w:sz w:val="20"/>
              </w:rPr>
              <w:t>Verified Gross (therms/unit)</w:t>
            </w:r>
          </w:p>
        </w:tc>
        <w:tc>
          <w:tcPr>
            <w:tcW w:w="940" w:type="pct"/>
          </w:tcPr>
          <w:p w14:paraId="285E12DE" w14:textId="77777777" w:rsidR="00E67B85" w:rsidRPr="00307D3B" w:rsidRDefault="00E67B85" w:rsidP="00F2460E">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307D3B">
              <w:rPr>
                <w:rFonts w:ascii="Aptos Narrow" w:hAnsi="Aptos Narrow"/>
                <w:b w:val="0"/>
                <w:color w:val="FFFFFF"/>
                <w:sz w:val="20"/>
              </w:rPr>
              <w:t>Realization Rate</w:t>
            </w:r>
          </w:p>
        </w:tc>
        <w:tc>
          <w:tcPr>
            <w:tcW w:w="1075" w:type="pct"/>
          </w:tcPr>
          <w:p w14:paraId="3C06A03F" w14:textId="64337EDB" w:rsidR="00E67B85" w:rsidRPr="00307D3B" w:rsidRDefault="0066270D" w:rsidP="00F2460E">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307D3B">
              <w:rPr>
                <w:rFonts w:ascii="Aptos Narrow" w:hAnsi="Aptos Narrow"/>
                <w:b w:val="0"/>
                <w:color w:val="FFFFFF"/>
                <w:sz w:val="20"/>
              </w:rPr>
              <w:t>IL TRM v13.0 Section*</w:t>
            </w:r>
          </w:p>
        </w:tc>
      </w:tr>
      <w:tr w:rsidR="000405FB" w:rsidRPr="00307D3B" w14:paraId="0AF15527" w14:textId="77777777" w:rsidTr="00F246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2574A00C" w14:textId="2EF39EF1" w:rsidR="000405FB" w:rsidRPr="00307D3B" w:rsidRDefault="000405FB" w:rsidP="000405FB">
            <w:pPr>
              <w:keepNext/>
              <w:keepLines/>
              <w:jc w:val="left"/>
              <w:rPr>
                <w:rFonts w:ascii="Aptos Narrow" w:hAnsi="Aptos Narrow"/>
                <w:sz w:val="20"/>
              </w:rPr>
            </w:pPr>
            <w:r w:rsidRPr="00307D3B">
              <w:rPr>
                <w:rFonts w:ascii="Aptos Narrow" w:hAnsi="Aptos Narrow"/>
                <w:sz w:val="20"/>
              </w:rPr>
              <w:t>Advanced Thermostat</w:t>
            </w:r>
          </w:p>
        </w:tc>
        <w:tc>
          <w:tcPr>
            <w:tcW w:w="436" w:type="pct"/>
          </w:tcPr>
          <w:p w14:paraId="062CB7BE" w14:textId="49947962" w:rsidR="000405FB" w:rsidRPr="00307D3B" w:rsidRDefault="000405FB" w:rsidP="00F2460E">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307D3B">
              <w:rPr>
                <w:sz w:val="20"/>
              </w:rPr>
              <w:t>Unit</w:t>
            </w:r>
          </w:p>
        </w:tc>
        <w:tc>
          <w:tcPr>
            <w:tcW w:w="717" w:type="pct"/>
          </w:tcPr>
          <w:p w14:paraId="7C919D28" w14:textId="16D16AD5"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71.35</w:t>
            </w:r>
          </w:p>
        </w:tc>
        <w:tc>
          <w:tcPr>
            <w:tcW w:w="717" w:type="pct"/>
          </w:tcPr>
          <w:p w14:paraId="7946FD04" w14:textId="69C7DE6E"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71.40</w:t>
            </w:r>
          </w:p>
        </w:tc>
        <w:tc>
          <w:tcPr>
            <w:tcW w:w="940" w:type="pct"/>
          </w:tcPr>
          <w:p w14:paraId="33657B77" w14:textId="5D660F55"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color w:val="000000"/>
                <w:sz w:val="20"/>
              </w:rPr>
              <w:t>100%</w:t>
            </w:r>
          </w:p>
        </w:tc>
        <w:tc>
          <w:tcPr>
            <w:tcW w:w="1075" w:type="pct"/>
          </w:tcPr>
          <w:p w14:paraId="573E4531" w14:textId="647F377B"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sz w:val="20"/>
              </w:rPr>
              <w:t>5.3.</w:t>
            </w:r>
            <w:r w:rsidR="002932E7" w:rsidRPr="00307D3B">
              <w:rPr>
                <w:sz w:val="20"/>
              </w:rPr>
              <w:t>16</w:t>
            </w:r>
            <w:r w:rsidRPr="00307D3B">
              <w:rPr>
                <w:sz w:val="20"/>
              </w:rPr>
              <w:t xml:space="preserve"> </w:t>
            </w:r>
          </w:p>
        </w:tc>
      </w:tr>
      <w:tr w:rsidR="000405FB" w:rsidRPr="00307D3B" w14:paraId="356B18DE" w14:textId="77777777" w:rsidTr="00F2460E">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675C5F4E" w14:textId="05C32D97" w:rsidR="000405FB" w:rsidRPr="00307D3B" w:rsidRDefault="000405FB" w:rsidP="000405FB">
            <w:pPr>
              <w:keepNext/>
              <w:keepLines/>
              <w:jc w:val="left"/>
              <w:rPr>
                <w:rFonts w:ascii="Aptos Narrow" w:hAnsi="Aptos Narrow"/>
                <w:color w:val="000000"/>
                <w:sz w:val="20"/>
              </w:rPr>
            </w:pPr>
            <w:r w:rsidRPr="00307D3B">
              <w:rPr>
                <w:rFonts w:ascii="Aptos Narrow" w:hAnsi="Aptos Narrow"/>
                <w:color w:val="000000"/>
                <w:sz w:val="20"/>
              </w:rPr>
              <w:t>Air Sealing</w:t>
            </w:r>
          </w:p>
        </w:tc>
        <w:tc>
          <w:tcPr>
            <w:tcW w:w="436" w:type="pct"/>
          </w:tcPr>
          <w:p w14:paraId="5DC11EA2" w14:textId="1B9AF3E5" w:rsidR="000405FB" w:rsidRPr="00307D3B" w:rsidRDefault="000405FB" w:rsidP="00F2460E">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307D3B">
              <w:rPr>
                <w:color w:val="000000"/>
                <w:sz w:val="20"/>
              </w:rPr>
              <w:t>Project</w:t>
            </w:r>
          </w:p>
        </w:tc>
        <w:tc>
          <w:tcPr>
            <w:tcW w:w="717" w:type="pct"/>
          </w:tcPr>
          <w:p w14:paraId="54C10AE3" w14:textId="409C5BA6"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sidRPr="00307D3B">
              <w:rPr>
                <w:color w:val="000000"/>
                <w:sz w:val="20"/>
              </w:rPr>
              <w:t>68.78</w:t>
            </w:r>
          </w:p>
        </w:tc>
        <w:tc>
          <w:tcPr>
            <w:tcW w:w="717" w:type="pct"/>
          </w:tcPr>
          <w:p w14:paraId="0CCB7EBC" w14:textId="7C621083"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sidRPr="00307D3B">
              <w:rPr>
                <w:color w:val="000000"/>
                <w:sz w:val="20"/>
              </w:rPr>
              <w:t>68.73</w:t>
            </w:r>
          </w:p>
        </w:tc>
        <w:tc>
          <w:tcPr>
            <w:tcW w:w="940" w:type="pct"/>
          </w:tcPr>
          <w:p w14:paraId="75C9A4B8" w14:textId="252F5733"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sidRPr="00307D3B">
              <w:rPr>
                <w:color w:val="000000"/>
                <w:sz w:val="20"/>
              </w:rPr>
              <w:t>100%</w:t>
            </w:r>
          </w:p>
        </w:tc>
        <w:tc>
          <w:tcPr>
            <w:tcW w:w="1075" w:type="pct"/>
          </w:tcPr>
          <w:p w14:paraId="53C13069" w14:textId="772C9787"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sidRPr="00307D3B">
              <w:rPr>
                <w:sz w:val="20"/>
              </w:rPr>
              <w:t>5.</w:t>
            </w:r>
            <w:r w:rsidR="00451D46" w:rsidRPr="00307D3B">
              <w:rPr>
                <w:sz w:val="20"/>
              </w:rPr>
              <w:t>6</w:t>
            </w:r>
            <w:r w:rsidRPr="00307D3B">
              <w:rPr>
                <w:sz w:val="20"/>
              </w:rPr>
              <w:t>.</w:t>
            </w:r>
            <w:r w:rsidR="00451D46" w:rsidRPr="00307D3B">
              <w:rPr>
                <w:sz w:val="20"/>
              </w:rPr>
              <w:t>1</w:t>
            </w:r>
            <w:r w:rsidRPr="00307D3B">
              <w:rPr>
                <w:sz w:val="20"/>
              </w:rPr>
              <w:t xml:space="preserve"> </w:t>
            </w:r>
          </w:p>
        </w:tc>
      </w:tr>
      <w:tr w:rsidR="000405FB" w:rsidRPr="00307D3B" w14:paraId="6E451197" w14:textId="77777777" w:rsidTr="00F246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68A5C5A0" w14:textId="23EE9344" w:rsidR="000405FB" w:rsidRPr="00307D3B" w:rsidRDefault="000405FB" w:rsidP="000405FB">
            <w:pPr>
              <w:keepNext/>
              <w:keepLines/>
              <w:jc w:val="left"/>
              <w:rPr>
                <w:rFonts w:ascii="Aptos Narrow" w:hAnsi="Aptos Narrow"/>
                <w:color w:val="000000"/>
                <w:sz w:val="20"/>
              </w:rPr>
            </w:pPr>
            <w:r w:rsidRPr="00307D3B">
              <w:rPr>
                <w:rFonts w:ascii="Aptos Narrow" w:hAnsi="Aptos Narrow"/>
                <w:color w:val="000000"/>
                <w:sz w:val="20"/>
              </w:rPr>
              <w:t>Duct Insulation and Sealing</w:t>
            </w:r>
          </w:p>
        </w:tc>
        <w:tc>
          <w:tcPr>
            <w:tcW w:w="436" w:type="pct"/>
          </w:tcPr>
          <w:p w14:paraId="3A9B882E" w14:textId="2095A15A" w:rsidR="000405FB" w:rsidRPr="00307D3B" w:rsidRDefault="000405FB" w:rsidP="00F2460E">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307D3B">
              <w:rPr>
                <w:color w:val="000000"/>
                <w:sz w:val="20"/>
              </w:rPr>
              <w:t>Project</w:t>
            </w:r>
          </w:p>
        </w:tc>
        <w:tc>
          <w:tcPr>
            <w:tcW w:w="717" w:type="pct"/>
          </w:tcPr>
          <w:p w14:paraId="7BC42C9E" w14:textId="24696CFE"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color w:val="000000"/>
                <w:sz w:val="20"/>
              </w:rPr>
              <w:t>56.50</w:t>
            </w:r>
          </w:p>
        </w:tc>
        <w:tc>
          <w:tcPr>
            <w:tcW w:w="717" w:type="pct"/>
          </w:tcPr>
          <w:p w14:paraId="2FF0966C" w14:textId="5A4949C0"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color w:val="000000"/>
                <w:sz w:val="20"/>
              </w:rPr>
              <w:t>53.00</w:t>
            </w:r>
          </w:p>
        </w:tc>
        <w:tc>
          <w:tcPr>
            <w:tcW w:w="940" w:type="pct"/>
          </w:tcPr>
          <w:p w14:paraId="3BC76BCD" w14:textId="176B5238" w:rsidR="000405FB" w:rsidRPr="00307D3B" w:rsidRDefault="000405FB"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color w:val="000000"/>
                <w:sz w:val="20"/>
              </w:rPr>
              <w:t>94%</w:t>
            </w:r>
          </w:p>
        </w:tc>
        <w:tc>
          <w:tcPr>
            <w:tcW w:w="1075" w:type="pct"/>
          </w:tcPr>
          <w:p w14:paraId="6C7F64A5" w14:textId="0C4E364A" w:rsidR="000405FB" w:rsidRPr="00307D3B" w:rsidRDefault="00451D46" w:rsidP="00F2460E">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307D3B">
              <w:rPr>
                <w:sz w:val="20"/>
              </w:rPr>
              <w:t>5</w:t>
            </w:r>
            <w:r w:rsidR="000405FB" w:rsidRPr="00307D3B">
              <w:rPr>
                <w:sz w:val="20"/>
              </w:rPr>
              <w:t>.</w:t>
            </w:r>
            <w:r w:rsidRPr="00307D3B">
              <w:rPr>
                <w:sz w:val="20"/>
              </w:rPr>
              <w:t>3</w:t>
            </w:r>
            <w:r w:rsidR="000405FB" w:rsidRPr="00307D3B">
              <w:rPr>
                <w:sz w:val="20"/>
              </w:rPr>
              <w:t>.</w:t>
            </w:r>
            <w:r w:rsidRPr="00307D3B">
              <w:rPr>
                <w:sz w:val="20"/>
              </w:rPr>
              <w:t>4</w:t>
            </w:r>
            <w:r w:rsidR="00810800" w:rsidRPr="00307D3B">
              <w:rPr>
                <w:sz w:val="20"/>
              </w:rPr>
              <w:t xml:space="preserve"> </w:t>
            </w:r>
          </w:p>
        </w:tc>
      </w:tr>
      <w:tr w:rsidR="000405FB" w:rsidRPr="00307D3B" w14:paraId="74C3D6F6" w14:textId="77777777" w:rsidTr="00F2460E">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6AC0AD3D" w14:textId="4D7D4462" w:rsidR="000405FB" w:rsidRPr="00307D3B" w:rsidRDefault="000405FB" w:rsidP="000405FB">
            <w:pPr>
              <w:keepNext/>
              <w:keepLines/>
              <w:jc w:val="left"/>
              <w:rPr>
                <w:rFonts w:ascii="Aptos Narrow" w:hAnsi="Aptos Narrow"/>
                <w:sz w:val="20"/>
              </w:rPr>
            </w:pPr>
            <w:r w:rsidRPr="00307D3B">
              <w:rPr>
                <w:rFonts w:ascii="Aptos Narrow" w:hAnsi="Aptos Narrow"/>
                <w:sz w:val="20"/>
              </w:rPr>
              <w:t>Gas High Efficiency Furnace &gt;95% AFUE</w:t>
            </w:r>
          </w:p>
        </w:tc>
        <w:tc>
          <w:tcPr>
            <w:tcW w:w="436" w:type="pct"/>
          </w:tcPr>
          <w:p w14:paraId="7CC2DFD6" w14:textId="4725D030" w:rsidR="000405FB" w:rsidRPr="00307D3B" w:rsidRDefault="000405FB" w:rsidP="00F2460E">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307D3B">
              <w:rPr>
                <w:sz w:val="20"/>
              </w:rPr>
              <w:t>Unit</w:t>
            </w:r>
          </w:p>
        </w:tc>
        <w:tc>
          <w:tcPr>
            <w:tcW w:w="717" w:type="pct"/>
          </w:tcPr>
          <w:p w14:paraId="5B121D69" w14:textId="11AA760E"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134.99</w:t>
            </w:r>
          </w:p>
        </w:tc>
        <w:tc>
          <w:tcPr>
            <w:tcW w:w="717" w:type="pct"/>
          </w:tcPr>
          <w:p w14:paraId="60FF2AF8" w14:textId="2B6137D3"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134.92</w:t>
            </w:r>
          </w:p>
        </w:tc>
        <w:tc>
          <w:tcPr>
            <w:tcW w:w="940" w:type="pct"/>
          </w:tcPr>
          <w:p w14:paraId="38206687" w14:textId="626D0CBA" w:rsidR="000405FB" w:rsidRPr="00307D3B" w:rsidRDefault="000405FB"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100%</w:t>
            </w:r>
          </w:p>
        </w:tc>
        <w:tc>
          <w:tcPr>
            <w:tcW w:w="1075" w:type="pct"/>
          </w:tcPr>
          <w:p w14:paraId="4E0A1B3D" w14:textId="2F515CF2" w:rsidR="000405FB" w:rsidRPr="00307D3B" w:rsidRDefault="00451D46"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5</w:t>
            </w:r>
            <w:r w:rsidR="000405FB" w:rsidRPr="00307D3B">
              <w:rPr>
                <w:sz w:val="20"/>
              </w:rPr>
              <w:t>.</w:t>
            </w:r>
            <w:r w:rsidRPr="00307D3B">
              <w:rPr>
                <w:sz w:val="20"/>
              </w:rPr>
              <w:t>3</w:t>
            </w:r>
            <w:r w:rsidR="000405FB" w:rsidRPr="00307D3B">
              <w:rPr>
                <w:sz w:val="20"/>
              </w:rPr>
              <w:t>.</w:t>
            </w:r>
            <w:r w:rsidRPr="00307D3B">
              <w:rPr>
                <w:sz w:val="20"/>
              </w:rPr>
              <w:t>7</w:t>
            </w:r>
            <w:r w:rsidR="000405FB" w:rsidRPr="00307D3B">
              <w:rPr>
                <w:sz w:val="20"/>
              </w:rPr>
              <w:t xml:space="preserve"> </w:t>
            </w:r>
          </w:p>
        </w:tc>
      </w:tr>
      <w:tr w:rsidR="002B02C6" w:rsidRPr="00307D3B" w14:paraId="21CE1816" w14:textId="77777777" w:rsidTr="00F246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181A9979" w14:textId="03864383" w:rsidR="002B02C6" w:rsidRPr="00307D3B" w:rsidRDefault="002B02C6" w:rsidP="002B02C6">
            <w:pPr>
              <w:keepNext/>
              <w:keepLines/>
              <w:jc w:val="left"/>
              <w:rPr>
                <w:rFonts w:ascii="Aptos Narrow" w:hAnsi="Aptos Narrow"/>
                <w:sz w:val="20"/>
              </w:rPr>
            </w:pPr>
            <w:r w:rsidRPr="00307D3B">
              <w:rPr>
                <w:rFonts w:ascii="Aptos Narrow" w:hAnsi="Aptos Narrow"/>
                <w:sz w:val="20"/>
              </w:rPr>
              <w:t>On Demand Water Heater</w:t>
            </w:r>
          </w:p>
        </w:tc>
        <w:tc>
          <w:tcPr>
            <w:tcW w:w="436" w:type="pct"/>
          </w:tcPr>
          <w:p w14:paraId="4F7E8568" w14:textId="21E18EA5" w:rsidR="002B02C6" w:rsidRPr="00307D3B" w:rsidRDefault="002B02C6" w:rsidP="00F2460E">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307D3B">
              <w:rPr>
                <w:sz w:val="20"/>
              </w:rPr>
              <w:t>Unit</w:t>
            </w:r>
          </w:p>
        </w:tc>
        <w:tc>
          <w:tcPr>
            <w:tcW w:w="717" w:type="pct"/>
          </w:tcPr>
          <w:p w14:paraId="43D0C770" w14:textId="08B55921" w:rsidR="002B02C6" w:rsidRPr="00307D3B" w:rsidRDefault="002B02C6"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77.65</w:t>
            </w:r>
          </w:p>
        </w:tc>
        <w:tc>
          <w:tcPr>
            <w:tcW w:w="717" w:type="pct"/>
          </w:tcPr>
          <w:p w14:paraId="3B7FF9AA" w14:textId="79709323" w:rsidR="002B02C6" w:rsidRPr="00307D3B" w:rsidRDefault="002B02C6"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77.65</w:t>
            </w:r>
          </w:p>
        </w:tc>
        <w:tc>
          <w:tcPr>
            <w:tcW w:w="940" w:type="pct"/>
          </w:tcPr>
          <w:p w14:paraId="3799D0C4" w14:textId="0DC02B85" w:rsidR="002B02C6" w:rsidRPr="00307D3B" w:rsidRDefault="002B02C6"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100%</w:t>
            </w:r>
          </w:p>
        </w:tc>
        <w:tc>
          <w:tcPr>
            <w:tcW w:w="1075" w:type="pct"/>
          </w:tcPr>
          <w:p w14:paraId="22EAB929" w14:textId="1E149137" w:rsidR="002B02C6" w:rsidRPr="00307D3B" w:rsidRDefault="002B02C6" w:rsidP="00F2460E">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307D3B">
              <w:rPr>
                <w:sz w:val="20"/>
              </w:rPr>
              <w:t>5.</w:t>
            </w:r>
            <w:r w:rsidR="006A2C5F" w:rsidRPr="00307D3B">
              <w:rPr>
                <w:sz w:val="20"/>
              </w:rPr>
              <w:t>4</w:t>
            </w:r>
            <w:r w:rsidRPr="00307D3B">
              <w:rPr>
                <w:sz w:val="20"/>
              </w:rPr>
              <w:t>.</w:t>
            </w:r>
            <w:r w:rsidR="006A2C5F" w:rsidRPr="00307D3B">
              <w:rPr>
                <w:sz w:val="20"/>
              </w:rPr>
              <w:t>2</w:t>
            </w:r>
            <w:r w:rsidRPr="00307D3B">
              <w:rPr>
                <w:sz w:val="20"/>
              </w:rPr>
              <w:t xml:space="preserve"> </w:t>
            </w:r>
          </w:p>
        </w:tc>
      </w:tr>
      <w:tr w:rsidR="002B02C6" w:rsidRPr="00307D3B" w14:paraId="0D857F69" w14:textId="77777777" w:rsidTr="00F2460E">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15" w:type="pct"/>
          </w:tcPr>
          <w:p w14:paraId="7A7ED4B0" w14:textId="3C3E612F" w:rsidR="002B02C6" w:rsidRPr="00307D3B" w:rsidRDefault="002B02C6" w:rsidP="002B02C6">
            <w:pPr>
              <w:keepNext/>
              <w:keepLines/>
              <w:jc w:val="left"/>
              <w:rPr>
                <w:rFonts w:ascii="Aptos Narrow" w:hAnsi="Aptos Narrow"/>
                <w:sz w:val="20"/>
              </w:rPr>
            </w:pPr>
            <w:r w:rsidRPr="00307D3B">
              <w:rPr>
                <w:rFonts w:ascii="Aptos Narrow" w:hAnsi="Aptos Narrow"/>
                <w:sz w:val="20"/>
              </w:rPr>
              <w:t>Storage Water Heater</w:t>
            </w:r>
          </w:p>
        </w:tc>
        <w:tc>
          <w:tcPr>
            <w:tcW w:w="436" w:type="pct"/>
          </w:tcPr>
          <w:p w14:paraId="6EB255D3" w14:textId="3479F828" w:rsidR="002B02C6" w:rsidRPr="00307D3B" w:rsidRDefault="002B02C6" w:rsidP="00F2460E">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307D3B">
              <w:rPr>
                <w:sz w:val="20"/>
              </w:rPr>
              <w:t>Unit</w:t>
            </w:r>
          </w:p>
        </w:tc>
        <w:tc>
          <w:tcPr>
            <w:tcW w:w="717" w:type="pct"/>
          </w:tcPr>
          <w:p w14:paraId="4A938373" w14:textId="65471887" w:rsidR="002B02C6" w:rsidRPr="00307D3B" w:rsidRDefault="002B02C6"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31.24</w:t>
            </w:r>
          </w:p>
        </w:tc>
        <w:tc>
          <w:tcPr>
            <w:tcW w:w="717" w:type="pct"/>
          </w:tcPr>
          <w:p w14:paraId="1826C01A" w14:textId="612B1CD3" w:rsidR="002B02C6" w:rsidRPr="00307D3B" w:rsidRDefault="002B02C6"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30.</w:t>
            </w:r>
            <w:r w:rsidR="00461F4A">
              <w:rPr>
                <w:sz w:val="20"/>
              </w:rPr>
              <w:t>32</w:t>
            </w:r>
          </w:p>
        </w:tc>
        <w:tc>
          <w:tcPr>
            <w:tcW w:w="940" w:type="pct"/>
          </w:tcPr>
          <w:p w14:paraId="21A45973" w14:textId="4E866223" w:rsidR="002B02C6" w:rsidRPr="00307D3B" w:rsidRDefault="002B02C6"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9</w:t>
            </w:r>
            <w:r w:rsidR="0096253B">
              <w:rPr>
                <w:sz w:val="20"/>
              </w:rPr>
              <w:t>7</w:t>
            </w:r>
            <w:r w:rsidRPr="00307D3B">
              <w:rPr>
                <w:sz w:val="20"/>
              </w:rPr>
              <w:t>%</w:t>
            </w:r>
          </w:p>
        </w:tc>
        <w:tc>
          <w:tcPr>
            <w:tcW w:w="1075" w:type="pct"/>
          </w:tcPr>
          <w:p w14:paraId="39084680" w14:textId="0CE03B94" w:rsidR="002B02C6" w:rsidRPr="00307D3B" w:rsidRDefault="002B02C6" w:rsidP="00F2460E">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307D3B">
              <w:rPr>
                <w:sz w:val="20"/>
              </w:rPr>
              <w:t>5.</w:t>
            </w:r>
            <w:r w:rsidR="006A2C5F" w:rsidRPr="00307D3B">
              <w:rPr>
                <w:sz w:val="20"/>
              </w:rPr>
              <w:t>4</w:t>
            </w:r>
            <w:r w:rsidRPr="00307D3B">
              <w:rPr>
                <w:sz w:val="20"/>
              </w:rPr>
              <w:t>.</w:t>
            </w:r>
            <w:r w:rsidR="006A2C5F" w:rsidRPr="00307D3B">
              <w:rPr>
                <w:sz w:val="20"/>
              </w:rPr>
              <w:t>2 and 4.3.1</w:t>
            </w:r>
            <w:r w:rsidRPr="00307D3B">
              <w:rPr>
                <w:sz w:val="20"/>
              </w:rPr>
              <w:t xml:space="preserve"> </w:t>
            </w:r>
          </w:p>
        </w:tc>
      </w:tr>
    </w:tbl>
    <w:p w14:paraId="2F6D6AAF" w14:textId="409A1B9A" w:rsidR="00E67B85" w:rsidRDefault="00E67B85" w:rsidP="00E67B85">
      <w:pPr>
        <w:pStyle w:val="GraphFootnote"/>
        <w:keepNext/>
        <w:keepLines/>
        <w:rPr>
          <w:rFonts w:asciiTheme="minorHAnsi" w:hAnsiTheme="minorHAnsi"/>
          <w:i/>
          <w:color w:val="000000" w:themeColor="text1"/>
          <w:szCs w:val="18"/>
        </w:rPr>
      </w:pPr>
      <w:r w:rsidRPr="00B34EF6">
        <w:rPr>
          <w:rFonts w:asciiTheme="minorHAnsi" w:hAnsiTheme="minorHAnsi"/>
          <w:i/>
          <w:color w:val="000000" w:themeColor="text1"/>
          <w:szCs w:val="18"/>
        </w:rPr>
        <w:t xml:space="preserve">* State of Illinois Technical Reference Manual </w:t>
      </w:r>
      <w:r w:rsidRPr="005C2C95">
        <w:rPr>
          <w:rFonts w:asciiTheme="minorHAnsi" w:hAnsiTheme="minorHAnsi"/>
          <w:i/>
          <w:szCs w:val="18"/>
        </w:rPr>
        <w:t>version 1</w:t>
      </w:r>
      <w:r w:rsidR="0080495B" w:rsidRPr="005C2C95">
        <w:rPr>
          <w:rFonts w:asciiTheme="minorHAnsi" w:hAnsiTheme="minorHAnsi"/>
          <w:i/>
          <w:szCs w:val="18"/>
        </w:rPr>
        <w:t>3</w:t>
      </w:r>
      <w:r w:rsidRPr="005C2C95">
        <w:rPr>
          <w:rFonts w:asciiTheme="minorHAnsi" w:hAnsiTheme="minorHAnsi"/>
          <w:i/>
          <w:szCs w:val="18"/>
        </w:rPr>
        <w:t xml:space="preserve">.0 </w:t>
      </w:r>
      <w:r w:rsidRPr="00B34EF6">
        <w:rPr>
          <w:rFonts w:asciiTheme="minorHAnsi" w:hAnsiTheme="minorHAnsi"/>
          <w:i/>
          <w:color w:val="000000" w:themeColor="text1"/>
          <w:szCs w:val="18"/>
        </w:rPr>
        <w:t xml:space="preserve">from </w:t>
      </w:r>
      <w:hyperlink r:id="rId22" w:history="1">
        <w:r w:rsidRPr="00B34EF6">
          <w:rPr>
            <w:rFonts w:asciiTheme="minorHAnsi" w:hAnsiTheme="minorHAnsi"/>
            <w:i/>
            <w:color w:val="000000" w:themeColor="text1"/>
            <w:szCs w:val="18"/>
          </w:rPr>
          <w:t>http://www.ilsag.info/technical-reference-manual.html</w:t>
        </w:r>
      </w:hyperlink>
      <w:r w:rsidRPr="00B34EF6">
        <w:rPr>
          <w:rFonts w:asciiTheme="minorHAnsi" w:hAnsiTheme="minorHAnsi"/>
          <w:i/>
          <w:color w:val="000000" w:themeColor="text1"/>
          <w:szCs w:val="18"/>
        </w:rPr>
        <w:t>.</w:t>
      </w:r>
    </w:p>
    <w:p w14:paraId="262C81A0" w14:textId="72A22866" w:rsidR="000910B4" w:rsidRPr="000910B4" w:rsidRDefault="000910B4" w:rsidP="000910B4">
      <w:pPr>
        <w:pStyle w:val="Source"/>
      </w:pPr>
      <w:r w:rsidRPr="00B34EF6">
        <w:rPr>
          <w:rFonts w:asciiTheme="minorHAnsi" w:hAnsiTheme="minorHAnsi"/>
          <w:sz w:val="18"/>
          <w:szCs w:val="18"/>
        </w:rPr>
        <w:t>Source: Evaluation team analysis.</w:t>
      </w:r>
    </w:p>
    <w:p w14:paraId="2F46DC34" w14:textId="77777777" w:rsidR="001B064A" w:rsidRDefault="001B064A" w:rsidP="001B064A"/>
    <w:p w14:paraId="510486EF" w14:textId="216AC557" w:rsidR="00E67B85" w:rsidRDefault="00E67B85" w:rsidP="00E67B85">
      <w:pPr>
        <w:pStyle w:val="Heading2"/>
      </w:pPr>
      <w:bookmarkStart w:id="41" w:name="_Toc225365670"/>
      <w:r>
        <w:lastRenderedPageBreak/>
        <w:t>Findings and Recommendations</w:t>
      </w:r>
      <w:bookmarkEnd w:id="41"/>
    </w:p>
    <w:p w14:paraId="26E86663" w14:textId="0E352D98" w:rsidR="002B6C12" w:rsidRPr="00915A79" w:rsidRDefault="002B6C12" w:rsidP="009E12D3">
      <w:pPr>
        <w:spacing w:line="264" w:lineRule="auto"/>
        <w:rPr>
          <w:b/>
        </w:rPr>
      </w:pPr>
      <w:r w:rsidRPr="00915A79">
        <w:rPr>
          <w:b/>
        </w:rPr>
        <w:t>Finding 1.</w:t>
      </w:r>
      <w:r w:rsidR="00BB0BD6">
        <w:rPr>
          <w:b/>
        </w:rPr>
        <w:t xml:space="preserve"> </w:t>
      </w:r>
      <w:r w:rsidR="009E12D3" w:rsidRPr="009E12D3">
        <w:rPr>
          <w:rFonts w:ascii="Aptos Narrow" w:hAnsi="Aptos Narrow"/>
          <w:color w:val="000000"/>
        </w:rPr>
        <w:t xml:space="preserve">Ten </w:t>
      </w:r>
      <w:r w:rsidR="009E12D3">
        <w:rPr>
          <w:rFonts w:ascii="Aptos Narrow" w:hAnsi="Aptos Narrow"/>
          <w:color w:val="000000"/>
        </w:rPr>
        <w:t>s</w:t>
      </w:r>
      <w:r w:rsidR="00507EC7">
        <w:rPr>
          <w:rFonts w:ascii="Aptos Narrow" w:hAnsi="Aptos Narrow"/>
          <w:color w:val="000000"/>
        </w:rPr>
        <w:t xml:space="preserve">torage water heater </w:t>
      </w:r>
      <w:r w:rsidR="009E12D3" w:rsidRPr="009E12D3">
        <w:rPr>
          <w:rFonts w:ascii="Aptos Narrow" w:hAnsi="Aptos Narrow"/>
          <w:color w:val="000000"/>
        </w:rPr>
        <w:t>projects</w:t>
      </w:r>
      <w:r w:rsidR="00507EC7">
        <w:rPr>
          <w:rFonts w:ascii="Aptos Narrow" w:hAnsi="Aptos Narrow"/>
          <w:color w:val="000000"/>
        </w:rPr>
        <w:t xml:space="preserve"> with project IDs </w:t>
      </w:r>
      <w:r w:rsidR="00DD0887">
        <w:rPr>
          <w:rFonts w:ascii="Aptos Narrow" w:hAnsi="Aptos Narrow"/>
          <w:color w:val="000000"/>
        </w:rPr>
        <w:t>268164, 275</w:t>
      </w:r>
      <w:r w:rsidR="00325545">
        <w:rPr>
          <w:rFonts w:ascii="Aptos Narrow" w:hAnsi="Aptos Narrow"/>
          <w:color w:val="000000"/>
        </w:rPr>
        <w:t>076, 275520, 277043, 277299, 277571, 279</w:t>
      </w:r>
      <w:r w:rsidR="007173D3">
        <w:rPr>
          <w:rFonts w:ascii="Aptos Narrow" w:hAnsi="Aptos Narrow"/>
          <w:color w:val="000000"/>
        </w:rPr>
        <w:t>442, 279907, 282154, 282656</w:t>
      </w:r>
      <w:r w:rsidR="00F275DC">
        <w:rPr>
          <w:rFonts w:ascii="Aptos Narrow" w:hAnsi="Aptos Narrow"/>
          <w:color w:val="000000"/>
        </w:rPr>
        <w:t>_1</w:t>
      </w:r>
      <w:r w:rsidR="00507EC7">
        <w:rPr>
          <w:rFonts w:ascii="Aptos Narrow" w:hAnsi="Aptos Narrow"/>
          <w:color w:val="000000"/>
        </w:rPr>
        <w:t>,</w:t>
      </w:r>
      <w:r w:rsidR="009E12D3" w:rsidRPr="009E12D3">
        <w:rPr>
          <w:rFonts w:ascii="Aptos Narrow" w:hAnsi="Aptos Narrow"/>
          <w:color w:val="000000"/>
        </w:rPr>
        <w:t xml:space="preserve"> had baseline </w:t>
      </w:r>
      <w:r w:rsidR="003F011C">
        <w:rPr>
          <w:rFonts w:ascii="Aptos Narrow" w:hAnsi="Aptos Narrow"/>
          <w:color w:val="000000"/>
        </w:rPr>
        <w:t>Uniform Energy Factor (</w:t>
      </w:r>
      <w:r w:rsidR="009E12D3" w:rsidRPr="009E12D3">
        <w:rPr>
          <w:rFonts w:ascii="Aptos Narrow" w:hAnsi="Aptos Narrow"/>
          <w:color w:val="000000"/>
        </w:rPr>
        <w:t>UEF</w:t>
      </w:r>
      <w:r w:rsidR="003F011C">
        <w:rPr>
          <w:rFonts w:ascii="Aptos Narrow" w:hAnsi="Aptos Narrow"/>
          <w:color w:val="000000"/>
        </w:rPr>
        <w:t>)</w:t>
      </w:r>
      <w:r w:rsidR="009E12D3" w:rsidRPr="009E12D3">
        <w:rPr>
          <w:rFonts w:ascii="Aptos Narrow" w:hAnsi="Aptos Narrow"/>
          <w:color w:val="000000"/>
        </w:rPr>
        <w:t xml:space="preserve"> values </w:t>
      </w:r>
      <w:r w:rsidR="003F011C">
        <w:rPr>
          <w:rFonts w:ascii="Aptos Narrow" w:hAnsi="Aptos Narrow"/>
          <w:color w:val="000000"/>
        </w:rPr>
        <w:t>greater</w:t>
      </w:r>
      <w:r w:rsidR="009E12D3" w:rsidRPr="009E12D3">
        <w:rPr>
          <w:rFonts w:ascii="Aptos Narrow" w:hAnsi="Aptos Narrow"/>
          <w:color w:val="000000"/>
        </w:rPr>
        <w:t xml:space="preserve"> than post-installation UEF</w:t>
      </w:r>
      <w:r w:rsidR="008E670B">
        <w:rPr>
          <w:rFonts w:ascii="Aptos Narrow" w:hAnsi="Aptos Narrow"/>
          <w:color w:val="000000"/>
        </w:rPr>
        <w:t>. The verified savings</w:t>
      </w:r>
      <w:r w:rsidR="009E12D3" w:rsidRPr="009E12D3">
        <w:rPr>
          <w:rFonts w:ascii="Aptos Narrow" w:hAnsi="Aptos Narrow"/>
          <w:color w:val="000000"/>
        </w:rPr>
        <w:t xml:space="preserve"> result</w:t>
      </w:r>
      <w:r w:rsidR="004B202E">
        <w:rPr>
          <w:rFonts w:ascii="Aptos Narrow" w:hAnsi="Aptos Narrow"/>
          <w:color w:val="000000"/>
        </w:rPr>
        <w:t>ed</w:t>
      </w:r>
      <w:r w:rsidR="009E12D3" w:rsidRPr="009E12D3">
        <w:rPr>
          <w:rFonts w:ascii="Aptos Narrow" w:hAnsi="Aptos Narrow"/>
          <w:color w:val="000000"/>
        </w:rPr>
        <w:t xml:space="preserve"> in negative savings</w:t>
      </w:r>
      <w:r w:rsidR="00757D5F">
        <w:rPr>
          <w:rFonts w:ascii="Aptos Narrow" w:hAnsi="Aptos Narrow"/>
          <w:color w:val="000000"/>
        </w:rPr>
        <w:t xml:space="preserve">, which were accounted </w:t>
      </w:r>
      <w:r w:rsidR="00C32A6F">
        <w:rPr>
          <w:rFonts w:ascii="Aptos Narrow" w:hAnsi="Aptos Narrow"/>
          <w:color w:val="000000"/>
        </w:rPr>
        <w:t>for in the total savings, per the TRM</w:t>
      </w:r>
      <w:r w:rsidR="002A2D14">
        <w:rPr>
          <w:rFonts w:ascii="Aptos Narrow" w:hAnsi="Aptos Narrow"/>
          <w:color w:val="000000"/>
        </w:rPr>
        <w:t xml:space="preserve"> requir</w:t>
      </w:r>
      <w:r w:rsidR="00BE5E80">
        <w:rPr>
          <w:rFonts w:ascii="Aptos Narrow" w:hAnsi="Aptos Narrow"/>
          <w:color w:val="000000"/>
        </w:rPr>
        <w:t>ement.</w:t>
      </w:r>
      <w:r w:rsidR="009E12D3" w:rsidRPr="009E12D3">
        <w:rPr>
          <w:rFonts w:ascii="Aptos Narrow" w:hAnsi="Aptos Narrow"/>
          <w:color w:val="000000"/>
        </w:rPr>
        <w:t xml:space="preserve"> The </w:t>
      </w:r>
      <w:r w:rsidR="00365B9E">
        <w:rPr>
          <w:rFonts w:ascii="Aptos Narrow" w:hAnsi="Aptos Narrow"/>
          <w:color w:val="000000"/>
        </w:rPr>
        <w:t xml:space="preserve">verified </w:t>
      </w:r>
      <w:r w:rsidR="009E12D3" w:rsidRPr="009E12D3">
        <w:rPr>
          <w:rFonts w:ascii="Aptos Narrow" w:hAnsi="Aptos Narrow"/>
          <w:color w:val="000000"/>
        </w:rPr>
        <w:t>baseline UEF was based on the IL TRM deemed value for a 75-gallon medium draw storage water heater.</w:t>
      </w:r>
    </w:p>
    <w:p w14:paraId="3CAC9A4A" w14:textId="73E70F94" w:rsidR="002B6C12" w:rsidRDefault="002B6C12" w:rsidP="002B6C12">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B719B8" w:rsidRPr="00B719B8">
        <w:t>Ensure</w:t>
      </w:r>
      <w:r w:rsidR="00350EA5">
        <w:t xml:space="preserve"> </w:t>
      </w:r>
      <w:r w:rsidR="00CE0BC7">
        <w:t xml:space="preserve">the </w:t>
      </w:r>
      <w:r w:rsidR="00CD2BD7">
        <w:t>tracking</w:t>
      </w:r>
      <w:r w:rsidR="00F047A4">
        <w:t xml:space="preserve"> input parameters such</w:t>
      </w:r>
      <w:r w:rsidR="00456F79">
        <w:t xml:space="preserve"> as storage water heater </w:t>
      </w:r>
      <w:r w:rsidR="00A46119">
        <w:t>kBtu capacity</w:t>
      </w:r>
      <w:r w:rsidR="00456F79">
        <w:t>, first-hour rating, and size</w:t>
      </w:r>
      <w:r w:rsidR="00A46119">
        <w:t xml:space="preserve"> </w:t>
      </w:r>
      <w:r w:rsidR="00CD2BD7">
        <w:t xml:space="preserve">are verified </w:t>
      </w:r>
      <w:r w:rsidR="00A46119">
        <w:t xml:space="preserve">when applying deemed TRM baseline values </w:t>
      </w:r>
      <w:r w:rsidR="00BD56C0">
        <w:t>to ensure the correct UEF baseline value</w:t>
      </w:r>
      <w:r w:rsidR="000B09F4">
        <w:t>s are</w:t>
      </w:r>
      <w:r w:rsidR="00BD56C0">
        <w:t xml:space="preserve"> calculated</w:t>
      </w:r>
      <w:r w:rsidR="00DE4B2D">
        <w:t xml:space="preserve"> for each storage water tank.</w:t>
      </w:r>
    </w:p>
    <w:p w14:paraId="75E89970" w14:textId="7F8F308B" w:rsidR="002B6C12" w:rsidRPr="00915A79" w:rsidRDefault="002B6C12" w:rsidP="7BD200D3">
      <w:pPr>
        <w:rPr>
          <w:b/>
          <w:bCs/>
        </w:rPr>
      </w:pPr>
      <w:r w:rsidRPr="7BD200D3">
        <w:rPr>
          <w:b/>
          <w:bCs/>
        </w:rPr>
        <w:t>Finding 2.</w:t>
      </w:r>
      <w:r w:rsidR="00DF594F" w:rsidRPr="7BD200D3">
        <w:rPr>
          <w:b/>
          <w:bCs/>
        </w:rPr>
        <w:t xml:space="preserve"> </w:t>
      </w:r>
      <w:r w:rsidR="0080186C" w:rsidRPr="7BD200D3">
        <w:rPr>
          <w:rFonts w:ascii="Aptos Narrow" w:hAnsi="Aptos Narrow"/>
        </w:rPr>
        <w:t>A</w:t>
      </w:r>
      <w:r w:rsidR="001B2AA0" w:rsidRPr="7BD200D3">
        <w:rPr>
          <w:rFonts w:ascii="Aptos Narrow" w:hAnsi="Aptos Narrow"/>
        </w:rPr>
        <w:t>ir Sealing project ID 264305</w:t>
      </w:r>
      <w:r w:rsidR="008F12B0" w:rsidRPr="7BD200D3">
        <w:rPr>
          <w:rFonts w:ascii="Aptos Narrow" w:hAnsi="Aptos Narrow"/>
        </w:rPr>
        <w:t xml:space="preserve"> </w:t>
      </w:r>
      <w:r w:rsidR="00354990" w:rsidRPr="7BD200D3">
        <w:rPr>
          <w:rFonts w:ascii="Aptos Narrow" w:hAnsi="Aptos Narrow"/>
        </w:rPr>
        <w:t xml:space="preserve">reported </w:t>
      </w:r>
      <w:r w:rsidR="00D343AE">
        <w:rPr>
          <w:rFonts w:ascii="Aptos Narrow" w:hAnsi="Aptos Narrow"/>
        </w:rPr>
        <w:t xml:space="preserve">an </w:t>
      </w:r>
      <w:r w:rsidR="00354990" w:rsidRPr="7BD200D3">
        <w:rPr>
          <w:rFonts w:ascii="Aptos Narrow" w:hAnsi="Aptos Narrow"/>
        </w:rPr>
        <w:t>equipment heating efficiency value of 58.2.</w:t>
      </w:r>
      <w:r w:rsidR="000B58F0">
        <w:rPr>
          <w:rFonts w:ascii="Aptos Narrow" w:hAnsi="Aptos Narrow"/>
        </w:rPr>
        <w:t xml:space="preserve"> This </w:t>
      </w:r>
      <w:r w:rsidR="00A61996">
        <w:rPr>
          <w:rFonts w:ascii="Aptos Narrow" w:hAnsi="Aptos Narrow"/>
        </w:rPr>
        <w:t xml:space="preserve">value </w:t>
      </w:r>
      <w:r w:rsidR="000B58F0">
        <w:rPr>
          <w:rFonts w:ascii="Aptos Narrow" w:hAnsi="Aptos Narrow"/>
        </w:rPr>
        <w:t xml:space="preserve">appears to be a </w:t>
      </w:r>
      <w:r w:rsidR="005208DE">
        <w:rPr>
          <w:rFonts w:ascii="Aptos Narrow" w:hAnsi="Aptos Narrow"/>
        </w:rPr>
        <w:t>data entry error as the effi</w:t>
      </w:r>
      <w:r w:rsidR="00436EC0">
        <w:rPr>
          <w:rFonts w:ascii="Aptos Narrow" w:hAnsi="Aptos Narrow"/>
        </w:rPr>
        <w:t>cienc</w:t>
      </w:r>
      <w:r w:rsidR="00B3279E">
        <w:rPr>
          <w:rFonts w:ascii="Aptos Narrow" w:hAnsi="Aptos Narrow"/>
        </w:rPr>
        <w:t>y</w:t>
      </w:r>
      <w:r w:rsidR="00436EC0">
        <w:rPr>
          <w:rFonts w:ascii="Aptos Narrow" w:hAnsi="Aptos Narrow"/>
        </w:rPr>
        <w:t xml:space="preserve"> range from </w:t>
      </w:r>
      <w:r w:rsidR="00EB6F76">
        <w:rPr>
          <w:rFonts w:ascii="Aptos Narrow" w:hAnsi="Aptos Narrow"/>
        </w:rPr>
        <w:t>0</w:t>
      </w:r>
      <w:r w:rsidR="00EF1C5C">
        <w:rPr>
          <w:rFonts w:ascii="Aptos Narrow" w:hAnsi="Aptos Narrow"/>
        </w:rPr>
        <w:t xml:space="preserve"> to 1.0.</w:t>
      </w:r>
      <w:r w:rsidR="00CF5D6F">
        <w:rPr>
          <w:rFonts w:ascii="Aptos Narrow" w:hAnsi="Aptos Narrow"/>
        </w:rPr>
        <w:t xml:space="preserve"> The verified gross </w:t>
      </w:r>
      <w:r w:rsidR="00B700C9">
        <w:rPr>
          <w:rFonts w:ascii="Aptos Narrow" w:hAnsi="Aptos Narrow"/>
        </w:rPr>
        <w:t xml:space="preserve">savings </w:t>
      </w:r>
      <w:r w:rsidR="005116B7" w:rsidRPr="7BD200D3">
        <w:rPr>
          <w:rFonts w:ascii="Aptos Narrow" w:hAnsi="Aptos Narrow"/>
        </w:rPr>
        <w:t xml:space="preserve">realization rate </w:t>
      </w:r>
      <w:r w:rsidR="00297318">
        <w:rPr>
          <w:rFonts w:ascii="Aptos Narrow" w:hAnsi="Aptos Narrow"/>
        </w:rPr>
        <w:t>was</w:t>
      </w:r>
      <w:r w:rsidR="005116B7" w:rsidRPr="7BD200D3">
        <w:rPr>
          <w:rFonts w:ascii="Aptos Narrow" w:hAnsi="Aptos Narrow"/>
        </w:rPr>
        <w:t xml:space="preserve"> 2%</w:t>
      </w:r>
      <w:r w:rsidR="00736C1F">
        <w:rPr>
          <w:rFonts w:ascii="Aptos Narrow" w:hAnsi="Aptos Narrow"/>
        </w:rPr>
        <w:t xml:space="preserve"> for this project</w:t>
      </w:r>
      <w:r w:rsidR="00B34933">
        <w:rPr>
          <w:rFonts w:ascii="Aptos Narrow" w:hAnsi="Aptos Narrow"/>
        </w:rPr>
        <w:t>.</w:t>
      </w:r>
      <w:r w:rsidR="005116B7" w:rsidRPr="7BD200D3">
        <w:rPr>
          <w:rFonts w:ascii="Aptos Narrow" w:hAnsi="Aptos Narrow"/>
        </w:rPr>
        <w:t xml:space="preserve">  </w:t>
      </w:r>
    </w:p>
    <w:p w14:paraId="77536082" w14:textId="47FFCB66" w:rsidR="002B6C12" w:rsidRPr="00047CA5" w:rsidRDefault="002B6C12" w:rsidP="00047CA5">
      <w:pPr>
        <w:tabs>
          <w:tab w:val="left" w:pos="720"/>
        </w:tabs>
        <w:spacing w:line="264" w:lineRule="auto"/>
        <w:ind w:left="900" w:hanging="360"/>
      </w:pPr>
      <w:r w:rsidRPr="00BE1CA5">
        <w:rPr>
          <w:b/>
        </w:rPr>
        <w:t>Recomm</w:t>
      </w:r>
      <w:r w:rsidR="001524FD">
        <w:rPr>
          <w:b/>
        </w:rPr>
        <w:t>endation</w:t>
      </w:r>
      <w:r>
        <w:rPr>
          <w:b/>
          <w:bCs/>
        </w:rPr>
        <w:t xml:space="preserve"> 2. </w:t>
      </w:r>
      <w:r w:rsidR="00047CA5" w:rsidRPr="00047CA5">
        <w:t xml:space="preserve">Improve </w:t>
      </w:r>
      <w:r w:rsidR="00047CA5">
        <w:t xml:space="preserve">the </w:t>
      </w:r>
      <w:r w:rsidR="00047CA5" w:rsidRPr="00047CA5">
        <w:t xml:space="preserve">quality control of the </w:t>
      </w:r>
      <w:r w:rsidR="0087319D">
        <w:t xml:space="preserve">data </w:t>
      </w:r>
      <w:r w:rsidR="00047CA5" w:rsidRPr="00047CA5">
        <w:t xml:space="preserve">input values used in the </w:t>
      </w:r>
      <w:proofErr w:type="spellStart"/>
      <w:proofErr w:type="gramStart"/>
      <w:r w:rsidR="00047CA5" w:rsidRPr="00047CA5">
        <w:t>ex ante</w:t>
      </w:r>
      <w:proofErr w:type="spellEnd"/>
      <w:proofErr w:type="gramEnd"/>
      <w:r w:rsidR="00047CA5" w:rsidRPr="00047CA5">
        <w:t xml:space="preserve"> savings calculation and ensure they are consistent with the savings reported in the participation data.</w:t>
      </w:r>
    </w:p>
    <w:p w14:paraId="275CD2E1" w14:textId="334647D9" w:rsidR="002B6C12" w:rsidRPr="00915A79" w:rsidRDefault="002B6C12" w:rsidP="002B6C12">
      <w:pPr>
        <w:rPr>
          <w:b/>
        </w:rPr>
      </w:pPr>
      <w:r w:rsidRPr="00915A79">
        <w:rPr>
          <w:b/>
        </w:rPr>
        <w:t>Finding 3.</w:t>
      </w:r>
      <w:r w:rsidR="0080186C">
        <w:rPr>
          <w:b/>
        </w:rPr>
        <w:t xml:space="preserve"> </w:t>
      </w:r>
      <w:r w:rsidR="00F06B21">
        <w:rPr>
          <w:rFonts w:ascii="Aptos Narrow" w:hAnsi="Aptos Narrow"/>
          <w:bCs/>
        </w:rPr>
        <w:t>Duct Sealing measure</w:t>
      </w:r>
      <w:r w:rsidR="002A1347">
        <w:rPr>
          <w:rFonts w:ascii="Aptos Narrow" w:hAnsi="Aptos Narrow"/>
          <w:bCs/>
        </w:rPr>
        <w:t>s</w:t>
      </w:r>
      <w:r w:rsidR="00F06B21">
        <w:rPr>
          <w:rFonts w:ascii="Aptos Narrow" w:hAnsi="Aptos Narrow"/>
          <w:bCs/>
        </w:rPr>
        <w:t xml:space="preserve"> had </w:t>
      </w:r>
      <w:r w:rsidR="00100A7B">
        <w:rPr>
          <w:rFonts w:ascii="Aptos Narrow" w:hAnsi="Aptos Narrow"/>
          <w:bCs/>
        </w:rPr>
        <w:t xml:space="preserve">verified gross </w:t>
      </w:r>
      <w:r w:rsidR="004F33D1">
        <w:rPr>
          <w:rFonts w:ascii="Aptos Narrow" w:hAnsi="Aptos Narrow"/>
          <w:bCs/>
        </w:rPr>
        <w:t>savings realization</w:t>
      </w:r>
      <w:r w:rsidR="00F06B21">
        <w:rPr>
          <w:rFonts w:ascii="Aptos Narrow" w:hAnsi="Aptos Narrow"/>
          <w:bCs/>
        </w:rPr>
        <w:t xml:space="preserve"> rate of 94%</w:t>
      </w:r>
      <w:r w:rsidR="005407FE">
        <w:rPr>
          <w:rFonts w:ascii="Aptos Narrow" w:hAnsi="Aptos Narrow"/>
          <w:bCs/>
        </w:rPr>
        <w:t>.</w:t>
      </w:r>
      <w:r w:rsidR="00F06B21">
        <w:rPr>
          <w:rFonts w:ascii="Aptos Narrow" w:hAnsi="Aptos Narrow"/>
          <w:bCs/>
        </w:rPr>
        <w:t xml:space="preserve"> </w:t>
      </w:r>
      <w:r w:rsidR="00B66F0A">
        <w:rPr>
          <w:rFonts w:ascii="Aptos Narrow" w:hAnsi="Aptos Narrow"/>
          <w:bCs/>
        </w:rPr>
        <w:t xml:space="preserve">The </w:t>
      </w:r>
      <w:proofErr w:type="spellStart"/>
      <w:proofErr w:type="gramStart"/>
      <w:r w:rsidR="00B66F0A">
        <w:rPr>
          <w:rFonts w:ascii="Aptos Narrow" w:hAnsi="Aptos Narrow"/>
          <w:bCs/>
        </w:rPr>
        <w:t>ex ante</w:t>
      </w:r>
      <w:proofErr w:type="spellEnd"/>
      <w:proofErr w:type="gramEnd"/>
      <w:r w:rsidR="00B66F0A">
        <w:rPr>
          <w:rFonts w:ascii="Aptos Narrow" w:hAnsi="Aptos Narrow"/>
          <w:bCs/>
        </w:rPr>
        <w:t xml:space="preserve"> savings used </w:t>
      </w:r>
      <w:r w:rsidR="00F06B21">
        <w:rPr>
          <w:rFonts w:ascii="Aptos Narrow" w:hAnsi="Aptos Narrow"/>
          <w:bCs/>
        </w:rPr>
        <w:t xml:space="preserve">the </w:t>
      </w:r>
      <w:r w:rsidR="00FF7270">
        <w:rPr>
          <w:rFonts w:ascii="Aptos Narrow" w:hAnsi="Aptos Narrow"/>
          <w:bCs/>
        </w:rPr>
        <w:t>F</w:t>
      </w:r>
      <w:r w:rsidR="00C00ACE">
        <w:rPr>
          <w:rFonts w:ascii="Aptos Narrow" w:hAnsi="Aptos Narrow"/>
          <w:bCs/>
        </w:rPr>
        <w:t xml:space="preserve">ull </w:t>
      </w:r>
      <w:r w:rsidR="00FF7270">
        <w:rPr>
          <w:rFonts w:ascii="Aptos Narrow" w:hAnsi="Aptos Narrow"/>
          <w:bCs/>
        </w:rPr>
        <w:t>L</w:t>
      </w:r>
      <w:r w:rsidR="00C00ACE">
        <w:rPr>
          <w:rFonts w:ascii="Aptos Narrow" w:hAnsi="Aptos Narrow"/>
          <w:bCs/>
        </w:rPr>
        <w:t xml:space="preserve">oad </w:t>
      </w:r>
      <w:r w:rsidR="00FF7270">
        <w:rPr>
          <w:rFonts w:ascii="Aptos Narrow" w:hAnsi="Aptos Narrow"/>
          <w:bCs/>
        </w:rPr>
        <w:t>H</w:t>
      </w:r>
      <w:r w:rsidR="00C00ACE">
        <w:rPr>
          <w:rFonts w:ascii="Aptos Narrow" w:hAnsi="Aptos Narrow"/>
          <w:bCs/>
        </w:rPr>
        <w:t xml:space="preserve">eating </w:t>
      </w:r>
      <w:r w:rsidR="00FF7270">
        <w:rPr>
          <w:rFonts w:ascii="Aptos Narrow" w:hAnsi="Aptos Narrow"/>
          <w:bCs/>
        </w:rPr>
        <w:t>H</w:t>
      </w:r>
      <w:r w:rsidR="00C00ACE">
        <w:rPr>
          <w:rFonts w:ascii="Aptos Narrow" w:hAnsi="Aptos Narrow"/>
          <w:bCs/>
        </w:rPr>
        <w:t>ours (</w:t>
      </w:r>
      <w:proofErr w:type="spellStart"/>
      <w:r w:rsidR="00C00ACE">
        <w:rPr>
          <w:rFonts w:ascii="Aptos Narrow" w:hAnsi="Aptos Narrow"/>
          <w:bCs/>
        </w:rPr>
        <w:t>FLH</w:t>
      </w:r>
      <w:r w:rsidR="00FF7270">
        <w:rPr>
          <w:rFonts w:ascii="Aptos Narrow" w:hAnsi="Aptos Narrow"/>
          <w:bCs/>
        </w:rPr>
        <w:t>heat</w:t>
      </w:r>
      <w:proofErr w:type="spellEnd"/>
      <w:r w:rsidR="00FF7270">
        <w:rPr>
          <w:rFonts w:ascii="Aptos Narrow" w:hAnsi="Aptos Narrow"/>
          <w:bCs/>
        </w:rPr>
        <w:t>)</w:t>
      </w:r>
      <w:r w:rsidR="004E40D2">
        <w:rPr>
          <w:rFonts w:ascii="Aptos Narrow" w:hAnsi="Aptos Narrow"/>
          <w:bCs/>
        </w:rPr>
        <w:t xml:space="preserve"> value </w:t>
      </w:r>
      <w:r w:rsidR="004F33D1">
        <w:rPr>
          <w:rFonts w:ascii="Aptos Narrow" w:hAnsi="Aptos Narrow"/>
          <w:bCs/>
        </w:rPr>
        <w:t xml:space="preserve">of </w:t>
      </w:r>
      <w:r w:rsidR="007139E3" w:rsidRPr="007139E3">
        <w:rPr>
          <w:rFonts w:ascii="Aptos Narrow" w:hAnsi="Aptos Narrow"/>
          <w:bCs/>
        </w:rPr>
        <w:t xml:space="preserve">1,840 </w:t>
      </w:r>
      <w:r w:rsidR="006572C2">
        <w:rPr>
          <w:rFonts w:ascii="Aptos Narrow" w:hAnsi="Aptos Narrow"/>
          <w:bCs/>
        </w:rPr>
        <w:t>for Chi</w:t>
      </w:r>
      <w:r w:rsidR="00E11271">
        <w:rPr>
          <w:rFonts w:ascii="Aptos Narrow" w:hAnsi="Aptos Narrow"/>
          <w:bCs/>
        </w:rPr>
        <w:t>cago climate zone</w:t>
      </w:r>
      <w:r w:rsidR="00FC7538">
        <w:rPr>
          <w:rFonts w:ascii="Aptos Narrow" w:hAnsi="Aptos Narrow"/>
          <w:bCs/>
        </w:rPr>
        <w:t>, which comes from TRM v12.0. This value</w:t>
      </w:r>
      <w:r w:rsidR="00325778">
        <w:rPr>
          <w:rFonts w:ascii="Aptos Narrow" w:hAnsi="Aptos Narrow"/>
          <w:bCs/>
        </w:rPr>
        <w:t xml:space="preserve"> was updated in the TRM v13.0 to </w:t>
      </w:r>
      <w:r w:rsidR="00C45FEE">
        <w:rPr>
          <w:rFonts w:ascii="Aptos Narrow" w:hAnsi="Aptos Narrow"/>
          <w:bCs/>
        </w:rPr>
        <w:t>1,726 hours</w:t>
      </w:r>
      <w:r w:rsidR="005133EB">
        <w:rPr>
          <w:rFonts w:ascii="Aptos Narrow" w:hAnsi="Aptos Narrow"/>
          <w:bCs/>
        </w:rPr>
        <w:t xml:space="preserve">, leading to lower verified gross savings. </w:t>
      </w:r>
      <w:r w:rsidR="00E11271">
        <w:rPr>
          <w:rFonts w:ascii="Aptos Narrow" w:hAnsi="Aptos Narrow"/>
          <w:bCs/>
        </w:rPr>
        <w:t xml:space="preserve"> </w:t>
      </w:r>
    </w:p>
    <w:p w14:paraId="50D5E3B2" w14:textId="77777777" w:rsidR="002B6C12" w:rsidRDefault="002B6C12" w:rsidP="00D943B7">
      <w:pPr>
        <w:tabs>
          <w:tab w:val="left" w:pos="720"/>
        </w:tabs>
        <w:spacing w:line="264" w:lineRule="auto"/>
        <w:ind w:left="900" w:hanging="360"/>
      </w:pPr>
      <w:r w:rsidRPr="00BE1CA5">
        <w:rPr>
          <w:b/>
        </w:rPr>
        <w:t>Recommendation</w:t>
      </w:r>
      <w:r>
        <w:rPr>
          <w:b/>
          <w:bCs/>
        </w:rPr>
        <w:t xml:space="preserve"> 3. </w:t>
      </w:r>
      <w:r w:rsidR="00D943B7">
        <w:rPr>
          <w:b/>
          <w:bCs/>
        </w:rPr>
        <w:t xml:space="preserve">  </w:t>
      </w:r>
      <w:r w:rsidR="00D943B7" w:rsidRPr="00D943B7">
        <w:t>E</w:t>
      </w:r>
      <w:r w:rsidR="00D943B7">
        <w:t xml:space="preserve">nsure that </w:t>
      </w:r>
      <w:r w:rsidR="006834B9">
        <w:t xml:space="preserve">the </w:t>
      </w:r>
      <w:r w:rsidR="00DA66FC">
        <w:t xml:space="preserve">most current </w:t>
      </w:r>
      <w:r w:rsidR="006834B9">
        <w:t xml:space="preserve">IL TRM </w:t>
      </w:r>
      <w:r w:rsidR="002A2809">
        <w:t xml:space="preserve">deemed </w:t>
      </w:r>
      <w:r w:rsidR="006834B9">
        <w:t xml:space="preserve">values </w:t>
      </w:r>
      <w:r w:rsidR="002A2809">
        <w:t>are applied when calculating ex ante savings.</w:t>
      </w:r>
    </w:p>
    <w:p w14:paraId="13E60F8A" w14:textId="77777777" w:rsidR="00736C1F" w:rsidRDefault="00736C1F" w:rsidP="00D943B7">
      <w:pPr>
        <w:tabs>
          <w:tab w:val="left" w:pos="720"/>
        </w:tabs>
        <w:spacing w:line="264" w:lineRule="auto"/>
        <w:ind w:left="900" w:hanging="360"/>
      </w:pPr>
    </w:p>
    <w:p w14:paraId="144DF71F" w14:textId="77777777" w:rsidR="00736C1F" w:rsidRDefault="00736C1F" w:rsidP="00D943B7">
      <w:pPr>
        <w:tabs>
          <w:tab w:val="left" w:pos="720"/>
        </w:tabs>
        <w:spacing w:line="264" w:lineRule="auto"/>
        <w:ind w:left="900" w:hanging="360"/>
      </w:pPr>
    </w:p>
    <w:p w14:paraId="50BB616E" w14:textId="77777777" w:rsidR="00736C1F" w:rsidRDefault="00736C1F" w:rsidP="00D943B7">
      <w:pPr>
        <w:tabs>
          <w:tab w:val="left" w:pos="720"/>
        </w:tabs>
        <w:spacing w:line="264" w:lineRule="auto"/>
        <w:ind w:left="900" w:hanging="360"/>
      </w:pPr>
    </w:p>
    <w:p w14:paraId="693BC7FC" w14:textId="77777777" w:rsidR="00736C1F" w:rsidRDefault="00736C1F" w:rsidP="00D943B7">
      <w:pPr>
        <w:tabs>
          <w:tab w:val="left" w:pos="720"/>
        </w:tabs>
        <w:spacing w:line="264" w:lineRule="auto"/>
        <w:ind w:left="900" w:hanging="360"/>
      </w:pPr>
    </w:p>
    <w:p w14:paraId="3FC5B4AA" w14:textId="77777777" w:rsidR="00736C1F" w:rsidRDefault="00736C1F" w:rsidP="00D943B7">
      <w:pPr>
        <w:tabs>
          <w:tab w:val="left" w:pos="720"/>
        </w:tabs>
        <w:spacing w:line="264" w:lineRule="auto"/>
        <w:ind w:left="900" w:hanging="360"/>
      </w:pPr>
    </w:p>
    <w:p w14:paraId="7C85F9FE" w14:textId="77777777" w:rsidR="00736C1F" w:rsidRDefault="00736C1F" w:rsidP="00D943B7">
      <w:pPr>
        <w:tabs>
          <w:tab w:val="left" w:pos="720"/>
        </w:tabs>
        <w:spacing w:line="264" w:lineRule="auto"/>
        <w:ind w:left="900" w:hanging="360"/>
      </w:pPr>
    </w:p>
    <w:p w14:paraId="04C3FA13" w14:textId="77777777" w:rsidR="00736C1F" w:rsidRDefault="00736C1F" w:rsidP="00D943B7">
      <w:pPr>
        <w:tabs>
          <w:tab w:val="left" w:pos="720"/>
        </w:tabs>
        <w:spacing w:line="264" w:lineRule="auto"/>
        <w:ind w:left="900" w:hanging="360"/>
      </w:pPr>
    </w:p>
    <w:p w14:paraId="2FDB395B" w14:textId="77777777" w:rsidR="00736C1F" w:rsidRDefault="00736C1F" w:rsidP="00D943B7">
      <w:pPr>
        <w:tabs>
          <w:tab w:val="left" w:pos="720"/>
        </w:tabs>
        <w:spacing w:line="264" w:lineRule="auto"/>
        <w:ind w:left="900" w:hanging="360"/>
      </w:pPr>
    </w:p>
    <w:p w14:paraId="515A850B" w14:textId="77777777" w:rsidR="00736C1F" w:rsidRDefault="00736C1F" w:rsidP="00D943B7">
      <w:pPr>
        <w:tabs>
          <w:tab w:val="left" w:pos="720"/>
        </w:tabs>
        <w:spacing w:line="264" w:lineRule="auto"/>
        <w:ind w:left="900" w:hanging="360"/>
      </w:pPr>
    </w:p>
    <w:p w14:paraId="04D67BB2" w14:textId="77777777" w:rsidR="00736C1F" w:rsidRDefault="00736C1F" w:rsidP="00D943B7">
      <w:pPr>
        <w:tabs>
          <w:tab w:val="left" w:pos="720"/>
        </w:tabs>
        <w:spacing w:line="264" w:lineRule="auto"/>
        <w:ind w:left="900" w:hanging="360"/>
      </w:pPr>
    </w:p>
    <w:p w14:paraId="3A0C72CE" w14:textId="77777777" w:rsidR="00736C1F" w:rsidRDefault="00736C1F" w:rsidP="00D943B7">
      <w:pPr>
        <w:tabs>
          <w:tab w:val="left" w:pos="720"/>
        </w:tabs>
        <w:spacing w:line="264" w:lineRule="auto"/>
        <w:ind w:left="900" w:hanging="360"/>
      </w:pPr>
    </w:p>
    <w:p w14:paraId="4673B91C" w14:textId="77777777" w:rsidR="00736C1F" w:rsidRDefault="00736C1F" w:rsidP="00D943B7">
      <w:pPr>
        <w:tabs>
          <w:tab w:val="left" w:pos="720"/>
        </w:tabs>
        <w:spacing w:line="264" w:lineRule="auto"/>
        <w:ind w:left="900" w:hanging="360"/>
      </w:pPr>
    </w:p>
    <w:p w14:paraId="2FB93C41" w14:textId="77777777" w:rsidR="00736C1F" w:rsidRPr="002E0934" w:rsidRDefault="00736C1F" w:rsidP="00736C1F">
      <w:pPr>
        <w:pStyle w:val="Heading1"/>
        <w:numPr>
          <w:ilvl w:val="0"/>
          <w:numId w:val="0"/>
        </w:numPr>
        <w:spacing w:line="276" w:lineRule="auto"/>
        <w:ind w:left="432" w:hanging="432"/>
      </w:pPr>
      <w:bookmarkStart w:id="42" w:name="_Toc225365671"/>
      <w:r w:rsidRPr="0BF76A9C">
        <w:rPr>
          <w:rFonts w:ascii="Aptos Display" w:eastAsia="Aptos Display" w:hAnsi="Aptos Display" w:cs="Aptos Display"/>
        </w:rPr>
        <w:lastRenderedPageBreak/>
        <w:t>Appendix A. Impact Analysis Methodology</w:t>
      </w:r>
      <w:bookmarkEnd w:id="42"/>
    </w:p>
    <w:p w14:paraId="70494960" w14:textId="77777777" w:rsidR="00736C1F" w:rsidRPr="00F214F6" w:rsidRDefault="00736C1F" w:rsidP="00736C1F">
      <w:pPr>
        <w:spacing w:before="100" w:beforeAutospacing="1" w:after="100" w:afterAutospacing="1" w:line="240" w:lineRule="auto"/>
      </w:pPr>
      <w:r w:rsidRPr="00F214F6">
        <w:t>The evaluation team</w:t>
      </w:r>
      <w:r>
        <w:t xml:space="preserve"> v</w:t>
      </w:r>
      <w:r w:rsidRPr="00F214F6">
        <w:t>erified savings for each program measure by:</w:t>
      </w:r>
    </w:p>
    <w:p w14:paraId="4690D7D1" w14:textId="77777777" w:rsidR="00736C1F" w:rsidRPr="00F214F6" w:rsidRDefault="00736C1F" w:rsidP="00736C1F">
      <w:pPr>
        <w:numPr>
          <w:ilvl w:val="0"/>
          <w:numId w:val="28"/>
        </w:numPr>
        <w:spacing w:before="100" w:beforeAutospacing="1" w:after="100" w:afterAutospacing="1" w:line="240" w:lineRule="auto"/>
      </w:pPr>
      <w:r w:rsidRPr="00F214F6">
        <w:t>Reviewing the savings algorithm inputs in the final 2025 tracking data for agreement with the IL-TRM v13.0 and IL-TRM Errata, where applicable.</w:t>
      </w:r>
    </w:p>
    <w:p w14:paraId="3DB45527" w14:textId="77777777" w:rsidR="00736C1F" w:rsidRPr="00F214F6" w:rsidRDefault="00736C1F" w:rsidP="00736C1F">
      <w:pPr>
        <w:numPr>
          <w:ilvl w:val="0"/>
          <w:numId w:val="28"/>
        </w:numPr>
        <w:spacing w:before="100" w:beforeAutospacing="1" w:after="100" w:afterAutospacing="1" w:line="240" w:lineRule="auto"/>
      </w:pPr>
      <w:r w:rsidRPr="00F214F6">
        <w:t>Validating the savings algorithm was applied correctly.</w:t>
      </w:r>
    </w:p>
    <w:p w14:paraId="4A33860B" w14:textId="77777777" w:rsidR="00736C1F" w:rsidRPr="00F214F6" w:rsidRDefault="00736C1F" w:rsidP="00736C1F">
      <w:pPr>
        <w:numPr>
          <w:ilvl w:val="0"/>
          <w:numId w:val="28"/>
        </w:numPr>
        <w:spacing w:before="100" w:beforeAutospacing="1" w:after="100" w:afterAutospacing="1" w:line="240" w:lineRule="auto"/>
      </w:pPr>
      <w:r w:rsidRPr="00F214F6">
        <w:t xml:space="preserve">Cross-checking per-unit savings values in the program tracking data with the verified values in </w:t>
      </w:r>
      <w:proofErr w:type="spellStart"/>
      <w:r w:rsidRPr="00F214F6">
        <w:t>Guidehouse’s</w:t>
      </w:r>
      <w:proofErr w:type="spellEnd"/>
      <w:r w:rsidRPr="00F214F6">
        <w:t xml:space="preserve"> calculations.</w:t>
      </w:r>
    </w:p>
    <w:p w14:paraId="35AA3BC6" w14:textId="77777777" w:rsidR="00736C1F" w:rsidRDefault="00736C1F" w:rsidP="00736C1F">
      <w:pPr>
        <w:numPr>
          <w:ilvl w:val="0"/>
          <w:numId w:val="28"/>
        </w:numPr>
        <w:spacing w:before="100" w:beforeAutospacing="1" w:after="100" w:afterAutospacing="1" w:line="240" w:lineRule="auto"/>
      </w:pPr>
      <w:r w:rsidRPr="00F214F6">
        <w:t xml:space="preserve">Multiplying the verified per-unit savings value by the quantity reported in the tracking data. </w:t>
      </w:r>
    </w:p>
    <w:p w14:paraId="5EC3E45C" w14:textId="77777777" w:rsidR="00736C1F" w:rsidRDefault="00736C1F" w:rsidP="00736C1F">
      <w:pPr>
        <w:pStyle w:val="ListParagraph"/>
        <w:numPr>
          <w:ilvl w:val="0"/>
          <w:numId w:val="28"/>
        </w:numPr>
      </w:pPr>
      <w:r w:rsidRPr="00A022BB">
        <w:t xml:space="preserve">Guidehouse calculated verified net savings by multiplying verified gross savings by a net-to-gross (NTG) of 0.90 for advanced thermostats and 0.80 for all other measures, and a residential non-participant spillover multiplier of 1.048 as deemed by the Illinois Stakeholder Advisory Group (SAG) </w:t>
      </w:r>
      <w:r>
        <w:t>for 2025.</w:t>
      </w:r>
    </w:p>
    <w:p w14:paraId="3FCE1DE2" w14:textId="77777777" w:rsidR="00736C1F" w:rsidRDefault="00736C1F" w:rsidP="00D943B7">
      <w:pPr>
        <w:tabs>
          <w:tab w:val="left" w:pos="720"/>
        </w:tabs>
        <w:spacing w:line="264" w:lineRule="auto"/>
        <w:ind w:left="900" w:hanging="360"/>
      </w:pPr>
    </w:p>
    <w:p w14:paraId="0C9B1C2B" w14:textId="46235D52" w:rsidR="00736C1F" w:rsidRDefault="00736C1F" w:rsidP="00D943B7">
      <w:pPr>
        <w:tabs>
          <w:tab w:val="left" w:pos="720"/>
        </w:tabs>
        <w:spacing w:line="264" w:lineRule="auto"/>
        <w:ind w:left="900" w:hanging="360"/>
        <w:sectPr w:rsidR="00736C1F" w:rsidSect="00F36BF3">
          <w:headerReference w:type="default" r:id="rId23"/>
          <w:footerReference w:type="default" r:id="rId24"/>
          <w:pgSz w:w="12240" w:h="15840" w:code="1"/>
          <w:pgMar w:top="1440" w:right="1440" w:bottom="1440" w:left="1440" w:header="720" w:footer="720" w:gutter="0"/>
          <w:pgNumType w:start="1"/>
          <w:cols w:space="720"/>
          <w:docGrid w:linePitch="360"/>
        </w:sectPr>
      </w:pPr>
    </w:p>
    <w:p w14:paraId="5533C6A7" w14:textId="6A6B2784" w:rsidR="00AB1A05" w:rsidRPr="00AB1A05" w:rsidRDefault="00AB1A05" w:rsidP="0BF76A9C">
      <w:pPr>
        <w:pStyle w:val="Heading1"/>
        <w:numPr>
          <w:ilvl w:val="0"/>
          <w:numId w:val="0"/>
        </w:numPr>
        <w:spacing w:line="276" w:lineRule="auto"/>
        <w:ind w:left="432" w:hanging="432"/>
      </w:pPr>
      <w:bookmarkStart w:id="43" w:name="_Toc225365672"/>
      <w:r w:rsidRPr="0BF76A9C">
        <w:rPr>
          <w:rFonts w:ascii="Aptos Display" w:eastAsia="Aptos Display" w:hAnsi="Aptos Display" w:cs="Aptos Display"/>
        </w:rPr>
        <w:lastRenderedPageBreak/>
        <w:t>Appendix B. Program Specific Inputs for the Illinois TRC</w:t>
      </w:r>
      <w:bookmarkEnd w:id="43"/>
    </w:p>
    <w:p w14:paraId="7F2D93B8" w14:textId="77777777" w:rsidR="00AB1A05" w:rsidRPr="00D12853" w:rsidRDefault="00AB1A05" w:rsidP="00AB1A05">
      <w:r>
        <w:fldChar w:fldCharType="begin"/>
      </w:r>
      <w:r>
        <w:instrText xml:space="preserve"> REF _Ref66787029 \h </w:instrText>
      </w:r>
      <w:r>
        <w:fldChar w:fldCharType="separate"/>
      </w:r>
      <w:r>
        <w:t xml:space="preserve">Table </w:t>
      </w:r>
      <w:r>
        <w:rPr>
          <w:noProof/>
        </w:rPr>
        <w:t>B</w:t>
      </w:r>
      <w:r>
        <w:noBreakHyphen/>
      </w:r>
      <w:r>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77777777" w:rsidR="00AB1A05" w:rsidRDefault="00AB1A05" w:rsidP="00AD3BC4">
      <w:pPr>
        <w:pStyle w:val="Caption"/>
      </w:pPr>
      <w:bookmarkStart w:id="44" w:name="_Ref66787029"/>
      <w:bookmarkStart w:id="45" w:name="_Ref63952142"/>
      <w:bookmarkStart w:id="46" w:name="_Toc367307499"/>
      <w:bookmarkStart w:id="47" w:name="_Toc398541812"/>
      <w:bookmarkStart w:id="48" w:name="_Toc398541925"/>
      <w:bookmarkStart w:id="49" w:name="_Toc398546657"/>
      <w:bookmarkStart w:id="50" w:name="_Toc423009519"/>
      <w:bookmarkStart w:id="51" w:name="_Toc426278637"/>
      <w:bookmarkStart w:id="52" w:name="_Toc63321485"/>
      <w:bookmarkStart w:id="53" w:name="_Toc63961488"/>
      <w:bookmarkStart w:id="54" w:name="_Toc61360851"/>
      <w:bookmarkStart w:id="55" w:name="_Toc189833653"/>
      <w:r>
        <w:t>Table B</w:t>
      </w:r>
      <w:r>
        <w:noBreakHyphen/>
      </w:r>
      <w:r>
        <w:fldChar w:fldCharType="begin"/>
      </w:r>
      <w:r>
        <w:instrText xml:space="preserve"> SEQ Table_Apx \* ARABIC \s 5 </w:instrText>
      </w:r>
      <w:r>
        <w:fldChar w:fldCharType="separate"/>
      </w:r>
      <w:r>
        <w:rPr>
          <w:noProof/>
        </w:rPr>
        <w:t>1</w:t>
      </w:r>
      <w:r>
        <w:rPr>
          <w:noProof/>
        </w:rPr>
        <w:fldChar w:fldCharType="end"/>
      </w:r>
      <w:bookmarkEnd w:id="44"/>
      <w:r>
        <w:t>.</w:t>
      </w:r>
      <w:r w:rsidDel="00146395">
        <w:t xml:space="preserve"> </w:t>
      </w:r>
      <w:bookmarkEnd w:id="45"/>
      <w:bookmarkEnd w:id="46"/>
      <w:bookmarkEnd w:id="47"/>
      <w:bookmarkEnd w:id="48"/>
      <w:bookmarkEnd w:id="49"/>
      <w:bookmarkEnd w:id="50"/>
      <w:bookmarkEnd w:id="51"/>
      <w:bookmarkEnd w:id="52"/>
      <w:bookmarkEnd w:id="53"/>
      <w:r>
        <w:t>Verified Cost Effectiveness Inputs</w:t>
      </w:r>
      <w:bookmarkEnd w:id="54"/>
      <w:bookmarkEnd w:id="55"/>
    </w:p>
    <w:tbl>
      <w:tblPr>
        <w:tblW w:w="5000" w:type="pct"/>
        <w:tblLook w:val="04A0" w:firstRow="1" w:lastRow="0" w:firstColumn="1" w:lastColumn="0" w:noHBand="0" w:noVBand="1"/>
      </w:tblPr>
      <w:tblGrid>
        <w:gridCol w:w="1529"/>
        <w:gridCol w:w="2299"/>
        <w:gridCol w:w="1299"/>
        <w:gridCol w:w="783"/>
        <w:gridCol w:w="1156"/>
        <w:gridCol w:w="1135"/>
        <w:gridCol w:w="1323"/>
        <w:gridCol w:w="1524"/>
        <w:gridCol w:w="956"/>
        <w:gridCol w:w="956"/>
      </w:tblGrid>
      <w:tr w:rsidR="00AE71F2" w:rsidRPr="00AE71F2" w14:paraId="46749D73" w14:textId="77777777" w:rsidTr="11DBE3B8">
        <w:trPr>
          <w:trHeight w:val="1088"/>
        </w:trPr>
        <w:tc>
          <w:tcPr>
            <w:tcW w:w="590" w:type="pct"/>
            <w:tcBorders>
              <w:top w:val="nil"/>
              <w:left w:val="nil"/>
              <w:bottom w:val="single" w:sz="12" w:space="0" w:color="95D600"/>
              <w:right w:val="nil"/>
            </w:tcBorders>
            <w:shd w:val="clear" w:color="auto" w:fill="036479"/>
            <w:vAlign w:val="center"/>
            <w:hideMark/>
          </w:tcPr>
          <w:p w14:paraId="130D838D" w14:textId="77777777" w:rsidR="00AE71F2" w:rsidRPr="00AE71F2" w:rsidRDefault="00AE71F2" w:rsidP="00AE71F2">
            <w:pPr>
              <w:spacing w:after="0" w:line="240" w:lineRule="auto"/>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Program Path</w:t>
            </w:r>
          </w:p>
        </w:tc>
        <w:tc>
          <w:tcPr>
            <w:tcW w:w="887" w:type="pct"/>
            <w:tcBorders>
              <w:top w:val="nil"/>
              <w:left w:val="nil"/>
              <w:bottom w:val="single" w:sz="12" w:space="0" w:color="95D600"/>
              <w:right w:val="nil"/>
            </w:tcBorders>
            <w:shd w:val="clear" w:color="auto" w:fill="036479"/>
            <w:vAlign w:val="center"/>
            <w:hideMark/>
          </w:tcPr>
          <w:p w14:paraId="087C6ACE" w14:textId="77777777" w:rsidR="00AE71F2" w:rsidRPr="00AE71F2" w:rsidRDefault="00AE71F2" w:rsidP="00AE71F2">
            <w:pPr>
              <w:spacing w:after="0" w:line="240" w:lineRule="auto"/>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Savings Category</w:t>
            </w:r>
          </w:p>
        </w:tc>
        <w:tc>
          <w:tcPr>
            <w:tcW w:w="501" w:type="pct"/>
            <w:tcBorders>
              <w:top w:val="nil"/>
              <w:left w:val="nil"/>
              <w:bottom w:val="single" w:sz="12" w:space="0" w:color="95D600"/>
              <w:right w:val="nil"/>
            </w:tcBorders>
            <w:shd w:val="clear" w:color="auto" w:fill="036479"/>
            <w:vAlign w:val="center"/>
            <w:hideMark/>
          </w:tcPr>
          <w:p w14:paraId="281A0541" w14:textId="77777777" w:rsidR="00AE71F2" w:rsidRPr="00AE71F2" w:rsidRDefault="00AE71F2" w:rsidP="00AE71F2">
            <w:pPr>
              <w:spacing w:after="0" w:line="240" w:lineRule="auto"/>
              <w:jc w:val="center"/>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DAC Project*</w:t>
            </w:r>
          </w:p>
        </w:tc>
        <w:tc>
          <w:tcPr>
            <w:tcW w:w="302" w:type="pct"/>
            <w:tcBorders>
              <w:top w:val="nil"/>
              <w:left w:val="nil"/>
              <w:bottom w:val="single" w:sz="12" w:space="0" w:color="95D600"/>
              <w:right w:val="nil"/>
            </w:tcBorders>
            <w:shd w:val="clear" w:color="auto" w:fill="036479"/>
            <w:vAlign w:val="center"/>
            <w:hideMark/>
          </w:tcPr>
          <w:p w14:paraId="09484CBC" w14:textId="77777777" w:rsidR="00AE71F2" w:rsidRPr="00AE71F2" w:rsidRDefault="00AE71F2" w:rsidP="00AE71F2">
            <w:pPr>
              <w:spacing w:after="0" w:line="240" w:lineRule="auto"/>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Units</w:t>
            </w:r>
          </w:p>
        </w:tc>
        <w:tc>
          <w:tcPr>
            <w:tcW w:w="446" w:type="pct"/>
            <w:tcBorders>
              <w:top w:val="nil"/>
              <w:left w:val="nil"/>
              <w:bottom w:val="single" w:sz="12" w:space="0" w:color="95D600"/>
              <w:right w:val="nil"/>
            </w:tcBorders>
            <w:shd w:val="clear" w:color="auto" w:fill="036479"/>
            <w:vAlign w:val="center"/>
            <w:hideMark/>
          </w:tcPr>
          <w:p w14:paraId="35B46BAA" w14:textId="77777777" w:rsidR="00AE71F2" w:rsidRPr="00AE71F2" w:rsidRDefault="00AE71F2" w:rsidP="00AE71F2">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 xml:space="preserve"> Quantity </w:t>
            </w:r>
          </w:p>
        </w:tc>
        <w:tc>
          <w:tcPr>
            <w:tcW w:w="438" w:type="pct"/>
            <w:tcBorders>
              <w:top w:val="nil"/>
              <w:left w:val="nil"/>
              <w:bottom w:val="single" w:sz="12" w:space="0" w:color="95D600"/>
              <w:right w:val="nil"/>
            </w:tcBorders>
            <w:shd w:val="clear" w:color="auto" w:fill="036479"/>
            <w:vAlign w:val="center"/>
            <w:hideMark/>
          </w:tcPr>
          <w:p w14:paraId="65932868" w14:textId="77777777" w:rsidR="00AE71F2" w:rsidRPr="00AE71F2" w:rsidRDefault="00AE71F2" w:rsidP="00AE71F2">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 xml:space="preserve"> Effective Useful Life </w:t>
            </w:r>
          </w:p>
        </w:tc>
        <w:tc>
          <w:tcPr>
            <w:tcW w:w="510" w:type="pct"/>
            <w:tcBorders>
              <w:top w:val="nil"/>
              <w:left w:val="nil"/>
              <w:bottom w:val="single" w:sz="12" w:space="0" w:color="95D600"/>
              <w:right w:val="nil"/>
            </w:tcBorders>
            <w:shd w:val="clear" w:color="auto" w:fill="036479"/>
            <w:vAlign w:val="center"/>
            <w:hideMark/>
          </w:tcPr>
          <w:p w14:paraId="5981FAD7" w14:textId="77777777" w:rsidR="00AE71F2" w:rsidRPr="00AE71F2" w:rsidRDefault="00AE71F2" w:rsidP="00D76758">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Early Replacement Flag</w:t>
            </w:r>
          </w:p>
        </w:tc>
        <w:tc>
          <w:tcPr>
            <w:tcW w:w="588" w:type="pct"/>
            <w:tcBorders>
              <w:top w:val="nil"/>
              <w:left w:val="nil"/>
              <w:bottom w:val="single" w:sz="12" w:space="0" w:color="95D600"/>
              <w:right w:val="nil"/>
            </w:tcBorders>
            <w:shd w:val="clear" w:color="auto" w:fill="036479"/>
            <w:vAlign w:val="center"/>
            <w:hideMark/>
          </w:tcPr>
          <w:p w14:paraId="6A80FADF" w14:textId="77777777" w:rsidR="00AE71F2" w:rsidRPr="00AE71F2" w:rsidRDefault="00AE71F2" w:rsidP="00AE71F2">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 xml:space="preserve"> Ex Ante Gross Savings (Therms) </w:t>
            </w:r>
          </w:p>
        </w:tc>
        <w:tc>
          <w:tcPr>
            <w:tcW w:w="369" w:type="pct"/>
            <w:tcBorders>
              <w:top w:val="nil"/>
              <w:left w:val="nil"/>
              <w:bottom w:val="single" w:sz="12" w:space="0" w:color="95D600"/>
              <w:right w:val="nil"/>
            </w:tcBorders>
            <w:shd w:val="clear" w:color="auto" w:fill="036479"/>
            <w:vAlign w:val="center"/>
            <w:hideMark/>
          </w:tcPr>
          <w:p w14:paraId="71252502" w14:textId="77777777" w:rsidR="00AE71F2" w:rsidRPr="00AE71F2" w:rsidRDefault="00AE71F2" w:rsidP="00AE71F2">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 xml:space="preserve"> Verified Gross Savings (Therms) </w:t>
            </w:r>
          </w:p>
        </w:tc>
        <w:tc>
          <w:tcPr>
            <w:tcW w:w="369" w:type="pct"/>
            <w:tcBorders>
              <w:top w:val="nil"/>
              <w:left w:val="nil"/>
              <w:bottom w:val="single" w:sz="12" w:space="0" w:color="95D600"/>
              <w:right w:val="nil"/>
            </w:tcBorders>
            <w:shd w:val="clear" w:color="auto" w:fill="036479"/>
            <w:vAlign w:val="center"/>
            <w:hideMark/>
          </w:tcPr>
          <w:p w14:paraId="3909C26D" w14:textId="77777777" w:rsidR="00AE71F2" w:rsidRPr="00AE71F2" w:rsidRDefault="00AE71F2" w:rsidP="00AE71F2">
            <w:pPr>
              <w:spacing w:after="0" w:line="240" w:lineRule="auto"/>
              <w:jc w:val="right"/>
              <w:rPr>
                <w:rFonts w:ascii="Aptos Narrow" w:eastAsia="Times New Roman" w:hAnsi="Aptos Narrow" w:cs="Calibri"/>
                <w:b/>
                <w:bCs/>
                <w:color w:val="FFFFFF"/>
                <w:sz w:val="20"/>
                <w:szCs w:val="20"/>
                <w:lang w:eastAsia="en-US"/>
              </w:rPr>
            </w:pPr>
            <w:r w:rsidRPr="00AE71F2">
              <w:rPr>
                <w:rFonts w:ascii="Aptos Narrow" w:eastAsia="Times New Roman" w:hAnsi="Aptos Narrow" w:cs="Calibri"/>
                <w:b/>
                <w:bCs/>
                <w:color w:val="FFFFFF"/>
                <w:sz w:val="20"/>
                <w:szCs w:val="20"/>
                <w:lang w:eastAsia="en-US"/>
              </w:rPr>
              <w:t xml:space="preserve"> Verified Net Savings (Therms) </w:t>
            </w:r>
          </w:p>
        </w:tc>
      </w:tr>
      <w:tr w:rsidR="0066270D" w:rsidRPr="00AE71F2" w14:paraId="4094DA17" w14:textId="77777777" w:rsidTr="11DBE3B8">
        <w:trPr>
          <w:trHeight w:val="323"/>
        </w:trPr>
        <w:tc>
          <w:tcPr>
            <w:tcW w:w="590" w:type="pct"/>
            <w:vMerge w:val="restart"/>
            <w:tcBorders>
              <w:top w:val="nil"/>
              <w:left w:val="nil"/>
              <w:bottom w:val="single" w:sz="8" w:space="0" w:color="B3EFFD" w:themeColor="text2" w:themeTint="33"/>
              <w:right w:val="nil"/>
            </w:tcBorders>
            <w:shd w:val="clear" w:color="auto" w:fill="FFFFFF" w:themeFill="background1"/>
            <w:vAlign w:val="center"/>
            <w:hideMark/>
          </w:tcPr>
          <w:p w14:paraId="02C9140E" w14:textId="1D47B0C4" w:rsidR="00AE71F2" w:rsidRPr="00AE71F2" w:rsidRDefault="57AFC9F2" w:rsidP="00AE71F2">
            <w:pPr>
              <w:spacing w:after="0" w:line="240" w:lineRule="auto"/>
              <w:rPr>
                <w:rFonts w:ascii="Aptos Narrow" w:eastAsia="Times New Roman" w:hAnsi="Aptos Narrow" w:cs="Calibri"/>
                <w:color w:val="000000"/>
                <w:sz w:val="20"/>
                <w:szCs w:val="20"/>
                <w:lang w:eastAsia="en-US"/>
              </w:rPr>
            </w:pPr>
            <w:r w:rsidRPr="11DBE3B8">
              <w:rPr>
                <w:rFonts w:ascii="Aptos Narrow" w:eastAsia="Times New Roman" w:hAnsi="Aptos Narrow" w:cs="Calibri"/>
                <w:color w:val="000000" w:themeColor="text1"/>
                <w:sz w:val="20"/>
                <w:szCs w:val="20"/>
                <w:lang w:eastAsia="en-US"/>
              </w:rPr>
              <w:t>SNB</w:t>
            </w:r>
          </w:p>
        </w:tc>
        <w:tc>
          <w:tcPr>
            <w:tcW w:w="887" w:type="pct"/>
            <w:tcBorders>
              <w:top w:val="nil"/>
              <w:left w:val="nil"/>
              <w:bottom w:val="single" w:sz="8" w:space="0" w:color="B3EFFD" w:themeColor="text2" w:themeTint="33"/>
              <w:right w:val="nil"/>
            </w:tcBorders>
            <w:vAlign w:val="center"/>
            <w:hideMark/>
          </w:tcPr>
          <w:p w14:paraId="7713174D"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 xml:space="preserve">Advanced Thermostat </w:t>
            </w:r>
          </w:p>
        </w:tc>
        <w:tc>
          <w:tcPr>
            <w:tcW w:w="501" w:type="pct"/>
            <w:tcBorders>
              <w:top w:val="nil"/>
              <w:left w:val="nil"/>
              <w:bottom w:val="single" w:sz="8" w:space="0" w:color="B3EFFD" w:themeColor="text2" w:themeTint="33"/>
              <w:right w:val="nil"/>
            </w:tcBorders>
            <w:vAlign w:val="center"/>
            <w:hideMark/>
          </w:tcPr>
          <w:p w14:paraId="3271EA59"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57382F2C"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Unit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217698D5" w14:textId="6033D936"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1,760</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5DD1E1CB" w14:textId="492471BB"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11.0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57D00E59"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63C351DC" w14:textId="2CCB6940"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125,585</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5728437B" w14:textId="7623A2EE"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125,664</w:t>
            </w:r>
          </w:p>
        </w:tc>
        <w:tc>
          <w:tcPr>
            <w:tcW w:w="369" w:type="pct"/>
            <w:tcBorders>
              <w:top w:val="nil"/>
              <w:left w:val="nil"/>
              <w:bottom w:val="single" w:sz="8" w:space="0" w:color="B3EFFD" w:themeColor="text2" w:themeTint="33"/>
              <w:right w:val="nil"/>
            </w:tcBorders>
            <w:vAlign w:val="center"/>
            <w:hideMark/>
          </w:tcPr>
          <w:p w14:paraId="3EB1A85D" w14:textId="2225F0C8"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118,526</w:t>
            </w:r>
          </w:p>
        </w:tc>
      </w:tr>
      <w:tr w:rsidR="0066270D" w:rsidRPr="00AE71F2" w14:paraId="4CC13B6A" w14:textId="77777777" w:rsidTr="11DBE3B8">
        <w:trPr>
          <w:trHeight w:val="308"/>
        </w:trPr>
        <w:tc>
          <w:tcPr>
            <w:tcW w:w="590" w:type="pct"/>
            <w:vMerge/>
            <w:vAlign w:val="center"/>
            <w:hideMark/>
          </w:tcPr>
          <w:p w14:paraId="297F8A2F"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p>
        </w:tc>
        <w:tc>
          <w:tcPr>
            <w:tcW w:w="887" w:type="pct"/>
            <w:tcBorders>
              <w:top w:val="nil"/>
              <w:left w:val="nil"/>
              <w:bottom w:val="single" w:sz="8" w:space="0" w:color="B3EFFD" w:themeColor="text2" w:themeTint="33"/>
              <w:right w:val="nil"/>
            </w:tcBorders>
            <w:vAlign w:val="center"/>
            <w:hideMark/>
          </w:tcPr>
          <w:p w14:paraId="1CE50125"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Air Sealing</w:t>
            </w:r>
          </w:p>
        </w:tc>
        <w:tc>
          <w:tcPr>
            <w:tcW w:w="501" w:type="pct"/>
            <w:tcBorders>
              <w:top w:val="nil"/>
              <w:left w:val="nil"/>
              <w:bottom w:val="single" w:sz="8" w:space="0" w:color="B3EFFD" w:themeColor="text2" w:themeTint="33"/>
              <w:right w:val="nil"/>
            </w:tcBorders>
            <w:vAlign w:val="center"/>
            <w:hideMark/>
          </w:tcPr>
          <w:p w14:paraId="1869BAA4"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2B29E305"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Project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00F70E90" w14:textId="34BFCBBC"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1,760</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20F65254" w14:textId="07868A9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20.0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24C113D8"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1E2314B5" w14:textId="4EB62EE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121,051</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42DE2DAC" w14:textId="0FF09C0E"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120,968</w:t>
            </w:r>
          </w:p>
        </w:tc>
        <w:tc>
          <w:tcPr>
            <w:tcW w:w="369" w:type="pct"/>
            <w:tcBorders>
              <w:top w:val="nil"/>
              <w:left w:val="nil"/>
              <w:bottom w:val="single" w:sz="8" w:space="0" w:color="B3EFFD" w:themeColor="text2" w:themeTint="33"/>
              <w:right w:val="nil"/>
            </w:tcBorders>
            <w:vAlign w:val="center"/>
            <w:hideMark/>
          </w:tcPr>
          <w:p w14:paraId="608AED5F" w14:textId="2B4030BD"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101,419</w:t>
            </w:r>
          </w:p>
        </w:tc>
      </w:tr>
      <w:tr w:rsidR="0066270D" w:rsidRPr="00AE71F2" w14:paraId="0AE11D72" w14:textId="77777777" w:rsidTr="11DBE3B8">
        <w:trPr>
          <w:trHeight w:val="308"/>
        </w:trPr>
        <w:tc>
          <w:tcPr>
            <w:tcW w:w="590" w:type="pct"/>
            <w:vMerge/>
            <w:vAlign w:val="center"/>
            <w:hideMark/>
          </w:tcPr>
          <w:p w14:paraId="2C112C8C"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p>
        </w:tc>
        <w:tc>
          <w:tcPr>
            <w:tcW w:w="887" w:type="pct"/>
            <w:tcBorders>
              <w:top w:val="nil"/>
              <w:left w:val="nil"/>
              <w:bottom w:val="single" w:sz="8" w:space="0" w:color="B3EFFD" w:themeColor="text2" w:themeTint="33"/>
              <w:right w:val="nil"/>
            </w:tcBorders>
            <w:vAlign w:val="center"/>
            <w:hideMark/>
          </w:tcPr>
          <w:p w14:paraId="29E6C4F0"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Duct Insulation and Sealing</w:t>
            </w:r>
          </w:p>
        </w:tc>
        <w:tc>
          <w:tcPr>
            <w:tcW w:w="501" w:type="pct"/>
            <w:tcBorders>
              <w:top w:val="nil"/>
              <w:left w:val="nil"/>
              <w:bottom w:val="single" w:sz="8" w:space="0" w:color="B3EFFD" w:themeColor="text2" w:themeTint="33"/>
              <w:right w:val="nil"/>
            </w:tcBorders>
            <w:vAlign w:val="center"/>
            <w:hideMark/>
          </w:tcPr>
          <w:p w14:paraId="151DE902"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37809F95"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Project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5C76F743" w14:textId="3BF1A90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1,760</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5AF8A0E7" w14:textId="797C6CE1"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20.0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0F419669"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62340179" w14:textId="3D588F5E"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99,434</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00297C2B" w14:textId="3242E20E"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93,274</w:t>
            </w:r>
          </w:p>
        </w:tc>
        <w:tc>
          <w:tcPr>
            <w:tcW w:w="369" w:type="pct"/>
            <w:tcBorders>
              <w:top w:val="nil"/>
              <w:left w:val="nil"/>
              <w:bottom w:val="single" w:sz="8" w:space="0" w:color="B3EFFD" w:themeColor="text2" w:themeTint="33"/>
              <w:right w:val="nil"/>
            </w:tcBorders>
            <w:vAlign w:val="center"/>
            <w:hideMark/>
          </w:tcPr>
          <w:p w14:paraId="528D1EBD" w14:textId="1B91A129"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78,201</w:t>
            </w:r>
          </w:p>
        </w:tc>
      </w:tr>
      <w:tr w:rsidR="0066270D" w:rsidRPr="00AE71F2" w14:paraId="07768727" w14:textId="77777777" w:rsidTr="11DBE3B8">
        <w:trPr>
          <w:trHeight w:val="544"/>
        </w:trPr>
        <w:tc>
          <w:tcPr>
            <w:tcW w:w="590" w:type="pct"/>
            <w:vMerge/>
            <w:vAlign w:val="center"/>
            <w:hideMark/>
          </w:tcPr>
          <w:p w14:paraId="793345AC"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p>
        </w:tc>
        <w:tc>
          <w:tcPr>
            <w:tcW w:w="887" w:type="pct"/>
            <w:tcBorders>
              <w:top w:val="nil"/>
              <w:left w:val="nil"/>
              <w:bottom w:val="single" w:sz="8" w:space="0" w:color="B3EFFD" w:themeColor="text2" w:themeTint="33"/>
              <w:right w:val="nil"/>
            </w:tcBorders>
            <w:vAlign w:val="center"/>
            <w:hideMark/>
          </w:tcPr>
          <w:p w14:paraId="3F04DE95"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Gas High Efficiency Furnace &gt;95% AFUE</w:t>
            </w:r>
          </w:p>
        </w:tc>
        <w:tc>
          <w:tcPr>
            <w:tcW w:w="501" w:type="pct"/>
            <w:tcBorders>
              <w:top w:val="nil"/>
              <w:left w:val="nil"/>
              <w:bottom w:val="single" w:sz="8" w:space="0" w:color="B3EFFD" w:themeColor="text2" w:themeTint="33"/>
              <w:right w:val="nil"/>
            </w:tcBorders>
            <w:vAlign w:val="center"/>
            <w:hideMark/>
          </w:tcPr>
          <w:p w14:paraId="38DBC0C9"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617FC3DF"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Unit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7D8A2E94" w14:textId="09A75C1A"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1,761</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3929EB89" w14:textId="314DDE8D"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20.0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183DC5B5"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14D6698D" w14:textId="531ADDDE"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237,725</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009C13ED" w14:textId="4DABA007"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237,592</w:t>
            </w:r>
          </w:p>
        </w:tc>
        <w:tc>
          <w:tcPr>
            <w:tcW w:w="369" w:type="pct"/>
            <w:tcBorders>
              <w:top w:val="nil"/>
              <w:left w:val="nil"/>
              <w:bottom w:val="single" w:sz="8" w:space="0" w:color="B3EFFD" w:themeColor="text2" w:themeTint="33"/>
              <w:right w:val="nil"/>
            </w:tcBorders>
            <w:vAlign w:val="center"/>
            <w:hideMark/>
          </w:tcPr>
          <w:p w14:paraId="7EB52C6E" w14:textId="10382EC2"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199,197</w:t>
            </w:r>
          </w:p>
        </w:tc>
      </w:tr>
      <w:tr w:rsidR="0066270D" w:rsidRPr="00AE71F2" w14:paraId="65F6CE7A" w14:textId="77777777" w:rsidTr="11DBE3B8">
        <w:trPr>
          <w:trHeight w:val="308"/>
        </w:trPr>
        <w:tc>
          <w:tcPr>
            <w:tcW w:w="590" w:type="pct"/>
            <w:vMerge/>
            <w:vAlign w:val="center"/>
            <w:hideMark/>
          </w:tcPr>
          <w:p w14:paraId="692BA6AD"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p>
        </w:tc>
        <w:tc>
          <w:tcPr>
            <w:tcW w:w="887" w:type="pct"/>
            <w:tcBorders>
              <w:top w:val="nil"/>
              <w:left w:val="nil"/>
              <w:bottom w:val="single" w:sz="8" w:space="0" w:color="B3EFFD" w:themeColor="text2" w:themeTint="33"/>
              <w:right w:val="nil"/>
            </w:tcBorders>
            <w:vAlign w:val="center"/>
            <w:hideMark/>
          </w:tcPr>
          <w:p w14:paraId="4AA62DF0"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On Demand Water Heater</w:t>
            </w:r>
          </w:p>
        </w:tc>
        <w:tc>
          <w:tcPr>
            <w:tcW w:w="501" w:type="pct"/>
            <w:tcBorders>
              <w:top w:val="nil"/>
              <w:left w:val="nil"/>
              <w:bottom w:val="single" w:sz="8" w:space="0" w:color="B3EFFD" w:themeColor="text2" w:themeTint="33"/>
              <w:right w:val="nil"/>
            </w:tcBorders>
            <w:vAlign w:val="center"/>
            <w:hideMark/>
          </w:tcPr>
          <w:p w14:paraId="643D2A06"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19822038"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Unit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301AB75F" w14:textId="37E42C5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789</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0BF985BE" w14:textId="6061E15B"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13.0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7E8C6F69"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6C9B017C" w14:textId="335AA52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61,268</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1194D315" w14:textId="7A1BD46D"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61,268</w:t>
            </w:r>
          </w:p>
        </w:tc>
        <w:tc>
          <w:tcPr>
            <w:tcW w:w="369" w:type="pct"/>
            <w:tcBorders>
              <w:top w:val="nil"/>
              <w:left w:val="nil"/>
              <w:bottom w:val="single" w:sz="8" w:space="0" w:color="B3EFFD" w:themeColor="text2" w:themeTint="33"/>
              <w:right w:val="nil"/>
            </w:tcBorders>
            <w:vAlign w:val="center"/>
            <w:hideMark/>
          </w:tcPr>
          <w:p w14:paraId="157288CD" w14:textId="65CC2ADB"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51,367</w:t>
            </w:r>
          </w:p>
        </w:tc>
      </w:tr>
      <w:tr w:rsidR="0066270D" w:rsidRPr="00AE71F2" w14:paraId="566DBE41" w14:textId="77777777" w:rsidTr="11DBE3B8">
        <w:trPr>
          <w:trHeight w:val="308"/>
        </w:trPr>
        <w:tc>
          <w:tcPr>
            <w:tcW w:w="590" w:type="pct"/>
            <w:vMerge/>
            <w:vAlign w:val="center"/>
            <w:hideMark/>
          </w:tcPr>
          <w:p w14:paraId="485C0C64"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p>
        </w:tc>
        <w:tc>
          <w:tcPr>
            <w:tcW w:w="887" w:type="pct"/>
            <w:tcBorders>
              <w:top w:val="nil"/>
              <w:left w:val="nil"/>
              <w:bottom w:val="single" w:sz="8" w:space="0" w:color="B3EFFD" w:themeColor="text2" w:themeTint="33"/>
              <w:right w:val="nil"/>
            </w:tcBorders>
            <w:vAlign w:val="center"/>
            <w:hideMark/>
          </w:tcPr>
          <w:p w14:paraId="0E542BA7"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Storage Water Heater</w:t>
            </w:r>
          </w:p>
        </w:tc>
        <w:tc>
          <w:tcPr>
            <w:tcW w:w="501" w:type="pct"/>
            <w:tcBorders>
              <w:top w:val="nil"/>
              <w:left w:val="nil"/>
              <w:bottom w:val="single" w:sz="8" w:space="0" w:color="B3EFFD" w:themeColor="text2" w:themeTint="33"/>
              <w:right w:val="nil"/>
            </w:tcBorders>
            <w:vAlign w:val="center"/>
            <w:hideMark/>
          </w:tcPr>
          <w:p w14:paraId="4E1B588B" w14:textId="77777777" w:rsidR="00AE71F2" w:rsidRPr="00AE71F2" w:rsidRDefault="00AE71F2" w:rsidP="00AE71F2">
            <w:pPr>
              <w:spacing w:after="0" w:line="240" w:lineRule="auto"/>
              <w:jc w:val="center"/>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FALSE</w:t>
            </w:r>
          </w:p>
        </w:tc>
        <w:tc>
          <w:tcPr>
            <w:tcW w:w="302" w:type="pct"/>
            <w:tcBorders>
              <w:top w:val="nil"/>
              <w:left w:val="nil"/>
              <w:bottom w:val="single" w:sz="8" w:space="0" w:color="B3EFFD" w:themeColor="text2" w:themeTint="33"/>
              <w:right w:val="nil"/>
            </w:tcBorders>
            <w:shd w:val="clear" w:color="auto" w:fill="FFFFFF" w:themeFill="background1"/>
            <w:noWrap/>
            <w:vAlign w:val="center"/>
            <w:hideMark/>
          </w:tcPr>
          <w:p w14:paraId="0A20B327" w14:textId="77777777" w:rsidR="00AE71F2" w:rsidRPr="00AE71F2" w:rsidRDefault="00AE71F2" w:rsidP="00AE71F2">
            <w:pPr>
              <w:spacing w:after="0" w:line="240" w:lineRule="auto"/>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Unit</w:t>
            </w:r>
          </w:p>
        </w:tc>
        <w:tc>
          <w:tcPr>
            <w:tcW w:w="446" w:type="pct"/>
            <w:tcBorders>
              <w:top w:val="nil"/>
              <w:left w:val="nil"/>
              <w:bottom w:val="single" w:sz="8" w:space="0" w:color="B3EFFD" w:themeColor="text2" w:themeTint="33"/>
              <w:right w:val="nil"/>
            </w:tcBorders>
            <w:shd w:val="clear" w:color="auto" w:fill="FFFFFF" w:themeFill="background1"/>
            <w:noWrap/>
            <w:vAlign w:val="center"/>
            <w:hideMark/>
          </w:tcPr>
          <w:p w14:paraId="23858CCD" w14:textId="45355C3F"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413</w:t>
            </w:r>
          </w:p>
        </w:tc>
        <w:tc>
          <w:tcPr>
            <w:tcW w:w="438" w:type="pct"/>
            <w:tcBorders>
              <w:top w:val="nil"/>
              <w:left w:val="nil"/>
              <w:bottom w:val="single" w:sz="8" w:space="0" w:color="B3EFFD" w:themeColor="text2" w:themeTint="33"/>
              <w:right w:val="nil"/>
            </w:tcBorders>
            <w:shd w:val="clear" w:color="auto" w:fill="FFFFFF" w:themeFill="background1"/>
            <w:noWrap/>
            <w:vAlign w:val="center"/>
            <w:hideMark/>
          </w:tcPr>
          <w:p w14:paraId="55775FB3" w14:textId="2081F595"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13.0</w:t>
            </w:r>
          </w:p>
        </w:tc>
        <w:tc>
          <w:tcPr>
            <w:tcW w:w="510" w:type="pct"/>
            <w:tcBorders>
              <w:top w:val="nil"/>
              <w:left w:val="nil"/>
              <w:bottom w:val="single" w:sz="8" w:space="0" w:color="B3EFFD" w:themeColor="text2" w:themeTint="33"/>
              <w:right w:val="nil"/>
            </w:tcBorders>
            <w:shd w:val="clear" w:color="auto" w:fill="FFFFFF" w:themeFill="background1"/>
            <w:noWrap/>
            <w:vAlign w:val="center"/>
            <w:hideMark/>
          </w:tcPr>
          <w:p w14:paraId="5F9F3DF4" w14:textId="77777777" w:rsidR="00AE71F2" w:rsidRPr="00AE71F2" w:rsidRDefault="00AE71F2" w:rsidP="00D76758">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NO</w:t>
            </w:r>
          </w:p>
        </w:tc>
        <w:tc>
          <w:tcPr>
            <w:tcW w:w="588" w:type="pct"/>
            <w:tcBorders>
              <w:top w:val="nil"/>
              <w:left w:val="nil"/>
              <w:bottom w:val="single" w:sz="8" w:space="0" w:color="B3EFFD" w:themeColor="text2" w:themeTint="33"/>
              <w:right w:val="nil"/>
            </w:tcBorders>
            <w:shd w:val="clear" w:color="auto" w:fill="FFFFFF" w:themeFill="background1"/>
            <w:noWrap/>
            <w:vAlign w:val="center"/>
            <w:hideMark/>
          </w:tcPr>
          <w:p w14:paraId="7B189101" w14:textId="6E44C34B"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12,901</w:t>
            </w:r>
          </w:p>
        </w:tc>
        <w:tc>
          <w:tcPr>
            <w:tcW w:w="369" w:type="pct"/>
            <w:tcBorders>
              <w:top w:val="nil"/>
              <w:left w:val="nil"/>
              <w:bottom w:val="single" w:sz="8" w:space="0" w:color="B3EFFD" w:themeColor="text2" w:themeTint="33"/>
              <w:right w:val="nil"/>
            </w:tcBorders>
            <w:shd w:val="clear" w:color="auto" w:fill="FFFFFF" w:themeFill="background1"/>
            <w:vAlign w:val="center"/>
            <w:hideMark/>
          </w:tcPr>
          <w:p w14:paraId="787FCB9F" w14:textId="41AF40EA"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12,</w:t>
            </w:r>
            <w:r w:rsidR="00147EE3">
              <w:rPr>
                <w:rFonts w:ascii="Aptos Narrow" w:eastAsia="Times New Roman" w:hAnsi="Aptos Narrow" w:cs="Calibri"/>
                <w:color w:val="000000"/>
                <w:sz w:val="20"/>
                <w:szCs w:val="20"/>
                <w:lang w:eastAsia="en-US"/>
              </w:rPr>
              <w:t>522</w:t>
            </w:r>
          </w:p>
        </w:tc>
        <w:tc>
          <w:tcPr>
            <w:tcW w:w="369" w:type="pct"/>
            <w:tcBorders>
              <w:top w:val="nil"/>
              <w:left w:val="nil"/>
              <w:bottom w:val="single" w:sz="8" w:space="0" w:color="B3EFFD" w:themeColor="text2" w:themeTint="33"/>
              <w:right w:val="nil"/>
            </w:tcBorders>
            <w:vAlign w:val="center"/>
            <w:hideMark/>
          </w:tcPr>
          <w:p w14:paraId="59B38121" w14:textId="2684E2C3" w:rsidR="00AE71F2" w:rsidRPr="00AE71F2" w:rsidRDefault="00AE71F2" w:rsidP="0066270D">
            <w:pPr>
              <w:spacing w:after="0" w:line="240" w:lineRule="auto"/>
              <w:jc w:val="right"/>
              <w:rPr>
                <w:rFonts w:ascii="Aptos Narrow" w:eastAsia="Times New Roman" w:hAnsi="Aptos Narrow" w:cs="Calibri"/>
                <w:color w:val="000000"/>
                <w:sz w:val="20"/>
                <w:szCs w:val="20"/>
                <w:lang w:eastAsia="en-US"/>
              </w:rPr>
            </w:pPr>
            <w:r w:rsidRPr="00AE71F2">
              <w:rPr>
                <w:rFonts w:ascii="Aptos Narrow" w:eastAsia="Times New Roman" w:hAnsi="Aptos Narrow" w:cs="Calibri"/>
                <w:color w:val="000000"/>
                <w:sz w:val="20"/>
                <w:szCs w:val="20"/>
                <w:lang w:eastAsia="en-US"/>
              </w:rPr>
              <w:t>10,</w:t>
            </w:r>
            <w:r w:rsidR="00147EE3">
              <w:rPr>
                <w:rFonts w:ascii="Aptos Narrow" w:eastAsia="Times New Roman" w:hAnsi="Aptos Narrow" w:cs="Calibri"/>
                <w:color w:val="000000"/>
                <w:sz w:val="20"/>
                <w:szCs w:val="20"/>
                <w:lang w:eastAsia="en-US"/>
              </w:rPr>
              <w:t>498</w:t>
            </w:r>
          </w:p>
        </w:tc>
      </w:tr>
      <w:tr w:rsidR="0066270D" w:rsidRPr="00AE71F2" w14:paraId="72760899" w14:textId="77777777" w:rsidTr="11DBE3B8">
        <w:trPr>
          <w:trHeight w:val="294"/>
        </w:trPr>
        <w:tc>
          <w:tcPr>
            <w:tcW w:w="1477" w:type="pct"/>
            <w:gridSpan w:val="2"/>
            <w:tcBorders>
              <w:top w:val="nil"/>
              <w:left w:val="nil"/>
              <w:bottom w:val="single" w:sz="8" w:space="0" w:color="036479"/>
              <w:right w:val="nil"/>
            </w:tcBorders>
            <w:noWrap/>
            <w:vAlign w:val="center"/>
            <w:hideMark/>
          </w:tcPr>
          <w:p w14:paraId="7468EC0E" w14:textId="2E682055" w:rsidR="0066270D" w:rsidRPr="00AE71F2" w:rsidRDefault="0066270D" w:rsidP="0066270D">
            <w:pPr>
              <w:spacing w:after="0" w:line="240" w:lineRule="auto"/>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Total</w:t>
            </w:r>
            <w:r>
              <w:rPr>
                <w:rFonts w:ascii="Aptos Narrow" w:eastAsia="Times New Roman" w:hAnsi="Aptos Narrow" w:cs="Calibri"/>
                <w:b/>
                <w:bCs/>
                <w:color w:val="000000"/>
                <w:sz w:val="20"/>
                <w:szCs w:val="20"/>
                <w:lang w:eastAsia="en-US"/>
              </w:rPr>
              <w:t xml:space="preserve"> </w:t>
            </w:r>
            <w:r w:rsidRPr="0066270D">
              <w:rPr>
                <w:rFonts w:ascii="Aptos Narrow" w:eastAsia="Times New Roman" w:hAnsi="Aptos Narrow" w:cs="Calibri"/>
                <w:b/>
                <w:bCs/>
                <w:color w:val="000000"/>
                <w:sz w:val="20"/>
                <w:szCs w:val="20"/>
                <w:lang w:eastAsia="en-US"/>
              </w:rPr>
              <w:t>or Weighted Average</w:t>
            </w:r>
            <w:r w:rsidRPr="00AE71F2">
              <w:rPr>
                <w:rFonts w:ascii="Aptos Narrow" w:eastAsia="Times New Roman" w:hAnsi="Aptos Narrow" w:cs="Calibri"/>
                <w:b/>
                <w:bCs/>
                <w:color w:val="000000"/>
                <w:sz w:val="20"/>
                <w:szCs w:val="20"/>
                <w:lang w:eastAsia="en-US"/>
              </w:rPr>
              <w:t> </w:t>
            </w:r>
          </w:p>
        </w:tc>
        <w:tc>
          <w:tcPr>
            <w:tcW w:w="501" w:type="pct"/>
            <w:tcBorders>
              <w:top w:val="nil"/>
              <w:left w:val="nil"/>
              <w:bottom w:val="single" w:sz="8" w:space="0" w:color="036479"/>
              <w:right w:val="nil"/>
            </w:tcBorders>
            <w:vAlign w:val="center"/>
            <w:hideMark/>
          </w:tcPr>
          <w:p w14:paraId="7834C1BB" w14:textId="77777777" w:rsidR="0066270D" w:rsidRPr="00AE71F2" w:rsidRDefault="0066270D" w:rsidP="00AE71F2">
            <w:pPr>
              <w:spacing w:after="0" w:line="240" w:lineRule="auto"/>
              <w:jc w:val="center"/>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 </w:t>
            </w:r>
          </w:p>
        </w:tc>
        <w:tc>
          <w:tcPr>
            <w:tcW w:w="302" w:type="pct"/>
            <w:tcBorders>
              <w:top w:val="nil"/>
              <w:left w:val="nil"/>
              <w:bottom w:val="single" w:sz="8" w:space="0" w:color="036479"/>
              <w:right w:val="nil"/>
            </w:tcBorders>
            <w:noWrap/>
            <w:vAlign w:val="center"/>
            <w:hideMark/>
          </w:tcPr>
          <w:p w14:paraId="1AF90B76" w14:textId="77777777" w:rsidR="0066270D" w:rsidRPr="00AE71F2" w:rsidRDefault="0066270D" w:rsidP="00AE71F2">
            <w:pPr>
              <w:spacing w:after="0" w:line="240" w:lineRule="auto"/>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 </w:t>
            </w:r>
          </w:p>
        </w:tc>
        <w:tc>
          <w:tcPr>
            <w:tcW w:w="446" w:type="pct"/>
            <w:tcBorders>
              <w:top w:val="nil"/>
              <w:left w:val="nil"/>
              <w:bottom w:val="single" w:sz="8" w:space="0" w:color="036479"/>
              <w:right w:val="nil"/>
            </w:tcBorders>
            <w:noWrap/>
            <w:vAlign w:val="center"/>
            <w:hideMark/>
          </w:tcPr>
          <w:p w14:paraId="5F397054" w14:textId="5CAA104C" w:rsidR="0066270D" w:rsidRPr="00AE71F2" w:rsidRDefault="0066270D" w:rsidP="0066270D">
            <w:pPr>
              <w:spacing w:after="0" w:line="240" w:lineRule="auto"/>
              <w:jc w:val="right"/>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8,243</w:t>
            </w:r>
          </w:p>
        </w:tc>
        <w:tc>
          <w:tcPr>
            <w:tcW w:w="438" w:type="pct"/>
            <w:tcBorders>
              <w:top w:val="nil"/>
              <w:left w:val="nil"/>
              <w:bottom w:val="single" w:sz="8" w:space="0" w:color="036479"/>
              <w:right w:val="nil"/>
            </w:tcBorders>
            <w:vAlign w:val="center"/>
            <w:hideMark/>
          </w:tcPr>
          <w:p w14:paraId="399724C7" w14:textId="2C9FED79" w:rsidR="0066270D" w:rsidRPr="00AE71F2" w:rsidRDefault="0066270D" w:rsidP="0066270D">
            <w:pPr>
              <w:spacing w:after="0" w:line="240" w:lineRule="auto"/>
              <w:jc w:val="right"/>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17.5</w:t>
            </w:r>
          </w:p>
        </w:tc>
        <w:tc>
          <w:tcPr>
            <w:tcW w:w="510" w:type="pct"/>
            <w:tcBorders>
              <w:top w:val="nil"/>
              <w:left w:val="nil"/>
              <w:bottom w:val="single" w:sz="8" w:space="0" w:color="036479"/>
              <w:right w:val="nil"/>
            </w:tcBorders>
            <w:vAlign w:val="center"/>
            <w:hideMark/>
          </w:tcPr>
          <w:p w14:paraId="766AAD19" w14:textId="114543B7" w:rsidR="0066270D" w:rsidRPr="00AE71F2" w:rsidRDefault="0066270D" w:rsidP="00D76758">
            <w:pPr>
              <w:spacing w:after="0" w:line="240" w:lineRule="auto"/>
              <w:jc w:val="right"/>
              <w:rPr>
                <w:rFonts w:ascii="Aptos Narrow" w:eastAsia="Times New Roman" w:hAnsi="Aptos Narrow" w:cs="Calibri"/>
                <w:b/>
                <w:bCs/>
                <w:color w:val="000000"/>
                <w:sz w:val="20"/>
                <w:szCs w:val="20"/>
                <w:lang w:eastAsia="en-US"/>
              </w:rPr>
            </w:pPr>
          </w:p>
        </w:tc>
        <w:tc>
          <w:tcPr>
            <w:tcW w:w="588" w:type="pct"/>
            <w:tcBorders>
              <w:top w:val="nil"/>
              <w:left w:val="nil"/>
              <w:bottom w:val="single" w:sz="8" w:space="0" w:color="036479"/>
              <w:right w:val="nil"/>
            </w:tcBorders>
            <w:vAlign w:val="center"/>
            <w:hideMark/>
          </w:tcPr>
          <w:p w14:paraId="757F8ADF" w14:textId="4F785699" w:rsidR="0066270D" w:rsidRPr="00AE71F2" w:rsidRDefault="0066270D" w:rsidP="0066270D">
            <w:pPr>
              <w:spacing w:after="0" w:line="240" w:lineRule="auto"/>
              <w:jc w:val="right"/>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657,964</w:t>
            </w:r>
          </w:p>
        </w:tc>
        <w:tc>
          <w:tcPr>
            <w:tcW w:w="369" w:type="pct"/>
            <w:tcBorders>
              <w:top w:val="nil"/>
              <w:left w:val="nil"/>
              <w:bottom w:val="single" w:sz="8" w:space="0" w:color="036479"/>
              <w:right w:val="nil"/>
            </w:tcBorders>
            <w:noWrap/>
            <w:vAlign w:val="center"/>
            <w:hideMark/>
          </w:tcPr>
          <w:p w14:paraId="38FF7157" w14:textId="4166DF97" w:rsidR="0066270D" w:rsidRPr="00AE71F2" w:rsidRDefault="0066270D" w:rsidP="0066270D">
            <w:pPr>
              <w:spacing w:after="0" w:line="240" w:lineRule="auto"/>
              <w:jc w:val="right"/>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651,</w:t>
            </w:r>
            <w:r w:rsidR="00147EE3">
              <w:rPr>
                <w:rFonts w:ascii="Aptos Narrow" w:eastAsia="Times New Roman" w:hAnsi="Aptos Narrow" w:cs="Calibri"/>
                <w:b/>
                <w:bCs/>
                <w:color w:val="000000"/>
                <w:sz w:val="20"/>
                <w:szCs w:val="20"/>
                <w:lang w:eastAsia="en-US"/>
              </w:rPr>
              <w:t>288</w:t>
            </w:r>
          </w:p>
        </w:tc>
        <w:tc>
          <w:tcPr>
            <w:tcW w:w="369" w:type="pct"/>
            <w:tcBorders>
              <w:top w:val="nil"/>
              <w:left w:val="nil"/>
              <w:bottom w:val="single" w:sz="8" w:space="0" w:color="036479"/>
              <w:right w:val="nil"/>
            </w:tcBorders>
            <w:noWrap/>
            <w:vAlign w:val="center"/>
            <w:hideMark/>
          </w:tcPr>
          <w:p w14:paraId="3AABF8D6" w14:textId="5AE4EC85" w:rsidR="0066270D" w:rsidRPr="00AE71F2" w:rsidRDefault="0066270D" w:rsidP="0066270D">
            <w:pPr>
              <w:spacing w:after="0" w:line="240" w:lineRule="auto"/>
              <w:jc w:val="right"/>
              <w:rPr>
                <w:rFonts w:ascii="Aptos Narrow" w:eastAsia="Times New Roman" w:hAnsi="Aptos Narrow" w:cs="Calibri"/>
                <w:b/>
                <w:bCs/>
                <w:color w:val="000000"/>
                <w:sz w:val="20"/>
                <w:szCs w:val="20"/>
                <w:lang w:eastAsia="en-US"/>
              </w:rPr>
            </w:pPr>
            <w:r w:rsidRPr="00AE71F2">
              <w:rPr>
                <w:rFonts w:ascii="Aptos Narrow" w:eastAsia="Times New Roman" w:hAnsi="Aptos Narrow" w:cs="Calibri"/>
                <w:b/>
                <w:bCs/>
                <w:color w:val="000000"/>
                <w:sz w:val="20"/>
                <w:szCs w:val="20"/>
                <w:lang w:eastAsia="en-US"/>
              </w:rPr>
              <w:t>559,</w:t>
            </w:r>
            <w:r w:rsidR="00147EE3">
              <w:rPr>
                <w:rFonts w:ascii="Aptos Narrow" w:eastAsia="Times New Roman" w:hAnsi="Aptos Narrow" w:cs="Calibri"/>
                <w:b/>
                <w:bCs/>
                <w:color w:val="000000"/>
                <w:sz w:val="20"/>
                <w:szCs w:val="20"/>
                <w:lang w:eastAsia="en-US"/>
              </w:rPr>
              <w:t>208</w:t>
            </w:r>
          </w:p>
        </w:tc>
      </w:tr>
    </w:tbl>
    <w:p w14:paraId="38940682" w14:textId="7E9DF971" w:rsidR="00AB1A05" w:rsidRPr="0066270D" w:rsidRDefault="00AB1A05" w:rsidP="00AB1A05">
      <w:pPr>
        <w:rPr>
          <w:i/>
          <w:color w:val="000000" w:themeColor="text1"/>
          <w:sz w:val="18"/>
          <w:szCs w:val="18"/>
        </w:rPr>
      </w:pPr>
      <w:r w:rsidRPr="0066270D">
        <w:rPr>
          <w:i/>
          <w:color w:val="000000" w:themeColor="text1"/>
          <w:sz w:val="18"/>
          <w:szCs w:val="18"/>
        </w:rPr>
        <w:t>Source: Evaluation team analysis.</w:t>
      </w:r>
    </w:p>
    <w:p w14:paraId="21CA8A7C" w14:textId="77777777" w:rsidR="00AB1A05" w:rsidRDefault="00AB1A05" w:rsidP="00AB1A05"/>
    <w:p w14:paraId="066A7307" w14:textId="77777777" w:rsidR="002E0934" w:rsidRPr="00F25675" w:rsidRDefault="002E0934" w:rsidP="00E67B85">
      <w:pPr>
        <w:rPr>
          <w:rFonts w:asciiTheme="majorHAnsi" w:hAnsiTheme="majorHAnsi"/>
        </w:rPr>
      </w:pPr>
    </w:p>
    <w:sectPr w:rsidR="002E0934" w:rsidRPr="00F25675" w:rsidSect="0066270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CF63" w14:textId="77777777" w:rsidR="00D07420" w:rsidRDefault="00D07420" w:rsidP="00BA291E">
      <w:pPr>
        <w:spacing w:after="0" w:line="240" w:lineRule="auto"/>
      </w:pPr>
      <w:r>
        <w:separator/>
      </w:r>
    </w:p>
  </w:endnote>
  <w:endnote w:type="continuationSeparator" w:id="0">
    <w:p w14:paraId="56888A40" w14:textId="77777777" w:rsidR="00D07420" w:rsidRDefault="00D07420" w:rsidP="00BA291E">
      <w:pPr>
        <w:spacing w:after="0" w:line="240" w:lineRule="auto"/>
      </w:pPr>
      <w:r>
        <w:continuationSeparator/>
      </w:r>
    </w:p>
  </w:endnote>
  <w:endnote w:type="continuationNotice" w:id="1">
    <w:p w14:paraId="7AC63A07" w14:textId="77777777" w:rsidR="00D07420" w:rsidRDefault="00D07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0C88DE73" w:rsidR="00E87E4D" w:rsidRPr="0075421C" w:rsidRDefault="00E87E4D" w:rsidP="00E87E4D">
          <w:pPr>
            <w:pStyle w:val="Footer"/>
            <w:rPr>
              <w:i/>
              <w:iCs/>
              <w:sz w:val="18"/>
            </w:rPr>
          </w:pPr>
          <w:r w:rsidRPr="00322EE7">
            <w:rPr>
              <w:i/>
              <w:iCs/>
              <w:sz w:val="18"/>
            </w:rPr>
            <w:t>© 202</w:t>
          </w:r>
          <w:r w:rsidR="00B34EF6">
            <w:rPr>
              <w:i/>
              <w:iCs/>
              <w:sz w:val="18"/>
            </w:rPr>
            <w:t>6</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E87E4D" w:rsidRPr="00582062" w14:paraId="43C36F29" w14:textId="77777777" w:rsidTr="00E564FE">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E564FE">
      <w:trPr>
        <w:trHeight w:val="195"/>
        <w:jc w:val="center"/>
      </w:trPr>
      <w:tc>
        <w:tcPr>
          <w:tcW w:w="3569" w:type="pct"/>
          <w:tcBorders>
            <w:top w:val="nil"/>
            <w:left w:val="nil"/>
            <w:bottom w:val="nil"/>
          </w:tcBorders>
          <w:vAlign w:val="center"/>
        </w:tcPr>
        <w:p w14:paraId="3B8C51CF" w14:textId="3A259711" w:rsidR="00E87E4D" w:rsidRPr="0075421C" w:rsidRDefault="00E87E4D" w:rsidP="00E37CD5">
          <w:pPr>
            <w:pStyle w:val="Footer"/>
            <w:rPr>
              <w:i/>
              <w:iCs/>
              <w:sz w:val="18"/>
            </w:rPr>
          </w:pPr>
          <w:r w:rsidRPr="00322EE7">
            <w:rPr>
              <w:i/>
              <w:iCs/>
              <w:sz w:val="18"/>
            </w:rPr>
            <w:t>© 202</w:t>
          </w:r>
          <w:r w:rsidR="0066270D">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6AC0" w14:textId="77777777" w:rsidR="00D07420" w:rsidRDefault="00D07420" w:rsidP="00BA291E">
      <w:pPr>
        <w:spacing w:after="0" w:line="240" w:lineRule="auto"/>
      </w:pPr>
      <w:r>
        <w:separator/>
      </w:r>
    </w:p>
  </w:footnote>
  <w:footnote w:type="continuationSeparator" w:id="0">
    <w:p w14:paraId="1A6C07D8" w14:textId="77777777" w:rsidR="00D07420" w:rsidRDefault="00D07420" w:rsidP="00BA291E">
      <w:pPr>
        <w:spacing w:after="0" w:line="240" w:lineRule="auto"/>
      </w:pPr>
      <w:r>
        <w:continuationSeparator/>
      </w:r>
    </w:p>
  </w:footnote>
  <w:footnote w:type="continuationNotice" w:id="1">
    <w:p w14:paraId="6520F56D" w14:textId="77777777" w:rsidR="00D07420" w:rsidRDefault="00D07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ED327C" w:rsidRPr="00F77D23" w14:paraId="17E1979B" w14:textId="77777777" w:rsidTr="00736C1F">
      <w:trPr>
        <w:jc w:val="center"/>
      </w:trPr>
      <w:tc>
        <w:tcPr>
          <w:tcW w:w="1429" w:type="pct"/>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66A555" w14:textId="302C5707" w:rsidR="00ED327C" w:rsidRPr="00F77D23" w:rsidRDefault="00374D28" w:rsidP="00ED327C">
          <w:pPr>
            <w:pStyle w:val="Header"/>
            <w:jc w:val="right"/>
            <w:rPr>
              <w:bCs/>
              <w:noProof/>
            </w:rPr>
          </w:pPr>
          <w:r>
            <w:rPr>
              <w:bCs/>
              <w:noProof/>
            </w:rPr>
            <w:t>Smart Nei</w:t>
          </w:r>
          <w:r w:rsidR="002F2469">
            <w:rPr>
              <w:bCs/>
              <w:noProof/>
            </w:rPr>
            <w:t>ghborhood Builder</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604416FD" w:rsidR="003513F6" w:rsidRPr="00F77D23" w:rsidRDefault="007312BE" w:rsidP="003513F6">
          <w:pPr>
            <w:pStyle w:val="Header"/>
            <w:jc w:val="right"/>
            <w:rPr>
              <w:bCs/>
              <w:noProof/>
            </w:rPr>
          </w:pPr>
          <w:r>
            <w:rPr>
              <w:bCs/>
              <w:noProof/>
            </w:rPr>
            <w:t>Smart Neighborhood Builder</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3704"/>
      <w:gridCol w:w="9256"/>
    </w:tblGrid>
    <w:tr w:rsidR="00766C44" w:rsidRPr="00F77D23" w14:paraId="69112D06" w14:textId="77777777" w:rsidTr="00E564FE">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4842EF2D" w:rsidR="00766C44" w:rsidRPr="00F77D23" w:rsidRDefault="00F2260F" w:rsidP="00766C44">
          <w:pPr>
            <w:pStyle w:val="Header"/>
            <w:jc w:val="right"/>
            <w:rPr>
              <w:bCs/>
              <w:noProof/>
            </w:rPr>
          </w:pPr>
          <w:r>
            <w:rPr>
              <w:bCs/>
              <w:noProof/>
            </w:rPr>
            <w:t>Smart Neighborhood Builder</w:t>
          </w:r>
          <w:r w:rsidRPr="00F77D23">
            <w:rPr>
              <w:bCs/>
              <w:noProof/>
            </w:rPr>
            <w:t xml:space="preserve"> </w:t>
          </w:r>
          <w:r w:rsidR="00766C44" w:rsidRPr="00F77D23">
            <w:rPr>
              <w:bCs/>
              <w:noProof/>
            </w:rPr>
            <w:t>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E2380E"/>
    <w:multiLevelType w:val="multilevel"/>
    <w:tmpl w:val="EDBC07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730F92"/>
    <w:multiLevelType w:val="multilevel"/>
    <w:tmpl w:val="2836257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34977"/>
    <w:multiLevelType w:val="multilevel"/>
    <w:tmpl w:val="466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7"/>
  </w:num>
  <w:num w:numId="6" w16cid:durableId="820192695">
    <w:abstractNumId w:val="4"/>
  </w:num>
  <w:num w:numId="7" w16cid:durableId="321852425">
    <w:abstractNumId w:val="19"/>
  </w:num>
  <w:num w:numId="8" w16cid:durableId="1755586189">
    <w:abstractNumId w:val="15"/>
  </w:num>
  <w:num w:numId="9" w16cid:durableId="1790969178">
    <w:abstractNumId w:val="26"/>
  </w:num>
  <w:num w:numId="10" w16cid:durableId="1320888804">
    <w:abstractNumId w:val="5"/>
  </w:num>
  <w:num w:numId="11" w16cid:durableId="990789570">
    <w:abstractNumId w:val="11"/>
  </w:num>
  <w:num w:numId="12" w16cid:durableId="499661504">
    <w:abstractNumId w:val="8"/>
  </w:num>
  <w:num w:numId="13" w16cid:durableId="1680110921">
    <w:abstractNumId w:val="24"/>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175389393">
    <w:abstractNumId w:val="13"/>
  </w:num>
  <w:num w:numId="27" w16cid:durableId="631861462">
    <w:abstractNumId w:val="23"/>
  </w:num>
  <w:num w:numId="28" w16cid:durableId="19617659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3F68"/>
    <w:rsid w:val="0000541C"/>
    <w:rsid w:val="000065E9"/>
    <w:rsid w:val="000069F8"/>
    <w:rsid w:val="0000716F"/>
    <w:rsid w:val="00007F6D"/>
    <w:rsid w:val="00014157"/>
    <w:rsid w:val="00024074"/>
    <w:rsid w:val="00026085"/>
    <w:rsid w:val="00030A7F"/>
    <w:rsid w:val="00031ADA"/>
    <w:rsid w:val="00035A6D"/>
    <w:rsid w:val="00035E28"/>
    <w:rsid w:val="0004024E"/>
    <w:rsid w:val="000405FB"/>
    <w:rsid w:val="00041D42"/>
    <w:rsid w:val="000435DE"/>
    <w:rsid w:val="00043784"/>
    <w:rsid w:val="0004564E"/>
    <w:rsid w:val="00046F8F"/>
    <w:rsid w:val="00047CA5"/>
    <w:rsid w:val="0005231D"/>
    <w:rsid w:val="00056516"/>
    <w:rsid w:val="000618E9"/>
    <w:rsid w:val="00063D7F"/>
    <w:rsid w:val="000659BD"/>
    <w:rsid w:val="0006799E"/>
    <w:rsid w:val="00067F3B"/>
    <w:rsid w:val="000731D2"/>
    <w:rsid w:val="00075011"/>
    <w:rsid w:val="00075E44"/>
    <w:rsid w:val="00077D70"/>
    <w:rsid w:val="000809B4"/>
    <w:rsid w:val="00082BE3"/>
    <w:rsid w:val="00082C83"/>
    <w:rsid w:val="00082D79"/>
    <w:rsid w:val="000840A6"/>
    <w:rsid w:val="000840E9"/>
    <w:rsid w:val="00084201"/>
    <w:rsid w:val="00085EB7"/>
    <w:rsid w:val="000910B4"/>
    <w:rsid w:val="000929A7"/>
    <w:rsid w:val="00094EB4"/>
    <w:rsid w:val="00097D48"/>
    <w:rsid w:val="000A25F2"/>
    <w:rsid w:val="000B05FD"/>
    <w:rsid w:val="000B09F4"/>
    <w:rsid w:val="000B2FD6"/>
    <w:rsid w:val="000B5663"/>
    <w:rsid w:val="000B58F0"/>
    <w:rsid w:val="000B769C"/>
    <w:rsid w:val="000B7F56"/>
    <w:rsid w:val="000C2113"/>
    <w:rsid w:val="000C2DDD"/>
    <w:rsid w:val="000D1BB9"/>
    <w:rsid w:val="000D1CD4"/>
    <w:rsid w:val="000D3FEE"/>
    <w:rsid w:val="000D42A3"/>
    <w:rsid w:val="000D6E3F"/>
    <w:rsid w:val="000E2027"/>
    <w:rsid w:val="000E34E4"/>
    <w:rsid w:val="000E5B7D"/>
    <w:rsid w:val="000E7BE5"/>
    <w:rsid w:val="000F1A6D"/>
    <w:rsid w:val="000F2C17"/>
    <w:rsid w:val="000F2FB2"/>
    <w:rsid w:val="000F3F92"/>
    <w:rsid w:val="000F414D"/>
    <w:rsid w:val="000F6436"/>
    <w:rsid w:val="00100A7B"/>
    <w:rsid w:val="001023FE"/>
    <w:rsid w:val="0010260D"/>
    <w:rsid w:val="00103FE5"/>
    <w:rsid w:val="0010493E"/>
    <w:rsid w:val="00105562"/>
    <w:rsid w:val="00106345"/>
    <w:rsid w:val="0010790C"/>
    <w:rsid w:val="00114E0B"/>
    <w:rsid w:val="0011574B"/>
    <w:rsid w:val="0012137E"/>
    <w:rsid w:val="001233F3"/>
    <w:rsid w:val="001255E0"/>
    <w:rsid w:val="00127C01"/>
    <w:rsid w:val="00131B5C"/>
    <w:rsid w:val="00132B4C"/>
    <w:rsid w:val="001336E1"/>
    <w:rsid w:val="00134727"/>
    <w:rsid w:val="001347DC"/>
    <w:rsid w:val="00137EE3"/>
    <w:rsid w:val="0014213A"/>
    <w:rsid w:val="001425B9"/>
    <w:rsid w:val="001426F4"/>
    <w:rsid w:val="001432B5"/>
    <w:rsid w:val="00147EE3"/>
    <w:rsid w:val="0015129A"/>
    <w:rsid w:val="001517DB"/>
    <w:rsid w:val="001524FD"/>
    <w:rsid w:val="001528C9"/>
    <w:rsid w:val="00152FFD"/>
    <w:rsid w:val="00155585"/>
    <w:rsid w:val="001557FD"/>
    <w:rsid w:val="001558F4"/>
    <w:rsid w:val="00155F0D"/>
    <w:rsid w:val="001627E9"/>
    <w:rsid w:val="001641E0"/>
    <w:rsid w:val="00164B0A"/>
    <w:rsid w:val="001667E1"/>
    <w:rsid w:val="00166FF3"/>
    <w:rsid w:val="0017004C"/>
    <w:rsid w:val="00170EFD"/>
    <w:rsid w:val="00171347"/>
    <w:rsid w:val="00172E56"/>
    <w:rsid w:val="00173A14"/>
    <w:rsid w:val="00175811"/>
    <w:rsid w:val="0017648D"/>
    <w:rsid w:val="0017702A"/>
    <w:rsid w:val="00180B4F"/>
    <w:rsid w:val="00180CBC"/>
    <w:rsid w:val="00182913"/>
    <w:rsid w:val="00183C10"/>
    <w:rsid w:val="00186A07"/>
    <w:rsid w:val="00187113"/>
    <w:rsid w:val="00190360"/>
    <w:rsid w:val="00190525"/>
    <w:rsid w:val="00190A1D"/>
    <w:rsid w:val="001959EC"/>
    <w:rsid w:val="001A2F61"/>
    <w:rsid w:val="001A410E"/>
    <w:rsid w:val="001A789B"/>
    <w:rsid w:val="001B064A"/>
    <w:rsid w:val="001B1FAB"/>
    <w:rsid w:val="001B2AA0"/>
    <w:rsid w:val="001B330A"/>
    <w:rsid w:val="001B3CD6"/>
    <w:rsid w:val="001B3E46"/>
    <w:rsid w:val="001B4D75"/>
    <w:rsid w:val="001C0B5B"/>
    <w:rsid w:val="001C2615"/>
    <w:rsid w:val="001C6828"/>
    <w:rsid w:val="001D0625"/>
    <w:rsid w:val="001D3568"/>
    <w:rsid w:val="001D417F"/>
    <w:rsid w:val="001D5B79"/>
    <w:rsid w:val="001D678A"/>
    <w:rsid w:val="001D73ED"/>
    <w:rsid w:val="001F1E9D"/>
    <w:rsid w:val="001F48F6"/>
    <w:rsid w:val="001F57BF"/>
    <w:rsid w:val="002014FE"/>
    <w:rsid w:val="0020316A"/>
    <w:rsid w:val="002032B9"/>
    <w:rsid w:val="00207A76"/>
    <w:rsid w:val="00212FF8"/>
    <w:rsid w:val="00214B0E"/>
    <w:rsid w:val="002175ED"/>
    <w:rsid w:val="0022080F"/>
    <w:rsid w:val="00223DAD"/>
    <w:rsid w:val="00224014"/>
    <w:rsid w:val="00224E60"/>
    <w:rsid w:val="002257C3"/>
    <w:rsid w:val="00226480"/>
    <w:rsid w:val="0023285E"/>
    <w:rsid w:val="00240313"/>
    <w:rsid w:val="00244FCB"/>
    <w:rsid w:val="002459B2"/>
    <w:rsid w:val="00246BB6"/>
    <w:rsid w:val="00247029"/>
    <w:rsid w:val="0025251C"/>
    <w:rsid w:val="00253550"/>
    <w:rsid w:val="002548CB"/>
    <w:rsid w:val="00260814"/>
    <w:rsid w:val="0026136E"/>
    <w:rsid w:val="0026156B"/>
    <w:rsid w:val="00262B49"/>
    <w:rsid w:val="0027053B"/>
    <w:rsid w:val="00274E02"/>
    <w:rsid w:val="00275B65"/>
    <w:rsid w:val="00277C89"/>
    <w:rsid w:val="00282A90"/>
    <w:rsid w:val="00285982"/>
    <w:rsid w:val="00286C3E"/>
    <w:rsid w:val="002931EE"/>
    <w:rsid w:val="002932E7"/>
    <w:rsid w:val="002947C5"/>
    <w:rsid w:val="00295224"/>
    <w:rsid w:val="002958C0"/>
    <w:rsid w:val="00297318"/>
    <w:rsid w:val="002A03B1"/>
    <w:rsid w:val="002A09AA"/>
    <w:rsid w:val="002A0EF2"/>
    <w:rsid w:val="002A1347"/>
    <w:rsid w:val="002A2809"/>
    <w:rsid w:val="002A2CB2"/>
    <w:rsid w:val="002A2D14"/>
    <w:rsid w:val="002A322D"/>
    <w:rsid w:val="002A3D62"/>
    <w:rsid w:val="002A5022"/>
    <w:rsid w:val="002A64B1"/>
    <w:rsid w:val="002A7C59"/>
    <w:rsid w:val="002A7F68"/>
    <w:rsid w:val="002B02C6"/>
    <w:rsid w:val="002B0F08"/>
    <w:rsid w:val="002B22C2"/>
    <w:rsid w:val="002B33CD"/>
    <w:rsid w:val="002B3553"/>
    <w:rsid w:val="002B4490"/>
    <w:rsid w:val="002B4D4C"/>
    <w:rsid w:val="002B56A6"/>
    <w:rsid w:val="002B58DC"/>
    <w:rsid w:val="002B6676"/>
    <w:rsid w:val="002B6957"/>
    <w:rsid w:val="002B6C12"/>
    <w:rsid w:val="002B7FF2"/>
    <w:rsid w:val="002C0F42"/>
    <w:rsid w:val="002C1337"/>
    <w:rsid w:val="002C27D4"/>
    <w:rsid w:val="002C41DE"/>
    <w:rsid w:val="002C4AED"/>
    <w:rsid w:val="002C4FA9"/>
    <w:rsid w:val="002C6B85"/>
    <w:rsid w:val="002C7B63"/>
    <w:rsid w:val="002D1F42"/>
    <w:rsid w:val="002D6318"/>
    <w:rsid w:val="002D6DAE"/>
    <w:rsid w:val="002D71C1"/>
    <w:rsid w:val="002E0934"/>
    <w:rsid w:val="002E09ED"/>
    <w:rsid w:val="002E1BAD"/>
    <w:rsid w:val="002E3A68"/>
    <w:rsid w:val="002E506A"/>
    <w:rsid w:val="002E7592"/>
    <w:rsid w:val="002F0B52"/>
    <w:rsid w:val="002F1E4F"/>
    <w:rsid w:val="002F2469"/>
    <w:rsid w:val="002F2C0B"/>
    <w:rsid w:val="002F2E0E"/>
    <w:rsid w:val="002F4374"/>
    <w:rsid w:val="002F681D"/>
    <w:rsid w:val="002F72F4"/>
    <w:rsid w:val="002F798B"/>
    <w:rsid w:val="0030024F"/>
    <w:rsid w:val="0030106D"/>
    <w:rsid w:val="00305BE7"/>
    <w:rsid w:val="00306745"/>
    <w:rsid w:val="00307D3B"/>
    <w:rsid w:val="00314BD0"/>
    <w:rsid w:val="00315710"/>
    <w:rsid w:val="00325545"/>
    <w:rsid w:val="00325778"/>
    <w:rsid w:val="00331F42"/>
    <w:rsid w:val="00332C59"/>
    <w:rsid w:val="003346D5"/>
    <w:rsid w:val="003437F8"/>
    <w:rsid w:val="00346931"/>
    <w:rsid w:val="00350EA5"/>
    <w:rsid w:val="003513F6"/>
    <w:rsid w:val="00351DB2"/>
    <w:rsid w:val="00352065"/>
    <w:rsid w:val="00354990"/>
    <w:rsid w:val="00357FDA"/>
    <w:rsid w:val="00361D58"/>
    <w:rsid w:val="00362DEB"/>
    <w:rsid w:val="00365B9E"/>
    <w:rsid w:val="0036759E"/>
    <w:rsid w:val="0036767A"/>
    <w:rsid w:val="00370486"/>
    <w:rsid w:val="00371ACB"/>
    <w:rsid w:val="00374D28"/>
    <w:rsid w:val="00375565"/>
    <w:rsid w:val="00377677"/>
    <w:rsid w:val="00377E6A"/>
    <w:rsid w:val="003806A2"/>
    <w:rsid w:val="00383929"/>
    <w:rsid w:val="00385819"/>
    <w:rsid w:val="00395DFF"/>
    <w:rsid w:val="00396325"/>
    <w:rsid w:val="00396F1D"/>
    <w:rsid w:val="003A0007"/>
    <w:rsid w:val="003A2344"/>
    <w:rsid w:val="003A6378"/>
    <w:rsid w:val="003B15BB"/>
    <w:rsid w:val="003B1A9A"/>
    <w:rsid w:val="003B1C89"/>
    <w:rsid w:val="003C08A1"/>
    <w:rsid w:val="003C1D50"/>
    <w:rsid w:val="003C275C"/>
    <w:rsid w:val="003C42BF"/>
    <w:rsid w:val="003C5A92"/>
    <w:rsid w:val="003C6373"/>
    <w:rsid w:val="003D2227"/>
    <w:rsid w:val="003E1FC5"/>
    <w:rsid w:val="003E28BD"/>
    <w:rsid w:val="003E69F9"/>
    <w:rsid w:val="003F011C"/>
    <w:rsid w:val="003F0FCB"/>
    <w:rsid w:val="003F3C35"/>
    <w:rsid w:val="003F663D"/>
    <w:rsid w:val="003F6D84"/>
    <w:rsid w:val="003F708F"/>
    <w:rsid w:val="003F7BA8"/>
    <w:rsid w:val="003F7F2C"/>
    <w:rsid w:val="00404647"/>
    <w:rsid w:val="00410C3F"/>
    <w:rsid w:val="00411278"/>
    <w:rsid w:val="0041558E"/>
    <w:rsid w:val="00421317"/>
    <w:rsid w:val="004218EE"/>
    <w:rsid w:val="004273D6"/>
    <w:rsid w:val="00431CBB"/>
    <w:rsid w:val="00433160"/>
    <w:rsid w:val="00433DA8"/>
    <w:rsid w:val="0043581E"/>
    <w:rsid w:val="00436EC0"/>
    <w:rsid w:val="00437A94"/>
    <w:rsid w:val="00441297"/>
    <w:rsid w:val="004458D3"/>
    <w:rsid w:val="00445FD8"/>
    <w:rsid w:val="00447D25"/>
    <w:rsid w:val="00451D46"/>
    <w:rsid w:val="00452E5B"/>
    <w:rsid w:val="00456F79"/>
    <w:rsid w:val="00457D06"/>
    <w:rsid w:val="00461F4A"/>
    <w:rsid w:val="00465217"/>
    <w:rsid w:val="0046698B"/>
    <w:rsid w:val="004708A4"/>
    <w:rsid w:val="004729E5"/>
    <w:rsid w:val="00473318"/>
    <w:rsid w:val="004760AA"/>
    <w:rsid w:val="00476898"/>
    <w:rsid w:val="0048166A"/>
    <w:rsid w:val="00491462"/>
    <w:rsid w:val="004919ED"/>
    <w:rsid w:val="004949AD"/>
    <w:rsid w:val="00495C5D"/>
    <w:rsid w:val="004970AD"/>
    <w:rsid w:val="004A214B"/>
    <w:rsid w:val="004A3178"/>
    <w:rsid w:val="004A49A7"/>
    <w:rsid w:val="004A599B"/>
    <w:rsid w:val="004B12D0"/>
    <w:rsid w:val="004B1768"/>
    <w:rsid w:val="004B202E"/>
    <w:rsid w:val="004B2A95"/>
    <w:rsid w:val="004B3A27"/>
    <w:rsid w:val="004B639D"/>
    <w:rsid w:val="004B6740"/>
    <w:rsid w:val="004C00C8"/>
    <w:rsid w:val="004C1B61"/>
    <w:rsid w:val="004C3211"/>
    <w:rsid w:val="004C70A6"/>
    <w:rsid w:val="004C7F09"/>
    <w:rsid w:val="004D1C8E"/>
    <w:rsid w:val="004D4D93"/>
    <w:rsid w:val="004D6FDD"/>
    <w:rsid w:val="004D7096"/>
    <w:rsid w:val="004E2020"/>
    <w:rsid w:val="004E40D2"/>
    <w:rsid w:val="004E7A95"/>
    <w:rsid w:val="004F33D1"/>
    <w:rsid w:val="004F4A03"/>
    <w:rsid w:val="004F6A75"/>
    <w:rsid w:val="004F73BA"/>
    <w:rsid w:val="004F7C72"/>
    <w:rsid w:val="0050159C"/>
    <w:rsid w:val="0050275B"/>
    <w:rsid w:val="005031B4"/>
    <w:rsid w:val="0050449A"/>
    <w:rsid w:val="0050484C"/>
    <w:rsid w:val="0050501C"/>
    <w:rsid w:val="00505C86"/>
    <w:rsid w:val="005067FC"/>
    <w:rsid w:val="00507EC7"/>
    <w:rsid w:val="0051045D"/>
    <w:rsid w:val="005116B7"/>
    <w:rsid w:val="0051186F"/>
    <w:rsid w:val="00511F1C"/>
    <w:rsid w:val="00512DC7"/>
    <w:rsid w:val="005133EB"/>
    <w:rsid w:val="00513CDF"/>
    <w:rsid w:val="00514E5B"/>
    <w:rsid w:val="005166CF"/>
    <w:rsid w:val="00517193"/>
    <w:rsid w:val="005201F2"/>
    <w:rsid w:val="005208DE"/>
    <w:rsid w:val="00526378"/>
    <w:rsid w:val="00531013"/>
    <w:rsid w:val="00531296"/>
    <w:rsid w:val="005318CF"/>
    <w:rsid w:val="00532AC4"/>
    <w:rsid w:val="00532EA1"/>
    <w:rsid w:val="00534CC8"/>
    <w:rsid w:val="00534DE9"/>
    <w:rsid w:val="005369A5"/>
    <w:rsid w:val="0053773E"/>
    <w:rsid w:val="005407FE"/>
    <w:rsid w:val="0054320E"/>
    <w:rsid w:val="005476D0"/>
    <w:rsid w:val="00547A36"/>
    <w:rsid w:val="00550311"/>
    <w:rsid w:val="0055163E"/>
    <w:rsid w:val="00551C6C"/>
    <w:rsid w:val="00553E7D"/>
    <w:rsid w:val="00554AD2"/>
    <w:rsid w:val="00556724"/>
    <w:rsid w:val="00556902"/>
    <w:rsid w:val="005576DE"/>
    <w:rsid w:val="00557EC8"/>
    <w:rsid w:val="005608D5"/>
    <w:rsid w:val="0056157D"/>
    <w:rsid w:val="00562AD4"/>
    <w:rsid w:val="0056335A"/>
    <w:rsid w:val="00564AAD"/>
    <w:rsid w:val="005714EB"/>
    <w:rsid w:val="00573046"/>
    <w:rsid w:val="00573576"/>
    <w:rsid w:val="0057358E"/>
    <w:rsid w:val="0057415B"/>
    <w:rsid w:val="00574AC0"/>
    <w:rsid w:val="005764CB"/>
    <w:rsid w:val="00585A33"/>
    <w:rsid w:val="00585E81"/>
    <w:rsid w:val="00586F52"/>
    <w:rsid w:val="005874F3"/>
    <w:rsid w:val="00591201"/>
    <w:rsid w:val="005929F2"/>
    <w:rsid w:val="0059354C"/>
    <w:rsid w:val="005959A0"/>
    <w:rsid w:val="005A23A4"/>
    <w:rsid w:val="005A27B7"/>
    <w:rsid w:val="005A50AE"/>
    <w:rsid w:val="005A7C72"/>
    <w:rsid w:val="005B29BB"/>
    <w:rsid w:val="005B5419"/>
    <w:rsid w:val="005B6988"/>
    <w:rsid w:val="005B7CF3"/>
    <w:rsid w:val="005C2C95"/>
    <w:rsid w:val="005C3FF7"/>
    <w:rsid w:val="005C5499"/>
    <w:rsid w:val="005C5C1C"/>
    <w:rsid w:val="005C6B82"/>
    <w:rsid w:val="005C6F86"/>
    <w:rsid w:val="005D04B5"/>
    <w:rsid w:val="005D093C"/>
    <w:rsid w:val="005D2AAC"/>
    <w:rsid w:val="005D5132"/>
    <w:rsid w:val="005D78F3"/>
    <w:rsid w:val="005E1080"/>
    <w:rsid w:val="005E2EA5"/>
    <w:rsid w:val="005E7DC6"/>
    <w:rsid w:val="005F54C3"/>
    <w:rsid w:val="005F5E7C"/>
    <w:rsid w:val="005F6E72"/>
    <w:rsid w:val="00600259"/>
    <w:rsid w:val="00604376"/>
    <w:rsid w:val="00606ADA"/>
    <w:rsid w:val="00610964"/>
    <w:rsid w:val="0061126F"/>
    <w:rsid w:val="0061245E"/>
    <w:rsid w:val="0061402C"/>
    <w:rsid w:val="0061674A"/>
    <w:rsid w:val="00617DE1"/>
    <w:rsid w:val="006200ED"/>
    <w:rsid w:val="00621D01"/>
    <w:rsid w:val="00622418"/>
    <w:rsid w:val="00622A9B"/>
    <w:rsid w:val="0062434E"/>
    <w:rsid w:val="006251D7"/>
    <w:rsid w:val="0062614D"/>
    <w:rsid w:val="00631500"/>
    <w:rsid w:val="006349C6"/>
    <w:rsid w:val="00644C62"/>
    <w:rsid w:val="0064645F"/>
    <w:rsid w:val="00646E1A"/>
    <w:rsid w:val="00652035"/>
    <w:rsid w:val="006528C9"/>
    <w:rsid w:val="00654B42"/>
    <w:rsid w:val="0065600F"/>
    <w:rsid w:val="00656D84"/>
    <w:rsid w:val="006572C2"/>
    <w:rsid w:val="0066270D"/>
    <w:rsid w:val="0066630F"/>
    <w:rsid w:val="006715B5"/>
    <w:rsid w:val="006834B9"/>
    <w:rsid w:val="00683EF4"/>
    <w:rsid w:val="006903EF"/>
    <w:rsid w:val="00690654"/>
    <w:rsid w:val="00691181"/>
    <w:rsid w:val="006945F5"/>
    <w:rsid w:val="006958B5"/>
    <w:rsid w:val="006966F5"/>
    <w:rsid w:val="006A2C5F"/>
    <w:rsid w:val="006A3771"/>
    <w:rsid w:val="006A4C3B"/>
    <w:rsid w:val="006A55A8"/>
    <w:rsid w:val="006B23F0"/>
    <w:rsid w:val="006B2BFC"/>
    <w:rsid w:val="006B3064"/>
    <w:rsid w:val="006C625B"/>
    <w:rsid w:val="006C793B"/>
    <w:rsid w:val="006D161F"/>
    <w:rsid w:val="006D2E0F"/>
    <w:rsid w:val="006D4955"/>
    <w:rsid w:val="006D6596"/>
    <w:rsid w:val="006D660F"/>
    <w:rsid w:val="006D75EA"/>
    <w:rsid w:val="006E0689"/>
    <w:rsid w:val="006E57AE"/>
    <w:rsid w:val="006E68A7"/>
    <w:rsid w:val="006E6D08"/>
    <w:rsid w:val="006F18EE"/>
    <w:rsid w:val="006F2404"/>
    <w:rsid w:val="006F3053"/>
    <w:rsid w:val="006F3DCA"/>
    <w:rsid w:val="006F7CB5"/>
    <w:rsid w:val="00700212"/>
    <w:rsid w:val="00701793"/>
    <w:rsid w:val="007019DD"/>
    <w:rsid w:val="0070473F"/>
    <w:rsid w:val="007066A0"/>
    <w:rsid w:val="00707236"/>
    <w:rsid w:val="0070739A"/>
    <w:rsid w:val="007139E3"/>
    <w:rsid w:val="0071603A"/>
    <w:rsid w:val="00716E94"/>
    <w:rsid w:val="007173D3"/>
    <w:rsid w:val="00725E10"/>
    <w:rsid w:val="007279EB"/>
    <w:rsid w:val="007312BE"/>
    <w:rsid w:val="00731481"/>
    <w:rsid w:val="007324BC"/>
    <w:rsid w:val="0073266A"/>
    <w:rsid w:val="00736C1F"/>
    <w:rsid w:val="00737007"/>
    <w:rsid w:val="007426A8"/>
    <w:rsid w:val="00747F6F"/>
    <w:rsid w:val="007517A7"/>
    <w:rsid w:val="00751AB4"/>
    <w:rsid w:val="007525AF"/>
    <w:rsid w:val="00752D81"/>
    <w:rsid w:val="007531F7"/>
    <w:rsid w:val="007532C9"/>
    <w:rsid w:val="00756D34"/>
    <w:rsid w:val="0075744E"/>
    <w:rsid w:val="00757D5F"/>
    <w:rsid w:val="00757E17"/>
    <w:rsid w:val="00762586"/>
    <w:rsid w:val="00763E64"/>
    <w:rsid w:val="007664E8"/>
    <w:rsid w:val="00766C44"/>
    <w:rsid w:val="00775890"/>
    <w:rsid w:val="00775D65"/>
    <w:rsid w:val="007777E1"/>
    <w:rsid w:val="0078336D"/>
    <w:rsid w:val="00784099"/>
    <w:rsid w:val="007841B6"/>
    <w:rsid w:val="0078446F"/>
    <w:rsid w:val="00785B2F"/>
    <w:rsid w:val="00787B77"/>
    <w:rsid w:val="00790B2B"/>
    <w:rsid w:val="00790ED2"/>
    <w:rsid w:val="007945C8"/>
    <w:rsid w:val="00797C6E"/>
    <w:rsid w:val="007A2515"/>
    <w:rsid w:val="007A5193"/>
    <w:rsid w:val="007A5CEF"/>
    <w:rsid w:val="007B3222"/>
    <w:rsid w:val="007B5A25"/>
    <w:rsid w:val="007B6D39"/>
    <w:rsid w:val="007C07B8"/>
    <w:rsid w:val="007C08B1"/>
    <w:rsid w:val="007C1276"/>
    <w:rsid w:val="007C2FF8"/>
    <w:rsid w:val="007C32B5"/>
    <w:rsid w:val="007C558C"/>
    <w:rsid w:val="007C665F"/>
    <w:rsid w:val="007C6A37"/>
    <w:rsid w:val="007D045A"/>
    <w:rsid w:val="007D1E07"/>
    <w:rsid w:val="007D3CC8"/>
    <w:rsid w:val="007E4FBB"/>
    <w:rsid w:val="007E62CB"/>
    <w:rsid w:val="007E6453"/>
    <w:rsid w:val="007F05FC"/>
    <w:rsid w:val="007F103A"/>
    <w:rsid w:val="007F1805"/>
    <w:rsid w:val="007F31CB"/>
    <w:rsid w:val="007F3F1E"/>
    <w:rsid w:val="007F3FB5"/>
    <w:rsid w:val="007F4FB5"/>
    <w:rsid w:val="007F6633"/>
    <w:rsid w:val="007F7EC8"/>
    <w:rsid w:val="008017A1"/>
    <w:rsid w:val="008017C3"/>
    <w:rsid w:val="0080186C"/>
    <w:rsid w:val="0080192E"/>
    <w:rsid w:val="00802418"/>
    <w:rsid w:val="00803649"/>
    <w:rsid w:val="008044F9"/>
    <w:rsid w:val="0080495B"/>
    <w:rsid w:val="008054D2"/>
    <w:rsid w:val="00810800"/>
    <w:rsid w:val="00810F9B"/>
    <w:rsid w:val="008125F5"/>
    <w:rsid w:val="00813498"/>
    <w:rsid w:val="008137CE"/>
    <w:rsid w:val="00817D76"/>
    <w:rsid w:val="00823597"/>
    <w:rsid w:val="0082585E"/>
    <w:rsid w:val="00830F5F"/>
    <w:rsid w:val="008329C8"/>
    <w:rsid w:val="00833D51"/>
    <w:rsid w:val="0084578F"/>
    <w:rsid w:val="008507B0"/>
    <w:rsid w:val="00853954"/>
    <w:rsid w:val="00855885"/>
    <w:rsid w:val="00855F7B"/>
    <w:rsid w:val="00856878"/>
    <w:rsid w:val="00857FFB"/>
    <w:rsid w:val="008619CD"/>
    <w:rsid w:val="00865840"/>
    <w:rsid w:val="00867CFE"/>
    <w:rsid w:val="00870843"/>
    <w:rsid w:val="00871384"/>
    <w:rsid w:val="00871C05"/>
    <w:rsid w:val="008721B2"/>
    <w:rsid w:val="0087319D"/>
    <w:rsid w:val="00874726"/>
    <w:rsid w:val="00880335"/>
    <w:rsid w:val="00883C57"/>
    <w:rsid w:val="00890292"/>
    <w:rsid w:val="0089039A"/>
    <w:rsid w:val="008903F9"/>
    <w:rsid w:val="008911B6"/>
    <w:rsid w:val="008916C3"/>
    <w:rsid w:val="00892695"/>
    <w:rsid w:val="00893007"/>
    <w:rsid w:val="00893DA9"/>
    <w:rsid w:val="00894031"/>
    <w:rsid w:val="00895315"/>
    <w:rsid w:val="00895542"/>
    <w:rsid w:val="0089777B"/>
    <w:rsid w:val="008A0821"/>
    <w:rsid w:val="008A414E"/>
    <w:rsid w:val="008B3C59"/>
    <w:rsid w:val="008B5ECB"/>
    <w:rsid w:val="008B7C33"/>
    <w:rsid w:val="008C06CE"/>
    <w:rsid w:val="008C0952"/>
    <w:rsid w:val="008C17F1"/>
    <w:rsid w:val="008C37D8"/>
    <w:rsid w:val="008C40C1"/>
    <w:rsid w:val="008C50E7"/>
    <w:rsid w:val="008D1675"/>
    <w:rsid w:val="008D3D9D"/>
    <w:rsid w:val="008D5B75"/>
    <w:rsid w:val="008D6789"/>
    <w:rsid w:val="008E2691"/>
    <w:rsid w:val="008E63A9"/>
    <w:rsid w:val="008E670B"/>
    <w:rsid w:val="008E7B83"/>
    <w:rsid w:val="008F12B0"/>
    <w:rsid w:val="008F23F2"/>
    <w:rsid w:val="008F52D8"/>
    <w:rsid w:val="00900B71"/>
    <w:rsid w:val="0090502B"/>
    <w:rsid w:val="009070F2"/>
    <w:rsid w:val="00907414"/>
    <w:rsid w:val="009121D0"/>
    <w:rsid w:val="00912CF2"/>
    <w:rsid w:val="009137D9"/>
    <w:rsid w:val="00913E55"/>
    <w:rsid w:val="00914721"/>
    <w:rsid w:val="00914F84"/>
    <w:rsid w:val="00915408"/>
    <w:rsid w:val="0091552E"/>
    <w:rsid w:val="0092027A"/>
    <w:rsid w:val="00920AF8"/>
    <w:rsid w:val="009218A6"/>
    <w:rsid w:val="009248C2"/>
    <w:rsid w:val="009307A3"/>
    <w:rsid w:val="00931772"/>
    <w:rsid w:val="00932BBC"/>
    <w:rsid w:val="00940C8C"/>
    <w:rsid w:val="00941A7D"/>
    <w:rsid w:val="009424F4"/>
    <w:rsid w:val="009436E7"/>
    <w:rsid w:val="0094545F"/>
    <w:rsid w:val="00945B14"/>
    <w:rsid w:val="00945CF6"/>
    <w:rsid w:val="009468F7"/>
    <w:rsid w:val="00947C61"/>
    <w:rsid w:val="00951162"/>
    <w:rsid w:val="00955C19"/>
    <w:rsid w:val="009566C5"/>
    <w:rsid w:val="00956717"/>
    <w:rsid w:val="00961F60"/>
    <w:rsid w:val="00961FE5"/>
    <w:rsid w:val="0096253B"/>
    <w:rsid w:val="0096353F"/>
    <w:rsid w:val="00967B11"/>
    <w:rsid w:val="00970EDD"/>
    <w:rsid w:val="00974B51"/>
    <w:rsid w:val="009751DC"/>
    <w:rsid w:val="009806AB"/>
    <w:rsid w:val="00980D15"/>
    <w:rsid w:val="00991E5F"/>
    <w:rsid w:val="009A05A1"/>
    <w:rsid w:val="009A21D5"/>
    <w:rsid w:val="009A2BC5"/>
    <w:rsid w:val="009A30A7"/>
    <w:rsid w:val="009A3AFA"/>
    <w:rsid w:val="009A7AF9"/>
    <w:rsid w:val="009B0C23"/>
    <w:rsid w:val="009B301E"/>
    <w:rsid w:val="009B5924"/>
    <w:rsid w:val="009B603E"/>
    <w:rsid w:val="009B781E"/>
    <w:rsid w:val="009B7BB3"/>
    <w:rsid w:val="009C0BD4"/>
    <w:rsid w:val="009C2077"/>
    <w:rsid w:val="009C3240"/>
    <w:rsid w:val="009C4582"/>
    <w:rsid w:val="009C65E3"/>
    <w:rsid w:val="009C7758"/>
    <w:rsid w:val="009C7EA2"/>
    <w:rsid w:val="009D2417"/>
    <w:rsid w:val="009D2BC6"/>
    <w:rsid w:val="009D3643"/>
    <w:rsid w:val="009D4525"/>
    <w:rsid w:val="009D6DFF"/>
    <w:rsid w:val="009E12D3"/>
    <w:rsid w:val="009E40D1"/>
    <w:rsid w:val="009E6EF3"/>
    <w:rsid w:val="009F02C6"/>
    <w:rsid w:val="009F2C41"/>
    <w:rsid w:val="009F5B58"/>
    <w:rsid w:val="009F79A7"/>
    <w:rsid w:val="00A00C0E"/>
    <w:rsid w:val="00A01A1F"/>
    <w:rsid w:val="00A0217F"/>
    <w:rsid w:val="00A022BB"/>
    <w:rsid w:val="00A03070"/>
    <w:rsid w:val="00A03ED3"/>
    <w:rsid w:val="00A03EEC"/>
    <w:rsid w:val="00A07761"/>
    <w:rsid w:val="00A14613"/>
    <w:rsid w:val="00A14D7F"/>
    <w:rsid w:val="00A20C65"/>
    <w:rsid w:val="00A22BFB"/>
    <w:rsid w:val="00A244F7"/>
    <w:rsid w:val="00A26ABE"/>
    <w:rsid w:val="00A26DBE"/>
    <w:rsid w:val="00A303DD"/>
    <w:rsid w:val="00A31FED"/>
    <w:rsid w:val="00A325FB"/>
    <w:rsid w:val="00A34837"/>
    <w:rsid w:val="00A36DF9"/>
    <w:rsid w:val="00A36EFF"/>
    <w:rsid w:val="00A43E22"/>
    <w:rsid w:val="00A4472C"/>
    <w:rsid w:val="00A45A81"/>
    <w:rsid w:val="00A45FCA"/>
    <w:rsid w:val="00A46119"/>
    <w:rsid w:val="00A52BC2"/>
    <w:rsid w:val="00A556EE"/>
    <w:rsid w:val="00A56BC5"/>
    <w:rsid w:val="00A57718"/>
    <w:rsid w:val="00A60640"/>
    <w:rsid w:val="00A60AD6"/>
    <w:rsid w:val="00A61996"/>
    <w:rsid w:val="00A61B1E"/>
    <w:rsid w:val="00A6709C"/>
    <w:rsid w:val="00A67FF6"/>
    <w:rsid w:val="00A72AF9"/>
    <w:rsid w:val="00A752D1"/>
    <w:rsid w:val="00A76C70"/>
    <w:rsid w:val="00A87D7C"/>
    <w:rsid w:val="00A90389"/>
    <w:rsid w:val="00A9174A"/>
    <w:rsid w:val="00A92299"/>
    <w:rsid w:val="00A922E8"/>
    <w:rsid w:val="00A9315A"/>
    <w:rsid w:val="00A94CA9"/>
    <w:rsid w:val="00A95F02"/>
    <w:rsid w:val="00AA4CEE"/>
    <w:rsid w:val="00AB0264"/>
    <w:rsid w:val="00AB11B1"/>
    <w:rsid w:val="00AB11D3"/>
    <w:rsid w:val="00AB1A05"/>
    <w:rsid w:val="00AB1AE1"/>
    <w:rsid w:val="00AB21FF"/>
    <w:rsid w:val="00AB27BC"/>
    <w:rsid w:val="00AB4DBA"/>
    <w:rsid w:val="00AB59D4"/>
    <w:rsid w:val="00AB669D"/>
    <w:rsid w:val="00AB6DFB"/>
    <w:rsid w:val="00AB7C01"/>
    <w:rsid w:val="00AC26D2"/>
    <w:rsid w:val="00AC517E"/>
    <w:rsid w:val="00AC6FC0"/>
    <w:rsid w:val="00AD03A1"/>
    <w:rsid w:val="00AD1053"/>
    <w:rsid w:val="00AD3BC4"/>
    <w:rsid w:val="00AD5F80"/>
    <w:rsid w:val="00AE1F1A"/>
    <w:rsid w:val="00AE32D1"/>
    <w:rsid w:val="00AE3B75"/>
    <w:rsid w:val="00AE4E84"/>
    <w:rsid w:val="00AE5C7C"/>
    <w:rsid w:val="00AE6836"/>
    <w:rsid w:val="00AE71F2"/>
    <w:rsid w:val="00AF1F65"/>
    <w:rsid w:val="00AF33EC"/>
    <w:rsid w:val="00AF5130"/>
    <w:rsid w:val="00AF58F9"/>
    <w:rsid w:val="00B00B46"/>
    <w:rsid w:val="00B01AB0"/>
    <w:rsid w:val="00B0395B"/>
    <w:rsid w:val="00B06B5B"/>
    <w:rsid w:val="00B12D37"/>
    <w:rsid w:val="00B14CE3"/>
    <w:rsid w:val="00B15008"/>
    <w:rsid w:val="00B21B3C"/>
    <w:rsid w:val="00B22FD0"/>
    <w:rsid w:val="00B27050"/>
    <w:rsid w:val="00B3279E"/>
    <w:rsid w:val="00B32805"/>
    <w:rsid w:val="00B34933"/>
    <w:rsid w:val="00B34EF6"/>
    <w:rsid w:val="00B3556A"/>
    <w:rsid w:val="00B41DA1"/>
    <w:rsid w:val="00B436FA"/>
    <w:rsid w:val="00B45F7A"/>
    <w:rsid w:val="00B47A66"/>
    <w:rsid w:val="00B47C29"/>
    <w:rsid w:val="00B505D8"/>
    <w:rsid w:val="00B517E1"/>
    <w:rsid w:val="00B5197B"/>
    <w:rsid w:val="00B52742"/>
    <w:rsid w:val="00B534BE"/>
    <w:rsid w:val="00B5521B"/>
    <w:rsid w:val="00B642BC"/>
    <w:rsid w:val="00B64C95"/>
    <w:rsid w:val="00B66F0A"/>
    <w:rsid w:val="00B67E84"/>
    <w:rsid w:val="00B700C9"/>
    <w:rsid w:val="00B719B8"/>
    <w:rsid w:val="00B7427E"/>
    <w:rsid w:val="00B773EE"/>
    <w:rsid w:val="00B8023A"/>
    <w:rsid w:val="00B83CEE"/>
    <w:rsid w:val="00B84415"/>
    <w:rsid w:val="00B8487A"/>
    <w:rsid w:val="00B91244"/>
    <w:rsid w:val="00B97B8A"/>
    <w:rsid w:val="00BA112B"/>
    <w:rsid w:val="00BA2260"/>
    <w:rsid w:val="00BA291E"/>
    <w:rsid w:val="00BA4CEF"/>
    <w:rsid w:val="00BA532D"/>
    <w:rsid w:val="00BB0BD6"/>
    <w:rsid w:val="00BB40CF"/>
    <w:rsid w:val="00BC68E4"/>
    <w:rsid w:val="00BC6A7B"/>
    <w:rsid w:val="00BC7395"/>
    <w:rsid w:val="00BD0E01"/>
    <w:rsid w:val="00BD0E95"/>
    <w:rsid w:val="00BD31B2"/>
    <w:rsid w:val="00BD4AE6"/>
    <w:rsid w:val="00BD56C0"/>
    <w:rsid w:val="00BE07AC"/>
    <w:rsid w:val="00BE22D5"/>
    <w:rsid w:val="00BE4F09"/>
    <w:rsid w:val="00BE5E80"/>
    <w:rsid w:val="00BE6592"/>
    <w:rsid w:val="00BE679B"/>
    <w:rsid w:val="00BE706D"/>
    <w:rsid w:val="00BF0C66"/>
    <w:rsid w:val="00BF243B"/>
    <w:rsid w:val="00BF730A"/>
    <w:rsid w:val="00C00ACE"/>
    <w:rsid w:val="00C03CA8"/>
    <w:rsid w:val="00C11904"/>
    <w:rsid w:val="00C11F4E"/>
    <w:rsid w:val="00C12856"/>
    <w:rsid w:val="00C150D8"/>
    <w:rsid w:val="00C17952"/>
    <w:rsid w:val="00C17D13"/>
    <w:rsid w:val="00C23295"/>
    <w:rsid w:val="00C24BA7"/>
    <w:rsid w:val="00C2788F"/>
    <w:rsid w:val="00C3213B"/>
    <w:rsid w:val="00C32A6F"/>
    <w:rsid w:val="00C32D7C"/>
    <w:rsid w:val="00C342B6"/>
    <w:rsid w:val="00C3453D"/>
    <w:rsid w:val="00C37D37"/>
    <w:rsid w:val="00C37F87"/>
    <w:rsid w:val="00C423B9"/>
    <w:rsid w:val="00C44BA8"/>
    <w:rsid w:val="00C44DCD"/>
    <w:rsid w:val="00C45FEE"/>
    <w:rsid w:val="00C46356"/>
    <w:rsid w:val="00C47062"/>
    <w:rsid w:val="00C55E51"/>
    <w:rsid w:val="00C570CA"/>
    <w:rsid w:val="00C63435"/>
    <w:rsid w:val="00C63A98"/>
    <w:rsid w:val="00C648F3"/>
    <w:rsid w:val="00C65C8D"/>
    <w:rsid w:val="00C67953"/>
    <w:rsid w:val="00C703F3"/>
    <w:rsid w:val="00C7706F"/>
    <w:rsid w:val="00C777AB"/>
    <w:rsid w:val="00C77DCF"/>
    <w:rsid w:val="00C83307"/>
    <w:rsid w:val="00C842B6"/>
    <w:rsid w:val="00C844AA"/>
    <w:rsid w:val="00C858A7"/>
    <w:rsid w:val="00C9084F"/>
    <w:rsid w:val="00C91CEA"/>
    <w:rsid w:val="00C93634"/>
    <w:rsid w:val="00C949BE"/>
    <w:rsid w:val="00C9706F"/>
    <w:rsid w:val="00C971AA"/>
    <w:rsid w:val="00CA03C1"/>
    <w:rsid w:val="00CA0CC4"/>
    <w:rsid w:val="00CA0E27"/>
    <w:rsid w:val="00CA1F8F"/>
    <w:rsid w:val="00CA620C"/>
    <w:rsid w:val="00CB04AF"/>
    <w:rsid w:val="00CB0EA3"/>
    <w:rsid w:val="00CB15DA"/>
    <w:rsid w:val="00CB1FCE"/>
    <w:rsid w:val="00CB50F4"/>
    <w:rsid w:val="00CB79CA"/>
    <w:rsid w:val="00CC0A50"/>
    <w:rsid w:val="00CC2D05"/>
    <w:rsid w:val="00CD060B"/>
    <w:rsid w:val="00CD2BD7"/>
    <w:rsid w:val="00CD2FA7"/>
    <w:rsid w:val="00CE0BC7"/>
    <w:rsid w:val="00CE3A52"/>
    <w:rsid w:val="00CE7692"/>
    <w:rsid w:val="00CF009A"/>
    <w:rsid w:val="00CF3DC9"/>
    <w:rsid w:val="00CF44FB"/>
    <w:rsid w:val="00CF5D6F"/>
    <w:rsid w:val="00D00C64"/>
    <w:rsid w:val="00D04F67"/>
    <w:rsid w:val="00D0666C"/>
    <w:rsid w:val="00D06A86"/>
    <w:rsid w:val="00D07420"/>
    <w:rsid w:val="00D13324"/>
    <w:rsid w:val="00D13594"/>
    <w:rsid w:val="00D137A5"/>
    <w:rsid w:val="00D140AE"/>
    <w:rsid w:val="00D15089"/>
    <w:rsid w:val="00D15683"/>
    <w:rsid w:val="00D15A37"/>
    <w:rsid w:val="00D1600F"/>
    <w:rsid w:val="00D16324"/>
    <w:rsid w:val="00D169A7"/>
    <w:rsid w:val="00D21CD8"/>
    <w:rsid w:val="00D22A14"/>
    <w:rsid w:val="00D23B9A"/>
    <w:rsid w:val="00D32393"/>
    <w:rsid w:val="00D343AE"/>
    <w:rsid w:val="00D371A8"/>
    <w:rsid w:val="00D37636"/>
    <w:rsid w:val="00D40741"/>
    <w:rsid w:val="00D44CED"/>
    <w:rsid w:val="00D45813"/>
    <w:rsid w:val="00D4763F"/>
    <w:rsid w:val="00D50B3E"/>
    <w:rsid w:val="00D55CC0"/>
    <w:rsid w:val="00D6080B"/>
    <w:rsid w:val="00D6202C"/>
    <w:rsid w:val="00D65695"/>
    <w:rsid w:val="00D65A80"/>
    <w:rsid w:val="00D6647B"/>
    <w:rsid w:val="00D665D0"/>
    <w:rsid w:val="00D6677E"/>
    <w:rsid w:val="00D67530"/>
    <w:rsid w:val="00D71539"/>
    <w:rsid w:val="00D74AF2"/>
    <w:rsid w:val="00D76758"/>
    <w:rsid w:val="00D7715A"/>
    <w:rsid w:val="00D80200"/>
    <w:rsid w:val="00D820DF"/>
    <w:rsid w:val="00D844BA"/>
    <w:rsid w:val="00D84ABB"/>
    <w:rsid w:val="00D85B08"/>
    <w:rsid w:val="00D90B75"/>
    <w:rsid w:val="00D943B7"/>
    <w:rsid w:val="00D94F66"/>
    <w:rsid w:val="00D95FC7"/>
    <w:rsid w:val="00D96E10"/>
    <w:rsid w:val="00DA0152"/>
    <w:rsid w:val="00DA08A3"/>
    <w:rsid w:val="00DA0AB1"/>
    <w:rsid w:val="00DA12A4"/>
    <w:rsid w:val="00DA2FC2"/>
    <w:rsid w:val="00DA66FC"/>
    <w:rsid w:val="00DA7A94"/>
    <w:rsid w:val="00DB2605"/>
    <w:rsid w:val="00DB4021"/>
    <w:rsid w:val="00DB4BB9"/>
    <w:rsid w:val="00DC35FA"/>
    <w:rsid w:val="00DC60B3"/>
    <w:rsid w:val="00DD0887"/>
    <w:rsid w:val="00DD17F0"/>
    <w:rsid w:val="00DD1D73"/>
    <w:rsid w:val="00DD3C6B"/>
    <w:rsid w:val="00DD4A6C"/>
    <w:rsid w:val="00DD4F3C"/>
    <w:rsid w:val="00DD52A7"/>
    <w:rsid w:val="00DD63FD"/>
    <w:rsid w:val="00DD718C"/>
    <w:rsid w:val="00DE1C51"/>
    <w:rsid w:val="00DE23AE"/>
    <w:rsid w:val="00DE2CF5"/>
    <w:rsid w:val="00DE3556"/>
    <w:rsid w:val="00DE4B2D"/>
    <w:rsid w:val="00DE6E58"/>
    <w:rsid w:val="00DE720D"/>
    <w:rsid w:val="00DF0665"/>
    <w:rsid w:val="00DF0CE4"/>
    <w:rsid w:val="00DF3C27"/>
    <w:rsid w:val="00DF4AA2"/>
    <w:rsid w:val="00DF594F"/>
    <w:rsid w:val="00DF6189"/>
    <w:rsid w:val="00DF6C9C"/>
    <w:rsid w:val="00E0033D"/>
    <w:rsid w:val="00E00E36"/>
    <w:rsid w:val="00E01F22"/>
    <w:rsid w:val="00E01F91"/>
    <w:rsid w:val="00E03E2E"/>
    <w:rsid w:val="00E06113"/>
    <w:rsid w:val="00E11271"/>
    <w:rsid w:val="00E13F23"/>
    <w:rsid w:val="00E144E6"/>
    <w:rsid w:val="00E151E5"/>
    <w:rsid w:val="00E160CD"/>
    <w:rsid w:val="00E24FD2"/>
    <w:rsid w:val="00E272BB"/>
    <w:rsid w:val="00E27FA8"/>
    <w:rsid w:val="00E30F58"/>
    <w:rsid w:val="00E326B7"/>
    <w:rsid w:val="00E32A3A"/>
    <w:rsid w:val="00E37CD5"/>
    <w:rsid w:val="00E4768C"/>
    <w:rsid w:val="00E50251"/>
    <w:rsid w:val="00E50A85"/>
    <w:rsid w:val="00E5383B"/>
    <w:rsid w:val="00E54B77"/>
    <w:rsid w:val="00E55416"/>
    <w:rsid w:val="00E55726"/>
    <w:rsid w:val="00E563DC"/>
    <w:rsid w:val="00E564FE"/>
    <w:rsid w:val="00E56E35"/>
    <w:rsid w:val="00E60D99"/>
    <w:rsid w:val="00E62C25"/>
    <w:rsid w:val="00E64F57"/>
    <w:rsid w:val="00E67B85"/>
    <w:rsid w:val="00E75C06"/>
    <w:rsid w:val="00E75FFB"/>
    <w:rsid w:val="00E76806"/>
    <w:rsid w:val="00E7750D"/>
    <w:rsid w:val="00E77D78"/>
    <w:rsid w:val="00E81CC3"/>
    <w:rsid w:val="00E829D0"/>
    <w:rsid w:val="00E8363E"/>
    <w:rsid w:val="00E841E3"/>
    <w:rsid w:val="00E85E28"/>
    <w:rsid w:val="00E861D0"/>
    <w:rsid w:val="00E86FEA"/>
    <w:rsid w:val="00E87E4D"/>
    <w:rsid w:val="00E90654"/>
    <w:rsid w:val="00E93010"/>
    <w:rsid w:val="00EA0446"/>
    <w:rsid w:val="00EA1026"/>
    <w:rsid w:val="00EA2DF3"/>
    <w:rsid w:val="00EA3CDB"/>
    <w:rsid w:val="00EA4694"/>
    <w:rsid w:val="00EB06E4"/>
    <w:rsid w:val="00EB1FC4"/>
    <w:rsid w:val="00EB23E6"/>
    <w:rsid w:val="00EB405D"/>
    <w:rsid w:val="00EB406C"/>
    <w:rsid w:val="00EB6F76"/>
    <w:rsid w:val="00EB73A5"/>
    <w:rsid w:val="00EC30A5"/>
    <w:rsid w:val="00EC6115"/>
    <w:rsid w:val="00ED2736"/>
    <w:rsid w:val="00ED327C"/>
    <w:rsid w:val="00ED387E"/>
    <w:rsid w:val="00ED49EE"/>
    <w:rsid w:val="00ED665B"/>
    <w:rsid w:val="00EE018F"/>
    <w:rsid w:val="00EE0E82"/>
    <w:rsid w:val="00EE1B06"/>
    <w:rsid w:val="00EE2048"/>
    <w:rsid w:val="00EE4ABF"/>
    <w:rsid w:val="00EE4FAC"/>
    <w:rsid w:val="00EE7658"/>
    <w:rsid w:val="00EF1C5C"/>
    <w:rsid w:val="00EF2530"/>
    <w:rsid w:val="00EF6247"/>
    <w:rsid w:val="00F00FCB"/>
    <w:rsid w:val="00F03158"/>
    <w:rsid w:val="00F047A4"/>
    <w:rsid w:val="00F05889"/>
    <w:rsid w:val="00F05FAC"/>
    <w:rsid w:val="00F06B21"/>
    <w:rsid w:val="00F16CBE"/>
    <w:rsid w:val="00F214F6"/>
    <w:rsid w:val="00F21AB2"/>
    <w:rsid w:val="00F21B49"/>
    <w:rsid w:val="00F2260F"/>
    <w:rsid w:val="00F2460E"/>
    <w:rsid w:val="00F2499F"/>
    <w:rsid w:val="00F25675"/>
    <w:rsid w:val="00F26254"/>
    <w:rsid w:val="00F275DC"/>
    <w:rsid w:val="00F278AA"/>
    <w:rsid w:val="00F32785"/>
    <w:rsid w:val="00F32E64"/>
    <w:rsid w:val="00F34CC0"/>
    <w:rsid w:val="00F36BF3"/>
    <w:rsid w:val="00F3733D"/>
    <w:rsid w:val="00F42211"/>
    <w:rsid w:val="00F429F7"/>
    <w:rsid w:val="00F47497"/>
    <w:rsid w:val="00F5708E"/>
    <w:rsid w:val="00F61CF7"/>
    <w:rsid w:val="00F61EA0"/>
    <w:rsid w:val="00F637B7"/>
    <w:rsid w:val="00F679D2"/>
    <w:rsid w:val="00F70638"/>
    <w:rsid w:val="00F71870"/>
    <w:rsid w:val="00F71AE7"/>
    <w:rsid w:val="00F71D56"/>
    <w:rsid w:val="00F72B6E"/>
    <w:rsid w:val="00F7384C"/>
    <w:rsid w:val="00F7630D"/>
    <w:rsid w:val="00F77D23"/>
    <w:rsid w:val="00F8035A"/>
    <w:rsid w:val="00F9059C"/>
    <w:rsid w:val="00F920BA"/>
    <w:rsid w:val="00F95B3B"/>
    <w:rsid w:val="00F9648B"/>
    <w:rsid w:val="00F96BC3"/>
    <w:rsid w:val="00FA00B1"/>
    <w:rsid w:val="00FA0B92"/>
    <w:rsid w:val="00FA198A"/>
    <w:rsid w:val="00FA22B3"/>
    <w:rsid w:val="00FA2739"/>
    <w:rsid w:val="00FA38AC"/>
    <w:rsid w:val="00FA5220"/>
    <w:rsid w:val="00FA7217"/>
    <w:rsid w:val="00FB00C5"/>
    <w:rsid w:val="00FB1640"/>
    <w:rsid w:val="00FB204A"/>
    <w:rsid w:val="00FB2DD8"/>
    <w:rsid w:val="00FB30FD"/>
    <w:rsid w:val="00FB63C8"/>
    <w:rsid w:val="00FC2A49"/>
    <w:rsid w:val="00FC2C8F"/>
    <w:rsid w:val="00FC44BE"/>
    <w:rsid w:val="00FC7538"/>
    <w:rsid w:val="00FD0820"/>
    <w:rsid w:val="00FD4669"/>
    <w:rsid w:val="00FE1C61"/>
    <w:rsid w:val="00FE3CB2"/>
    <w:rsid w:val="00FE3DB5"/>
    <w:rsid w:val="00FE63BE"/>
    <w:rsid w:val="00FE655D"/>
    <w:rsid w:val="00FF23D6"/>
    <w:rsid w:val="00FF4AB3"/>
    <w:rsid w:val="00FF7270"/>
    <w:rsid w:val="019D0DFE"/>
    <w:rsid w:val="040A0B16"/>
    <w:rsid w:val="0506C9D0"/>
    <w:rsid w:val="05B8E956"/>
    <w:rsid w:val="08FB2CA5"/>
    <w:rsid w:val="09CE4446"/>
    <w:rsid w:val="0A06C144"/>
    <w:rsid w:val="0BF76A9C"/>
    <w:rsid w:val="0DBC408A"/>
    <w:rsid w:val="0ECB8547"/>
    <w:rsid w:val="10BF6E21"/>
    <w:rsid w:val="10DAEEA3"/>
    <w:rsid w:val="11DBE3B8"/>
    <w:rsid w:val="1680FD8A"/>
    <w:rsid w:val="188A5A3A"/>
    <w:rsid w:val="1A24606D"/>
    <w:rsid w:val="1A34644C"/>
    <w:rsid w:val="1BB1A747"/>
    <w:rsid w:val="1EA50170"/>
    <w:rsid w:val="2471D341"/>
    <w:rsid w:val="25CABA29"/>
    <w:rsid w:val="29836976"/>
    <w:rsid w:val="2AA54347"/>
    <w:rsid w:val="2B61C71A"/>
    <w:rsid w:val="2C793C62"/>
    <w:rsid w:val="2EA972EC"/>
    <w:rsid w:val="2FA72735"/>
    <w:rsid w:val="34339F94"/>
    <w:rsid w:val="35BA7CEC"/>
    <w:rsid w:val="379A72A5"/>
    <w:rsid w:val="383A4C1B"/>
    <w:rsid w:val="3B974568"/>
    <w:rsid w:val="3CD573C1"/>
    <w:rsid w:val="3EF0AFC2"/>
    <w:rsid w:val="4051BD6E"/>
    <w:rsid w:val="447DF798"/>
    <w:rsid w:val="460753A4"/>
    <w:rsid w:val="483EE122"/>
    <w:rsid w:val="4AF6FDA2"/>
    <w:rsid w:val="4C963188"/>
    <w:rsid w:val="539E4219"/>
    <w:rsid w:val="569E9547"/>
    <w:rsid w:val="57AFC9F2"/>
    <w:rsid w:val="593AC7BC"/>
    <w:rsid w:val="5A403B90"/>
    <w:rsid w:val="5D9F3C53"/>
    <w:rsid w:val="61DC873C"/>
    <w:rsid w:val="62AE1A76"/>
    <w:rsid w:val="6541EFFB"/>
    <w:rsid w:val="66FF4073"/>
    <w:rsid w:val="68D47B6C"/>
    <w:rsid w:val="696D57F9"/>
    <w:rsid w:val="6D88355B"/>
    <w:rsid w:val="72A5A258"/>
    <w:rsid w:val="73C3234A"/>
    <w:rsid w:val="73CFD2C6"/>
    <w:rsid w:val="74D8261E"/>
    <w:rsid w:val="7690120C"/>
    <w:rsid w:val="76914DD7"/>
    <w:rsid w:val="7AA04528"/>
    <w:rsid w:val="7B290907"/>
    <w:rsid w:val="7BD200D3"/>
    <w:rsid w:val="7CE84F56"/>
    <w:rsid w:val="7D821DD8"/>
    <w:rsid w:val="7F2ED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AD7CBF05-F971-42D4-A6A3-EC3863A9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F6"/>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AD3BC4"/>
    <w:pPr>
      <w:keepNext/>
      <w:keepLines/>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AD3BC4"/>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lsag.info/evaluator-ntg-recommendations-for-2024/" TargetMode="Externa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yperlink" Target="http://www.ilsag.info/technical-reference-manua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customXml/itemProps4.xml><?xml version="1.0" encoding="utf-8"?>
<ds:datastoreItem xmlns:ds="http://schemas.openxmlformats.org/officeDocument/2006/customXml" ds:itemID="{9253164F-3A94-46F9-A840-C0F7174C7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659</cp:revision>
  <dcterms:created xsi:type="dcterms:W3CDTF">2025-10-28T22:39:00Z</dcterms:created>
  <dcterms:modified xsi:type="dcterms:W3CDTF">2026-03-26T02:31:00Z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dfbf15b0-01d6-4196-ad66-fbc925236604</vt:lpwstr>
  </property>
</Properties>
</file>