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825"/>
        <w:gridCol w:w="8175"/>
      </w:tblGrid>
      <w:tr w:rsidR="000A60E3" w14:paraId="46FD6562" w14:textId="77777777" w:rsidTr="009E6305">
        <w:trPr>
          <w:trHeight w:val="346"/>
        </w:trPr>
        <w:tc>
          <w:tcPr>
            <w:tcW w:w="825" w:type="dxa"/>
          </w:tcPr>
          <w:p w14:paraId="030C799F" w14:textId="77777777" w:rsidR="000A60E3" w:rsidRPr="006703D6" w:rsidRDefault="0068512A" w:rsidP="006703D6">
            <w:pPr>
              <w:pStyle w:val="MemoLabel"/>
            </w:pPr>
            <w:r w:rsidRPr="006703D6">
              <w:t>To:</w:t>
            </w:r>
          </w:p>
        </w:tc>
        <w:tc>
          <w:tcPr>
            <w:tcW w:w="8175" w:type="dxa"/>
            <w:vAlign w:val="center"/>
          </w:tcPr>
          <w:p w14:paraId="10A28CBA" w14:textId="0E763E8C" w:rsidR="000A60E3" w:rsidRPr="00A92A63" w:rsidRDefault="002B2417" w:rsidP="00EE5A8C">
            <w:pPr>
              <w:pStyle w:val="MemoBody"/>
            </w:pPr>
            <w:r>
              <w:t xml:space="preserve">Randy Opdyke, Bruce Liu, </w:t>
            </w:r>
            <w:r w:rsidR="004F2F71">
              <w:t xml:space="preserve">Rohith Mannam, </w:t>
            </w:r>
            <w:r w:rsidR="004B6422">
              <w:t>Nicor Gas</w:t>
            </w:r>
            <w:r>
              <w:t xml:space="preserve">; Ted Weaver, First Tracks Consulting; Katie Parkinson, Jane Colby, Scott </w:t>
            </w:r>
            <w:proofErr w:type="spellStart"/>
            <w:r>
              <w:t>Dimetrosky</w:t>
            </w:r>
            <w:proofErr w:type="spellEnd"/>
            <w:r>
              <w:t>, Apex Analytics</w:t>
            </w:r>
          </w:p>
        </w:tc>
      </w:tr>
      <w:tr w:rsidR="006F6ED4" w14:paraId="51A70534" w14:textId="77777777" w:rsidTr="009E6305">
        <w:trPr>
          <w:trHeight w:val="346"/>
        </w:trPr>
        <w:tc>
          <w:tcPr>
            <w:tcW w:w="825" w:type="dxa"/>
          </w:tcPr>
          <w:p w14:paraId="31E18A26" w14:textId="77777777" w:rsidR="006F6ED4" w:rsidRPr="006703D6" w:rsidRDefault="006F6ED4" w:rsidP="00EE5A8C">
            <w:pPr>
              <w:pStyle w:val="MemoLabel"/>
            </w:pPr>
            <w:r>
              <w:t>Cc:</w:t>
            </w:r>
          </w:p>
        </w:tc>
        <w:tc>
          <w:tcPr>
            <w:tcW w:w="8175" w:type="dxa"/>
            <w:vAlign w:val="center"/>
          </w:tcPr>
          <w:p w14:paraId="043DEC33" w14:textId="3981ADA3" w:rsidR="006F6ED4" w:rsidRDefault="006F6ED4" w:rsidP="00EE5A8C">
            <w:pPr>
              <w:pStyle w:val="MemoBody"/>
            </w:pPr>
            <w:r>
              <w:t>Jennifer Morris</w:t>
            </w:r>
            <w:r w:rsidR="00254A9D">
              <w:t>;</w:t>
            </w:r>
            <w:r>
              <w:t xml:space="preserve"> ICC</w:t>
            </w:r>
            <w:r w:rsidR="002B2417">
              <w:t xml:space="preserve"> Staff</w:t>
            </w:r>
            <w:r w:rsidR="004F2F71">
              <w:t>, Illinois TRM Administrator</w:t>
            </w:r>
            <w:r w:rsidR="00C00E0E">
              <w:t>; Celia Johnson, Illinois SAG</w:t>
            </w:r>
          </w:p>
          <w:p w14:paraId="347D9AC3" w14:textId="5F979DD0" w:rsidR="004B6422" w:rsidRDefault="004B6422" w:rsidP="00EE5A8C">
            <w:pPr>
              <w:pStyle w:val="MemoBody"/>
            </w:pPr>
            <w:r>
              <w:t>Kevin Grabner</w:t>
            </w:r>
            <w:r w:rsidR="002B2417">
              <w:t>, Stu Slote</w:t>
            </w:r>
            <w:r w:rsidR="00B90278">
              <w:t>, Rick Berry, Charles Ampong</w:t>
            </w:r>
            <w:r>
              <w:t xml:space="preserve">; </w:t>
            </w:r>
            <w:proofErr w:type="spellStart"/>
            <w:r>
              <w:t>Guidehouse</w:t>
            </w:r>
            <w:proofErr w:type="spellEnd"/>
          </w:p>
        </w:tc>
      </w:tr>
      <w:tr w:rsidR="000A60E3" w14:paraId="4CE71E52" w14:textId="77777777" w:rsidTr="009E6305">
        <w:trPr>
          <w:trHeight w:val="346"/>
        </w:trPr>
        <w:tc>
          <w:tcPr>
            <w:tcW w:w="825" w:type="dxa"/>
          </w:tcPr>
          <w:p w14:paraId="67B70655" w14:textId="77777777" w:rsidR="000A60E3" w:rsidRPr="006703D6" w:rsidRDefault="0068512A" w:rsidP="00EE5A8C">
            <w:pPr>
              <w:pStyle w:val="MemoLabel"/>
            </w:pPr>
            <w:r w:rsidRPr="006703D6">
              <w:t>From:</w:t>
            </w:r>
          </w:p>
        </w:tc>
        <w:tc>
          <w:tcPr>
            <w:tcW w:w="8175" w:type="dxa"/>
            <w:vAlign w:val="center"/>
          </w:tcPr>
          <w:p w14:paraId="737AE66F" w14:textId="3DE4DA42" w:rsidR="000A60E3" w:rsidRPr="00A92A63" w:rsidRDefault="006F6ED4" w:rsidP="00EE5A8C">
            <w:pPr>
              <w:pStyle w:val="MemoBody"/>
            </w:pPr>
            <w:r>
              <w:t xml:space="preserve">Paul Higgins, </w:t>
            </w:r>
            <w:r w:rsidR="004B6422">
              <w:t>Jackson Lines</w:t>
            </w:r>
            <w:r w:rsidR="00254A9D">
              <w:t xml:space="preserve">; </w:t>
            </w:r>
            <w:proofErr w:type="spellStart"/>
            <w:r w:rsidR="00A552A7">
              <w:t>Guidehouse</w:t>
            </w:r>
            <w:proofErr w:type="spellEnd"/>
          </w:p>
        </w:tc>
      </w:tr>
      <w:tr w:rsidR="000A60E3" w14:paraId="7B450FE5" w14:textId="77777777" w:rsidTr="009E6305">
        <w:trPr>
          <w:trHeight w:val="346"/>
        </w:trPr>
        <w:tc>
          <w:tcPr>
            <w:tcW w:w="825" w:type="dxa"/>
          </w:tcPr>
          <w:p w14:paraId="1F4CCF40" w14:textId="77777777" w:rsidR="000A60E3" w:rsidRPr="006703D6" w:rsidRDefault="0068512A" w:rsidP="00EE5A8C">
            <w:pPr>
              <w:pStyle w:val="MemoLabel"/>
            </w:pPr>
            <w:r w:rsidRPr="006703D6">
              <w:t>Date:</w:t>
            </w:r>
          </w:p>
        </w:tc>
        <w:tc>
          <w:tcPr>
            <w:tcW w:w="8175" w:type="dxa"/>
            <w:vAlign w:val="center"/>
          </w:tcPr>
          <w:p w14:paraId="60B783B8" w14:textId="4C71A2B6" w:rsidR="000A60E3" w:rsidRPr="00A92A63" w:rsidRDefault="004F2F71" w:rsidP="00EE5A8C">
            <w:pPr>
              <w:pStyle w:val="MemoBody"/>
            </w:pPr>
            <w:r>
              <w:t>April 21</w:t>
            </w:r>
            <w:r w:rsidR="006F6ED4">
              <w:t>, 20</w:t>
            </w:r>
            <w:r w:rsidR="009E6305">
              <w:t>2</w:t>
            </w:r>
            <w:r w:rsidR="00325F1B">
              <w:t>1</w:t>
            </w:r>
          </w:p>
        </w:tc>
      </w:tr>
      <w:tr w:rsidR="000A60E3" w14:paraId="0B50D345" w14:textId="77777777" w:rsidTr="009E6305">
        <w:trPr>
          <w:trHeight w:val="346"/>
        </w:trPr>
        <w:tc>
          <w:tcPr>
            <w:tcW w:w="825" w:type="dxa"/>
          </w:tcPr>
          <w:p w14:paraId="6437449B" w14:textId="77777777" w:rsidR="000A60E3" w:rsidRPr="006703D6" w:rsidRDefault="0068512A" w:rsidP="00EE5A8C">
            <w:pPr>
              <w:pStyle w:val="MemoLabel"/>
            </w:pPr>
            <w:r w:rsidRPr="006703D6">
              <w:t>Re:</w:t>
            </w:r>
          </w:p>
        </w:tc>
        <w:tc>
          <w:tcPr>
            <w:tcW w:w="8175" w:type="dxa"/>
            <w:vAlign w:val="center"/>
          </w:tcPr>
          <w:p w14:paraId="374FCBF9" w14:textId="20803253" w:rsidR="000A60E3" w:rsidRPr="00A92A63" w:rsidRDefault="006F6ED4" w:rsidP="00EE5A8C">
            <w:pPr>
              <w:pStyle w:val="MemoBody"/>
            </w:pPr>
            <w:r>
              <w:t>Small Commercial Thermostat</w:t>
            </w:r>
            <w:r w:rsidR="00E57B9C">
              <w:t>s</w:t>
            </w:r>
            <w:r>
              <w:t xml:space="preserve"> TRM Research</w:t>
            </w:r>
          </w:p>
        </w:tc>
      </w:tr>
    </w:tbl>
    <w:p w14:paraId="4A9536FF" w14:textId="77777777" w:rsidR="00EE5A8C" w:rsidRPr="00EE5A8C" w:rsidRDefault="00EE5A8C" w:rsidP="00114D80">
      <w:pPr>
        <w:pStyle w:val="Heading1"/>
        <w:rPr>
          <w:bCs w:val="0"/>
          <w:smallCaps w:val="0"/>
        </w:rPr>
      </w:pPr>
      <w:r w:rsidRPr="00EE5A8C">
        <w:t>Introduction</w:t>
      </w:r>
    </w:p>
    <w:p w14:paraId="55050E78" w14:textId="7311FA0C" w:rsidR="000B2275" w:rsidRDefault="005743EC" w:rsidP="00114D80">
      <w:r>
        <w:t xml:space="preserve">At the request of </w:t>
      </w:r>
      <w:r w:rsidR="004B6422">
        <w:t>Nicor</w:t>
      </w:r>
      <w:r>
        <w:t xml:space="preserve"> </w:t>
      </w:r>
      <w:r w:rsidR="00325F1B">
        <w:t xml:space="preserve">Gas </w:t>
      </w:r>
      <w:r>
        <w:t xml:space="preserve">and ICC Staff, </w:t>
      </w:r>
      <w:proofErr w:type="spellStart"/>
      <w:r w:rsidR="003B6AE8">
        <w:t>Guidehouse</w:t>
      </w:r>
      <w:proofErr w:type="spellEnd"/>
      <w:r w:rsidR="002C1620">
        <w:t xml:space="preserve"> </w:t>
      </w:r>
      <w:r>
        <w:t>undertook research</w:t>
      </w:r>
      <w:r w:rsidR="000D5B5E">
        <w:t xml:space="preserve"> in CY20</w:t>
      </w:r>
      <w:r w:rsidR="004B6422">
        <w:t>20</w:t>
      </w:r>
      <w:r>
        <w:t xml:space="preserve"> to </w:t>
      </w:r>
      <w:r w:rsidR="000D5B5E">
        <w:t xml:space="preserve">support a future </w:t>
      </w:r>
      <w:r>
        <w:t xml:space="preserve">update </w:t>
      </w:r>
      <w:r w:rsidR="000D5B5E">
        <w:t xml:space="preserve">to </w:t>
      </w:r>
      <w:r>
        <w:t>the Illinois Technical Reference Manual’s (TRM</w:t>
      </w:r>
      <w:r w:rsidR="00E25312">
        <w:t>’s</w:t>
      </w:r>
      <w:r>
        <w:t>)</w:t>
      </w:r>
      <w:r w:rsidR="00E25312">
        <w:t xml:space="preserve"> current</w:t>
      </w:r>
      <w:r>
        <w:t xml:space="preserve"> Small Commercial Thermostat (SCT) measure.</w:t>
      </w:r>
      <w:r w:rsidR="00E85375">
        <w:rPr>
          <w:rStyle w:val="FootnoteReference"/>
        </w:rPr>
        <w:footnoteReference w:id="1"/>
      </w:r>
      <w:r w:rsidR="00486764">
        <w:t xml:space="preserve"> The current provisional SCT measure </w:t>
      </w:r>
      <w:r w:rsidR="007329D5">
        <w:t xml:space="preserve">in TRM </w:t>
      </w:r>
      <w:r w:rsidR="009E578B">
        <w:t xml:space="preserve">v9.0 </w:t>
      </w:r>
      <w:r w:rsidR="00486764">
        <w:t xml:space="preserve">includes a </w:t>
      </w:r>
      <w:r w:rsidR="00D65A04">
        <w:t>heat</w:t>
      </w:r>
      <w:r w:rsidR="00486764">
        <w:t>ing</w:t>
      </w:r>
      <w:r w:rsidR="008F4C70">
        <w:t xml:space="preserve"> r</w:t>
      </w:r>
      <w:r w:rsidR="00486764">
        <w:t xml:space="preserve">eduction parameter of </w:t>
      </w:r>
      <w:r w:rsidR="00D65A04">
        <w:t>8.</w:t>
      </w:r>
      <w:r w:rsidR="00486764">
        <w:t>8 percent</w:t>
      </w:r>
      <w:r w:rsidR="0058599B">
        <w:t>, representing the</w:t>
      </w:r>
      <w:r w:rsidR="00486764">
        <w:t xml:space="preserve"> average reduction in total building </w:t>
      </w:r>
      <w:r w:rsidR="00D65A04">
        <w:t>heat</w:t>
      </w:r>
      <w:r w:rsidR="00486764">
        <w:t>ing energy consumption due to installation of the measure</w:t>
      </w:r>
      <w:r w:rsidR="0058599B">
        <w:t>; it</w:t>
      </w:r>
      <w:r w:rsidR="00EF794A">
        <w:t>s value</w:t>
      </w:r>
      <w:r w:rsidR="00486764">
        <w:t xml:space="preserve"> is based on </w:t>
      </w:r>
      <w:r w:rsidR="00826C92">
        <w:t>r</w:t>
      </w:r>
      <w:r w:rsidR="00486764">
        <w:t xml:space="preserve">esidential </w:t>
      </w:r>
      <w:r w:rsidR="00826C92">
        <w:t>a</w:t>
      </w:r>
      <w:r w:rsidR="00486764">
        <w:t xml:space="preserve">dvanced </w:t>
      </w:r>
      <w:r w:rsidR="00826C92">
        <w:t>t</w:t>
      </w:r>
      <w:r w:rsidR="00486764">
        <w:t>hermostats</w:t>
      </w:r>
      <w:r w:rsidR="0058599B">
        <w:t xml:space="preserve"> research</w:t>
      </w:r>
      <w:r w:rsidR="00486764">
        <w:t>.</w:t>
      </w:r>
      <w:r w:rsidRPr="009601D3">
        <w:rPr>
          <w:rStyle w:val="FootnoteReference"/>
        </w:rPr>
        <w:footnoteReference w:id="2"/>
      </w:r>
      <w:r w:rsidR="000D5B5E">
        <w:t xml:space="preserve"> </w:t>
      </w:r>
      <w:r w:rsidR="00E47A15" w:rsidRPr="00E47A15">
        <w:t xml:space="preserve">Our basic </w:t>
      </w:r>
      <w:r w:rsidR="00E47A15">
        <w:t xml:space="preserve">research </w:t>
      </w:r>
      <w:r w:rsidR="00E47A15" w:rsidRPr="00E47A15">
        <w:t>approach was to apply regression analysis to the monthly gas usage data of this group of customers, obtained from their billing records</w:t>
      </w:r>
      <w:r w:rsidR="00E47A15">
        <w:t>.</w:t>
      </w:r>
      <w:r w:rsidR="00E47A15" w:rsidRPr="00E47A15">
        <w:t xml:space="preserve"> </w:t>
      </w:r>
      <w:r w:rsidR="00E47A15">
        <w:t>This memo summarizes our research method, the data utilized, key results, and recommendations.</w:t>
      </w:r>
    </w:p>
    <w:p w14:paraId="78F46E38" w14:textId="54355B72" w:rsidR="00604015" w:rsidRDefault="00604015" w:rsidP="00114D80"/>
    <w:p w14:paraId="5060BEF9" w14:textId="1A62A466" w:rsidR="00EE5A8C" w:rsidRDefault="00604015" w:rsidP="00114D80">
      <w:r>
        <w:t xml:space="preserve">Overall, we found savings of </w:t>
      </w:r>
      <w:r w:rsidR="004C756C">
        <w:t>either</w:t>
      </w:r>
      <w:r w:rsidR="00B22B31">
        <w:t xml:space="preserve"> </w:t>
      </w:r>
      <w:r>
        <w:t>4</w:t>
      </w:r>
      <w:r w:rsidR="00B22B31">
        <w:t xml:space="preserve"> </w:t>
      </w:r>
      <w:r w:rsidR="004C756C">
        <w:t>percent or</w:t>
      </w:r>
      <w:r w:rsidR="00B22B31">
        <w:t xml:space="preserve"> 4.5</w:t>
      </w:r>
      <w:r>
        <w:t xml:space="preserve"> percent of</w:t>
      </w:r>
      <w:r w:rsidR="00966649">
        <w:t xml:space="preserve"> </w:t>
      </w:r>
      <w:r w:rsidR="005E3664">
        <w:t>all-uses</w:t>
      </w:r>
      <w:r>
        <w:t xml:space="preserve"> </w:t>
      </w:r>
      <w:proofErr w:type="spellStart"/>
      <w:r w:rsidR="00B22B31">
        <w:t>therm</w:t>
      </w:r>
      <w:proofErr w:type="spellEnd"/>
      <w:r w:rsidR="006E428E">
        <w:t xml:space="preserve"> consumption</w:t>
      </w:r>
      <w:r w:rsidR="00AC75EC">
        <w:t xml:space="preserve"> </w:t>
      </w:r>
      <w:r w:rsidR="005E3664">
        <w:t>due to installation of the</w:t>
      </w:r>
      <w:r w:rsidR="00AC75EC">
        <w:t xml:space="preserve"> programmable thermostat</w:t>
      </w:r>
      <w:r w:rsidR="005E3664">
        <w:t xml:space="preserve"> measure</w:t>
      </w:r>
      <w:r w:rsidR="003B18ED">
        <w:t>,</w:t>
      </w:r>
      <w:r w:rsidR="004C756C">
        <w:t xml:space="preserve"> depending on the </w:t>
      </w:r>
      <w:r w:rsidR="005E3664">
        <w:t xml:space="preserve">precise </w:t>
      </w:r>
      <w:r w:rsidR="004C756C">
        <w:t>sample used</w:t>
      </w:r>
      <w:r w:rsidR="00CD301E">
        <w:t>;</w:t>
      </w:r>
      <w:r w:rsidR="00BE326A">
        <w:t xml:space="preserve"> this corresponds to an average savings of either 0.70 or 0.72 </w:t>
      </w:r>
      <w:proofErr w:type="spellStart"/>
      <w:r w:rsidR="00BE326A">
        <w:t>therms</w:t>
      </w:r>
      <w:proofErr w:type="spellEnd"/>
      <w:r w:rsidR="00BE326A">
        <w:t xml:space="preserve"> per day during the heating season. H</w:t>
      </w:r>
      <w:r w:rsidR="00CD301E">
        <w:t>owever,</w:t>
      </w:r>
      <w:r w:rsidR="00B22B31">
        <w:t xml:space="preserve"> neither result was statistically significant</w:t>
      </w:r>
      <w:r>
        <w:t>.</w:t>
      </w:r>
      <w:r w:rsidR="00E71146">
        <w:rPr>
          <w:rStyle w:val="FootnoteReference"/>
        </w:rPr>
        <w:footnoteReference w:id="3"/>
      </w:r>
      <w:r>
        <w:t xml:space="preserve"> </w:t>
      </w:r>
      <w:r w:rsidR="00BE326A">
        <w:t>C</w:t>
      </w:r>
      <w:r w:rsidR="00DA3008">
        <w:t>onvert</w:t>
      </w:r>
      <w:r w:rsidR="00BE326A">
        <w:t>ing</w:t>
      </w:r>
      <w:r w:rsidR="00DA3008">
        <w:t xml:space="preserve"> our </w:t>
      </w:r>
      <w:r w:rsidR="00DB136C">
        <w:t>all</w:t>
      </w:r>
      <w:r w:rsidR="00DA3008">
        <w:t>-</w:t>
      </w:r>
      <w:r w:rsidR="00DB136C">
        <w:t>uses</w:t>
      </w:r>
      <w:r w:rsidR="00DA3008">
        <w:t xml:space="preserve"> results to the same basis as t</w:t>
      </w:r>
      <w:r>
        <w:t xml:space="preserve">he </w:t>
      </w:r>
      <w:r w:rsidR="00DB136C">
        <w:t xml:space="preserve">provisional </w:t>
      </w:r>
      <w:r w:rsidR="001D3ED9">
        <w:t>heating reduction parameter</w:t>
      </w:r>
      <w:r w:rsidR="00DB136C">
        <w:t xml:space="preserve"> in the TRM</w:t>
      </w:r>
      <w:r w:rsidR="003962DF">
        <w:t xml:space="preserve"> </w:t>
      </w:r>
      <w:r w:rsidR="00990525">
        <w:t>(</w:t>
      </w:r>
      <w:r w:rsidR="001D3ED9">
        <w:t xml:space="preserve">i.e., </w:t>
      </w:r>
      <w:r w:rsidR="00BE326A">
        <w:t xml:space="preserve">expressed as the </w:t>
      </w:r>
      <w:r w:rsidR="00990525">
        <w:t xml:space="preserve">percent reduction in </w:t>
      </w:r>
      <w:r w:rsidR="007962CA" w:rsidRPr="004C756C">
        <w:rPr>
          <w:i/>
          <w:iCs/>
        </w:rPr>
        <w:t>heat</w:t>
      </w:r>
      <w:r w:rsidR="003962DF" w:rsidRPr="004C756C">
        <w:rPr>
          <w:i/>
          <w:iCs/>
        </w:rPr>
        <w:t>ing</w:t>
      </w:r>
      <w:r>
        <w:t xml:space="preserve"> </w:t>
      </w:r>
      <w:r w:rsidR="00DA3008">
        <w:t xml:space="preserve">energy </w:t>
      </w:r>
      <w:r w:rsidR="00990525">
        <w:t>usage</w:t>
      </w:r>
      <w:r w:rsidR="001D3ED9">
        <w:t>)</w:t>
      </w:r>
      <w:r w:rsidR="00062463">
        <w:t xml:space="preserve"> </w:t>
      </w:r>
      <w:r w:rsidR="006473E0">
        <w:t xml:space="preserve">would require deriving </w:t>
      </w:r>
      <w:r w:rsidR="00990525">
        <w:t>the heating</w:t>
      </w:r>
      <w:r w:rsidR="00C81F21">
        <w:t xml:space="preserve"> share of </w:t>
      </w:r>
      <w:r w:rsidR="007962CA">
        <w:t xml:space="preserve">total </w:t>
      </w:r>
      <w:r w:rsidR="00990525">
        <w:t xml:space="preserve">natural </w:t>
      </w:r>
      <w:r w:rsidR="007962CA">
        <w:t>gas usage</w:t>
      </w:r>
      <w:r w:rsidR="001D3ED9">
        <w:t xml:space="preserve"> by building type and climate zone</w:t>
      </w:r>
      <w:r w:rsidR="006473E0">
        <w:t xml:space="preserve"> during the heating season</w:t>
      </w:r>
      <w:r w:rsidR="005E3664">
        <w:t xml:space="preserve">, and </w:t>
      </w:r>
      <w:r w:rsidR="006473E0">
        <w:t>using</w:t>
      </w:r>
      <w:r w:rsidR="005E3664">
        <w:t xml:space="preserve"> the heating shares to convert all-use</w:t>
      </w:r>
      <w:r w:rsidR="00DB136C">
        <w:t xml:space="preserve"> </w:t>
      </w:r>
      <w:r w:rsidR="00DB136C">
        <w:lastRenderedPageBreak/>
        <w:t>savings to heating energy savings</w:t>
      </w:r>
      <w:r w:rsidR="00DA3008">
        <w:t>.</w:t>
      </w:r>
      <w:r w:rsidR="00C81F21">
        <w:rPr>
          <w:rStyle w:val="FootnoteReference"/>
        </w:rPr>
        <w:footnoteReference w:id="4"/>
      </w:r>
      <w:r w:rsidR="00E106A6">
        <w:t xml:space="preserve"> </w:t>
      </w:r>
      <w:r w:rsidR="00BE326A">
        <w:t xml:space="preserve">While these results are insufficiently </w:t>
      </w:r>
      <w:r w:rsidR="005B0ADE">
        <w:t>reliable</w:t>
      </w:r>
      <w:r w:rsidR="00BE326A">
        <w:t xml:space="preserve"> to justify replacing the current provisional heating reduction parameter in the</w:t>
      </w:r>
      <w:r w:rsidR="005B0ADE">
        <w:t xml:space="preserve"> provisional</w:t>
      </w:r>
      <w:r w:rsidR="00BE326A">
        <w:t xml:space="preserve"> TRM</w:t>
      </w:r>
      <w:r w:rsidR="005B0ADE">
        <w:t xml:space="preserve"> measure</w:t>
      </w:r>
      <w:r w:rsidR="00BE326A">
        <w:t xml:space="preserve">, they are broadly consistent with </w:t>
      </w:r>
      <w:r w:rsidR="005B0ADE">
        <w:t>i</w:t>
      </w:r>
      <w:r w:rsidR="00BE326A">
        <w:t>t:</w:t>
      </w:r>
    </w:p>
    <w:p w14:paraId="5B8AC63E" w14:textId="741CC0B5" w:rsidR="00BE326A" w:rsidRDefault="00BE326A" w:rsidP="00114D80"/>
    <w:p w14:paraId="7A578628" w14:textId="1DAE59FC" w:rsidR="00BE326A" w:rsidRDefault="00BE326A" w:rsidP="00BE326A">
      <w:pPr>
        <w:pStyle w:val="ListParagraph"/>
        <w:numPr>
          <w:ilvl w:val="0"/>
          <w:numId w:val="41"/>
        </w:numPr>
      </w:pPr>
      <w:r>
        <w:t xml:space="preserve">Given a 212-day heating season (October 1 – April 30), </w:t>
      </w:r>
      <w:r w:rsidR="008B3F0F">
        <w:t>our results</w:t>
      </w:r>
      <w:r>
        <w:t xml:space="preserve"> imply</w:t>
      </w:r>
      <w:r w:rsidR="0098282E">
        <w:t xml:space="preserve"> an average</w:t>
      </w:r>
      <w:r>
        <w:t xml:space="preserve"> savings of roughly 150 </w:t>
      </w:r>
      <w:proofErr w:type="spellStart"/>
      <w:r>
        <w:t>therms</w:t>
      </w:r>
      <w:proofErr w:type="spellEnd"/>
      <w:r>
        <w:t xml:space="preserve"> per year</w:t>
      </w:r>
      <w:r w:rsidR="0098282E">
        <w:t xml:space="preserve">; the </w:t>
      </w:r>
      <w:r w:rsidR="00190228">
        <w:t xml:space="preserve">current provisional </w:t>
      </w:r>
      <w:r w:rsidR="0098282E">
        <w:t xml:space="preserve">TRM </w:t>
      </w:r>
      <w:r w:rsidR="009E578B">
        <w:t xml:space="preserve">v9.0 </w:t>
      </w:r>
      <w:r w:rsidR="00190228">
        <w:t xml:space="preserve">measure </w:t>
      </w:r>
      <w:r w:rsidR="007249DD">
        <w:t xml:space="preserve">yields savings of 148 </w:t>
      </w:r>
      <w:proofErr w:type="spellStart"/>
      <w:r w:rsidR="007249DD">
        <w:t>therms</w:t>
      </w:r>
      <w:proofErr w:type="spellEnd"/>
      <w:r w:rsidR="007249DD">
        <w:t xml:space="preserve"> under </w:t>
      </w:r>
      <w:r w:rsidR="008B3F0F">
        <w:t>typical</w:t>
      </w:r>
      <w:r w:rsidR="007249DD">
        <w:t xml:space="preserve"> assumptions</w:t>
      </w:r>
      <w:r w:rsidR="00180F30">
        <w:t xml:space="preserve"> for the TRM algorithm below</w:t>
      </w:r>
      <w:r w:rsidR="007249DD">
        <w:t>.</w:t>
      </w:r>
      <w:r w:rsidR="007249DD">
        <w:rPr>
          <w:rStyle w:val="FootnoteReference"/>
        </w:rPr>
        <w:footnoteReference w:id="5"/>
      </w:r>
    </w:p>
    <w:p w14:paraId="162F4D88" w14:textId="6F55CA18" w:rsidR="0050283B" w:rsidRDefault="0050283B" w:rsidP="0050283B"/>
    <w:p w14:paraId="4D8A5FAB" w14:textId="77777777" w:rsidR="0050283B" w:rsidRPr="0050283B" w:rsidRDefault="0050283B" w:rsidP="0050283B">
      <w:pPr>
        <w:pStyle w:val="Default"/>
        <w:ind w:firstLine="720"/>
        <w:rPr>
          <w:rFonts w:asciiTheme="minorHAnsi" w:hAnsiTheme="minorHAnsi" w:cstheme="minorHAnsi"/>
          <w:i/>
          <w:iCs/>
          <w:sz w:val="20"/>
          <w:szCs w:val="20"/>
        </w:rPr>
      </w:pPr>
      <w:proofErr w:type="spellStart"/>
      <w:r w:rsidRPr="0050283B">
        <w:rPr>
          <w:rFonts w:asciiTheme="minorHAnsi" w:hAnsiTheme="minorHAnsi" w:cstheme="minorHAnsi"/>
          <w:i/>
          <w:iCs/>
          <w:sz w:val="20"/>
          <w:szCs w:val="20"/>
        </w:rPr>
        <w:t>ΔTherms</w:t>
      </w:r>
      <w:proofErr w:type="spellEnd"/>
      <w:r w:rsidRPr="0050283B">
        <w:rPr>
          <w:rFonts w:asciiTheme="minorHAnsi" w:hAnsiTheme="minorHAnsi" w:cstheme="minorHAnsi"/>
          <w:i/>
          <w:iCs/>
          <w:sz w:val="20"/>
          <w:szCs w:val="20"/>
        </w:rPr>
        <w:t xml:space="preserve"> = (</w:t>
      </w:r>
      <w:proofErr w:type="spellStart"/>
      <w:r w:rsidRPr="0050283B">
        <w:rPr>
          <w:rFonts w:asciiTheme="minorHAnsi" w:hAnsiTheme="minorHAnsi" w:cstheme="minorHAnsi"/>
          <w:i/>
          <w:iCs/>
          <w:sz w:val="20"/>
          <w:szCs w:val="20"/>
        </w:rPr>
        <w:t>EFLHheat</w:t>
      </w:r>
      <w:proofErr w:type="spellEnd"/>
      <w:r w:rsidRPr="0050283B">
        <w:rPr>
          <w:rFonts w:asciiTheme="minorHAnsi" w:hAnsiTheme="minorHAnsi" w:cstheme="minorHAnsi"/>
          <w:i/>
          <w:iCs/>
          <w:sz w:val="20"/>
          <w:szCs w:val="20"/>
        </w:rPr>
        <w:t xml:space="preserve"> * Capacity * 1/AFUE * </w:t>
      </w:r>
      <w:proofErr w:type="spellStart"/>
      <w:r w:rsidRPr="0050283B">
        <w:rPr>
          <w:rFonts w:asciiTheme="minorHAnsi" w:hAnsiTheme="minorHAnsi" w:cstheme="minorHAnsi"/>
          <w:i/>
          <w:iCs/>
          <w:sz w:val="20"/>
          <w:szCs w:val="20"/>
        </w:rPr>
        <w:t>Heating_Reduction</w:t>
      </w:r>
      <w:proofErr w:type="spellEnd"/>
      <w:r w:rsidRPr="0050283B">
        <w:rPr>
          <w:rFonts w:asciiTheme="minorHAnsi" w:hAnsiTheme="minorHAnsi" w:cstheme="minorHAnsi"/>
          <w:i/>
          <w:iCs/>
          <w:sz w:val="20"/>
          <w:szCs w:val="20"/>
        </w:rPr>
        <w:t>)/ 100,000Btu/</w:t>
      </w:r>
      <w:proofErr w:type="spellStart"/>
      <w:r w:rsidRPr="0050283B">
        <w:rPr>
          <w:rFonts w:asciiTheme="minorHAnsi" w:hAnsiTheme="minorHAnsi" w:cstheme="minorHAnsi"/>
          <w:i/>
          <w:iCs/>
          <w:sz w:val="20"/>
          <w:szCs w:val="20"/>
        </w:rPr>
        <w:t>Therm</w:t>
      </w:r>
      <w:proofErr w:type="spellEnd"/>
      <w:r w:rsidRPr="0050283B">
        <w:rPr>
          <w:rFonts w:asciiTheme="minorHAnsi" w:hAnsiTheme="minorHAnsi" w:cstheme="minorHAnsi"/>
          <w:i/>
          <w:iCs/>
          <w:sz w:val="20"/>
          <w:szCs w:val="20"/>
        </w:rPr>
        <w:t xml:space="preserve"> </w:t>
      </w:r>
    </w:p>
    <w:p w14:paraId="27907733" w14:textId="77777777" w:rsidR="0050283B" w:rsidRDefault="0050283B" w:rsidP="0050283B">
      <w:pPr>
        <w:pStyle w:val="Default"/>
        <w:ind w:firstLine="720"/>
        <w:rPr>
          <w:sz w:val="20"/>
          <w:szCs w:val="20"/>
        </w:rPr>
      </w:pPr>
    </w:p>
    <w:p w14:paraId="5084FA90" w14:textId="6AAA6FD0" w:rsidR="0050283B" w:rsidRPr="0050283B" w:rsidRDefault="0050283B" w:rsidP="0050283B">
      <w:pPr>
        <w:pStyle w:val="Default"/>
        <w:ind w:firstLine="720"/>
        <w:rPr>
          <w:rFonts w:asciiTheme="minorHAnsi" w:hAnsiTheme="minorHAnsi" w:cstheme="minorHAnsi"/>
          <w:i/>
          <w:iCs/>
          <w:sz w:val="20"/>
          <w:szCs w:val="20"/>
        </w:rPr>
      </w:pPr>
      <w:r w:rsidRPr="0050283B">
        <w:rPr>
          <w:rFonts w:asciiTheme="minorHAnsi" w:hAnsiTheme="minorHAnsi" w:cstheme="minorHAnsi"/>
          <w:i/>
          <w:iCs/>
          <w:sz w:val="20"/>
          <w:szCs w:val="20"/>
        </w:rPr>
        <w:t xml:space="preserve">Where: </w:t>
      </w:r>
    </w:p>
    <w:p w14:paraId="7DBD8B85" w14:textId="1EB64EE6" w:rsidR="0050283B" w:rsidRPr="0050283B" w:rsidRDefault="0050283B" w:rsidP="008B3005">
      <w:pPr>
        <w:pStyle w:val="Default"/>
        <w:ind w:left="720" w:firstLine="720"/>
        <w:rPr>
          <w:rFonts w:asciiTheme="minorHAnsi" w:hAnsiTheme="minorHAnsi" w:cstheme="minorHAnsi"/>
          <w:i/>
          <w:iCs/>
          <w:sz w:val="20"/>
          <w:szCs w:val="20"/>
        </w:rPr>
      </w:pPr>
      <w:r w:rsidRPr="0050283B">
        <w:rPr>
          <w:rFonts w:asciiTheme="minorHAnsi" w:hAnsiTheme="minorHAnsi" w:cstheme="minorHAnsi"/>
          <w:i/>
          <w:iCs/>
          <w:sz w:val="20"/>
          <w:szCs w:val="20"/>
        </w:rPr>
        <w:t xml:space="preserve">Capacity </w:t>
      </w:r>
      <w:r>
        <w:rPr>
          <w:rFonts w:asciiTheme="minorHAnsi" w:hAnsiTheme="minorHAnsi" w:cstheme="minorHAnsi"/>
          <w:i/>
          <w:iCs/>
          <w:sz w:val="20"/>
          <w:szCs w:val="20"/>
        </w:rPr>
        <w:tab/>
      </w:r>
      <w:r w:rsidRPr="0050283B">
        <w:rPr>
          <w:rFonts w:asciiTheme="minorHAnsi" w:hAnsiTheme="minorHAnsi" w:cstheme="minorHAnsi"/>
          <w:i/>
          <w:iCs/>
          <w:sz w:val="20"/>
          <w:szCs w:val="20"/>
        </w:rPr>
        <w:t>= Nominal Heating Input Capacity (Btu/</w:t>
      </w:r>
      <w:proofErr w:type="spellStart"/>
      <w:r w:rsidRPr="0050283B">
        <w:rPr>
          <w:rFonts w:asciiTheme="minorHAnsi" w:hAnsiTheme="minorHAnsi" w:cstheme="minorHAnsi"/>
          <w:i/>
          <w:iCs/>
          <w:sz w:val="20"/>
          <w:szCs w:val="20"/>
        </w:rPr>
        <w:t>hr</w:t>
      </w:r>
      <w:proofErr w:type="spellEnd"/>
      <w:r w:rsidRPr="0050283B">
        <w:rPr>
          <w:rFonts w:asciiTheme="minorHAnsi" w:hAnsiTheme="minorHAnsi" w:cstheme="minorHAnsi"/>
          <w:i/>
          <w:iCs/>
          <w:sz w:val="20"/>
          <w:szCs w:val="20"/>
        </w:rPr>
        <w:t xml:space="preserve">) of heating system </w:t>
      </w:r>
    </w:p>
    <w:p w14:paraId="4C71DA53" w14:textId="77777777" w:rsidR="0050283B" w:rsidRPr="0050283B" w:rsidRDefault="0050283B" w:rsidP="0050283B">
      <w:pPr>
        <w:pStyle w:val="Default"/>
        <w:ind w:left="1440" w:firstLine="720"/>
        <w:rPr>
          <w:rFonts w:asciiTheme="minorHAnsi" w:hAnsiTheme="minorHAnsi" w:cstheme="minorHAnsi"/>
          <w:i/>
          <w:iCs/>
          <w:sz w:val="20"/>
          <w:szCs w:val="20"/>
        </w:rPr>
      </w:pPr>
    </w:p>
    <w:p w14:paraId="4936F06E" w14:textId="61944C9F" w:rsidR="0050283B" w:rsidRPr="0050283B" w:rsidRDefault="0050283B" w:rsidP="008B3005">
      <w:pPr>
        <w:pStyle w:val="Default"/>
        <w:ind w:left="720" w:firstLine="720"/>
        <w:rPr>
          <w:rFonts w:asciiTheme="minorHAnsi" w:hAnsiTheme="minorHAnsi" w:cstheme="minorHAnsi"/>
          <w:i/>
          <w:iCs/>
          <w:sz w:val="20"/>
          <w:szCs w:val="20"/>
        </w:rPr>
      </w:pPr>
      <w:r w:rsidRPr="0050283B">
        <w:rPr>
          <w:rFonts w:asciiTheme="minorHAnsi" w:hAnsiTheme="minorHAnsi" w:cstheme="minorHAnsi"/>
          <w:i/>
          <w:iCs/>
          <w:sz w:val="20"/>
          <w:szCs w:val="20"/>
        </w:rPr>
        <w:t xml:space="preserve">AFUE </w:t>
      </w:r>
      <w:r w:rsidRPr="0050283B">
        <w:rPr>
          <w:rFonts w:asciiTheme="minorHAnsi" w:hAnsiTheme="minorHAnsi" w:cstheme="minorHAnsi"/>
          <w:i/>
          <w:iCs/>
          <w:sz w:val="20"/>
          <w:szCs w:val="20"/>
        </w:rPr>
        <w:tab/>
      </w:r>
      <w:r>
        <w:rPr>
          <w:rFonts w:asciiTheme="minorHAnsi" w:hAnsiTheme="minorHAnsi" w:cstheme="minorHAnsi"/>
          <w:i/>
          <w:iCs/>
          <w:sz w:val="20"/>
          <w:szCs w:val="20"/>
        </w:rPr>
        <w:tab/>
      </w:r>
      <w:r w:rsidRPr="0050283B">
        <w:rPr>
          <w:rFonts w:asciiTheme="minorHAnsi" w:hAnsiTheme="minorHAnsi" w:cstheme="minorHAnsi"/>
          <w:i/>
          <w:iCs/>
          <w:sz w:val="20"/>
          <w:szCs w:val="20"/>
        </w:rPr>
        <w:t xml:space="preserve">= Annual Fuel Utilization Efficiency Rating </w:t>
      </w:r>
    </w:p>
    <w:p w14:paraId="6CD4C359" w14:textId="39570FB7" w:rsidR="0050283B" w:rsidRPr="0050283B" w:rsidRDefault="0050283B" w:rsidP="0050283B">
      <w:pPr>
        <w:rPr>
          <w:rFonts w:asciiTheme="minorHAnsi" w:hAnsiTheme="minorHAnsi" w:cstheme="minorHAnsi"/>
          <w:i/>
          <w:iCs/>
          <w:szCs w:val="20"/>
        </w:rPr>
      </w:pPr>
    </w:p>
    <w:p w14:paraId="0D57B086" w14:textId="0553D6D4" w:rsidR="0050283B" w:rsidRPr="0050283B" w:rsidRDefault="0050283B" w:rsidP="0050283B">
      <w:pPr>
        <w:pStyle w:val="Default"/>
        <w:ind w:left="2880" w:hanging="1440"/>
        <w:rPr>
          <w:rFonts w:asciiTheme="minorHAnsi" w:hAnsiTheme="minorHAnsi" w:cstheme="minorHAnsi"/>
          <w:i/>
          <w:iCs/>
          <w:sz w:val="20"/>
          <w:szCs w:val="20"/>
        </w:rPr>
      </w:pPr>
      <w:proofErr w:type="spellStart"/>
      <w:r w:rsidRPr="0050283B">
        <w:rPr>
          <w:rFonts w:asciiTheme="minorHAnsi" w:hAnsiTheme="minorHAnsi" w:cstheme="minorHAnsi"/>
          <w:i/>
          <w:iCs/>
          <w:sz w:val="20"/>
          <w:szCs w:val="20"/>
        </w:rPr>
        <w:t>EFLHheat</w:t>
      </w:r>
      <w:proofErr w:type="spellEnd"/>
      <w:r w:rsidRPr="0050283B">
        <w:rPr>
          <w:rFonts w:asciiTheme="minorHAnsi" w:hAnsiTheme="minorHAnsi" w:cstheme="minorHAnsi"/>
          <w:i/>
          <w:iCs/>
          <w:sz w:val="20"/>
          <w:szCs w:val="20"/>
        </w:rPr>
        <w:tab/>
        <w:t xml:space="preserve">= Heating mode equivalent full load hours in Existing Buildings are provided in section 4.4 HVAC End Use. </w:t>
      </w:r>
    </w:p>
    <w:p w14:paraId="2F08D71B" w14:textId="77777777" w:rsidR="0050283B" w:rsidRPr="0050283B" w:rsidRDefault="0050283B" w:rsidP="0050283B">
      <w:pPr>
        <w:pStyle w:val="Default"/>
        <w:ind w:left="2160" w:hanging="720"/>
        <w:rPr>
          <w:rFonts w:asciiTheme="minorHAnsi" w:hAnsiTheme="minorHAnsi" w:cstheme="minorHAnsi"/>
          <w:i/>
          <w:iCs/>
          <w:sz w:val="20"/>
          <w:szCs w:val="20"/>
        </w:rPr>
      </w:pPr>
    </w:p>
    <w:p w14:paraId="5C02A5FD" w14:textId="26BA480A" w:rsidR="0050283B" w:rsidRPr="0050283B" w:rsidRDefault="0050283B" w:rsidP="0050283B">
      <w:pPr>
        <w:ind w:left="2160" w:hanging="720"/>
        <w:rPr>
          <w:rFonts w:asciiTheme="minorHAnsi" w:hAnsiTheme="minorHAnsi" w:cstheme="minorHAnsi"/>
          <w:i/>
          <w:iCs/>
          <w:szCs w:val="20"/>
        </w:rPr>
      </w:pPr>
      <w:proofErr w:type="spellStart"/>
      <w:r w:rsidRPr="0050283B">
        <w:rPr>
          <w:rFonts w:asciiTheme="minorHAnsi" w:hAnsiTheme="minorHAnsi" w:cstheme="minorHAnsi"/>
          <w:i/>
          <w:iCs/>
          <w:szCs w:val="20"/>
        </w:rPr>
        <w:t>Heating_Reduction</w:t>
      </w:r>
      <w:proofErr w:type="spellEnd"/>
      <w:r w:rsidRPr="0050283B">
        <w:rPr>
          <w:rFonts w:asciiTheme="minorHAnsi" w:hAnsiTheme="minorHAnsi" w:cstheme="minorHAnsi"/>
          <w:i/>
          <w:iCs/>
          <w:szCs w:val="20"/>
        </w:rPr>
        <w:t xml:space="preserve"> = Assumed percentage reduction in total building heating energy consumption due to thermostat</w:t>
      </w:r>
    </w:p>
    <w:p w14:paraId="485D95DA" w14:textId="77777777" w:rsidR="00BE326A" w:rsidRDefault="00BE326A" w:rsidP="00BE326A">
      <w:pPr>
        <w:pStyle w:val="ListParagraph"/>
      </w:pPr>
    </w:p>
    <w:p w14:paraId="0E19DE63" w14:textId="1396A303" w:rsidR="00BE326A" w:rsidRDefault="00BE326A" w:rsidP="00BE326A">
      <w:pPr>
        <w:pStyle w:val="ListParagraph"/>
        <w:numPr>
          <w:ilvl w:val="0"/>
          <w:numId w:val="41"/>
        </w:numPr>
      </w:pPr>
      <w:r>
        <w:t xml:space="preserve">Assuming an average 80 percent heating share of total gas usage during the heating season, </w:t>
      </w:r>
      <w:r w:rsidR="001137DC">
        <w:t>our results</w:t>
      </w:r>
      <w:r>
        <w:t xml:space="preserve"> imply a heating reduction of 5 to 5.6 percent.</w:t>
      </w:r>
    </w:p>
    <w:p w14:paraId="4BAFA5E7" w14:textId="53032E18" w:rsidR="00AC75EC" w:rsidRDefault="00AC75EC" w:rsidP="00114D80"/>
    <w:p w14:paraId="3C0C33B9" w14:textId="6189DE21" w:rsidR="00AC75EC" w:rsidRDefault="00AC75EC" w:rsidP="00114D80">
      <w:r>
        <w:t xml:space="preserve">Note that </w:t>
      </w:r>
      <w:r w:rsidR="00552927">
        <w:t xml:space="preserve">virtually </w:t>
      </w:r>
      <w:r w:rsidR="00D32E8B">
        <w:t xml:space="preserve">all of the </w:t>
      </w:r>
      <w:r>
        <w:t xml:space="preserve">customers </w:t>
      </w:r>
      <w:r w:rsidR="00D32E8B">
        <w:t xml:space="preserve">in our research sample had </w:t>
      </w:r>
      <w:r>
        <w:t xml:space="preserve">installed programmable thermostats, not advanced (“smart”) thermostats. There was insufficient data available to </w:t>
      </w:r>
      <w:r w:rsidR="00D32E8B">
        <w:t xml:space="preserve">estimate </w:t>
      </w:r>
      <w:r w:rsidR="00EA7961">
        <w:t xml:space="preserve">a </w:t>
      </w:r>
      <w:r w:rsidR="00D32E8B">
        <w:t>separate impact</w:t>
      </w:r>
      <w:r w:rsidR="00EA7961">
        <w:t xml:space="preserve"> parameter</w:t>
      </w:r>
      <w:r w:rsidR="00D32E8B">
        <w:t xml:space="preserve"> for</w:t>
      </w:r>
      <w:r>
        <w:t xml:space="preserve"> advanced thermostats in this study.</w:t>
      </w:r>
    </w:p>
    <w:p w14:paraId="3A48381F" w14:textId="31E4CD2C" w:rsidR="00EE5A8C" w:rsidRDefault="00EE5A8C" w:rsidP="009601D3">
      <w:pPr>
        <w:pStyle w:val="Heading1"/>
      </w:pPr>
      <w:r w:rsidRPr="009601D3">
        <w:rPr>
          <w:rFonts w:eastAsia="Calibri"/>
          <w:color w:val="95D600"/>
        </w:rPr>
        <w:t>Research Method</w:t>
      </w:r>
    </w:p>
    <w:p w14:paraId="6EEEE341" w14:textId="2B6B4AAD" w:rsidR="000D5B5E" w:rsidRDefault="00DF4242" w:rsidP="00114D80">
      <w:r>
        <w:t>The goal of this research was to estimate</w:t>
      </w:r>
      <w:r w:rsidR="001D3ED9">
        <w:t xml:space="preserve"> the average natural gas </w:t>
      </w:r>
      <w:r w:rsidR="003E4C4A">
        <w:t xml:space="preserve">heating </w:t>
      </w:r>
      <w:r>
        <w:t xml:space="preserve">savings </w:t>
      </w:r>
      <w:r w:rsidR="002A0CDC">
        <w:t xml:space="preserve">parameter in </w:t>
      </w:r>
      <w:r w:rsidR="00464ECA">
        <w:t>the provi</w:t>
      </w:r>
      <w:r w:rsidR="002A0CDC" w:rsidRPr="002A0CDC">
        <w:t>sional SCT measure (measure 4.4.48)</w:t>
      </w:r>
      <w:r w:rsidR="00464ECA">
        <w:t xml:space="preserve"> of </w:t>
      </w:r>
      <w:r w:rsidR="002A0CDC" w:rsidRPr="002A0CDC">
        <w:t>TRM v</w:t>
      </w:r>
      <w:r w:rsidR="001D3ED9">
        <w:t>9</w:t>
      </w:r>
      <w:r w:rsidR="002A0CDC" w:rsidRPr="002A0CDC">
        <w:t>.0</w:t>
      </w:r>
      <w:r w:rsidR="00464ECA">
        <w:t xml:space="preserve"> </w:t>
      </w:r>
      <w:r w:rsidR="00DF469C">
        <w:t xml:space="preserve">based on the </w:t>
      </w:r>
      <w:r w:rsidR="003225E8">
        <w:t xml:space="preserve">observed </w:t>
      </w:r>
      <w:r w:rsidR="00DF469C">
        <w:t xml:space="preserve">experience of Illinois small commercial customers who installed </w:t>
      </w:r>
      <w:r w:rsidR="008703B9">
        <w:t xml:space="preserve">a </w:t>
      </w:r>
      <w:r w:rsidR="00DF469C">
        <w:t>programmable</w:t>
      </w:r>
      <w:r w:rsidR="008703B9">
        <w:t xml:space="preserve"> or advanced</w:t>
      </w:r>
      <w:r w:rsidR="00DF469C">
        <w:t xml:space="preserve"> thermostat.</w:t>
      </w:r>
      <w:r>
        <w:t xml:space="preserve"> </w:t>
      </w:r>
      <w:r w:rsidR="00DF469C">
        <w:t xml:space="preserve">Our </w:t>
      </w:r>
      <w:r w:rsidR="00073282">
        <w:t>basic approach</w:t>
      </w:r>
      <w:r w:rsidR="00820F30">
        <w:t xml:space="preserve"> was to apply</w:t>
      </w:r>
      <w:r w:rsidR="00073282">
        <w:t xml:space="preserve"> regression</w:t>
      </w:r>
      <w:r w:rsidR="003129CD">
        <w:t xml:space="preserve"> analysis</w:t>
      </w:r>
      <w:r w:rsidR="00073282">
        <w:t xml:space="preserve"> to</w:t>
      </w:r>
      <w:r w:rsidR="003129CD">
        <w:t xml:space="preserve"> the </w:t>
      </w:r>
      <w:r w:rsidR="001D3ED9">
        <w:t>month</w:t>
      </w:r>
      <w:r w:rsidR="003129CD">
        <w:t>ly</w:t>
      </w:r>
      <w:r w:rsidR="00073282">
        <w:t xml:space="preserve"> </w:t>
      </w:r>
      <w:r w:rsidR="00CF6F95">
        <w:t>gas usage</w:t>
      </w:r>
      <w:r w:rsidR="00234D57">
        <w:t xml:space="preserve"> data </w:t>
      </w:r>
      <w:r w:rsidR="003129CD">
        <w:t>of this group of customers</w:t>
      </w:r>
      <w:r w:rsidR="00E106A6">
        <w:t>,</w:t>
      </w:r>
      <w:r w:rsidR="00CF6F95">
        <w:t xml:space="preserve"> obtained from</w:t>
      </w:r>
      <w:r w:rsidR="003E4C4A">
        <w:t xml:space="preserve"> their</w:t>
      </w:r>
      <w:r w:rsidR="00CF6F95">
        <w:t xml:space="preserve"> billing records,</w:t>
      </w:r>
      <w:r w:rsidR="00E25312">
        <w:t xml:space="preserve"> before and after the installation of the SCT measure, </w:t>
      </w:r>
      <w:r w:rsidR="002875E0">
        <w:t>together</w:t>
      </w:r>
      <w:r w:rsidR="00E25312">
        <w:t xml:space="preserve"> with corresponding data from</w:t>
      </w:r>
      <w:r w:rsidR="003129CD">
        <w:t xml:space="preserve"> a group of matched controls</w:t>
      </w:r>
      <w:r w:rsidR="00E25312">
        <w:t>,</w:t>
      </w:r>
      <w:r w:rsidR="003129CD">
        <w:t xml:space="preserve"> during the months during which the predominant impact of installing this measure</w:t>
      </w:r>
      <w:r w:rsidR="003225E8">
        <w:t xml:space="preserve"> on energy usage</w:t>
      </w:r>
      <w:r w:rsidR="003129CD">
        <w:t xml:space="preserve"> would </w:t>
      </w:r>
      <w:r w:rsidR="00E25312">
        <w:t>result from</w:t>
      </w:r>
      <w:r w:rsidR="003129CD">
        <w:t xml:space="preserve"> reduced </w:t>
      </w:r>
      <w:r w:rsidR="00CF6F95">
        <w:t>heat</w:t>
      </w:r>
      <w:r w:rsidR="003129CD">
        <w:t>ing demand.</w:t>
      </w:r>
      <w:r w:rsidR="00603AEA">
        <w:rPr>
          <w:rStyle w:val="FootnoteReference"/>
        </w:rPr>
        <w:footnoteReference w:id="6"/>
      </w:r>
    </w:p>
    <w:p w14:paraId="2584949B" w14:textId="77777777" w:rsidR="000D5B5E" w:rsidRPr="009601D3" w:rsidRDefault="000D5B5E" w:rsidP="00114D80">
      <w:pPr>
        <w:pStyle w:val="Heading1"/>
      </w:pPr>
      <w:r w:rsidRPr="009601D3">
        <w:lastRenderedPageBreak/>
        <w:t>Data</w:t>
      </w:r>
    </w:p>
    <w:p w14:paraId="7738B3A0" w14:textId="583A271E" w:rsidR="00603AEA" w:rsidRDefault="000E6B13" w:rsidP="00114D80">
      <w:r>
        <w:t>For this</w:t>
      </w:r>
      <w:r w:rsidR="003E4C4A">
        <w:t xml:space="preserve"> research</w:t>
      </w:r>
      <w:r>
        <w:t xml:space="preserve"> we identified a potential</w:t>
      </w:r>
      <w:r w:rsidR="003E4C4A">
        <w:t xml:space="preserve"> sample </w:t>
      </w:r>
      <w:r>
        <w:t xml:space="preserve">of </w:t>
      </w:r>
      <w:r w:rsidR="00A36338">
        <w:t>2</w:t>
      </w:r>
      <w:r w:rsidR="00632201">
        <w:t>7</w:t>
      </w:r>
      <w:r w:rsidR="00A36338">
        <w:t>5</w:t>
      </w:r>
      <w:r>
        <w:t xml:space="preserve"> </w:t>
      </w:r>
      <w:r w:rsidR="00E106A6">
        <w:t xml:space="preserve">SCT </w:t>
      </w:r>
      <w:r>
        <w:t xml:space="preserve">projects from </w:t>
      </w:r>
      <w:r w:rsidRPr="000E6B13">
        <w:rPr>
          <w:szCs w:val="20"/>
        </w:rPr>
        <w:t>three sources: the Nicor Gas Small Business</w:t>
      </w:r>
      <w:r w:rsidR="00E106A6">
        <w:rPr>
          <w:szCs w:val="20"/>
        </w:rPr>
        <w:t xml:space="preserve"> Energy Savings</w:t>
      </w:r>
      <w:r>
        <w:rPr>
          <w:szCs w:val="20"/>
        </w:rPr>
        <w:t xml:space="preserve"> (SBES)</w:t>
      </w:r>
      <w:r w:rsidRPr="000E6B13">
        <w:rPr>
          <w:szCs w:val="20"/>
        </w:rPr>
        <w:t xml:space="preserve"> Program, the Nicor Gas </w:t>
      </w:r>
      <w:r>
        <w:rPr>
          <w:szCs w:val="20"/>
        </w:rPr>
        <w:t>Business Energy Efficiency Rebates (</w:t>
      </w:r>
      <w:r w:rsidRPr="000E6B13">
        <w:rPr>
          <w:szCs w:val="20"/>
        </w:rPr>
        <w:t>BEER</w:t>
      </w:r>
      <w:r>
        <w:rPr>
          <w:szCs w:val="20"/>
        </w:rPr>
        <w:t>)</w:t>
      </w:r>
      <w:r w:rsidRPr="000E6B13">
        <w:rPr>
          <w:szCs w:val="20"/>
        </w:rPr>
        <w:t xml:space="preserve"> Program, and the ComEd </w:t>
      </w:r>
      <w:proofErr w:type="spellStart"/>
      <w:r w:rsidRPr="000E6B13">
        <w:rPr>
          <w:szCs w:val="20"/>
        </w:rPr>
        <w:t>AirCare</w:t>
      </w:r>
      <w:proofErr w:type="spellEnd"/>
      <w:r w:rsidRPr="000E6B13">
        <w:rPr>
          <w:szCs w:val="20"/>
        </w:rPr>
        <w:t xml:space="preserve"> Plus</w:t>
      </w:r>
      <w:r>
        <w:rPr>
          <w:szCs w:val="20"/>
        </w:rPr>
        <w:t xml:space="preserve"> (ACP)</w:t>
      </w:r>
      <w:r w:rsidRPr="000E6B13">
        <w:rPr>
          <w:szCs w:val="20"/>
        </w:rPr>
        <w:t xml:space="preserve"> Program. For the Nicor Gas programs, we selected participants that installed commercial programmable thermostats as the only measure in </w:t>
      </w:r>
      <w:r w:rsidR="002C13EE">
        <w:rPr>
          <w:szCs w:val="20"/>
        </w:rPr>
        <w:t xml:space="preserve">GPY4, GPY5, </w:t>
      </w:r>
      <w:r w:rsidRPr="000E6B13">
        <w:rPr>
          <w:szCs w:val="20"/>
        </w:rPr>
        <w:t xml:space="preserve">GPY6, 2018, or 2019 (prior to September 1, 2019 </w:t>
      </w:r>
      <w:r>
        <w:rPr>
          <w:szCs w:val="20"/>
        </w:rPr>
        <w:t>t</w:t>
      </w:r>
      <w:r w:rsidRPr="000E6B13">
        <w:rPr>
          <w:szCs w:val="20"/>
        </w:rPr>
        <w:t xml:space="preserve">o </w:t>
      </w:r>
      <w:r>
        <w:rPr>
          <w:szCs w:val="20"/>
        </w:rPr>
        <w:t>permit the</w:t>
      </w:r>
      <w:r w:rsidRPr="000E6B13">
        <w:rPr>
          <w:szCs w:val="20"/>
        </w:rPr>
        <w:t xml:space="preserve"> use</w:t>
      </w:r>
      <w:r>
        <w:rPr>
          <w:szCs w:val="20"/>
        </w:rPr>
        <w:t xml:space="preserve"> of the</w:t>
      </w:r>
      <w:r w:rsidRPr="000E6B13">
        <w:rPr>
          <w:szCs w:val="20"/>
        </w:rPr>
        <w:t xml:space="preserve"> 2019/20 heating season)</w:t>
      </w:r>
      <w:r w:rsidR="00632201">
        <w:rPr>
          <w:szCs w:val="20"/>
        </w:rPr>
        <w:t>;</w:t>
      </w:r>
      <w:r w:rsidRPr="000E6B13">
        <w:rPr>
          <w:szCs w:val="20"/>
        </w:rPr>
        <w:t xml:space="preserve"> </w:t>
      </w:r>
      <w:r w:rsidR="00632201">
        <w:rPr>
          <w:szCs w:val="20"/>
        </w:rPr>
        <w:t>w</w:t>
      </w:r>
      <w:r w:rsidRPr="000E6B13">
        <w:rPr>
          <w:szCs w:val="20"/>
        </w:rPr>
        <w:t xml:space="preserve">e included the BEER program because </w:t>
      </w:r>
      <w:r w:rsidR="00632201">
        <w:rPr>
          <w:szCs w:val="20"/>
        </w:rPr>
        <w:t>we deemed the</w:t>
      </w:r>
      <w:r w:rsidRPr="000E6B13">
        <w:rPr>
          <w:szCs w:val="20"/>
        </w:rPr>
        <w:t xml:space="preserve"> </w:t>
      </w:r>
      <w:r w:rsidR="008B3F0F">
        <w:rPr>
          <w:szCs w:val="20"/>
        </w:rPr>
        <w:t xml:space="preserve">size of the sample from the </w:t>
      </w:r>
      <w:r w:rsidRPr="000E6B13">
        <w:rPr>
          <w:szCs w:val="20"/>
        </w:rPr>
        <w:t>SB</w:t>
      </w:r>
      <w:r w:rsidR="00632201">
        <w:rPr>
          <w:szCs w:val="20"/>
        </w:rPr>
        <w:t>ES</w:t>
      </w:r>
      <w:r w:rsidRPr="000E6B13">
        <w:rPr>
          <w:szCs w:val="20"/>
        </w:rPr>
        <w:t xml:space="preserve"> program</w:t>
      </w:r>
      <w:r w:rsidR="00632201">
        <w:rPr>
          <w:szCs w:val="20"/>
        </w:rPr>
        <w:t xml:space="preserve"> to be too </w:t>
      </w:r>
      <w:r w:rsidR="008B3F0F">
        <w:rPr>
          <w:szCs w:val="20"/>
        </w:rPr>
        <w:t>small by itself</w:t>
      </w:r>
      <w:r w:rsidRPr="000E6B13">
        <w:rPr>
          <w:szCs w:val="20"/>
        </w:rPr>
        <w:t>, and the eligibility of the BEER thermostat rebate is targeted to small commercial type heating systems. The AC</w:t>
      </w:r>
      <w:r w:rsidR="00632201">
        <w:rPr>
          <w:szCs w:val="20"/>
        </w:rPr>
        <w:t>P</w:t>
      </w:r>
      <w:r w:rsidRPr="000E6B13">
        <w:rPr>
          <w:szCs w:val="20"/>
        </w:rPr>
        <w:t xml:space="preserve"> sites</w:t>
      </w:r>
      <w:r>
        <w:rPr>
          <w:sz w:val="22"/>
          <w:szCs w:val="22"/>
        </w:rPr>
        <w:t xml:space="preserve"> </w:t>
      </w:r>
      <w:r w:rsidR="003E4C4A">
        <w:t>consisted of Nicor Gas customers that had installed a programmable or advanced thermostat</w:t>
      </w:r>
      <w:r w:rsidR="00632201">
        <w:t xml:space="preserve"> (and no other measure)</w:t>
      </w:r>
      <w:r w:rsidR="003E4C4A">
        <w:t xml:space="preserve"> through </w:t>
      </w:r>
      <w:proofErr w:type="spellStart"/>
      <w:r w:rsidR="00E106A6">
        <w:t>ComEd’s</w:t>
      </w:r>
      <w:proofErr w:type="spellEnd"/>
      <w:r w:rsidR="00E106A6">
        <w:t xml:space="preserve"> </w:t>
      </w:r>
      <w:r>
        <w:t>ACP</w:t>
      </w:r>
      <w:r w:rsidR="00E106A6">
        <w:t xml:space="preserve"> Program</w:t>
      </w:r>
      <w:r w:rsidR="003E4C4A">
        <w:t>.</w:t>
      </w:r>
      <w:r w:rsidR="00632201">
        <w:rPr>
          <w:rStyle w:val="FootnoteReference"/>
        </w:rPr>
        <w:footnoteReference w:id="7"/>
      </w:r>
      <w:r w:rsidR="00632201">
        <w:t xml:space="preserve"> </w:t>
      </w:r>
      <w:r w:rsidR="008B3F0F">
        <w:t>To be included, customers</w:t>
      </w:r>
      <w:r w:rsidR="004B5855">
        <w:t xml:space="preserve"> had to have billing</w:t>
      </w:r>
      <w:r w:rsidR="000A402E">
        <w:t xml:space="preserve"> data </w:t>
      </w:r>
      <w:r w:rsidR="003225E8">
        <w:t xml:space="preserve">sufficient </w:t>
      </w:r>
      <w:r w:rsidR="000A402E">
        <w:t xml:space="preserve">to cover </w:t>
      </w:r>
      <w:r w:rsidR="002F719F">
        <w:t>at least one</w:t>
      </w:r>
      <w:r w:rsidR="000A402E">
        <w:t xml:space="preserve"> complete </w:t>
      </w:r>
      <w:r w:rsidR="005D0402">
        <w:t xml:space="preserve">heating </w:t>
      </w:r>
      <w:r w:rsidR="000A402E">
        <w:t xml:space="preserve">season from both the pre-install and post-install </w:t>
      </w:r>
      <w:r w:rsidR="004B5855">
        <w:t>heat</w:t>
      </w:r>
      <w:r w:rsidR="000A402E">
        <w:t xml:space="preserve">ing </w:t>
      </w:r>
      <w:r w:rsidR="003225E8">
        <w:t>period</w:t>
      </w:r>
      <w:r w:rsidR="000A402E">
        <w:t>s.</w:t>
      </w:r>
      <w:r w:rsidR="004B5855">
        <w:t xml:space="preserve"> The research sample also included a pool of </w:t>
      </w:r>
      <w:r w:rsidR="009623C8">
        <w:t>6,576</w:t>
      </w:r>
      <w:r w:rsidR="009E706E">
        <w:t xml:space="preserve"> potential matched controls</w:t>
      </w:r>
      <w:r w:rsidR="009623C8">
        <w:t xml:space="preserve"> – </w:t>
      </w:r>
      <w:r w:rsidR="005F4BD6">
        <w:t xml:space="preserve">small business </w:t>
      </w:r>
      <w:r w:rsidR="009623C8">
        <w:t>customers</w:t>
      </w:r>
      <w:r w:rsidR="00E106A6">
        <w:t xml:space="preserve"> </w:t>
      </w:r>
      <w:r w:rsidR="009623C8">
        <w:t xml:space="preserve">that had </w:t>
      </w:r>
      <w:r w:rsidR="005F4BD6">
        <w:t xml:space="preserve">not </w:t>
      </w:r>
      <w:r w:rsidR="009623C8">
        <w:t>participated in</w:t>
      </w:r>
      <w:r w:rsidR="00E106A6">
        <w:t xml:space="preserve"> </w:t>
      </w:r>
      <w:r w:rsidR="00E003EB">
        <w:t>a</w:t>
      </w:r>
      <w:r w:rsidR="00E106A6">
        <w:t xml:space="preserve"> Nicor</w:t>
      </w:r>
      <w:r w:rsidR="009623C8">
        <w:t xml:space="preserve"> Gas</w:t>
      </w:r>
      <w:r w:rsidR="00E106A6">
        <w:t xml:space="preserve"> </w:t>
      </w:r>
      <w:r w:rsidR="00E003EB">
        <w:t xml:space="preserve">rebate </w:t>
      </w:r>
      <w:r w:rsidR="00E106A6">
        <w:t>program</w:t>
      </w:r>
      <w:r w:rsidR="005F4BD6">
        <w:t>.</w:t>
      </w:r>
      <w:r w:rsidR="00E106A6">
        <w:t xml:space="preserve"> A</w:t>
      </w:r>
      <w:r w:rsidR="009E706E">
        <w:t xml:space="preserve">fter data cleaning </w:t>
      </w:r>
      <w:r w:rsidR="009623C8">
        <w:t xml:space="preserve">and matching, </w:t>
      </w:r>
      <w:r w:rsidR="009E706E">
        <w:t xml:space="preserve">the final analysis data set consisted of </w:t>
      </w:r>
      <w:r w:rsidR="009623C8">
        <w:t>152</w:t>
      </w:r>
      <w:r w:rsidR="009E706E">
        <w:t xml:space="preserve"> </w:t>
      </w:r>
      <w:r w:rsidR="009623C8">
        <w:t>treatment</w:t>
      </w:r>
      <w:r w:rsidR="009E706E">
        <w:t xml:space="preserve"> customers and </w:t>
      </w:r>
      <w:r w:rsidR="009623C8">
        <w:t>6,559</w:t>
      </w:r>
      <w:r w:rsidR="009E706E">
        <w:t xml:space="preserve"> potential matches</w:t>
      </w:r>
      <w:r w:rsidR="004B1D6F">
        <w:t xml:space="preserve"> (</w:t>
      </w:r>
      <w:r w:rsidR="009623C8">
        <w:t>146</w:t>
      </w:r>
      <w:r w:rsidR="004B1D6F">
        <w:t xml:space="preserve"> of whom were selected as matches)</w:t>
      </w:r>
      <w:r w:rsidR="00093BC7">
        <w:t>. The cleaning steps we took</w:t>
      </w:r>
      <w:r w:rsidR="002875E0">
        <w:t>, a</w:t>
      </w:r>
      <w:r w:rsidR="00093BC7">
        <w:t>nd their impacts on the sample, are</w:t>
      </w:r>
      <w:r w:rsidR="009E706E">
        <w:t xml:space="preserve"> shown in </w:t>
      </w:r>
      <w:r w:rsidR="009E706E" w:rsidRPr="009E706E">
        <w:fldChar w:fldCharType="begin"/>
      </w:r>
      <w:r w:rsidR="009E706E" w:rsidRPr="009E706E">
        <w:instrText xml:space="preserve"> REF _Ref28179508 \h  \* MERGEFORMAT </w:instrText>
      </w:r>
      <w:r w:rsidR="009E706E" w:rsidRPr="009E706E">
        <w:fldChar w:fldCharType="separate"/>
      </w:r>
      <w:r w:rsidR="008531D6" w:rsidRPr="008531D6">
        <w:rPr>
          <w:szCs w:val="20"/>
        </w:rPr>
        <w:t xml:space="preserve">Table </w:t>
      </w:r>
      <w:r w:rsidR="008531D6" w:rsidRPr="008531D6">
        <w:rPr>
          <w:noProof/>
          <w:szCs w:val="20"/>
        </w:rPr>
        <w:t>1</w:t>
      </w:r>
      <w:r w:rsidR="009E706E" w:rsidRPr="009E706E">
        <w:fldChar w:fldCharType="end"/>
      </w:r>
      <w:r w:rsidR="009E706E">
        <w:t>.</w:t>
      </w:r>
    </w:p>
    <w:p w14:paraId="55500B38" w14:textId="77777777" w:rsidR="000D5B5E" w:rsidRDefault="000A402E" w:rsidP="000D5B5E">
      <w:pPr>
        <w:pStyle w:val="MemoBody"/>
      </w:pPr>
      <w:r>
        <w:t xml:space="preserve"> </w:t>
      </w:r>
    </w:p>
    <w:p w14:paraId="7ACB3430" w14:textId="23A1E1B8" w:rsidR="00591266" w:rsidRDefault="00591266" w:rsidP="00A568D5">
      <w:pPr>
        <w:pStyle w:val="Caption"/>
        <w:rPr>
          <w:b w:val="0"/>
          <w:i/>
        </w:rPr>
      </w:pPr>
      <w:bookmarkStart w:id="0" w:name="_Ref28179508"/>
      <w:r w:rsidRPr="00591266">
        <w:t xml:space="preserve">Table </w:t>
      </w:r>
      <w:r w:rsidR="00AE0285">
        <w:rPr>
          <w:noProof/>
        </w:rPr>
        <w:fldChar w:fldCharType="begin"/>
      </w:r>
      <w:r w:rsidR="00AE0285">
        <w:rPr>
          <w:noProof/>
        </w:rPr>
        <w:instrText xml:space="preserve"> SEQ Table \* ARABIC </w:instrText>
      </w:r>
      <w:r w:rsidR="00AE0285">
        <w:rPr>
          <w:noProof/>
        </w:rPr>
        <w:fldChar w:fldCharType="separate"/>
      </w:r>
      <w:r w:rsidR="008531D6">
        <w:rPr>
          <w:noProof/>
        </w:rPr>
        <w:t>1</w:t>
      </w:r>
      <w:r w:rsidR="00AE0285">
        <w:rPr>
          <w:noProof/>
        </w:rPr>
        <w:fldChar w:fldCharType="end"/>
      </w:r>
      <w:bookmarkEnd w:id="0"/>
      <w:r w:rsidRPr="00591266">
        <w:t xml:space="preserve">. </w:t>
      </w:r>
      <w:r>
        <w:t>Effects of Data Cleaning Steps on Sample Size</w:t>
      </w:r>
    </w:p>
    <w:p w14:paraId="678AA6C7" w14:textId="36F16CC2" w:rsidR="00141A6D" w:rsidRDefault="00A36338" w:rsidP="000D5B5E">
      <w:pPr>
        <w:pStyle w:val="MemoBody"/>
        <w:rPr>
          <w:rFonts w:cs="Arial"/>
          <w:sz w:val="16"/>
          <w:szCs w:val="16"/>
        </w:rPr>
      </w:pPr>
      <w:r w:rsidRPr="00A36338">
        <w:rPr>
          <w:noProof/>
        </w:rPr>
        <w:drawing>
          <wp:inline distT="0" distB="0" distL="0" distR="0" wp14:anchorId="328CA599" wp14:editId="755587DA">
            <wp:extent cx="6029325" cy="9553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710" cy="960127"/>
                    </a:xfrm>
                    <a:prstGeom prst="rect">
                      <a:avLst/>
                    </a:prstGeom>
                    <a:noFill/>
                    <a:ln>
                      <a:noFill/>
                    </a:ln>
                  </pic:spPr>
                </pic:pic>
              </a:graphicData>
            </a:graphic>
          </wp:inline>
        </w:drawing>
      </w:r>
    </w:p>
    <w:p w14:paraId="6454CE09" w14:textId="2BD150F7" w:rsidR="003E2BE5" w:rsidRDefault="00163C78" w:rsidP="000D5B5E">
      <w:pPr>
        <w:pStyle w:val="MemoBody"/>
        <w:rPr>
          <w:rFonts w:cs="Arial"/>
          <w:i/>
          <w:sz w:val="16"/>
          <w:szCs w:val="16"/>
        </w:rPr>
      </w:pPr>
      <w:r>
        <w:rPr>
          <w:rFonts w:cs="Arial"/>
          <w:i/>
          <w:sz w:val="16"/>
          <w:szCs w:val="16"/>
        </w:rPr>
        <w:t xml:space="preserve">Source: </w:t>
      </w:r>
      <w:r w:rsidR="00A36338">
        <w:rPr>
          <w:rFonts w:cs="Arial"/>
          <w:i/>
          <w:sz w:val="16"/>
          <w:szCs w:val="16"/>
        </w:rPr>
        <w:t>Nicor Gas</w:t>
      </w:r>
      <w:r>
        <w:rPr>
          <w:rFonts w:cs="Arial"/>
          <w:i/>
          <w:sz w:val="16"/>
          <w:szCs w:val="16"/>
        </w:rPr>
        <w:t xml:space="preserve"> data and </w:t>
      </w:r>
      <w:proofErr w:type="spellStart"/>
      <w:r w:rsidR="00A36338">
        <w:rPr>
          <w:rFonts w:cs="Arial"/>
          <w:i/>
          <w:sz w:val="16"/>
          <w:szCs w:val="16"/>
        </w:rPr>
        <w:t>Guidehouse</w:t>
      </w:r>
      <w:proofErr w:type="spellEnd"/>
      <w:r>
        <w:rPr>
          <w:rFonts w:cs="Arial"/>
          <w:i/>
          <w:sz w:val="16"/>
          <w:szCs w:val="16"/>
        </w:rPr>
        <w:t xml:space="preserve"> analysis.</w:t>
      </w:r>
    </w:p>
    <w:p w14:paraId="181BD0BA" w14:textId="7E231D7F" w:rsidR="001E4CEC" w:rsidRDefault="001E4CEC" w:rsidP="000D5B5E">
      <w:pPr>
        <w:pStyle w:val="MemoBody"/>
      </w:pPr>
    </w:p>
    <w:p w14:paraId="6EF40EA5" w14:textId="6BAD2FA5" w:rsidR="001E4CEC" w:rsidRDefault="001E4CEC" w:rsidP="000D5B5E">
      <w:pPr>
        <w:pStyle w:val="MemoBody"/>
      </w:pPr>
      <w:r>
        <w:t xml:space="preserve">The final research sample comprised a </w:t>
      </w:r>
      <w:r w:rsidR="00AB7E8F">
        <w:t xml:space="preserve">variety of building types, as shown in </w:t>
      </w:r>
      <w:r w:rsidR="00AB7E8F">
        <w:fldChar w:fldCharType="begin"/>
      </w:r>
      <w:r w:rsidR="00AB7E8F">
        <w:instrText xml:space="preserve"> REF _Ref63967063 \h </w:instrText>
      </w:r>
      <w:r w:rsidR="00AB7E8F">
        <w:fldChar w:fldCharType="separate"/>
      </w:r>
      <w:r w:rsidR="008531D6">
        <w:t xml:space="preserve">Table </w:t>
      </w:r>
      <w:r w:rsidR="008531D6">
        <w:rPr>
          <w:noProof/>
        </w:rPr>
        <w:t>2</w:t>
      </w:r>
      <w:r w:rsidR="008531D6">
        <w:t>.</w:t>
      </w:r>
      <w:r w:rsidR="00AB7E8F">
        <w:fldChar w:fldCharType="end"/>
      </w:r>
    </w:p>
    <w:p w14:paraId="226C662C" w14:textId="77777777" w:rsidR="00E003EB" w:rsidRDefault="00E003EB" w:rsidP="000D5B5E">
      <w:pPr>
        <w:pStyle w:val="MemoBody"/>
      </w:pPr>
    </w:p>
    <w:p w14:paraId="4C2A71B6" w14:textId="5869F40E" w:rsidR="001E4CEC" w:rsidRDefault="001E4CEC" w:rsidP="001E4CEC">
      <w:pPr>
        <w:pStyle w:val="Caption"/>
      </w:pPr>
      <w:bookmarkStart w:id="1" w:name="_Ref63967063"/>
      <w:r>
        <w:lastRenderedPageBreak/>
        <w:t xml:space="preserve">Table </w:t>
      </w:r>
      <w:r w:rsidR="005C5AAC">
        <w:fldChar w:fldCharType="begin"/>
      </w:r>
      <w:r w:rsidR="005C5AAC">
        <w:instrText xml:space="preserve"> SEQ Table \* ARABIC </w:instrText>
      </w:r>
      <w:r w:rsidR="005C5AAC">
        <w:fldChar w:fldCharType="separate"/>
      </w:r>
      <w:r w:rsidR="008531D6">
        <w:rPr>
          <w:noProof/>
        </w:rPr>
        <w:t>2</w:t>
      </w:r>
      <w:r w:rsidR="005C5AAC">
        <w:rPr>
          <w:noProof/>
        </w:rPr>
        <w:fldChar w:fldCharType="end"/>
      </w:r>
      <w:r>
        <w:t>.</w:t>
      </w:r>
      <w:bookmarkEnd w:id="1"/>
      <w:r>
        <w:t xml:space="preserve"> </w:t>
      </w:r>
      <w:r w:rsidR="00AB7E8F">
        <w:t>Distribution of Treatment Customers by Building Type</w:t>
      </w:r>
    </w:p>
    <w:p w14:paraId="606EAB54" w14:textId="62DD518E" w:rsidR="00AB7E8F" w:rsidRPr="00AB7E8F" w:rsidRDefault="00AB7E8F" w:rsidP="00AB7E8F">
      <w:pPr>
        <w:jc w:val="center"/>
      </w:pPr>
      <w:r w:rsidRPr="00AB7E8F">
        <w:rPr>
          <w:noProof/>
        </w:rPr>
        <w:drawing>
          <wp:inline distT="0" distB="0" distL="0" distR="0" wp14:anchorId="17256BAF" wp14:editId="09176DD6">
            <wp:extent cx="2719070" cy="32918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9070" cy="3291840"/>
                    </a:xfrm>
                    <a:prstGeom prst="rect">
                      <a:avLst/>
                    </a:prstGeom>
                    <a:noFill/>
                    <a:ln>
                      <a:noFill/>
                    </a:ln>
                  </pic:spPr>
                </pic:pic>
              </a:graphicData>
            </a:graphic>
          </wp:inline>
        </w:drawing>
      </w:r>
    </w:p>
    <w:p w14:paraId="2413EE16" w14:textId="740C4AA2" w:rsidR="00AB7E8F" w:rsidRDefault="00AB7E8F" w:rsidP="00AB7E8F">
      <w:pPr>
        <w:pStyle w:val="MemoBody"/>
        <w:ind w:left="2340"/>
        <w:rPr>
          <w:rFonts w:cs="Arial"/>
          <w:i/>
          <w:sz w:val="16"/>
          <w:szCs w:val="16"/>
        </w:rPr>
      </w:pPr>
      <w:r>
        <w:rPr>
          <w:rFonts w:cs="Arial"/>
          <w:i/>
          <w:sz w:val="16"/>
          <w:szCs w:val="16"/>
        </w:rPr>
        <w:t xml:space="preserve">Source: Nicor Gas data and </w:t>
      </w:r>
      <w:proofErr w:type="spellStart"/>
      <w:r>
        <w:rPr>
          <w:rFonts w:cs="Arial"/>
          <w:i/>
          <w:sz w:val="16"/>
          <w:szCs w:val="16"/>
        </w:rPr>
        <w:t>Guidehouse</w:t>
      </w:r>
      <w:proofErr w:type="spellEnd"/>
      <w:r>
        <w:rPr>
          <w:rFonts w:cs="Arial"/>
          <w:i/>
          <w:sz w:val="16"/>
          <w:szCs w:val="16"/>
        </w:rPr>
        <w:t xml:space="preserve"> analysis.</w:t>
      </w:r>
    </w:p>
    <w:p w14:paraId="16981547" w14:textId="431C8D55" w:rsidR="00AB7E8F" w:rsidRDefault="00AB7E8F" w:rsidP="00AB7E8F">
      <w:pPr>
        <w:pStyle w:val="MemoBody"/>
        <w:rPr>
          <w:rFonts w:cs="Arial"/>
          <w:iCs/>
          <w:szCs w:val="20"/>
        </w:rPr>
      </w:pPr>
    </w:p>
    <w:p w14:paraId="3966BE09" w14:textId="3E298F26" w:rsidR="00AB7E8F" w:rsidRDefault="00AB7E8F" w:rsidP="00AB7E8F">
      <w:pPr>
        <w:pStyle w:val="MemoBody"/>
        <w:rPr>
          <w:rFonts w:cs="Arial"/>
          <w:iCs/>
          <w:szCs w:val="20"/>
        </w:rPr>
      </w:pPr>
      <w:r>
        <w:rPr>
          <w:rFonts w:cs="Arial"/>
          <w:iCs/>
          <w:szCs w:val="20"/>
        </w:rPr>
        <w:t xml:space="preserve">Out of concern that some building types might </w:t>
      </w:r>
      <w:r w:rsidR="00013BA3">
        <w:rPr>
          <w:rFonts w:cs="Arial"/>
          <w:iCs/>
          <w:szCs w:val="20"/>
        </w:rPr>
        <w:t>have usage</w:t>
      </w:r>
      <w:r>
        <w:rPr>
          <w:rFonts w:cs="Arial"/>
          <w:iCs/>
          <w:szCs w:val="20"/>
        </w:rPr>
        <w:t xml:space="preserve"> patterns that were different</w:t>
      </w:r>
      <w:r w:rsidR="00013BA3">
        <w:rPr>
          <w:rFonts w:cs="Arial"/>
          <w:iCs/>
          <w:szCs w:val="20"/>
        </w:rPr>
        <w:t xml:space="preserve"> enough</w:t>
      </w:r>
      <w:r>
        <w:rPr>
          <w:rFonts w:cs="Arial"/>
          <w:iCs/>
          <w:szCs w:val="20"/>
        </w:rPr>
        <w:t xml:space="preserve"> to justify </w:t>
      </w:r>
      <w:r w:rsidR="00013BA3">
        <w:rPr>
          <w:rFonts w:cs="Arial"/>
          <w:iCs/>
          <w:szCs w:val="20"/>
        </w:rPr>
        <w:t xml:space="preserve">doing a separate analysis, we examined the average daily use by month for each building type. With the exception of Elementary </w:t>
      </w:r>
      <w:proofErr w:type="gramStart"/>
      <w:r w:rsidR="00013BA3">
        <w:rPr>
          <w:rFonts w:cs="Arial"/>
          <w:iCs/>
          <w:szCs w:val="20"/>
        </w:rPr>
        <w:t>School</w:t>
      </w:r>
      <w:proofErr w:type="gramEnd"/>
      <w:r w:rsidR="00013BA3">
        <w:rPr>
          <w:rFonts w:cs="Arial"/>
          <w:iCs/>
          <w:szCs w:val="20"/>
        </w:rPr>
        <w:t xml:space="preserve"> the usage patterns were broadly similar. Schools exhibited a much more peaked pattern, as shown in </w:t>
      </w:r>
      <w:r w:rsidR="00013BA3">
        <w:rPr>
          <w:rFonts w:cs="Arial"/>
          <w:iCs/>
          <w:szCs w:val="20"/>
        </w:rPr>
        <w:fldChar w:fldCharType="begin"/>
      </w:r>
      <w:r w:rsidR="00013BA3">
        <w:rPr>
          <w:rFonts w:cs="Arial"/>
          <w:iCs/>
          <w:szCs w:val="20"/>
        </w:rPr>
        <w:instrText xml:space="preserve"> REF _Ref63967785 \h </w:instrText>
      </w:r>
      <w:r w:rsidR="00013BA3">
        <w:rPr>
          <w:rFonts w:cs="Arial"/>
          <w:iCs/>
          <w:szCs w:val="20"/>
        </w:rPr>
      </w:r>
      <w:r w:rsidR="00013BA3">
        <w:rPr>
          <w:rFonts w:cs="Arial"/>
          <w:iCs/>
          <w:szCs w:val="20"/>
        </w:rPr>
        <w:fldChar w:fldCharType="separate"/>
      </w:r>
      <w:r w:rsidR="008531D6">
        <w:t xml:space="preserve">Figure </w:t>
      </w:r>
      <w:r w:rsidR="008531D6">
        <w:rPr>
          <w:noProof/>
        </w:rPr>
        <w:t>1</w:t>
      </w:r>
      <w:r w:rsidR="00013BA3">
        <w:rPr>
          <w:rFonts w:cs="Arial"/>
          <w:iCs/>
          <w:szCs w:val="20"/>
        </w:rPr>
        <w:fldChar w:fldCharType="end"/>
      </w:r>
      <w:r w:rsidR="00013BA3">
        <w:rPr>
          <w:rFonts w:cs="Arial"/>
          <w:iCs/>
          <w:szCs w:val="20"/>
        </w:rPr>
        <w:t>.</w:t>
      </w:r>
    </w:p>
    <w:p w14:paraId="590E4817" w14:textId="13F06E21" w:rsidR="00013BA3" w:rsidRDefault="00013BA3" w:rsidP="00AB7E8F">
      <w:pPr>
        <w:pStyle w:val="MemoBody"/>
        <w:rPr>
          <w:rFonts w:cs="Arial"/>
          <w:iCs/>
          <w:szCs w:val="20"/>
        </w:rPr>
      </w:pPr>
    </w:p>
    <w:p w14:paraId="09BD9E51" w14:textId="375C5C9C" w:rsidR="00013BA3" w:rsidRDefault="00013BA3" w:rsidP="00013BA3">
      <w:pPr>
        <w:pStyle w:val="Caption"/>
      </w:pPr>
      <w:bookmarkStart w:id="2" w:name="_Ref63967785"/>
      <w:bookmarkStart w:id="3" w:name="_Hlk67473013"/>
      <w:r>
        <w:lastRenderedPageBreak/>
        <w:t xml:space="preserve">Figure </w:t>
      </w:r>
      <w:r w:rsidR="005C5AAC">
        <w:fldChar w:fldCharType="begin"/>
      </w:r>
      <w:r w:rsidR="005C5AAC">
        <w:instrText xml:space="preserve"> SEQ Figure \* ARABIC </w:instrText>
      </w:r>
      <w:r w:rsidR="005C5AAC">
        <w:fldChar w:fldCharType="separate"/>
      </w:r>
      <w:r w:rsidR="008531D6">
        <w:rPr>
          <w:noProof/>
        </w:rPr>
        <w:t>1</w:t>
      </w:r>
      <w:r w:rsidR="005C5AAC">
        <w:rPr>
          <w:noProof/>
        </w:rPr>
        <w:fldChar w:fldCharType="end"/>
      </w:r>
      <w:bookmarkEnd w:id="2"/>
      <w:r>
        <w:t>. Averag</w:t>
      </w:r>
      <w:bookmarkEnd w:id="3"/>
      <w:r>
        <w:t>e Daily Use by Building Type</w:t>
      </w:r>
    </w:p>
    <w:p w14:paraId="52BF8DF4" w14:textId="466F7CA0" w:rsidR="00013BA3" w:rsidRDefault="00013BA3" w:rsidP="00013BA3">
      <w:pPr>
        <w:jc w:val="center"/>
      </w:pPr>
      <w:r>
        <w:rPr>
          <w:noProof/>
        </w:rPr>
        <w:drawing>
          <wp:inline distT="0" distB="0" distL="0" distR="0" wp14:anchorId="4D3F7EC6" wp14:editId="4443B781">
            <wp:extent cx="5715000" cy="3429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429000"/>
                    </a:xfrm>
                    <a:prstGeom prst="rect">
                      <a:avLst/>
                    </a:prstGeom>
                    <a:noFill/>
                    <a:ln>
                      <a:noFill/>
                    </a:ln>
                  </pic:spPr>
                </pic:pic>
              </a:graphicData>
            </a:graphic>
          </wp:inline>
        </w:drawing>
      </w:r>
    </w:p>
    <w:p w14:paraId="3E0CD433" w14:textId="50B082FB" w:rsidR="00013BA3" w:rsidRPr="00013BA3" w:rsidRDefault="00013BA3" w:rsidP="00013BA3">
      <w:r>
        <w:t>For this reason, in addition to analyzing the full sample we also ran a</w:t>
      </w:r>
      <w:r w:rsidR="006A3165">
        <w:t xml:space="preserve"> subsidiary</w:t>
      </w:r>
      <w:r>
        <w:t xml:space="preserve"> analysis</w:t>
      </w:r>
      <w:r w:rsidR="006A3165">
        <w:t xml:space="preserve"> consisting of applying the same model to a sample</w:t>
      </w:r>
      <w:r>
        <w:t xml:space="preserve"> from which the Elementary School data were dropped, to </w:t>
      </w:r>
      <w:r w:rsidR="006A3165">
        <w:t xml:space="preserve">check whether </w:t>
      </w:r>
      <w:r>
        <w:t>the results were substantially different.</w:t>
      </w:r>
    </w:p>
    <w:p w14:paraId="24712A4E" w14:textId="35AE9E6A" w:rsidR="003129CD" w:rsidRPr="009601D3" w:rsidRDefault="003225E8" w:rsidP="003B6AE8">
      <w:pPr>
        <w:pStyle w:val="Heading1"/>
      </w:pPr>
      <w:r w:rsidRPr="009601D3">
        <w:t>Analytical Approach</w:t>
      </w:r>
    </w:p>
    <w:p w14:paraId="2470AF8E" w14:textId="144B6036" w:rsidR="003129CD" w:rsidRDefault="002875E0" w:rsidP="003B6AE8">
      <w:pPr>
        <w:rPr>
          <w:rFonts w:cs="Arial"/>
          <w:szCs w:val="20"/>
          <w:lang w:val="en"/>
        </w:rPr>
      </w:pPr>
      <w:r>
        <w:t>I</w:t>
      </w:r>
      <w:r w:rsidR="003225E8">
        <w:t>deally</w:t>
      </w:r>
      <w:r>
        <w:t>,</w:t>
      </w:r>
      <w:r w:rsidR="003225E8">
        <w:t xml:space="preserve"> a randomized</w:t>
      </w:r>
      <w:r>
        <w:t xml:space="preserve"> control </w:t>
      </w:r>
      <w:r w:rsidR="00254A9D">
        <w:t xml:space="preserve">trial </w:t>
      </w:r>
      <w:r w:rsidR="004572EF">
        <w:t xml:space="preserve">(RCT) </w:t>
      </w:r>
      <w:r>
        <w:t>is</w:t>
      </w:r>
      <w:r w:rsidR="003225E8">
        <w:t xml:space="preserve"> preferred when using individual customer usage data to measure </w:t>
      </w:r>
      <w:r>
        <w:t>the</w:t>
      </w:r>
      <w:r w:rsidR="003225E8">
        <w:t xml:space="preserve"> impacts</w:t>
      </w:r>
      <w:r>
        <w:t xml:space="preserve"> of an energy efficiency program</w:t>
      </w:r>
      <w:r w:rsidR="00172DCA">
        <w:t>;</w:t>
      </w:r>
      <w:r w:rsidR="00A80E45">
        <w:rPr>
          <w:rStyle w:val="FootnoteReference"/>
        </w:rPr>
        <w:footnoteReference w:id="8"/>
      </w:r>
      <w:r>
        <w:t xml:space="preserve"> however</w:t>
      </w:r>
      <w:r w:rsidR="003225E8">
        <w:t xml:space="preserve">, the opt-in nature of the </w:t>
      </w:r>
      <w:r w:rsidR="00A36338">
        <w:t>SBES</w:t>
      </w:r>
      <w:r w:rsidR="00E003EB">
        <w:t xml:space="preserve"> </w:t>
      </w:r>
      <w:proofErr w:type="gramStart"/>
      <w:r w:rsidR="00E003EB">
        <w:t xml:space="preserve">and </w:t>
      </w:r>
      <w:r w:rsidR="00A36338">
        <w:t xml:space="preserve"> BEER</w:t>
      </w:r>
      <w:proofErr w:type="gramEnd"/>
      <w:r w:rsidR="00A36338">
        <w:t xml:space="preserve"> </w:t>
      </w:r>
      <w:r w:rsidR="00194EA5">
        <w:t>Program</w:t>
      </w:r>
      <w:r w:rsidR="00A36338">
        <w:t>s</w:t>
      </w:r>
      <w:r w:rsidR="00194EA5">
        <w:t xml:space="preserve"> </w:t>
      </w:r>
      <w:r w:rsidR="003225E8">
        <w:t xml:space="preserve">made that approach infeasible. Instead, we employed </w:t>
      </w:r>
      <w:r w:rsidR="00530A92" w:rsidRPr="00F11DD6">
        <w:rPr>
          <w:rFonts w:cs="Arial"/>
          <w:szCs w:val="20"/>
          <w:lang w:val="en"/>
        </w:rPr>
        <w:t xml:space="preserve">a quasi-experimental </w:t>
      </w:r>
      <w:r>
        <w:rPr>
          <w:rFonts w:cs="Arial"/>
          <w:szCs w:val="20"/>
          <w:lang w:val="en"/>
        </w:rPr>
        <w:t>design</w:t>
      </w:r>
      <w:r w:rsidR="00530A92" w:rsidRPr="00F11DD6">
        <w:rPr>
          <w:rFonts w:cs="Arial"/>
          <w:szCs w:val="20"/>
          <w:lang w:val="en"/>
        </w:rPr>
        <w:t xml:space="preserve"> </w:t>
      </w:r>
      <w:r w:rsidR="00530A92">
        <w:rPr>
          <w:rFonts w:cs="Arial"/>
          <w:szCs w:val="20"/>
          <w:lang w:val="en"/>
        </w:rPr>
        <w:t xml:space="preserve">that compares </w:t>
      </w:r>
      <w:r w:rsidR="00530A92" w:rsidRPr="00F11DD6">
        <w:rPr>
          <w:rFonts w:cs="Arial"/>
          <w:szCs w:val="20"/>
          <w:lang w:val="en"/>
        </w:rPr>
        <w:t xml:space="preserve">the </w:t>
      </w:r>
      <w:r w:rsidR="00B6637D">
        <w:rPr>
          <w:rFonts w:cs="Arial"/>
          <w:szCs w:val="20"/>
          <w:lang w:val="en"/>
        </w:rPr>
        <w:t>pre- to post-install change</w:t>
      </w:r>
      <w:r>
        <w:rPr>
          <w:rFonts w:cs="Arial"/>
          <w:szCs w:val="20"/>
          <w:lang w:val="en"/>
        </w:rPr>
        <w:t>s</w:t>
      </w:r>
      <w:r w:rsidR="00B6637D">
        <w:rPr>
          <w:rFonts w:cs="Arial"/>
          <w:szCs w:val="20"/>
          <w:lang w:val="en"/>
        </w:rPr>
        <w:t xml:space="preserve"> in </w:t>
      </w:r>
      <w:r w:rsidR="00530A92" w:rsidRPr="00F11DD6">
        <w:rPr>
          <w:rFonts w:cs="Arial"/>
          <w:szCs w:val="20"/>
          <w:lang w:val="en"/>
        </w:rPr>
        <w:t>energy consumption of program participants to th</w:t>
      </w:r>
      <w:r>
        <w:rPr>
          <w:rFonts w:cs="Arial"/>
          <w:szCs w:val="20"/>
          <w:lang w:val="en"/>
        </w:rPr>
        <w:t>ose</w:t>
      </w:r>
      <w:r w:rsidR="00530A92" w:rsidRPr="00F11DD6">
        <w:rPr>
          <w:rFonts w:cs="Arial"/>
          <w:szCs w:val="20"/>
          <w:lang w:val="en"/>
        </w:rPr>
        <w:t xml:space="preserve"> of a set of matched non-participants using regression analysis. This method, known as regression with pre-program matching (RPPM), is described in Ho, Imai, King, and Stuart.</w:t>
      </w:r>
      <w:r w:rsidR="00530A92">
        <w:rPr>
          <w:rStyle w:val="FootnoteReference"/>
          <w:rFonts w:cs="Arial"/>
          <w:szCs w:val="20"/>
          <w:lang w:val="en"/>
        </w:rPr>
        <w:footnoteReference w:id="9"/>
      </w:r>
    </w:p>
    <w:p w14:paraId="120B9D6D" w14:textId="77777777" w:rsidR="00530A92" w:rsidRDefault="00530A92" w:rsidP="003B6AE8">
      <w:pPr>
        <w:rPr>
          <w:rFonts w:cs="Arial"/>
          <w:szCs w:val="20"/>
          <w:lang w:val="en"/>
        </w:rPr>
      </w:pPr>
    </w:p>
    <w:p w14:paraId="62A312F9" w14:textId="73383CE9" w:rsidR="00530A92" w:rsidRDefault="00530A92" w:rsidP="003B6AE8">
      <w:pPr>
        <w:rPr>
          <w:rFonts w:cs="Arial"/>
          <w:szCs w:val="20"/>
          <w:lang w:val="en"/>
        </w:rPr>
      </w:pPr>
      <w:r w:rsidRPr="00F11DD6">
        <w:rPr>
          <w:rFonts w:cs="Arial"/>
          <w:szCs w:val="20"/>
          <w:lang w:val="en"/>
        </w:rPr>
        <w:t xml:space="preserve">The </w:t>
      </w:r>
      <w:r>
        <w:rPr>
          <w:rFonts w:cs="Arial"/>
          <w:szCs w:val="20"/>
          <w:lang w:val="en"/>
        </w:rPr>
        <w:t>matching method we used relie</w:t>
      </w:r>
      <w:r w:rsidR="00A36338">
        <w:rPr>
          <w:rFonts w:cs="Arial"/>
          <w:szCs w:val="20"/>
          <w:lang w:val="en"/>
        </w:rPr>
        <w:t>s</w:t>
      </w:r>
      <w:r>
        <w:rPr>
          <w:rFonts w:cs="Arial"/>
          <w:szCs w:val="20"/>
          <w:lang w:val="en"/>
        </w:rPr>
        <w:t xml:space="preserve"> on </w:t>
      </w:r>
      <w:r w:rsidR="00A36338">
        <w:rPr>
          <w:rFonts w:cs="Arial"/>
          <w:szCs w:val="20"/>
          <w:lang w:val="en"/>
        </w:rPr>
        <w:t>gas</w:t>
      </w:r>
      <w:r>
        <w:rPr>
          <w:rFonts w:cs="Arial"/>
          <w:szCs w:val="20"/>
          <w:lang w:val="en"/>
        </w:rPr>
        <w:t xml:space="preserve"> usage data</w:t>
      </w:r>
      <w:r w:rsidR="00AA092F">
        <w:rPr>
          <w:rFonts w:cs="Arial"/>
          <w:szCs w:val="20"/>
          <w:lang w:val="en"/>
        </w:rPr>
        <w:t xml:space="preserve"> </w:t>
      </w:r>
      <w:r w:rsidR="00A36338">
        <w:rPr>
          <w:rFonts w:cs="Arial"/>
          <w:szCs w:val="20"/>
          <w:lang w:val="en"/>
        </w:rPr>
        <w:t xml:space="preserve">pulled from each customer’s monthly </w:t>
      </w:r>
      <w:r w:rsidR="00FA5424">
        <w:rPr>
          <w:rFonts w:cs="Arial"/>
          <w:szCs w:val="20"/>
          <w:lang w:val="en"/>
        </w:rPr>
        <w:t xml:space="preserve">heating-season </w:t>
      </w:r>
      <w:r w:rsidR="00A36338">
        <w:rPr>
          <w:rFonts w:cs="Arial"/>
          <w:szCs w:val="20"/>
          <w:lang w:val="en"/>
        </w:rPr>
        <w:t>bill</w:t>
      </w:r>
      <w:r w:rsidR="00FA5424">
        <w:rPr>
          <w:rFonts w:cs="Arial"/>
          <w:szCs w:val="20"/>
          <w:lang w:val="en"/>
        </w:rPr>
        <w:t>s</w:t>
      </w:r>
      <w:r w:rsidR="00AA092F">
        <w:rPr>
          <w:rFonts w:cs="Arial"/>
          <w:szCs w:val="20"/>
          <w:lang w:val="en"/>
        </w:rPr>
        <w:t>,</w:t>
      </w:r>
      <w:r>
        <w:rPr>
          <w:rFonts w:cs="Arial"/>
          <w:szCs w:val="20"/>
          <w:lang w:val="en"/>
        </w:rPr>
        <w:t xml:space="preserve"> </w:t>
      </w:r>
      <w:r w:rsidR="00A36338">
        <w:rPr>
          <w:rFonts w:cs="Arial"/>
          <w:szCs w:val="20"/>
          <w:lang w:val="en"/>
        </w:rPr>
        <w:t>divided by the number of days in the billing period to put them on a common (</w:t>
      </w:r>
      <w:proofErr w:type="spellStart"/>
      <w:r w:rsidR="00A36338">
        <w:rPr>
          <w:rFonts w:cs="Arial"/>
          <w:szCs w:val="20"/>
          <w:lang w:val="en"/>
        </w:rPr>
        <w:t>therms</w:t>
      </w:r>
      <w:proofErr w:type="spellEnd"/>
      <w:r w:rsidR="00A36338">
        <w:rPr>
          <w:rFonts w:cs="Arial"/>
          <w:szCs w:val="20"/>
          <w:lang w:val="en"/>
        </w:rPr>
        <w:t xml:space="preserve"> per day) basis</w:t>
      </w:r>
      <w:r w:rsidR="00194EA5">
        <w:rPr>
          <w:rFonts w:cs="Arial"/>
          <w:szCs w:val="20"/>
          <w:lang w:val="en"/>
        </w:rPr>
        <w:t>.</w:t>
      </w:r>
      <w:r w:rsidRPr="00701D18">
        <w:rPr>
          <w:rFonts w:cs="Arial"/>
          <w:szCs w:val="20"/>
          <w:lang w:val="en"/>
        </w:rPr>
        <w:t xml:space="preserve"> </w:t>
      </w:r>
      <w:r w:rsidR="001137DC">
        <w:rPr>
          <w:rFonts w:cs="Arial"/>
          <w:szCs w:val="20"/>
          <w:lang w:val="en"/>
        </w:rPr>
        <w:t>W</w:t>
      </w:r>
      <w:r w:rsidR="00AA092F">
        <w:rPr>
          <w:rFonts w:cs="Arial"/>
          <w:szCs w:val="20"/>
          <w:lang w:val="en"/>
        </w:rPr>
        <w:t>e</w:t>
      </w:r>
      <w:r w:rsidRPr="00701D18">
        <w:rPr>
          <w:rFonts w:cs="Arial"/>
          <w:szCs w:val="20"/>
          <w:lang w:val="en"/>
        </w:rPr>
        <w:t xml:space="preserve"> compared the </w:t>
      </w:r>
      <w:r w:rsidR="00A36338">
        <w:rPr>
          <w:rFonts w:cs="Arial"/>
          <w:szCs w:val="20"/>
          <w:lang w:val="en"/>
        </w:rPr>
        <w:t xml:space="preserve">monthly average </w:t>
      </w:r>
      <w:r w:rsidRPr="00701D18">
        <w:rPr>
          <w:rFonts w:cs="Arial"/>
          <w:szCs w:val="20"/>
          <w:lang w:val="en"/>
        </w:rPr>
        <w:t xml:space="preserve">daily </w:t>
      </w:r>
      <w:proofErr w:type="spellStart"/>
      <w:r w:rsidR="00A36338">
        <w:rPr>
          <w:rFonts w:cs="Arial"/>
          <w:szCs w:val="20"/>
          <w:lang w:val="en"/>
        </w:rPr>
        <w:t>therm</w:t>
      </w:r>
      <w:proofErr w:type="spellEnd"/>
      <w:r w:rsidR="00A36338">
        <w:rPr>
          <w:rFonts w:cs="Arial"/>
          <w:szCs w:val="20"/>
          <w:lang w:val="en"/>
        </w:rPr>
        <w:t xml:space="preserve"> </w:t>
      </w:r>
      <w:r w:rsidRPr="00701D18">
        <w:rPr>
          <w:rFonts w:cs="Arial"/>
          <w:szCs w:val="20"/>
          <w:lang w:val="en"/>
        </w:rPr>
        <w:t>consumption</w:t>
      </w:r>
      <w:r w:rsidR="00A36338">
        <w:rPr>
          <w:rFonts w:cs="Arial"/>
          <w:szCs w:val="20"/>
          <w:lang w:val="en"/>
        </w:rPr>
        <w:t xml:space="preserve"> values</w:t>
      </w:r>
      <w:r w:rsidR="001137DC">
        <w:rPr>
          <w:rFonts w:cs="Arial"/>
          <w:szCs w:val="20"/>
          <w:lang w:val="en"/>
        </w:rPr>
        <w:t xml:space="preserve"> of each participant</w:t>
      </w:r>
      <w:r w:rsidRPr="00701D18">
        <w:rPr>
          <w:rFonts w:cs="Arial"/>
          <w:szCs w:val="20"/>
          <w:lang w:val="en"/>
        </w:rPr>
        <w:t xml:space="preserve"> </w:t>
      </w:r>
      <w:r w:rsidR="00A36338" w:rsidRPr="00701D18">
        <w:rPr>
          <w:rFonts w:cs="Arial"/>
          <w:szCs w:val="20"/>
          <w:lang w:val="en"/>
        </w:rPr>
        <w:t>during</w:t>
      </w:r>
      <w:r w:rsidRPr="00701D18">
        <w:rPr>
          <w:rFonts w:cs="Arial"/>
          <w:szCs w:val="20"/>
          <w:lang w:val="en"/>
        </w:rPr>
        <w:t xml:space="preserve"> </w:t>
      </w:r>
      <w:r w:rsidR="00AA092F">
        <w:rPr>
          <w:rFonts w:cs="Arial"/>
          <w:szCs w:val="20"/>
          <w:lang w:val="en"/>
        </w:rPr>
        <w:t xml:space="preserve">the </w:t>
      </w:r>
      <w:r w:rsidR="00A36338">
        <w:rPr>
          <w:rFonts w:cs="Arial"/>
          <w:szCs w:val="20"/>
          <w:lang w:val="en"/>
        </w:rPr>
        <w:t>heat</w:t>
      </w:r>
      <w:r w:rsidR="00AA092F">
        <w:rPr>
          <w:rFonts w:cs="Arial"/>
          <w:szCs w:val="20"/>
          <w:lang w:val="en"/>
        </w:rPr>
        <w:t>ing season in the</w:t>
      </w:r>
      <w:r w:rsidR="00A36338">
        <w:rPr>
          <w:rFonts w:cs="Arial"/>
          <w:szCs w:val="20"/>
          <w:lang w:val="en"/>
        </w:rPr>
        <w:t>ir</w:t>
      </w:r>
      <w:r w:rsidRPr="00701D18">
        <w:rPr>
          <w:rFonts w:cs="Arial"/>
          <w:szCs w:val="20"/>
          <w:lang w:val="en"/>
        </w:rPr>
        <w:t xml:space="preserve"> pre-</w:t>
      </w:r>
      <w:r w:rsidR="000B5BE1">
        <w:rPr>
          <w:rFonts w:cs="Arial"/>
          <w:szCs w:val="20"/>
          <w:lang w:val="en"/>
        </w:rPr>
        <w:t>install</w:t>
      </w:r>
      <w:r w:rsidRPr="00701D18">
        <w:rPr>
          <w:rFonts w:cs="Arial"/>
          <w:szCs w:val="20"/>
          <w:lang w:val="en"/>
        </w:rPr>
        <w:t xml:space="preserve"> </w:t>
      </w:r>
      <w:r w:rsidR="00A36338">
        <w:rPr>
          <w:rFonts w:cs="Arial"/>
          <w:szCs w:val="20"/>
          <w:lang w:val="en"/>
        </w:rPr>
        <w:t xml:space="preserve">(“match period”) </w:t>
      </w:r>
      <w:r w:rsidRPr="00701D18">
        <w:rPr>
          <w:rFonts w:cs="Arial"/>
          <w:szCs w:val="20"/>
          <w:lang w:val="en"/>
        </w:rPr>
        <w:t>year to that of all customers in the pool of potential matches over the same period.</w:t>
      </w:r>
      <w:r w:rsidRPr="00F11DD6">
        <w:rPr>
          <w:rFonts w:cs="Arial"/>
          <w:szCs w:val="20"/>
          <w:lang w:val="en"/>
        </w:rPr>
        <w:t xml:space="preserve"> For each comparison, </w:t>
      </w:r>
      <w:r w:rsidR="00AA092F">
        <w:rPr>
          <w:rFonts w:cs="Arial"/>
          <w:szCs w:val="20"/>
          <w:lang w:val="en"/>
        </w:rPr>
        <w:t>we</w:t>
      </w:r>
      <w:r w:rsidRPr="00F11DD6">
        <w:rPr>
          <w:rFonts w:cs="Arial"/>
          <w:szCs w:val="20"/>
          <w:lang w:val="en"/>
        </w:rPr>
        <w:t xml:space="preserve"> calculate</w:t>
      </w:r>
      <w:r>
        <w:rPr>
          <w:rFonts w:cs="Arial"/>
          <w:szCs w:val="20"/>
          <w:lang w:val="en"/>
        </w:rPr>
        <w:t>d</w:t>
      </w:r>
      <w:r w:rsidRPr="00F11DD6">
        <w:rPr>
          <w:rFonts w:cs="Arial"/>
          <w:szCs w:val="20"/>
          <w:lang w:val="en"/>
        </w:rPr>
        <w:t xml:space="preserve"> the difference in </w:t>
      </w:r>
      <w:r w:rsidR="00A36338">
        <w:rPr>
          <w:rFonts w:cs="Arial"/>
          <w:szCs w:val="20"/>
          <w:lang w:val="en"/>
        </w:rPr>
        <w:t xml:space="preserve">average </w:t>
      </w:r>
      <w:r w:rsidRPr="00F11DD6">
        <w:rPr>
          <w:rFonts w:cs="Arial"/>
          <w:szCs w:val="20"/>
          <w:lang w:val="en"/>
        </w:rPr>
        <w:t xml:space="preserve">daily </w:t>
      </w:r>
      <w:proofErr w:type="spellStart"/>
      <w:r w:rsidR="00A36338">
        <w:rPr>
          <w:rFonts w:cs="Arial"/>
          <w:szCs w:val="20"/>
          <w:lang w:val="en"/>
        </w:rPr>
        <w:t>therm</w:t>
      </w:r>
      <w:proofErr w:type="spellEnd"/>
      <w:r w:rsidRPr="00F11DD6">
        <w:rPr>
          <w:rFonts w:cs="Arial"/>
          <w:szCs w:val="20"/>
          <w:lang w:val="en"/>
        </w:rPr>
        <w:t xml:space="preserve"> use</w:t>
      </w:r>
      <w:r w:rsidR="00770A88">
        <w:rPr>
          <w:rFonts w:cs="Arial"/>
          <w:szCs w:val="20"/>
          <w:lang w:val="en"/>
        </w:rPr>
        <w:t xml:space="preserve"> in each month</w:t>
      </w:r>
      <w:r w:rsidRPr="00F11DD6">
        <w:rPr>
          <w:rFonts w:cs="Arial"/>
          <w:szCs w:val="20"/>
          <w:lang w:val="en"/>
        </w:rPr>
        <w:t xml:space="preserve">, </w:t>
      </w:r>
      <w:r w:rsidRPr="00F11DD6">
        <w:rPr>
          <w:rFonts w:cs="Arial"/>
          <w:i/>
          <w:iCs/>
          <w:szCs w:val="20"/>
          <w:lang w:val="en"/>
        </w:rPr>
        <w:t>D</w:t>
      </w:r>
      <w:r w:rsidRPr="00F11DD6">
        <w:rPr>
          <w:rFonts w:cs="Arial"/>
          <w:i/>
          <w:iCs/>
          <w:szCs w:val="20"/>
          <w:vertAlign w:val="subscript"/>
          <w:lang w:val="en"/>
        </w:rPr>
        <w:t>PM</w:t>
      </w:r>
      <w:r w:rsidRPr="00F11DD6">
        <w:rPr>
          <w:rFonts w:cs="Arial"/>
          <w:szCs w:val="20"/>
          <w:lang w:val="en"/>
        </w:rPr>
        <w:t xml:space="preserve"> (</w:t>
      </w:r>
      <w:r w:rsidRPr="00701D18">
        <w:rPr>
          <w:rFonts w:cs="Arial"/>
          <w:b/>
          <w:bCs/>
          <w:szCs w:val="20"/>
          <w:u w:val="single"/>
          <w:lang w:val="en"/>
        </w:rPr>
        <w:t>D</w:t>
      </w:r>
      <w:r w:rsidRPr="00F11DD6">
        <w:rPr>
          <w:rFonts w:cs="Arial"/>
          <w:szCs w:val="20"/>
          <w:lang w:val="en"/>
        </w:rPr>
        <w:t xml:space="preserve">ifference between </w:t>
      </w:r>
      <w:r w:rsidRPr="00701D18">
        <w:rPr>
          <w:rFonts w:cs="Arial"/>
          <w:b/>
          <w:bCs/>
          <w:szCs w:val="20"/>
          <w:u w:val="single"/>
          <w:lang w:val="en"/>
        </w:rPr>
        <w:t>P</w:t>
      </w:r>
      <w:r w:rsidRPr="00F11DD6">
        <w:rPr>
          <w:rFonts w:cs="Arial"/>
          <w:szCs w:val="20"/>
          <w:lang w:val="en"/>
        </w:rPr>
        <w:t xml:space="preserve">articipant and </w:t>
      </w:r>
      <w:r w:rsidRPr="00F11DD6">
        <w:rPr>
          <w:rFonts w:cs="Arial"/>
          <w:szCs w:val="20"/>
          <w:lang w:val="en"/>
        </w:rPr>
        <w:lastRenderedPageBreak/>
        <w:t xml:space="preserve">potential </w:t>
      </w:r>
      <w:r w:rsidRPr="00701D18">
        <w:rPr>
          <w:rFonts w:cs="Arial"/>
          <w:b/>
          <w:bCs/>
          <w:szCs w:val="20"/>
          <w:u w:val="single"/>
          <w:lang w:val="en"/>
        </w:rPr>
        <w:t>M</w:t>
      </w:r>
      <w:r w:rsidRPr="00F11DD6">
        <w:rPr>
          <w:rFonts w:cs="Arial"/>
          <w:szCs w:val="20"/>
          <w:lang w:val="en"/>
        </w:rPr>
        <w:t xml:space="preserve">atch). The quality of the potential match </w:t>
      </w:r>
      <w:r>
        <w:rPr>
          <w:rFonts w:cs="Arial"/>
          <w:szCs w:val="20"/>
          <w:lang w:val="en"/>
        </w:rPr>
        <w:t>was</w:t>
      </w:r>
      <w:r w:rsidRPr="00F11DD6">
        <w:rPr>
          <w:rFonts w:cs="Arial"/>
          <w:szCs w:val="20"/>
          <w:lang w:val="en"/>
        </w:rPr>
        <w:t xml:space="preserve"> indicated by the Euclidean distance</w:t>
      </w:r>
      <w:r w:rsidR="00A36338">
        <w:rPr>
          <w:rFonts w:cs="Arial"/>
          <w:szCs w:val="20"/>
          <w:lang w:val="en"/>
        </w:rPr>
        <w:t>, or sum of squared differences,</w:t>
      </w:r>
      <w:r w:rsidRPr="00F11DD6">
        <w:rPr>
          <w:rFonts w:cs="Arial"/>
          <w:szCs w:val="20"/>
          <w:lang w:val="en"/>
        </w:rPr>
        <w:t xml:space="preserve"> between the</w:t>
      </w:r>
      <w:r>
        <w:rPr>
          <w:rFonts w:cs="Arial"/>
          <w:szCs w:val="20"/>
          <w:lang w:val="en"/>
        </w:rPr>
        <w:t xml:space="preserve"> </w:t>
      </w:r>
      <w:r w:rsidR="00770A88">
        <w:rPr>
          <w:rFonts w:cs="Arial"/>
          <w:szCs w:val="20"/>
          <w:lang w:val="en"/>
        </w:rPr>
        <w:t xml:space="preserve">participant’s </w:t>
      </w:r>
      <w:r w:rsidR="00FA5424">
        <w:rPr>
          <w:rFonts w:cs="Arial"/>
          <w:szCs w:val="20"/>
          <w:lang w:val="en"/>
        </w:rPr>
        <w:t xml:space="preserve">monthly </w:t>
      </w:r>
      <w:r>
        <w:rPr>
          <w:rFonts w:cs="Arial"/>
          <w:szCs w:val="20"/>
          <w:lang w:val="en"/>
        </w:rPr>
        <w:t>usage</w:t>
      </w:r>
      <w:r w:rsidR="00FA5424">
        <w:rPr>
          <w:rFonts w:cs="Arial"/>
          <w:szCs w:val="20"/>
          <w:lang w:val="en"/>
        </w:rPr>
        <w:t xml:space="preserve"> values</w:t>
      </w:r>
      <w:r>
        <w:rPr>
          <w:rFonts w:cs="Arial"/>
          <w:szCs w:val="20"/>
          <w:lang w:val="en"/>
        </w:rPr>
        <w:t xml:space="preserve"> and th</w:t>
      </w:r>
      <w:r w:rsidR="00FA5424">
        <w:rPr>
          <w:rFonts w:cs="Arial"/>
          <w:szCs w:val="20"/>
          <w:lang w:val="en"/>
        </w:rPr>
        <w:t>ose</w:t>
      </w:r>
      <w:r>
        <w:rPr>
          <w:rFonts w:cs="Arial"/>
          <w:szCs w:val="20"/>
          <w:lang w:val="en"/>
        </w:rPr>
        <w:t xml:space="preserve"> of the</w:t>
      </w:r>
      <w:r w:rsidRPr="00F11DD6">
        <w:rPr>
          <w:rFonts w:cs="Arial"/>
          <w:szCs w:val="20"/>
          <w:lang w:val="en"/>
        </w:rPr>
        <w:t xml:space="preserve"> p</w:t>
      </w:r>
      <w:r w:rsidR="00770A88">
        <w:rPr>
          <w:rFonts w:cs="Arial"/>
          <w:szCs w:val="20"/>
          <w:lang w:val="en"/>
        </w:rPr>
        <w:t>otential match</w:t>
      </w:r>
      <w:r w:rsidRPr="00F11DD6">
        <w:rPr>
          <w:rFonts w:cs="Arial"/>
          <w:szCs w:val="20"/>
          <w:lang w:val="en"/>
        </w:rPr>
        <w:t xml:space="preserve"> calculated over the matching period. </w:t>
      </w:r>
      <w:r>
        <w:rPr>
          <w:rFonts w:cs="Arial"/>
          <w:szCs w:val="20"/>
          <w:lang w:val="en"/>
        </w:rPr>
        <w:t xml:space="preserve">Denoting </w:t>
      </w:r>
      <w:r w:rsidRPr="00F11DD6">
        <w:rPr>
          <w:rFonts w:cs="Arial"/>
          <w:szCs w:val="20"/>
          <w:lang w:val="en"/>
        </w:rPr>
        <w:t xml:space="preserve">the sum of squared </w:t>
      </w:r>
      <w:r w:rsidRPr="00F11DD6">
        <w:rPr>
          <w:rFonts w:cs="Arial"/>
          <w:i/>
          <w:iCs/>
          <w:szCs w:val="20"/>
          <w:lang w:val="en"/>
        </w:rPr>
        <w:t>D</w:t>
      </w:r>
      <w:r w:rsidRPr="00F11DD6">
        <w:rPr>
          <w:rFonts w:cs="Arial"/>
          <w:i/>
          <w:iCs/>
          <w:szCs w:val="20"/>
          <w:vertAlign w:val="subscript"/>
          <w:lang w:val="en"/>
        </w:rPr>
        <w:t>PM</w:t>
      </w:r>
      <w:r w:rsidRPr="00F11DD6">
        <w:rPr>
          <w:rFonts w:cs="Arial"/>
          <w:szCs w:val="20"/>
          <w:lang w:val="en"/>
        </w:rPr>
        <w:t xml:space="preserve"> over the matching period</w:t>
      </w:r>
      <w:r>
        <w:rPr>
          <w:rFonts w:cs="Arial"/>
          <w:szCs w:val="20"/>
          <w:lang w:val="en"/>
        </w:rPr>
        <w:t xml:space="preserve"> by SSD</w:t>
      </w:r>
      <w:r w:rsidR="00AA092F">
        <w:rPr>
          <w:rFonts w:cs="Arial"/>
          <w:szCs w:val="20"/>
          <w:lang w:val="en"/>
        </w:rPr>
        <w:t xml:space="preserve"> (</w:t>
      </w:r>
      <w:r w:rsidR="00AA092F" w:rsidRPr="00AA092F">
        <w:rPr>
          <w:rFonts w:cs="Arial"/>
          <w:b/>
          <w:szCs w:val="20"/>
          <w:lang w:val="en"/>
        </w:rPr>
        <w:t>S</w:t>
      </w:r>
      <w:r w:rsidR="00AA092F">
        <w:rPr>
          <w:rFonts w:cs="Arial"/>
          <w:szCs w:val="20"/>
          <w:lang w:val="en"/>
        </w:rPr>
        <w:t xml:space="preserve">um of </w:t>
      </w:r>
      <w:r w:rsidR="00AA092F" w:rsidRPr="00AA092F">
        <w:rPr>
          <w:rFonts w:cs="Arial"/>
          <w:b/>
          <w:szCs w:val="20"/>
          <w:lang w:val="en"/>
        </w:rPr>
        <w:t>S</w:t>
      </w:r>
      <w:r w:rsidR="00AA092F">
        <w:rPr>
          <w:rFonts w:cs="Arial"/>
          <w:szCs w:val="20"/>
          <w:lang w:val="en"/>
        </w:rPr>
        <w:t xml:space="preserve">quared </w:t>
      </w:r>
      <w:r w:rsidR="00AA092F" w:rsidRPr="00AA092F">
        <w:rPr>
          <w:rFonts w:cs="Arial"/>
          <w:b/>
          <w:szCs w:val="20"/>
          <w:lang w:val="en"/>
        </w:rPr>
        <w:t>D</w:t>
      </w:r>
      <w:r w:rsidR="00AA092F">
        <w:rPr>
          <w:rFonts w:cs="Arial"/>
          <w:szCs w:val="20"/>
          <w:lang w:val="en"/>
        </w:rPr>
        <w:t>istance)</w:t>
      </w:r>
      <w:r w:rsidRPr="00F11DD6">
        <w:rPr>
          <w:rFonts w:cs="Arial"/>
          <w:szCs w:val="20"/>
          <w:lang w:val="en"/>
        </w:rPr>
        <w:t>,</w:t>
      </w:r>
      <w:r>
        <w:rPr>
          <w:rFonts w:cs="Arial"/>
          <w:szCs w:val="20"/>
          <w:lang w:val="en"/>
        </w:rPr>
        <w:t xml:space="preserve"> </w:t>
      </w:r>
      <w:r w:rsidRPr="00F11DD6">
        <w:rPr>
          <w:rFonts w:cs="Arial"/>
          <w:szCs w:val="20"/>
          <w:lang w:val="en"/>
        </w:rPr>
        <w:t xml:space="preserve">the match quality </w:t>
      </w:r>
      <w:r>
        <w:rPr>
          <w:rFonts w:cs="Arial"/>
          <w:szCs w:val="20"/>
          <w:lang w:val="en"/>
        </w:rPr>
        <w:t>was</w:t>
      </w:r>
      <w:r w:rsidRPr="00F11DD6">
        <w:rPr>
          <w:rFonts w:cs="Arial"/>
          <w:szCs w:val="20"/>
          <w:lang w:val="en"/>
        </w:rPr>
        <w:t xml:space="preserve"> defined as</w:t>
      </w:r>
      <w:r>
        <w:rPr>
          <w:rFonts w:cs="Arial"/>
          <w:szCs w:val="20"/>
          <w:lang w:val="en"/>
        </w:rPr>
        <w:t xml:space="preserve"> </w:t>
      </w:r>
      <m:oMath>
        <m:rad>
          <m:radPr>
            <m:degHide m:val="1"/>
            <m:ctrlPr>
              <w:rPr>
                <w:rFonts w:ascii="Cambria Math" w:hAnsi="Cambria Math"/>
                <w:i/>
                <w:szCs w:val="20"/>
              </w:rPr>
            </m:ctrlPr>
          </m:radPr>
          <m:deg/>
          <m:e>
            <m:r>
              <w:rPr>
                <w:rFonts w:ascii="Cambria Math" w:hAnsi="Cambria Math"/>
                <w:szCs w:val="20"/>
              </w:rPr>
              <m:t>SSD</m:t>
            </m:r>
          </m:e>
        </m:rad>
      </m:oMath>
      <w:r w:rsidRPr="00F11DD6">
        <w:rPr>
          <w:rFonts w:cs="Arial"/>
          <w:szCs w:val="20"/>
          <w:lang w:val="en"/>
        </w:rPr>
        <w:t xml:space="preserve">. The non-participant whose energy usage </w:t>
      </w:r>
      <w:r>
        <w:rPr>
          <w:rFonts w:cs="Arial"/>
          <w:szCs w:val="20"/>
          <w:lang w:val="en"/>
        </w:rPr>
        <w:t>minimized this distance during the participant’s pre-</w:t>
      </w:r>
      <w:r w:rsidR="00102769">
        <w:rPr>
          <w:rFonts w:cs="Arial"/>
          <w:szCs w:val="20"/>
          <w:lang w:val="en"/>
        </w:rPr>
        <w:t>install</w:t>
      </w:r>
      <w:r>
        <w:rPr>
          <w:rFonts w:cs="Arial"/>
          <w:szCs w:val="20"/>
          <w:lang w:val="en"/>
        </w:rPr>
        <w:t xml:space="preserve"> </w:t>
      </w:r>
      <w:r w:rsidR="00AA092F">
        <w:rPr>
          <w:rFonts w:cs="Arial"/>
          <w:szCs w:val="20"/>
          <w:lang w:val="en"/>
        </w:rPr>
        <w:t>period</w:t>
      </w:r>
      <w:r>
        <w:rPr>
          <w:rFonts w:cs="Arial"/>
          <w:szCs w:val="20"/>
          <w:lang w:val="en"/>
        </w:rPr>
        <w:t xml:space="preserve"> was chosen as the match for t</w:t>
      </w:r>
      <w:r w:rsidRPr="00F11DD6">
        <w:rPr>
          <w:rFonts w:cs="Arial"/>
          <w:szCs w:val="20"/>
          <w:lang w:val="en"/>
        </w:rPr>
        <w:t>hat participant</w:t>
      </w:r>
      <w:r>
        <w:rPr>
          <w:rFonts w:cs="Arial"/>
          <w:szCs w:val="20"/>
          <w:lang w:val="en"/>
        </w:rPr>
        <w:t xml:space="preserve">. </w:t>
      </w:r>
      <w:r w:rsidRPr="00F11DD6">
        <w:rPr>
          <w:rFonts w:cs="Arial"/>
          <w:szCs w:val="20"/>
          <w:lang w:val="en"/>
        </w:rPr>
        <w:t>Matching w</w:t>
      </w:r>
      <w:r>
        <w:rPr>
          <w:rFonts w:cs="Arial"/>
          <w:szCs w:val="20"/>
          <w:lang w:val="en"/>
        </w:rPr>
        <w:t>as</w:t>
      </w:r>
      <w:r w:rsidRPr="00F11DD6">
        <w:rPr>
          <w:rFonts w:cs="Arial"/>
          <w:szCs w:val="20"/>
          <w:lang w:val="en"/>
        </w:rPr>
        <w:t xml:space="preserve"> done with replacement.</w:t>
      </w:r>
      <w:r>
        <w:rPr>
          <w:rStyle w:val="FootnoteReference"/>
          <w:rFonts w:cs="Arial"/>
          <w:szCs w:val="20"/>
          <w:lang w:val="en"/>
        </w:rPr>
        <w:footnoteReference w:id="10"/>
      </w:r>
      <w:r w:rsidR="00770A88">
        <w:rPr>
          <w:rFonts w:cs="Arial"/>
          <w:szCs w:val="20"/>
          <w:lang w:val="en"/>
        </w:rPr>
        <w:t xml:space="preserve"> In selecting the matched controls, we required them to have at least an 80 percent overlap of usable observations in the matching period with those of the relevant treatment customer.</w:t>
      </w:r>
      <w:r w:rsidR="004F66FA">
        <w:rPr>
          <w:rFonts w:cs="Arial"/>
          <w:szCs w:val="20"/>
          <w:lang w:val="en"/>
        </w:rPr>
        <w:t xml:space="preserve"> Mean average daily </w:t>
      </w:r>
      <w:proofErr w:type="spellStart"/>
      <w:r w:rsidR="004F66FA">
        <w:rPr>
          <w:rFonts w:cs="Arial"/>
          <w:szCs w:val="20"/>
          <w:lang w:val="en"/>
        </w:rPr>
        <w:t>therm</w:t>
      </w:r>
      <w:proofErr w:type="spellEnd"/>
      <w:r w:rsidR="004F66FA">
        <w:rPr>
          <w:rFonts w:cs="Arial"/>
          <w:szCs w:val="20"/>
          <w:lang w:val="en"/>
        </w:rPr>
        <w:t xml:space="preserve"> use is shown in </w:t>
      </w:r>
      <w:r w:rsidR="004F66FA">
        <w:rPr>
          <w:rFonts w:cs="Arial"/>
          <w:szCs w:val="20"/>
          <w:lang w:val="en"/>
        </w:rPr>
        <w:fldChar w:fldCharType="begin"/>
      </w:r>
      <w:r w:rsidR="004F66FA">
        <w:rPr>
          <w:rFonts w:cs="Arial"/>
          <w:szCs w:val="20"/>
          <w:lang w:val="en"/>
        </w:rPr>
        <w:instrText xml:space="preserve"> REF _Ref67473380 \h </w:instrText>
      </w:r>
      <w:r w:rsidR="004F66FA">
        <w:rPr>
          <w:rFonts w:cs="Arial"/>
          <w:szCs w:val="20"/>
          <w:lang w:val="en"/>
        </w:rPr>
      </w:r>
      <w:r w:rsidR="004F66FA">
        <w:rPr>
          <w:rFonts w:cs="Arial"/>
          <w:szCs w:val="20"/>
          <w:lang w:val="en"/>
        </w:rPr>
        <w:fldChar w:fldCharType="separate"/>
      </w:r>
      <w:r w:rsidR="008531D6">
        <w:t xml:space="preserve">Figure </w:t>
      </w:r>
      <w:r w:rsidR="008531D6">
        <w:rPr>
          <w:noProof/>
        </w:rPr>
        <w:t>2</w:t>
      </w:r>
      <w:r w:rsidR="004F66FA">
        <w:rPr>
          <w:rFonts w:cs="Arial"/>
          <w:szCs w:val="20"/>
          <w:lang w:val="en"/>
        </w:rPr>
        <w:fldChar w:fldCharType="end"/>
      </w:r>
      <w:r w:rsidR="004F66FA">
        <w:rPr>
          <w:rFonts w:cs="Arial"/>
          <w:szCs w:val="20"/>
          <w:lang w:val="en"/>
        </w:rPr>
        <w:t xml:space="preserve"> for the treatment and control groups.</w:t>
      </w:r>
    </w:p>
    <w:p w14:paraId="6EB6E9EB" w14:textId="3983D3B3" w:rsidR="002C4D7F" w:rsidRDefault="002C4D7F" w:rsidP="003B6AE8">
      <w:pPr>
        <w:rPr>
          <w:rFonts w:cs="Arial"/>
          <w:szCs w:val="20"/>
          <w:lang w:val="en"/>
        </w:rPr>
      </w:pPr>
    </w:p>
    <w:p w14:paraId="115D39DF" w14:textId="67EE6A2F" w:rsidR="002C4D7F" w:rsidRDefault="002C4D7F" w:rsidP="002C4D7F">
      <w:pPr>
        <w:pStyle w:val="Caption"/>
        <w:rPr>
          <w:rFonts w:cs="Arial"/>
          <w:lang w:val="en"/>
        </w:rPr>
      </w:pPr>
      <w:bookmarkStart w:id="4" w:name="_Ref67473380"/>
      <w:r>
        <w:t xml:space="preserve">Figure </w:t>
      </w:r>
      <w:fldSimple w:instr=" SEQ Figure \* ARABIC ">
        <w:r w:rsidR="008531D6">
          <w:rPr>
            <w:noProof/>
          </w:rPr>
          <w:t>2</w:t>
        </w:r>
      </w:fldSimple>
      <w:bookmarkEnd w:id="4"/>
      <w:r>
        <w:t xml:space="preserve">. </w:t>
      </w:r>
      <w:r w:rsidR="004F66FA">
        <w:t>Mean Average Daily Use, Treatment and Control</w:t>
      </w:r>
    </w:p>
    <w:p w14:paraId="251BB306" w14:textId="206985AE" w:rsidR="003129CD" w:rsidRDefault="002C4D7F" w:rsidP="003B6AE8">
      <w:r>
        <w:rPr>
          <w:noProof/>
        </w:rPr>
        <w:drawing>
          <wp:inline distT="0" distB="0" distL="0" distR="0" wp14:anchorId="25CA6939" wp14:editId="4E76034D">
            <wp:extent cx="5715000"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429000"/>
                    </a:xfrm>
                    <a:prstGeom prst="rect">
                      <a:avLst/>
                    </a:prstGeom>
                    <a:noFill/>
                    <a:ln>
                      <a:noFill/>
                    </a:ln>
                  </pic:spPr>
                </pic:pic>
              </a:graphicData>
            </a:graphic>
          </wp:inline>
        </w:drawing>
      </w:r>
    </w:p>
    <w:p w14:paraId="0B3A1C7C" w14:textId="77777777" w:rsidR="002C4D7F" w:rsidRDefault="002C4D7F" w:rsidP="003B6AE8"/>
    <w:p w14:paraId="42AF1806" w14:textId="77777777" w:rsidR="002C4D7F" w:rsidRDefault="002C4D7F" w:rsidP="003B6AE8"/>
    <w:p w14:paraId="32AFBB7B" w14:textId="5F4534FA" w:rsidR="000B5BE1" w:rsidRDefault="000B5BE1" w:rsidP="003B6AE8">
      <w:pPr>
        <w:rPr>
          <w:rFonts w:cs="Arial"/>
          <w:szCs w:val="20"/>
          <w:lang w:val="en"/>
        </w:rPr>
      </w:pPr>
      <w:bookmarkStart w:id="5" w:name="_Hlk65057782"/>
      <w:r w:rsidRPr="00F11DD6">
        <w:rPr>
          <w:rFonts w:cs="Arial"/>
          <w:szCs w:val="20"/>
          <w:lang w:val="en"/>
        </w:rPr>
        <w:t xml:space="preserve">Once the matches </w:t>
      </w:r>
      <w:r>
        <w:rPr>
          <w:rFonts w:cs="Arial"/>
          <w:szCs w:val="20"/>
          <w:lang w:val="en"/>
        </w:rPr>
        <w:t>were</w:t>
      </w:r>
      <w:r w:rsidRPr="00F11DD6">
        <w:rPr>
          <w:rFonts w:cs="Arial"/>
          <w:szCs w:val="20"/>
          <w:lang w:val="en"/>
        </w:rPr>
        <w:t xml:space="preserve"> selected, </w:t>
      </w:r>
      <w:r>
        <w:rPr>
          <w:rFonts w:cs="Arial"/>
          <w:szCs w:val="20"/>
          <w:lang w:val="en"/>
        </w:rPr>
        <w:t>we</w:t>
      </w:r>
      <w:r w:rsidRPr="00F11DD6">
        <w:rPr>
          <w:rFonts w:cs="Arial"/>
          <w:szCs w:val="20"/>
          <w:lang w:val="en"/>
        </w:rPr>
        <w:t xml:space="preserve"> appl</w:t>
      </w:r>
      <w:r>
        <w:rPr>
          <w:rFonts w:cs="Arial"/>
          <w:szCs w:val="20"/>
          <w:lang w:val="en"/>
        </w:rPr>
        <w:t>ied</w:t>
      </w:r>
      <w:r w:rsidRPr="00F11DD6">
        <w:rPr>
          <w:rFonts w:cs="Arial"/>
          <w:szCs w:val="20"/>
          <w:lang w:val="en"/>
        </w:rPr>
        <w:t xml:space="preserve"> the regression model</w:t>
      </w:r>
      <w:r>
        <w:rPr>
          <w:rFonts w:cs="Arial"/>
          <w:szCs w:val="20"/>
          <w:lang w:val="en"/>
        </w:rPr>
        <w:t xml:space="preserve"> shown</w:t>
      </w:r>
      <w:r w:rsidRPr="00F11DD6">
        <w:rPr>
          <w:rFonts w:cs="Arial"/>
          <w:szCs w:val="20"/>
          <w:lang w:val="en"/>
        </w:rPr>
        <w:t xml:space="preserve"> </w:t>
      </w:r>
      <w:r>
        <w:rPr>
          <w:rFonts w:cs="Arial"/>
          <w:szCs w:val="20"/>
          <w:lang w:val="en"/>
        </w:rPr>
        <w:t xml:space="preserve">in </w:t>
      </w:r>
      <w:r w:rsidRPr="00604015">
        <w:rPr>
          <w:rFonts w:cs="Arial"/>
          <w:szCs w:val="20"/>
          <w:lang w:val="en"/>
        </w:rPr>
        <w:fldChar w:fldCharType="begin"/>
      </w:r>
      <w:r w:rsidRPr="00604015">
        <w:rPr>
          <w:rFonts w:cs="Arial"/>
          <w:szCs w:val="20"/>
          <w:lang w:val="en"/>
        </w:rPr>
        <w:instrText xml:space="preserve"> REF _Ref518908350 \h </w:instrText>
      </w:r>
      <w:r w:rsidR="00604015" w:rsidRPr="00923522">
        <w:rPr>
          <w:rFonts w:cs="Arial"/>
          <w:szCs w:val="20"/>
          <w:lang w:val="en"/>
        </w:rPr>
        <w:instrText xml:space="preserve"> \* MERGEFORMAT </w:instrText>
      </w:r>
      <w:r w:rsidRPr="00604015">
        <w:rPr>
          <w:rFonts w:cs="Arial"/>
          <w:szCs w:val="20"/>
          <w:lang w:val="en"/>
        </w:rPr>
      </w:r>
      <w:r w:rsidRPr="00604015">
        <w:rPr>
          <w:rFonts w:cs="Arial"/>
          <w:szCs w:val="20"/>
          <w:lang w:val="en"/>
        </w:rPr>
        <w:fldChar w:fldCharType="separate"/>
      </w:r>
      <w:r w:rsidR="008531D6" w:rsidRPr="008531D6">
        <w:rPr>
          <w:szCs w:val="20"/>
        </w:rPr>
        <w:t xml:space="preserve">Equation </w:t>
      </w:r>
      <w:r w:rsidR="008531D6" w:rsidRPr="008531D6">
        <w:rPr>
          <w:noProof/>
          <w:szCs w:val="20"/>
        </w:rPr>
        <w:t>1</w:t>
      </w:r>
      <w:r w:rsidRPr="00604015">
        <w:rPr>
          <w:rFonts w:cs="Arial"/>
          <w:szCs w:val="20"/>
          <w:lang w:val="en"/>
        </w:rPr>
        <w:fldChar w:fldCharType="end"/>
      </w:r>
      <w:r w:rsidRPr="00604015">
        <w:rPr>
          <w:rFonts w:cs="Arial"/>
          <w:szCs w:val="20"/>
          <w:lang w:val="en"/>
        </w:rPr>
        <w:t xml:space="preserve"> </w:t>
      </w:r>
      <w:r w:rsidRPr="00F11DD6">
        <w:rPr>
          <w:rFonts w:cs="Arial"/>
          <w:szCs w:val="20"/>
          <w:lang w:val="en"/>
        </w:rPr>
        <w:t xml:space="preserve">to the </w:t>
      </w:r>
      <w:r w:rsidRPr="00F033AE">
        <w:rPr>
          <w:rFonts w:cs="Arial"/>
          <w:szCs w:val="20"/>
          <w:lang w:val="en"/>
        </w:rPr>
        <w:t>post-</w:t>
      </w:r>
      <w:r w:rsidR="00102769">
        <w:rPr>
          <w:rFonts w:cs="Arial"/>
          <w:szCs w:val="20"/>
          <w:lang w:val="en"/>
        </w:rPr>
        <w:t>install</w:t>
      </w:r>
      <w:r w:rsidRPr="00F11DD6">
        <w:rPr>
          <w:rFonts w:cs="Arial"/>
          <w:szCs w:val="20"/>
          <w:lang w:val="en"/>
        </w:rPr>
        <w:t xml:space="preserve"> usage values of participants and their matched controls</w:t>
      </w:r>
      <w:r>
        <w:rPr>
          <w:rFonts w:cs="Arial"/>
          <w:szCs w:val="20"/>
          <w:lang w:val="en"/>
        </w:rPr>
        <w:t xml:space="preserve"> from each participant’s install date through the end of </w:t>
      </w:r>
      <w:r w:rsidR="005D0402">
        <w:rPr>
          <w:rFonts w:cs="Arial"/>
          <w:szCs w:val="20"/>
          <w:lang w:val="en"/>
        </w:rPr>
        <w:t>the 2020 heating season</w:t>
      </w:r>
      <w:r w:rsidR="00604015">
        <w:rPr>
          <w:rFonts w:cs="Arial"/>
          <w:szCs w:val="20"/>
          <w:lang w:val="en"/>
        </w:rPr>
        <w:t>.</w:t>
      </w:r>
    </w:p>
    <w:bookmarkEnd w:id="5"/>
    <w:p w14:paraId="53293A8B" w14:textId="77777777" w:rsidR="003B6AE8" w:rsidRPr="00F11DD6" w:rsidRDefault="003B6AE8" w:rsidP="003B6AE8">
      <w:pPr>
        <w:rPr>
          <w:rFonts w:cs="Arial"/>
          <w:szCs w:val="20"/>
          <w:lang w:val="en"/>
        </w:rPr>
      </w:pPr>
    </w:p>
    <w:p w14:paraId="1AB83068" w14:textId="0BFF93A5" w:rsidR="000B5BE1" w:rsidRPr="000B5BE1" w:rsidRDefault="000B5BE1" w:rsidP="000B5BE1">
      <w:pPr>
        <w:pStyle w:val="Caption"/>
        <w:rPr>
          <w:b w:val="0"/>
          <w:i/>
        </w:rPr>
      </w:pPr>
      <w:bookmarkStart w:id="6" w:name="_Ref518908350"/>
      <w:r w:rsidRPr="000B5BE1">
        <w:t xml:space="preserve">Equation </w:t>
      </w:r>
      <w:r w:rsidR="00AE0285">
        <w:rPr>
          <w:noProof/>
        </w:rPr>
        <w:fldChar w:fldCharType="begin"/>
      </w:r>
      <w:r w:rsidR="00AE0285">
        <w:rPr>
          <w:noProof/>
        </w:rPr>
        <w:instrText xml:space="preserve"> SEQ Equation \* ARABIC </w:instrText>
      </w:r>
      <w:r w:rsidR="00AE0285">
        <w:rPr>
          <w:noProof/>
        </w:rPr>
        <w:fldChar w:fldCharType="separate"/>
      </w:r>
      <w:r w:rsidR="008531D6">
        <w:rPr>
          <w:noProof/>
        </w:rPr>
        <w:t>1</w:t>
      </w:r>
      <w:r w:rsidR="00AE0285">
        <w:rPr>
          <w:noProof/>
        </w:rPr>
        <w:fldChar w:fldCharType="end"/>
      </w:r>
      <w:bookmarkEnd w:id="6"/>
      <w:r w:rsidRPr="000B5BE1">
        <w:t>. Lagged-Dependent Variable (LDV) Regression Model</w:t>
      </w:r>
    </w:p>
    <w:p w14:paraId="2725CDA4" w14:textId="528536BD" w:rsidR="000B5BE1" w:rsidRDefault="005C5AAC" w:rsidP="000B5BE1">
      <w:pPr>
        <w:autoSpaceDE w:val="0"/>
        <w:autoSpaceDN w:val="0"/>
        <w:adjustRightInd w:val="0"/>
        <w:jc w:val="center"/>
        <w:rPr>
          <w:rFonts w:cs="Arial"/>
          <w:szCs w:val="20"/>
          <w:lang w:val="en"/>
        </w:rPr>
      </w:pPr>
      <m:oMathPara>
        <m:oMath>
          <m:sSub>
            <m:sSubPr>
              <m:ctrlPr>
                <w:rPr>
                  <w:rFonts w:ascii="Cambria Math" w:hAnsi="Cambria Math" w:cs="Arial"/>
                  <w:i/>
                  <w:noProof/>
                  <w:szCs w:val="20"/>
                </w:rPr>
              </m:ctrlPr>
            </m:sSubPr>
            <m:e>
              <m:r>
                <w:rPr>
                  <w:rFonts w:ascii="Cambria Math" w:hAnsi="Cambria Math" w:cs="Arial"/>
                  <w:noProof/>
                  <w:szCs w:val="20"/>
                </w:rPr>
                <m:t>ADU</m:t>
              </m:r>
            </m:e>
            <m:sub>
              <m:r>
                <w:rPr>
                  <w:rFonts w:ascii="Cambria Math" w:hAnsi="Cambria Math" w:cs="Arial"/>
                  <w:noProof/>
                  <w:szCs w:val="20"/>
                </w:rPr>
                <m:t>kt</m:t>
              </m:r>
            </m:sub>
          </m:sSub>
          <m:r>
            <w:rPr>
              <w:rFonts w:ascii="Cambria Math" w:hAnsi="Cambria Math" w:cs="Arial"/>
              <w:noProof/>
              <w:szCs w:val="20"/>
            </w:rPr>
            <m:t>=</m:t>
          </m:r>
          <m:sSub>
            <m:sSubPr>
              <m:ctrlPr>
                <w:rPr>
                  <w:rFonts w:ascii="Cambria Math" w:hAnsi="Cambria Math" w:cs="Arial"/>
                  <w:i/>
                  <w:noProof/>
                  <w:szCs w:val="20"/>
                </w:rPr>
              </m:ctrlPr>
            </m:sSubPr>
            <m:e>
              <m:sSub>
                <m:sSubPr>
                  <m:ctrlPr>
                    <w:rPr>
                      <w:rFonts w:ascii="Cambria Math" w:hAnsi="Cambria Math" w:cs="Arial"/>
                      <w:i/>
                      <w:noProof/>
                      <w:szCs w:val="20"/>
                    </w:rPr>
                  </m:ctrlPr>
                </m:sSubPr>
                <m:e>
                  <m:r>
                    <w:rPr>
                      <w:rFonts w:ascii="Cambria Math" w:hAnsi="Cambria Math" w:cs="Arial"/>
                      <w:noProof/>
                      <w:szCs w:val="20"/>
                    </w:rPr>
                    <m:t>β</m:t>
                  </m:r>
                </m:e>
                <m:sub>
                  <m:r>
                    <w:rPr>
                      <w:rFonts w:ascii="Cambria Math" w:hAnsi="Cambria Math" w:cs="Arial"/>
                      <w:noProof/>
                      <w:szCs w:val="20"/>
                    </w:rPr>
                    <m:t>1</m:t>
                  </m:r>
                </m:sub>
              </m:sSub>
              <m:r>
                <w:rPr>
                  <w:rFonts w:ascii="Cambria Math" w:hAnsi="Cambria Math" w:cs="Arial"/>
                  <w:noProof/>
                  <w:szCs w:val="20"/>
                </w:rPr>
                <m:t>Treatment</m:t>
              </m:r>
            </m:e>
            <m:sub>
              <m:r>
                <w:rPr>
                  <w:rFonts w:ascii="Cambria Math" w:hAnsi="Cambria Math" w:cs="Arial"/>
                  <w:noProof/>
                  <w:szCs w:val="20"/>
                </w:rPr>
                <m:t>k</m:t>
              </m:r>
            </m:sub>
          </m:sSub>
          <m:r>
            <w:rPr>
              <w:rFonts w:ascii="Cambria Math" w:hAnsi="Cambria Math" w:cs="Arial"/>
              <w:noProof/>
              <w:szCs w:val="20"/>
            </w:rPr>
            <m:t>+</m:t>
          </m:r>
          <m:sSub>
            <m:sSubPr>
              <m:ctrlPr>
                <w:rPr>
                  <w:rFonts w:ascii="Cambria Math" w:hAnsi="Cambria Math" w:cs="Arial"/>
                  <w:i/>
                  <w:noProof/>
                  <w:szCs w:val="20"/>
                </w:rPr>
              </m:ctrlPr>
            </m:sSubPr>
            <m:e>
              <m:sSub>
                <m:sSubPr>
                  <m:ctrlPr>
                    <w:rPr>
                      <w:rFonts w:ascii="Cambria Math" w:hAnsi="Cambria Math" w:cs="Arial"/>
                      <w:i/>
                      <w:noProof/>
                      <w:szCs w:val="20"/>
                    </w:rPr>
                  </m:ctrlPr>
                </m:sSubPr>
                <m:e>
                  <m:r>
                    <w:rPr>
                      <w:rFonts w:ascii="Cambria Math" w:hAnsi="Cambria Math" w:cs="Arial"/>
                      <w:noProof/>
                      <w:szCs w:val="20"/>
                    </w:rPr>
                    <m:t>β</m:t>
                  </m:r>
                </m:e>
                <m:sub>
                  <m:r>
                    <w:rPr>
                      <w:rFonts w:ascii="Cambria Math" w:hAnsi="Cambria Math" w:cs="Arial"/>
                      <w:noProof/>
                      <w:szCs w:val="20"/>
                    </w:rPr>
                    <m:t>2</m:t>
                  </m:r>
                </m:sub>
              </m:sSub>
              <m:r>
                <w:rPr>
                  <w:rFonts w:ascii="Cambria Math" w:hAnsi="Cambria Math" w:cs="Arial"/>
                  <w:noProof/>
                  <w:szCs w:val="20"/>
                </w:rPr>
                <m:t>ADU_lag</m:t>
              </m:r>
            </m:e>
            <m:sub>
              <m:r>
                <w:rPr>
                  <w:rFonts w:ascii="Cambria Math" w:hAnsi="Cambria Math" w:cs="Arial"/>
                  <w:noProof/>
                  <w:szCs w:val="20"/>
                </w:rPr>
                <m:t>kt</m:t>
              </m:r>
            </m:sub>
          </m:sSub>
          <m:r>
            <w:rPr>
              <w:rFonts w:ascii="Cambria Math" w:hAnsi="Cambria Math" w:cs="Arial"/>
              <w:noProof/>
              <w:szCs w:val="20"/>
            </w:rPr>
            <m:t>+</m:t>
          </m:r>
          <m:nary>
            <m:naryPr>
              <m:chr m:val="∑"/>
              <m:limLoc m:val="undOvr"/>
              <m:supHide m:val="1"/>
              <m:ctrlPr>
                <w:rPr>
                  <w:rFonts w:ascii="Cambria Math" w:hAnsi="Cambria Math" w:cs="Arial"/>
                  <w:i/>
                  <w:noProof/>
                  <w:szCs w:val="20"/>
                </w:rPr>
              </m:ctrlPr>
            </m:naryPr>
            <m:sub>
              <m:r>
                <w:rPr>
                  <w:rFonts w:ascii="Cambria Math" w:hAnsi="Cambria Math" w:cs="Arial"/>
                  <w:noProof/>
                  <w:szCs w:val="20"/>
                </w:rPr>
                <m:t>j</m:t>
              </m:r>
            </m:sub>
            <m:sup/>
            <m:e>
              <m:sSub>
                <m:sSubPr>
                  <m:ctrlPr>
                    <w:rPr>
                      <w:rFonts w:ascii="Cambria Math" w:hAnsi="Cambria Math" w:cs="Arial"/>
                      <w:i/>
                      <w:noProof/>
                      <w:szCs w:val="20"/>
                    </w:rPr>
                  </m:ctrlPr>
                </m:sSubPr>
                <m:e>
                  <m:r>
                    <w:rPr>
                      <w:rFonts w:ascii="Cambria Math" w:hAnsi="Cambria Math" w:cs="Arial"/>
                      <w:noProof/>
                      <w:szCs w:val="20"/>
                    </w:rPr>
                    <m:t>β</m:t>
                  </m:r>
                </m:e>
                <m:sub>
                  <m:r>
                    <w:rPr>
                      <w:rFonts w:ascii="Cambria Math" w:hAnsi="Cambria Math" w:cs="Arial"/>
                      <w:noProof/>
                      <w:szCs w:val="20"/>
                    </w:rPr>
                    <m:t>3j</m:t>
                  </m:r>
                </m:sub>
              </m:sSub>
              <m:r>
                <w:rPr>
                  <w:rFonts w:ascii="Cambria Math" w:hAnsi="Cambria Math" w:cs="Arial"/>
                  <w:noProof/>
                  <w:szCs w:val="20"/>
                </w:rPr>
                <m:t>Year_</m:t>
              </m:r>
              <m:sSub>
                <m:sSubPr>
                  <m:ctrlPr>
                    <w:rPr>
                      <w:rFonts w:ascii="Cambria Math" w:hAnsi="Cambria Math" w:cs="Arial"/>
                      <w:i/>
                      <w:noProof/>
                      <w:szCs w:val="20"/>
                    </w:rPr>
                  </m:ctrlPr>
                </m:sSubPr>
                <m:e>
                  <m:r>
                    <w:rPr>
                      <w:rFonts w:ascii="Cambria Math" w:hAnsi="Cambria Math" w:cs="Arial"/>
                      <w:noProof/>
                      <w:szCs w:val="20"/>
                    </w:rPr>
                    <m:t>Month</m:t>
                  </m:r>
                </m:e>
                <m:sub>
                  <m:r>
                    <w:rPr>
                      <w:rFonts w:ascii="Cambria Math" w:hAnsi="Cambria Math" w:cs="Arial"/>
                      <w:noProof/>
                      <w:szCs w:val="20"/>
                    </w:rPr>
                    <m:t>jt</m:t>
                  </m:r>
                </m:sub>
              </m:sSub>
            </m:e>
          </m:nary>
          <m:r>
            <w:rPr>
              <w:rFonts w:ascii="Cambria Math" w:hAnsi="Cambria Math" w:cs="Arial"/>
              <w:noProof/>
              <w:szCs w:val="20"/>
            </w:rPr>
            <m:t>+</m:t>
          </m:r>
          <m:sSub>
            <m:sSubPr>
              <m:ctrlPr>
                <w:rPr>
                  <w:rFonts w:ascii="Cambria Math" w:hAnsi="Cambria Math" w:cs="Arial"/>
                  <w:i/>
                  <w:noProof/>
                  <w:szCs w:val="20"/>
                </w:rPr>
              </m:ctrlPr>
            </m:sSubPr>
            <m:e>
              <m:r>
                <w:rPr>
                  <w:rFonts w:ascii="Cambria Math" w:hAnsi="Cambria Math" w:cs="Arial"/>
                  <w:noProof/>
                  <w:szCs w:val="20"/>
                </w:rPr>
                <m:t>ε</m:t>
              </m:r>
            </m:e>
            <m:sub>
              <m:r>
                <w:rPr>
                  <w:rFonts w:ascii="Cambria Math" w:hAnsi="Cambria Math" w:cs="Arial"/>
                  <w:noProof/>
                  <w:szCs w:val="20"/>
                </w:rPr>
                <m:t>kt</m:t>
              </m:r>
            </m:sub>
          </m:sSub>
        </m:oMath>
      </m:oMathPara>
    </w:p>
    <w:p w14:paraId="704EC778" w14:textId="77777777" w:rsidR="000B5BE1" w:rsidRPr="00F11DD6" w:rsidRDefault="000B5BE1" w:rsidP="000B5BE1">
      <w:pPr>
        <w:autoSpaceDE w:val="0"/>
        <w:autoSpaceDN w:val="0"/>
        <w:adjustRightInd w:val="0"/>
        <w:rPr>
          <w:rFonts w:cs="Arial"/>
          <w:szCs w:val="20"/>
          <w:lang w:val="en"/>
        </w:rPr>
      </w:pPr>
      <w:r w:rsidRPr="00F11DD6">
        <w:rPr>
          <w:rFonts w:cs="Arial"/>
          <w:szCs w:val="20"/>
          <w:lang w:val="en"/>
        </w:rPr>
        <w:t>where:</w:t>
      </w:r>
    </w:p>
    <w:p w14:paraId="19473DF5" w14:textId="77777777" w:rsidR="000B5BE1" w:rsidRPr="00F11DD6" w:rsidRDefault="000B5BE1" w:rsidP="000B5BE1">
      <w:pPr>
        <w:autoSpaceDE w:val="0"/>
        <w:autoSpaceDN w:val="0"/>
        <w:adjustRightInd w:val="0"/>
        <w:rPr>
          <w:rFonts w:cs="Arial"/>
          <w:szCs w:val="20"/>
          <w:lang w:val="en"/>
        </w:rPr>
      </w:pPr>
    </w:p>
    <w:p w14:paraId="7CCF7FB1" w14:textId="77777777" w:rsidR="001E4CEC" w:rsidRDefault="005C5AAC" w:rsidP="001E4CEC">
      <w:pPr>
        <w:autoSpaceDE w:val="0"/>
        <w:autoSpaceDN w:val="0"/>
        <w:adjustRightInd w:val="0"/>
        <w:spacing w:after="120"/>
        <w:ind w:left="2340" w:hanging="1800"/>
        <w:rPr>
          <w:rFonts w:cs="Arial"/>
          <w:iCs/>
          <w:szCs w:val="20"/>
          <w:lang w:val="en"/>
        </w:rPr>
      </w:pPr>
      <m:oMath>
        <m:sSub>
          <m:sSubPr>
            <m:ctrlPr>
              <w:rPr>
                <w:rFonts w:ascii="Cambria Math" w:hAnsi="Cambria Math" w:cs="Arial"/>
                <w:i/>
                <w:noProof/>
                <w:szCs w:val="20"/>
              </w:rPr>
            </m:ctrlPr>
          </m:sSubPr>
          <m:e>
            <m:r>
              <w:rPr>
                <w:rFonts w:ascii="Cambria Math" w:hAnsi="Cambria Math" w:cs="Arial"/>
                <w:noProof/>
                <w:szCs w:val="20"/>
              </w:rPr>
              <m:t>ADU</m:t>
            </m:r>
          </m:e>
          <m:sub>
            <m:r>
              <w:rPr>
                <w:rFonts w:ascii="Cambria Math" w:hAnsi="Cambria Math" w:cs="Arial"/>
                <w:noProof/>
                <w:szCs w:val="20"/>
              </w:rPr>
              <m:t>kt</m:t>
            </m:r>
          </m:sub>
        </m:sSub>
      </m:oMath>
      <w:r w:rsidR="000B5BE1">
        <w:rPr>
          <w:rFonts w:cs="Arial"/>
          <w:szCs w:val="20"/>
          <w:lang w:val="en"/>
        </w:rPr>
        <w:tab/>
        <w:t>i</w:t>
      </w:r>
      <w:proofErr w:type="spellStart"/>
      <w:r w:rsidR="000B5BE1" w:rsidRPr="00F11DD6">
        <w:rPr>
          <w:rFonts w:cs="Arial"/>
          <w:szCs w:val="20"/>
          <w:lang w:val="en"/>
        </w:rPr>
        <w:t>s</w:t>
      </w:r>
      <w:proofErr w:type="spellEnd"/>
      <w:r w:rsidR="000B5BE1">
        <w:rPr>
          <w:rFonts w:cs="Arial"/>
          <w:szCs w:val="20"/>
          <w:lang w:val="en"/>
        </w:rPr>
        <w:t xml:space="preserve"> </w:t>
      </w:r>
      <w:r w:rsidR="0041191B">
        <w:rPr>
          <w:rFonts w:cs="Arial"/>
          <w:szCs w:val="20"/>
          <w:lang w:val="en"/>
        </w:rPr>
        <w:t xml:space="preserve">the </w:t>
      </w:r>
      <w:r w:rsidR="009623C8">
        <w:rPr>
          <w:rFonts w:cs="Arial"/>
          <w:szCs w:val="20"/>
          <w:lang w:val="en"/>
        </w:rPr>
        <w:t xml:space="preserve">average </w:t>
      </w:r>
      <w:r w:rsidR="000B5BE1" w:rsidRPr="00F11DD6">
        <w:rPr>
          <w:rFonts w:cs="Arial"/>
          <w:szCs w:val="20"/>
          <w:lang w:val="en"/>
        </w:rPr>
        <w:t>daily</w:t>
      </w:r>
      <w:r w:rsidR="009623C8">
        <w:rPr>
          <w:rFonts w:cs="Arial"/>
          <w:szCs w:val="20"/>
          <w:lang w:val="en"/>
        </w:rPr>
        <w:t xml:space="preserve"> use, in</w:t>
      </w:r>
      <w:r w:rsidR="000B5BE1" w:rsidRPr="00F11DD6">
        <w:rPr>
          <w:rFonts w:cs="Arial"/>
          <w:szCs w:val="20"/>
          <w:lang w:val="en"/>
        </w:rPr>
        <w:t xml:space="preserve"> </w:t>
      </w:r>
      <w:proofErr w:type="spellStart"/>
      <w:r w:rsidR="00770A88">
        <w:rPr>
          <w:rFonts w:cs="Arial"/>
          <w:szCs w:val="20"/>
          <w:lang w:val="en"/>
        </w:rPr>
        <w:t>therms</w:t>
      </w:r>
      <w:proofErr w:type="spellEnd"/>
      <w:r w:rsidR="009623C8">
        <w:rPr>
          <w:rFonts w:cs="Arial"/>
          <w:szCs w:val="20"/>
          <w:lang w:val="en"/>
        </w:rPr>
        <w:t>,</w:t>
      </w:r>
      <w:r w:rsidR="000B5BE1">
        <w:rPr>
          <w:rFonts w:cs="Arial"/>
          <w:szCs w:val="20"/>
          <w:lang w:val="en"/>
        </w:rPr>
        <w:t xml:space="preserve"> </w:t>
      </w:r>
      <w:r w:rsidR="009623C8">
        <w:rPr>
          <w:rFonts w:cs="Arial"/>
          <w:szCs w:val="20"/>
          <w:lang w:val="en"/>
        </w:rPr>
        <w:t>of</w:t>
      </w:r>
      <w:r w:rsidR="000B5BE1" w:rsidRPr="00F11DD6">
        <w:rPr>
          <w:rFonts w:cs="Arial"/>
          <w:szCs w:val="20"/>
          <w:lang w:val="en"/>
        </w:rPr>
        <w:t xml:space="preserve"> </w:t>
      </w:r>
      <w:r w:rsidR="000B5BE1">
        <w:rPr>
          <w:rFonts w:cs="Arial"/>
          <w:szCs w:val="20"/>
          <w:lang w:val="en"/>
        </w:rPr>
        <w:t>customer</w:t>
      </w:r>
      <w:r w:rsidR="000B5BE1" w:rsidRPr="00F11DD6">
        <w:rPr>
          <w:rFonts w:cs="Arial"/>
          <w:szCs w:val="20"/>
          <w:lang w:val="en"/>
        </w:rPr>
        <w:t xml:space="preserve"> </w:t>
      </w:r>
      <w:r w:rsidR="000B5BE1" w:rsidRPr="000B5BE1">
        <w:rPr>
          <w:rFonts w:ascii="Times New Roman" w:hAnsi="Times New Roman"/>
          <w:i/>
          <w:iCs/>
          <w:sz w:val="22"/>
          <w:lang w:val="en"/>
        </w:rPr>
        <w:t>k</w:t>
      </w:r>
      <w:r w:rsidR="000B5BE1" w:rsidRPr="00F11DD6">
        <w:rPr>
          <w:rFonts w:cs="Arial"/>
          <w:szCs w:val="20"/>
          <w:lang w:val="en"/>
        </w:rPr>
        <w:t xml:space="preserve"> </w:t>
      </w:r>
      <w:r w:rsidR="009623C8">
        <w:rPr>
          <w:rFonts w:cs="Arial"/>
          <w:szCs w:val="20"/>
          <w:lang w:val="en"/>
        </w:rPr>
        <w:t>during billing period</w:t>
      </w:r>
      <w:r w:rsidR="000B5BE1" w:rsidRPr="00F11DD6">
        <w:rPr>
          <w:rFonts w:cs="Arial"/>
          <w:szCs w:val="20"/>
          <w:lang w:val="en"/>
        </w:rPr>
        <w:t xml:space="preserve"> </w:t>
      </w:r>
      <w:r w:rsidR="000B5BE1" w:rsidRPr="003B1593">
        <w:rPr>
          <w:rFonts w:ascii="Times New Roman" w:hAnsi="Times New Roman"/>
          <w:i/>
          <w:iCs/>
          <w:sz w:val="22"/>
          <w:lang w:val="en"/>
        </w:rPr>
        <w:t>t</w:t>
      </w:r>
      <w:r w:rsidR="000B5BE1">
        <w:rPr>
          <w:rFonts w:cs="Arial"/>
          <w:iCs/>
          <w:szCs w:val="20"/>
          <w:lang w:val="en"/>
        </w:rPr>
        <w:t xml:space="preserve"> of the post-install period</w:t>
      </w:r>
    </w:p>
    <w:p w14:paraId="3EF178AA" w14:textId="77777777" w:rsidR="001E4CEC" w:rsidRDefault="005C5AAC" w:rsidP="001E4CEC">
      <w:pPr>
        <w:autoSpaceDE w:val="0"/>
        <w:autoSpaceDN w:val="0"/>
        <w:adjustRightInd w:val="0"/>
        <w:spacing w:after="120"/>
        <w:ind w:left="2340" w:hanging="1800"/>
        <w:rPr>
          <w:rFonts w:cs="Arial"/>
          <w:szCs w:val="20"/>
          <w:lang w:val="en"/>
        </w:rPr>
      </w:pPr>
      <m:oMath>
        <m:sSub>
          <m:sSubPr>
            <m:ctrlPr>
              <w:rPr>
                <w:rFonts w:ascii="Cambria Math" w:hAnsi="Cambria Math" w:cs="Arial"/>
                <w:i/>
                <w:noProof/>
                <w:szCs w:val="20"/>
              </w:rPr>
            </m:ctrlPr>
          </m:sSubPr>
          <m:e>
            <m:r>
              <w:rPr>
                <w:rFonts w:ascii="Cambria Math" w:hAnsi="Cambria Math" w:cs="Arial"/>
                <w:noProof/>
                <w:szCs w:val="20"/>
              </w:rPr>
              <m:t>Treatment</m:t>
            </m:r>
          </m:e>
          <m:sub>
            <m:r>
              <w:rPr>
                <w:rFonts w:ascii="Cambria Math" w:hAnsi="Cambria Math" w:cs="Arial"/>
                <w:noProof/>
                <w:szCs w:val="20"/>
              </w:rPr>
              <m:t>k</m:t>
            </m:r>
          </m:sub>
        </m:sSub>
      </m:oMath>
      <w:r w:rsidR="00214525" w:rsidRPr="00F11DD6">
        <w:rPr>
          <w:rFonts w:cs="Arial"/>
          <w:szCs w:val="20"/>
          <w:lang w:val="en"/>
        </w:rPr>
        <w:tab/>
      </w:r>
      <w:r w:rsidR="00214525">
        <w:rPr>
          <w:rFonts w:cs="Arial"/>
          <w:szCs w:val="20"/>
          <w:lang w:val="en"/>
        </w:rPr>
        <w:t>denotes whether customer</w:t>
      </w:r>
      <w:r w:rsidR="00214525" w:rsidRPr="00F11DD6">
        <w:rPr>
          <w:rFonts w:cs="Arial"/>
          <w:szCs w:val="20"/>
          <w:lang w:val="en"/>
        </w:rPr>
        <w:t xml:space="preserve"> </w:t>
      </w:r>
      <w:r w:rsidR="00214525" w:rsidRPr="000B5BE1">
        <w:rPr>
          <w:rFonts w:ascii="Times New Roman" w:hAnsi="Times New Roman"/>
          <w:i/>
          <w:iCs/>
          <w:sz w:val="22"/>
          <w:lang w:val="en"/>
        </w:rPr>
        <w:t>k</w:t>
      </w:r>
      <w:r w:rsidR="00214525" w:rsidRPr="00F11DD6">
        <w:rPr>
          <w:rFonts w:cs="Arial"/>
          <w:szCs w:val="20"/>
          <w:lang w:val="en"/>
        </w:rPr>
        <w:t xml:space="preserve"> is a</w:t>
      </w:r>
      <w:r w:rsidR="00214525">
        <w:rPr>
          <w:rFonts w:cs="Arial"/>
          <w:szCs w:val="20"/>
          <w:lang w:val="en"/>
        </w:rPr>
        <w:t xml:space="preserve"> participant (=1) or a matched control (=0)</w:t>
      </w:r>
    </w:p>
    <w:p w14:paraId="0F68B289" w14:textId="77777777" w:rsidR="001E4CEC" w:rsidRDefault="005C5AAC" w:rsidP="001E4CEC">
      <w:pPr>
        <w:autoSpaceDE w:val="0"/>
        <w:autoSpaceDN w:val="0"/>
        <w:adjustRightInd w:val="0"/>
        <w:spacing w:after="120"/>
        <w:ind w:left="2340" w:hanging="1800"/>
        <w:rPr>
          <w:rFonts w:cs="Arial"/>
          <w:szCs w:val="20"/>
          <w:lang w:val="en"/>
        </w:rPr>
      </w:pPr>
      <m:oMath>
        <m:sSub>
          <m:sSubPr>
            <m:ctrlPr>
              <w:rPr>
                <w:rFonts w:ascii="Cambria Math" w:hAnsi="Cambria Math" w:cs="Arial"/>
                <w:i/>
                <w:noProof/>
                <w:szCs w:val="20"/>
              </w:rPr>
            </m:ctrlPr>
          </m:sSubPr>
          <m:e>
            <m:r>
              <w:rPr>
                <w:rFonts w:ascii="Cambria Math" w:hAnsi="Cambria Math" w:cs="Arial"/>
                <w:noProof/>
                <w:szCs w:val="20"/>
              </w:rPr>
              <m:t>ADU_lag</m:t>
            </m:r>
          </m:e>
          <m:sub>
            <m:r>
              <w:rPr>
                <w:rFonts w:ascii="Cambria Math" w:hAnsi="Cambria Math" w:cs="Arial"/>
                <w:noProof/>
                <w:szCs w:val="20"/>
              </w:rPr>
              <m:t>kt</m:t>
            </m:r>
          </m:sub>
        </m:sSub>
      </m:oMath>
      <w:r w:rsidR="00214525">
        <w:rPr>
          <w:rFonts w:cs="Arial"/>
          <w:szCs w:val="20"/>
          <w:lang w:val="en"/>
        </w:rPr>
        <w:tab/>
        <w:t>is</w:t>
      </w:r>
      <w:r w:rsidR="00214525" w:rsidRPr="00F11DD6">
        <w:rPr>
          <w:rFonts w:cs="Arial"/>
          <w:szCs w:val="20"/>
          <w:lang w:val="en"/>
        </w:rPr>
        <w:t xml:space="preserve"> </w:t>
      </w:r>
      <w:r w:rsidR="00214525">
        <w:rPr>
          <w:rFonts w:cs="Arial"/>
          <w:szCs w:val="20"/>
          <w:lang w:val="en"/>
        </w:rPr>
        <w:t>customer</w:t>
      </w:r>
      <w:r w:rsidR="00214525" w:rsidRPr="00F11DD6">
        <w:rPr>
          <w:rFonts w:cs="Arial"/>
          <w:szCs w:val="20"/>
          <w:lang w:val="en"/>
        </w:rPr>
        <w:t xml:space="preserve"> </w:t>
      </w:r>
      <w:r w:rsidR="00214525" w:rsidRPr="000B5BE1">
        <w:rPr>
          <w:rFonts w:ascii="Times New Roman" w:hAnsi="Times New Roman"/>
          <w:i/>
          <w:iCs/>
          <w:sz w:val="22"/>
          <w:lang w:val="en"/>
        </w:rPr>
        <w:t>k</w:t>
      </w:r>
      <w:r w:rsidR="00214525" w:rsidRPr="00F11DD6">
        <w:rPr>
          <w:rFonts w:cs="Arial"/>
          <w:szCs w:val="20"/>
          <w:lang w:val="en"/>
        </w:rPr>
        <w:t xml:space="preserve">’s </w:t>
      </w:r>
      <w:r w:rsidR="00214525">
        <w:rPr>
          <w:rFonts w:cs="Arial"/>
          <w:szCs w:val="20"/>
          <w:lang w:val="en"/>
        </w:rPr>
        <w:t xml:space="preserve">average </w:t>
      </w:r>
      <w:r w:rsidR="00214525" w:rsidRPr="00F11DD6">
        <w:rPr>
          <w:rFonts w:cs="Arial"/>
          <w:szCs w:val="20"/>
          <w:lang w:val="en"/>
        </w:rPr>
        <w:t xml:space="preserve">daily </w:t>
      </w:r>
      <w:r w:rsidR="009623C8">
        <w:rPr>
          <w:rFonts w:cs="Arial"/>
          <w:szCs w:val="20"/>
          <w:lang w:val="en"/>
        </w:rPr>
        <w:t>use</w:t>
      </w:r>
      <w:r w:rsidR="00214525" w:rsidRPr="00F11DD6">
        <w:rPr>
          <w:rFonts w:cs="Arial"/>
          <w:szCs w:val="20"/>
          <w:lang w:val="en"/>
        </w:rPr>
        <w:t xml:space="preserve"> </w:t>
      </w:r>
      <w:r w:rsidR="009623C8">
        <w:rPr>
          <w:rFonts w:cs="Arial"/>
          <w:szCs w:val="20"/>
          <w:lang w:val="en"/>
        </w:rPr>
        <w:t>in the same period during the pre-install year</w:t>
      </w:r>
    </w:p>
    <w:p w14:paraId="45AA39E8" w14:textId="6168E010" w:rsidR="000B5BE1" w:rsidRDefault="006D44D2" w:rsidP="001E4CEC">
      <w:pPr>
        <w:autoSpaceDE w:val="0"/>
        <w:autoSpaceDN w:val="0"/>
        <w:adjustRightInd w:val="0"/>
        <w:spacing w:after="120"/>
        <w:ind w:left="2340" w:hanging="1800"/>
        <w:rPr>
          <w:rFonts w:cs="Arial"/>
          <w:szCs w:val="20"/>
          <w:lang w:val="en"/>
        </w:rPr>
      </w:pPr>
      <m:oMath>
        <m:r>
          <w:rPr>
            <w:rFonts w:ascii="Cambria Math" w:hAnsi="Cambria Math" w:cs="Arial"/>
            <w:noProof/>
            <w:szCs w:val="20"/>
          </w:rPr>
          <m:t>Year_</m:t>
        </m:r>
        <m:sSub>
          <m:sSubPr>
            <m:ctrlPr>
              <w:rPr>
                <w:rFonts w:ascii="Cambria Math" w:hAnsi="Cambria Math" w:cs="Arial"/>
                <w:i/>
                <w:noProof/>
                <w:szCs w:val="20"/>
              </w:rPr>
            </m:ctrlPr>
          </m:sSubPr>
          <m:e>
            <m:r>
              <w:rPr>
                <w:rFonts w:ascii="Cambria Math" w:hAnsi="Cambria Math" w:cs="Arial"/>
                <w:noProof/>
                <w:szCs w:val="20"/>
              </w:rPr>
              <m:t>Month</m:t>
            </m:r>
          </m:e>
          <m:sub>
            <m:r>
              <w:rPr>
                <w:rFonts w:ascii="Cambria Math" w:hAnsi="Cambria Math" w:cs="Arial"/>
                <w:noProof/>
                <w:szCs w:val="20"/>
              </w:rPr>
              <m:t>jt</m:t>
            </m:r>
          </m:sub>
        </m:sSub>
      </m:oMath>
      <w:r w:rsidR="000B5BE1">
        <w:rPr>
          <w:rFonts w:cs="Arial"/>
          <w:szCs w:val="20"/>
          <w:lang w:val="en"/>
        </w:rPr>
        <w:tab/>
        <w:t>comprises</w:t>
      </w:r>
      <w:r w:rsidR="000B5BE1" w:rsidRPr="00F11DD6">
        <w:rPr>
          <w:rFonts w:cs="Arial"/>
          <w:szCs w:val="20"/>
          <w:lang w:val="en"/>
        </w:rPr>
        <w:t xml:space="preserve"> a</w:t>
      </w:r>
      <w:r w:rsidR="000B5BE1">
        <w:rPr>
          <w:rFonts w:cs="Arial"/>
          <w:szCs w:val="20"/>
          <w:lang w:val="en"/>
        </w:rPr>
        <w:t xml:space="preserve"> set of</w:t>
      </w:r>
      <w:r w:rsidR="000B5BE1" w:rsidRPr="00F11DD6">
        <w:rPr>
          <w:rFonts w:cs="Arial"/>
          <w:szCs w:val="20"/>
          <w:lang w:val="en"/>
        </w:rPr>
        <w:t xml:space="preserve"> binary variable</w:t>
      </w:r>
      <w:r w:rsidR="000B5BE1">
        <w:rPr>
          <w:rFonts w:cs="Arial"/>
          <w:szCs w:val="20"/>
          <w:lang w:val="en"/>
        </w:rPr>
        <w:t xml:space="preserve">s indicating </w:t>
      </w:r>
      <w:r w:rsidR="0080372E">
        <w:rPr>
          <w:rFonts w:cs="Arial"/>
          <w:szCs w:val="20"/>
          <w:lang w:val="en"/>
        </w:rPr>
        <w:t>the</w:t>
      </w:r>
      <w:r w:rsidR="000B5BE1">
        <w:rPr>
          <w:rFonts w:cs="Arial"/>
          <w:szCs w:val="20"/>
          <w:lang w:val="en"/>
        </w:rPr>
        <w:t xml:space="preserve"> </w:t>
      </w:r>
      <w:r>
        <w:rPr>
          <w:rFonts w:cs="Arial"/>
          <w:szCs w:val="20"/>
          <w:lang w:val="en"/>
        </w:rPr>
        <w:t>year-</w:t>
      </w:r>
      <w:r w:rsidR="000B5BE1">
        <w:rPr>
          <w:rFonts w:cs="Arial"/>
          <w:szCs w:val="20"/>
          <w:lang w:val="en"/>
        </w:rPr>
        <w:t>month</w:t>
      </w:r>
      <w:r w:rsidR="00295FD6">
        <w:rPr>
          <w:rFonts w:cs="Arial"/>
          <w:szCs w:val="20"/>
          <w:lang w:val="en"/>
        </w:rPr>
        <w:t xml:space="preserve"> combination</w:t>
      </w:r>
      <w:r w:rsidR="00214525">
        <w:rPr>
          <w:rFonts w:cs="Arial"/>
          <w:szCs w:val="20"/>
          <w:lang w:val="en"/>
        </w:rPr>
        <w:t xml:space="preserve"> </w:t>
      </w:r>
      <w:r w:rsidR="00214525" w:rsidRPr="009B78BF">
        <w:rPr>
          <w:rFonts w:ascii="Times New Roman" w:hAnsi="Times New Roman"/>
          <w:i/>
          <w:sz w:val="22"/>
          <w:lang w:val="en"/>
        </w:rPr>
        <w:t>j</w:t>
      </w:r>
      <w:r w:rsidR="000B5BE1">
        <w:rPr>
          <w:rFonts w:cs="Arial"/>
          <w:szCs w:val="20"/>
          <w:lang w:val="en"/>
        </w:rPr>
        <w:t xml:space="preserve"> </w:t>
      </w:r>
      <w:r w:rsidR="0080372E">
        <w:rPr>
          <w:rFonts w:cs="Arial"/>
          <w:szCs w:val="20"/>
          <w:lang w:val="en"/>
        </w:rPr>
        <w:t xml:space="preserve">into which </w:t>
      </w:r>
      <w:r w:rsidR="000B5BE1">
        <w:rPr>
          <w:rFonts w:cs="Arial"/>
          <w:szCs w:val="20"/>
          <w:lang w:val="en"/>
        </w:rPr>
        <w:t xml:space="preserve">the current observation (indexed by </w:t>
      </w:r>
      <w:r w:rsidR="000B5BE1" w:rsidRPr="003B1593">
        <w:rPr>
          <w:rFonts w:ascii="Times New Roman" w:hAnsi="Times New Roman"/>
          <w:i/>
          <w:sz w:val="22"/>
          <w:lang w:val="en"/>
        </w:rPr>
        <w:t>t</w:t>
      </w:r>
      <w:r w:rsidR="000B5BE1">
        <w:rPr>
          <w:rFonts w:cs="Arial"/>
          <w:szCs w:val="20"/>
          <w:lang w:val="en"/>
        </w:rPr>
        <w:t>) falls</w:t>
      </w:r>
    </w:p>
    <w:p w14:paraId="2E7C5046" w14:textId="77777777" w:rsidR="000B5BE1" w:rsidRPr="00F11DD6" w:rsidRDefault="005C5AAC" w:rsidP="000B5BE1">
      <w:pPr>
        <w:keepNext/>
        <w:keepLines/>
        <w:autoSpaceDE w:val="0"/>
        <w:autoSpaceDN w:val="0"/>
        <w:adjustRightInd w:val="0"/>
        <w:ind w:left="2340" w:hanging="1800"/>
        <w:rPr>
          <w:rFonts w:cs="Arial"/>
          <w:szCs w:val="20"/>
          <w:lang w:val="en"/>
        </w:rPr>
      </w:pPr>
      <m:oMath>
        <m:sSub>
          <m:sSubPr>
            <m:ctrlPr>
              <w:rPr>
                <w:rFonts w:ascii="Cambria Math" w:hAnsi="Cambria Math" w:cs="Arial"/>
                <w:i/>
                <w:noProof/>
                <w:szCs w:val="20"/>
              </w:rPr>
            </m:ctrlPr>
          </m:sSubPr>
          <m:e>
            <m:r>
              <w:rPr>
                <w:rFonts w:ascii="Cambria Math" w:hAnsi="Cambria Math" w:cs="Arial"/>
                <w:noProof/>
                <w:szCs w:val="20"/>
              </w:rPr>
              <m:t>ε</m:t>
            </m:r>
          </m:e>
          <m:sub>
            <m:r>
              <w:rPr>
                <w:rFonts w:ascii="Cambria Math" w:hAnsi="Cambria Math" w:cs="Arial"/>
                <w:noProof/>
                <w:szCs w:val="20"/>
              </w:rPr>
              <m:t>kt</m:t>
            </m:r>
          </m:sub>
        </m:sSub>
      </m:oMath>
      <w:r w:rsidR="000B5BE1">
        <w:rPr>
          <w:rFonts w:cs="Arial"/>
          <w:szCs w:val="20"/>
          <w:lang w:val="en"/>
        </w:rPr>
        <w:tab/>
        <w:t>i</w:t>
      </w:r>
      <w:proofErr w:type="spellStart"/>
      <w:r w:rsidR="000B5BE1" w:rsidRPr="00F11DD6">
        <w:rPr>
          <w:rFonts w:cs="Arial"/>
          <w:szCs w:val="20"/>
          <w:lang w:val="en"/>
        </w:rPr>
        <w:t>s</w:t>
      </w:r>
      <w:proofErr w:type="spellEnd"/>
      <w:r w:rsidR="000B5BE1" w:rsidRPr="00F11DD6">
        <w:rPr>
          <w:rFonts w:cs="Arial"/>
          <w:szCs w:val="20"/>
          <w:lang w:val="en"/>
        </w:rPr>
        <w:t xml:space="preserve"> </w:t>
      </w:r>
      <w:r w:rsidR="000B5BE1">
        <w:rPr>
          <w:rFonts w:cs="Arial"/>
          <w:szCs w:val="20"/>
          <w:lang w:val="en"/>
        </w:rPr>
        <w:t>a</w:t>
      </w:r>
      <w:r w:rsidR="000B5BE1" w:rsidRPr="00F11DD6">
        <w:rPr>
          <w:rFonts w:cs="Arial"/>
          <w:szCs w:val="20"/>
          <w:lang w:val="en"/>
        </w:rPr>
        <w:t xml:space="preserve"> cluster-robust </w:t>
      </w:r>
      <w:r w:rsidR="000B5BE1">
        <w:rPr>
          <w:rFonts w:cs="Arial"/>
          <w:szCs w:val="20"/>
          <w:lang w:val="en"/>
        </w:rPr>
        <w:t>disturbance</w:t>
      </w:r>
      <w:r w:rsidR="000B5BE1" w:rsidRPr="00F11DD6">
        <w:rPr>
          <w:rFonts w:cs="Arial"/>
          <w:szCs w:val="20"/>
          <w:lang w:val="en"/>
        </w:rPr>
        <w:t xml:space="preserve"> term for </w:t>
      </w:r>
      <w:r w:rsidR="000B5BE1">
        <w:rPr>
          <w:rFonts w:cs="Arial"/>
          <w:szCs w:val="20"/>
          <w:lang w:val="en"/>
        </w:rPr>
        <w:t>customer</w:t>
      </w:r>
      <w:r w:rsidR="000B5BE1" w:rsidRPr="00F11DD6">
        <w:rPr>
          <w:rFonts w:cs="Arial"/>
          <w:szCs w:val="20"/>
          <w:lang w:val="en"/>
        </w:rPr>
        <w:t xml:space="preserve"> </w:t>
      </w:r>
      <w:r w:rsidR="000B5BE1" w:rsidRPr="000B5BE1">
        <w:rPr>
          <w:rFonts w:ascii="Times New Roman" w:hAnsi="Times New Roman"/>
          <w:i/>
          <w:iCs/>
          <w:sz w:val="22"/>
          <w:lang w:val="en"/>
        </w:rPr>
        <w:t>k</w:t>
      </w:r>
    </w:p>
    <w:p w14:paraId="722062D8" w14:textId="77777777" w:rsidR="000B5BE1" w:rsidRPr="00F11DD6" w:rsidRDefault="000B5BE1" w:rsidP="000B5BE1">
      <w:pPr>
        <w:autoSpaceDE w:val="0"/>
        <w:autoSpaceDN w:val="0"/>
        <w:adjustRightInd w:val="0"/>
        <w:rPr>
          <w:rFonts w:cs="Arial"/>
          <w:szCs w:val="20"/>
          <w:lang w:val="en"/>
        </w:rPr>
      </w:pPr>
    </w:p>
    <w:p w14:paraId="58C42B93" w14:textId="16D83C53" w:rsidR="000B5BE1" w:rsidRDefault="000B5BE1" w:rsidP="003B6AE8">
      <w:pPr>
        <w:rPr>
          <w:lang w:val="en"/>
        </w:rPr>
      </w:pPr>
      <w:r w:rsidRPr="00F11DD6">
        <w:rPr>
          <w:lang w:val="en"/>
        </w:rPr>
        <w:t>In the above model,</w:t>
      </w:r>
      <w:r>
        <w:rPr>
          <w:lang w:val="en"/>
        </w:rPr>
        <w:t xml:space="preserve"> </w:t>
      </w:r>
      <m:oMath>
        <m:sSub>
          <m:sSubPr>
            <m:ctrlPr>
              <w:rPr>
                <w:rFonts w:ascii="Cambria Math" w:hAnsi="Cambria Math"/>
                <w:i/>
                <w:noProof/>
              </w:rPr>
            </m:ctrlPr>
          </m:sSubPr>
          <m:e>
            <m:r>
              <w:rPr>
                <w:rFonts w:ascii="Cambria Math" w:hAnsi="Cambria Math"/>
                <w:noProof/>
              </w:rPr>
              <m:t>β</m:t>
            </m:r>
          </m:e>
          <m:sub>
            <m:r>
              <w:rPr>
                <w:rFonts w:ascii="Cambria Math" w:hAnsi="Cambria Math"/>
                <w:noProof/>
              </w:rPr>
              <m:t>1</m:t>
            </m:r>
          </m:sub>
        </m:sSub>
      </m:oMath>
      <w:r>
        <w:rPr>
          <w:lang w:val="en"/>
        </w:rPr>
        <w:t>,</w:t>
      </w:r>
      <w:r w:rsidRPr="00F11DD6">
        <w:rPr>
          <w:lang w:val="en"/>
        </w:rPr>
        <w:t xml:space="preserve"> the regression coefficient on the</w:t>
      </w:r>
      <w:r>
        <w:rPr>
          <w:lang w:val="en"/>
        </w:rPr>
        <w:t xml:space="preserve"> </w:t>
      </w:r>
      <m:oMath>
        <m:sSub>
          <m:sSubPr>
            <m:ctrlPr>
              <w:rPr>
                <w:rFonts w:ascii="Cambria Math" w:hAnsi="Cambria Math"/>
                <w:i/>
                <w:noProof/>
              </w:rPr>
            </m:ctrlPr>
          </m:sSubPr>
          <m:e>
            <m:r>
              <w:rPr>
                <w:rFonts w:ascii="Cambria Math" w:hAnsi="Cambria Math"/>
                <w:noProof/>
              </w:rPr>
              <m:t>Treatment</m:t>
            </m:r>
          </m:e>
          <m:sub>
            <m:r>
              <w:rPr>
                <w:rFonts w:ascii="Cambria Math" w:hAnsi="Cambria Math"/>
                <w:noProof/>
              </w:rPr>
              <m:t>k</m:t>
            </m:r>
          </m:sub>
        </m:sSub>
      </m:oMath>
      <w:r>
        <w:rPr>
          <w:lang w:val="en"/>
        </w:rPr>
        <w:t xml:space="preserve"> variable, estimates</w:t>
      </w:r>
      <w:r w:rsidRPr="00F11DD6">
        <w:rPr>
          <w:lang w:val="en"/>
        </w:rPr>
        <w:t xml:space="preserve"> the average difference in </w:t>
      </w:r>
      <w:r w:rsidR="009623C8">
        <w:rPr>
          <w:lang w:val="en"/>
        </w:rPr>
        <w:t xml:space="preserve">average </w:t>
      </w:r>
      <w:r w:rsidRPr="0019533B">
        <w:rPr>
          <w:lang w:val="en"/>
        </w:rPr>
        <w:t>daily</w:t>
      </w:r>
      <w:r w:rsidRPr="00F11DD6">
        <w:rPr>
          <w:lang w:val="en"/>
        </w:rPr>
        <w:t xml:space="preserve"> </w:t>
      </w:r>
      <w:proofErr w:type="spellStart"/>
      <w:r w:rsidR="009623C8">
        <w:rPr>
          <w:lang w:val="en"/>
        </w:rPr>
        <w:t>therm</w:t>
      </w:r>
      <w:proofErr w:type="spellEnd"/>
      <w:r w:rsidRPr="00F11DD6">
        <w:rPr>
          <w:lang w:val="en"/>
        </w:rPr>
        <w:t xml:space="preserve"> use between the treatment and control groups in the post-</w:t>
      </w:r>
      <w:r w:rsidR="00102769">
        <w:rPr>
          <w:lang w:val="en"/>
        </w:rPr>
        <w:t>install</w:t>
      </w:r>
      <w:r w:rsidRPr="00F11DD6">
        <w:rPr>
          <w:lang w:val="en"/>
        </w:rPr>
        <w:t xml:space="preserve"> period.</w:t>
      </w:r>
      <w:r w:rsidR="00805974">
        <w:rPr>
          <w:lang w:val="en"/>
        </w:rPr>
        <w:t xml:space="preserve"> To convert to percent energy savings this value was divided by average participant daily usage during the </w:t>
      </w:r>
      <w:r w:rsidR="00C15DC9">
        <w:rPr>
          <w:lang w:val="en"/>
        </w:rPr>
        <w:t>post</w:t>
      </w:r>
      <w:r w:rsidR="00805974">
        <w:rPr>
          <w:lang w:val="en"/>
        </w:rPr>
        <w:t xml:space="preserve">-install </w:t>
      </w:r>
      <w:r w:rsidR="005D0402">
        <w:rPr>
          <w:lang w:val="en"/>
        </w:rPr>
        <w:t xml:space="preserve">heating </w:t>
      </w:r>
      <w:r w:rsidR="00805974">
        <w:rPr>
          <w:lang w:val="en"/>
        </w:rPr>
        <w:t>season</w:t>
      </w:r>
      <w:r w:rsidR="00C15DC9">
        <w:rPr>
          <w:lang w:val="en"/>
        </w:rPr>
        <w:t xml:space="preserve"> plus the estimated daily </w:t>
      </w:r>
      <w:proofErr w:type="spellStart"/>
      <w:r w:rsidR="00E47A15">
        <w:rPr>
          <w:lang w:val="en"/>
        </w:rPr>
        <w:t>therm</w:t>
      </w:r>
      <w:proofErr w:type="spellEnd"/>
      <w:r w:rsidR="00C15DC9">
        <w:rPr>
          <w:lang w:val="en"/>
        </w:rPr>
        <w:t xml:space="preserve"> savings</w:t>
      </w:r>
      <w:r w:rsidR="00805974">
        <w:rPr>
          <w:lang w:val="en"/>
        </w:rPr>
        <w:t>.</w:t>
      </w:r>
    </w:p>
    <w:p w14:paraId="78C88BDA" w14:textId="77777777" w:rsidR="000D5B5E" w:rsidRPr="003B1593" w:rsidRDefault="000D5B5E" w:rsidP="003B6AE8">
      <w:pPr>
        <w:pStyle w:val="Heading1"/>
      </w:pPr>
      <w:r w:rsidRPr="003B1593">
        <w:t>Key Results</w:t>
      </w:r>
    </w:p>
    <w:p w14:paraId="40AA2826" w14:textId="7A2C66F3" w:rsidR="000D5B5E" w:rsidRDefault="003061CB" w:rsidP="003B6AE8">
      <w:r>
        <w:t xml:space="preserve">The key results of our analysis are shown in </w:t>
      </w:r>
      <w:r w:rsidRPr="003061CB">
        <w:fldChar w:fldCharType="begin"/>
      </w:r>
      <w:r w:rsidRPr="003061CB">
        <w:instrText xml:space="preserve"> REF _Ref28243031 \h  \* MERGEFORMAT </w:instrText>
      </w:r>
      <w:r w:rsidRPr="003061CB">
        <w:fldChar w:fldCharType="separate"/>
      </w:r>
      <w:r w:rsidR="008531D6" w:rsidRPr="00A568D5">
        <w:t xml:space="preserve">Table </w:t>
      </w:r>
      <w:r w:rsidR="008531D6">
        <w:t>3</w:t>
      </w:r>
      <w:r w:rsidRPr="003061CB">
        <w:fldChar w:fldCharType="end"/>
      </w:r>
      <w:r w:rsidR="00A205F3">
        <w:t xml:space="preserve"> and</w:t>
      </w:r>
      <w:r w:rsidR="002C4D7F">
        <w:t xml:space="preserve"> </w:t>
      </w:r>
      <w:r w:rsidR="002C4D7F">
        <w:fldChar w:fldCharType="begin"/>
      </w:r>
      <w:r w:rsidR="002C4D7F">
        <w:instrText xml:space="preserve"> REF _Ref67473006 \h </w:instrText>
      </w:r>
      <w:r w:rsidR="002C4D7F">
        <w:fldChar w:fldCharType="separate"/>
      </w:r>
      <w:r w:rsidR="008531D6">
        <w:t xml:space="preserve">Figure </w:t>
      </w:r>
      <w:r w:rsidR="008531D6">
        <w:rPr>
          <w:noProof/>
        </w:rPr>
        <w:t>3</w:t>
      </w:r>
      <w:r w:rsidR="002C4D7F">
        <w:fldChar w:fldCharType="end"/>
      </w:r>
      <w:r w:rsidRPr="003061CB">
        <w:t>.</w:t>
      </w:r>
      <w:r>
        <w:t xml:space="preserve"> The average daily </w:t>
      </w:r>
      <w:r w:rsidR="001E4CEC">
        <w:t>heat</w:t>
      </w:r>
      <w:r>
        <w:t>ing</w:t>
      </w:r>
      <w:r w:rsidR="009D6DC8">
        <w:t xml:space="preserve"> season </w:t>
      </w:r>
      <w:r w:rsidR="001E4CEC">
        <w:t>gas</w:t>
      </w:r>
      <w:r>
        <w:t xml:space="preserve"> savings from installing an SCT was </w:t>
      </w:r>
      <w:r w:rsidR="00552927">
        <w:t>0.7</w:t>
      </w:r>
      <w:r>
        <w:t xml:space="preserve"> </w:t>
      </w:r>
      <w:proofErr w:type="spellStart"/>
      <w:r w:rsidR="001E4CEC">
        <w:t>therms</w:t>
      </w:r>
      <w:proofErr w:type="spellEnd"/>
      <w:r>
        <w:t xml:space="preserve"> per day, or 4 percent of </w:t>
      </w:r>
      <w:r w:rsidR="00FD7018">
        <w:t xml:space="preserve">baseline </w:t>
      </w:r>
      <w:r w:rsidR="00552927">
        <w:t>heat</w:t>
      </w:r>
      <w:r w:rsidR="00FD7018">
        <w:t xml:space="preserve">ing season </w:t>
      </w:r>
      <w:r w:rsidR="00552927">
        <w:t>gas</w:t>
      </w:r>
      <w:r w:rsidR="00FD7018">
        <w:t xml:space="preserve"> usage</w:t>
      </w:r>
      <w:r w:rsidR="00D73BC2">
        <w:t xml:space="preserve"> using the </w:t>
      </w:r>
      <w:r w:rsidR="00552927">
        <w:t xml:space="preserve">full sample. Dropping schools caused only minimal changes. </w:t>
      </w:r>
      <w:r w:rsidR="00C01180">
        <w:t>Both point estimates hav</w:t>
      </w:r>
      <w:r w:rsidR="00B6046C">
        <w:t>e</w:t>
      </w:r>
      <w:r w:rsidR="00C01180">
        <w:t xml:space="preserve"> wide</w:t>
      </w:r>
      <w:r w:rsidR="00B6046C">
        <w:t xml:space="preserve"> 90 percent confidence interval</w:t>
      </w:r>
      <w:r w:rsidR="00C01180">
        <w:t>s</w:t>
      </w:r>
      <w:r w:rsidR="00B6046C">
        <w:t xml:space="preserve"> owing to the small size</w:t>
      </w:r>
      <w:r w:rsidR="00C01180">
        <w:t xml:space="preserve"> of the final sample size</w:t>
      </w:r>
      <w:r w:rsidR="00A205F3">
        <w:t>, which indicates that they are not statistically different from one another</w:t>
      </w:r>
      <w:r w:rsidR="009D6DC8">
        <w:t>.</w:t>
      </w:r>
    </w:p>
    <w:p w14:paraId="01F50901" w14:textId="77777777" w:rsidR="001E4CEC" w:rsidRDefault="001E4CEC" w:rsidP="003B6AE8"/>
    <w:p w14:paraId="5AD320AE" w14:textId="50A27F35" w:rsidR="00A568D5" w:rsidRPr="00A568D5" w:rsidRDefault="00A568D5" w:rsidP="00DE5428">
      <w:pPr>
        <w:pStyle w:val="Caption"/>
        <w:rPr>
          <w:b w:val="0"/>
          <w:i/>
        </w:rPr>
      </w:pPr>
      <w:bookmarkStart w:id="7" w:name="_Ref28243031"/>
      <w:bookmarkStart w:id="8" w:name="_Hlk35866038"/>
      <w:r w:rsidRPr="00A568D5">
        <w:t xml:space="preserve">Table </w:t>
      </w:r>
      <w:r w:rsidR="00AE0285">
        <w:rPr>
          <w:noProof/>
        </w:rPr>
        <w:fldChar w:fldCharType="begin"/>
      </w:r>
      <w:r w:rsidR="00AE0285">
        <w:rPr>
          <w:noProof/>
        </w:rPr>
        <w:instrText xml:space="preserve"> SEQ Table \* ARABIC </w:instrText>
      </w:r>
      <w:r w:rsidR="00AE0285">
        <w:rPr>
          <w:noProof/>
        </w:rPr>
        <w:fldChar w:fldCharType="separate"/>
      </w:r>
      <w:r w:rsidR="008531D6">
        <w:rPr>
          <w:noProof/>
        </w:rPr>
        <w:t>3</w:t>
      </w:r>
      <w:r w:rsidR="00AE0285">
        <w:rPr>
          <w:noProof/>
        </w:rPr>
        <w:fldChar w:fldCharType="end"/>
      </w:r>
      <w:bookmarkEnd w:id="7"/>
      <w:r>
        <w:t>. Key Regression Results</w:t>
      </w:r>
    </w:p>
    <w:bookmarkEnd w:id="8"/>
    <w:p w14:paraId="70999C1C" w14:textId="735A7560" w:rsidR="00591266" w:rsidRDefault="00125CD6" w:rsidP="00DE5428">
      <w:pPr>
        <w:pStyle w:val="MemoBody"/>
        <w:keepNext/>
      </w:pPr>
      <w:r w:rsidRPr="00125CD6">
        <w:rPr>
          <w:noProof/>
        </w:rPr>
        <w:drawing>
          <wp:inline distT="0" distB="0" distL="0" distR="0" wp14:anchorId="3ED14F5D" wp14:editId="7E22F3D7">
            <wp:extent cx="5715000" cy="824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824865"/>
                    </a:xfrm>
                    <a:prstGeom prst="rect">
                      <a:avLst/>
                    </a:prstGeom>
                    <a:noFill/>
                    <a:ln>
                      <a:noFill/>
                    </a:ln>
                  </pic:spPr>
                </pic:pic>
              </a:graphicData>
            </a:graphic>
          </wp:inline>
        </w:drawing>
      </w:r>
    </w:p>
    <w:p w14:paraId="5006C366" w14:textId="3B5F5132" w:rsidR="00591266" w:rsidRDefault="003225E8" w:rsidP="003B6AE8">
      <w:pPr>
        <w:pStyle w:val="Source"/>
      </w:pPr>
      <w:r>
        <w:t xml:space="preserve">Source: </w:t>
      </w:r>
      <w:r w:rsidR="006A3165">
        <w:t>Nicor Gas</w:t>
      </w:r>
      <w:r>
        <w:t xml:space="preserve"> data and </w:t>
      </w:r>
      <w:proofErr w:type="spellStart"/>
      <w:r w:rsidR="006A3165">
        <w:t>Guidehouse</w:t>
      </w:r>
      <w:proofErr w:type="spellEnd"/>
      <w:r>
        <w:t xml:space="preserve"> analysis.</w:t>
      </w:r>
    </w:p>
    <w:p w14:paraId="563D598B" w14:textId="77777777" w:rsidR="00125CD6" w:rsidRPr="00125CD6" w:rsidRDefault="00125CD6" w:rsidP="00125CD6">
      <w:pPr>
        <w:pStyle w:val="Caption"/>
        <w:jc w:val="left"/>
        <w:rPr>
          <w:b w:val="0"/>
          <w:bCs w:val="0"/>
        </w:rPr>
      </w:pPr>
      <w:bookmarkStart w:id="9" w:name="_Ref64011779"/>
    </w:p>
    <w:p w14:paraId="06A441DD" w14:textId="740796F0" w:rsidR="00392D17" w:rsidRDefault="00A205F3" w:rsidP="00A205F3">
      <w:pPr>
        <w:pStyle w:val="Caption"/>
      </w:pPr>
      <w:bookmarkStart w:id="10" w:name="_Ref67473006"/>
      <w:r>
        <w:t xml:space="preserve">Figure </w:t>
      </w:r>
      <w:r w:rsidR="005C5AAC">
        <w:fldChar w:fldCharType="begin"/>
      </w:r>
      <w:r w:rsidR="005C5AAC">
        <w:instrText xml:space="preserve"> SEQ Figure \* ARABIC </w:instrText>
      </w:r>
      <w:r w:rsidR="005C5AAC">
        <w:fldChar w:fldCharType="separate"/>
      </w:r>
      <w:r w:rsidR="008531D6">
        <w:rPr>
          <w:noProof/>
        </w:rPr>
        <w:t>3</w:t>
      </w:r>
      <w:r w:rsidR="005C5AAC">
        <w:rPr>
          <w:noProof/>
        </w:rPr>
        <w:fldChar w:fldCharType="end"/>
      </w:r>
      <w:bookmarkEnd w:id="9"/>
      <w:bookmarkEnd w:id="10"/>
      <w:r>
        <w:t>. Savings Percentages with Confidence Intervals</w:t>
      </w:r>
    </w:p>
    <w:p w14:paraId="6AA1F28A" w14:textId="13481D73" w:rsidR="00A205F3" w:rsidRPr="00A205F3" w:rsidRDefault="00A205F3" w:rsidP="00A205F3">
      <w:r>
        <w:rPr>
          <w:noProof/>
        </w:rPr>
        <w:drawing>
          <wp:inline distT="0" distB="0" distL="0" distR="0" wp14:anchorId="6DFCF64B" wp14:editId="1AD949E4">
            <wp:extent cx="5715000" cy="3429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429000"/>
                    </a:xfrm>
                    <a:prstGeom prst="rect">
                      <a:avLst/>
                    </a:prstGeom>
                    <a:noFill/>
                    <a:ln>
                      <a:noFill/>
                    </a:ln>
                  </pic:spPr>
                </pic:pic>
              </a:graphicData>
            </a:graphic>
          </wp:inline>
        </w:drawing>
      </w:r>
    </w:p>
    <w:p w14:paraId="7403FD7A" w14:textId="54E72DBE" w:rsidR="000D5B5E" w:rsidRPr="003B1593" w:rsidRDefault="000D5B5E" w:rsidP="003B6AE8">
      <w:pPr>
        <w:pStyle w:val="Heading1"/>
      </w:pPr>
      <w:r w:rsidRPr="003B1593">
        <w:t>Recommen</w:t>
      </w:r>
      <w:bookmarkStart w:id="11" w:name="x"/>
      <w:bookmarkEnd w:id="11"/>
      <w:r w:rsidRPr="003B1593">
        <w:t>dations</w:t>
      </w:r>
    </w:p>
    <w:p w14:paraId="5786DED2" w14:textId="0073F09B" w:rsidR="006473E0" w:rsidRDefault="00552927" w:rsidP="003B6AE8">
      <w:r>
        <w:t xml:space="preserve">We found savings of 4 percent </w:t>
      </w:r>
      <w:r w:rsidRPr="00C9220C">
        <w:t>whole</w:t>
      </w:r>
      <w:r>
        <w:t>-</w:t>
      </w:r>
      <w:r w:rsidRPr="00C9220C">
        <w:t>building</w:t>
      </w:r>
      <w:r>
        <w:t xml:space="preserve">, all-uses </w:t>
      </w:r>
      <w:r w:rsidR="00E8305D">
        <w:t>natural gas</w:t>
      </w:r>
      <w:r>
        <w:t xml:space="preserve"> consumption using the full sample, or 4.5 percent when elementary schools were dropped. Neither result was statistically significant.</w:t>
      </w:r>
      <w:r w:rsidR="00A205F3">
        <w:t xml:space="preserve"> Given the broad, overlapping confidence intervals of the two estimates there is no basis for reporting a separate estimate for Elementary Schools, </w:t>
      </w:r>
      <w:r w:rsidR="00E8305D">
        <w:t>or indeed for changing the current TRM parameter value</w:t>
      </w:r>
      <w:r w:rsidR="00A205F3">
        <w:t>.</w:t>
      </w:r>
    </w:p>
    <w:p w14:paraId="7C7ACC23" w14:textId="77777777" w:rsidR="006473E0" w:rsidRDefault="006473E0" w:rsidP="003B6AE8"/>
    <w:p w14:paraId="71DDB98A" w14:textId="7F423BEA" w:rsidR="00B67DDC" w:rsidRDefault="00E8305D" w:rsidP="003B6AE8">
      <w:r>
        <w:t>While t</w:t>
      </w:r>
      <w:r w:rsidR="006473E0">
        <w:t xml:space="preserve">he present results </w:t>
      </w:r>
      <w:r w:rsidR="00A205F3">
        <w:t>do not provide a s</w:t>
      </w:r>
      <w:r w:rsidR="00125CD6">
        <w:t>ufficient</w:t>
      </w:r>
      <w:r w:rsidR="00A205F3">
        <w:t xml:space="preserve"> basis for changing the current provisional </w:t>
      </w:r>
      <w:proofErr w:type="spellStart"/>
      <w:r w:rsidR="00A205F3">
        <w:t>heating_reduction</w:t>
      </w:r>
      <w:proofErr w:type="spellEnd"/>
      <w:r w:rsidR="00A205F3">
        <w:t xml:space="preserve"> parameter in the </w:t>
      </w:r>
      <w:r w:rsidR="00E47A15">
        <w:t xml:space="preserve">TRM </w:t>
      </w:r>
      <w:r w:rsidR="00125CD6">
        <w:t>v9.0</w:t>
      </w:r>
      <w:r>
        <w:t xml:space="preserve">, </w:t>
      </w:r>
      <w:r w:rsidR="00125CD6">
        <w:t xml:space="preserve">as we noted at the beginning of this </w:t>
      </w:r>
      <w:r w:rsidR="004F2F71">
        <w:t>memo,</w:t>
      </w:r>
      <w:r w:rsidR="00125CD6">
        <w:t xml:space="preserve"> they are broadly consistent with the current parameter value. For this reason, we recommend retaining the current </w:t>
      </w:r>
      <w:proofErr w:type="spellStart"/>
      <w:r w:rsidR="00125CD6">
        <w:t>heating_reduction</w:t>
      </w:r>
      <w:proofErr w:type="spellEnd"/>
      <w:r w:rsidR="00125CD6">
        <w:t xml:space="preserve"> parameter value. </w:t>
      </w:r>
    </w:p>
    <w:p w14:paraId="16C0E163" w14:textId="77777777" w:rsidR="00B67DDC" w:rsidRDefault="00B67DDC" w:rsidP="003B6AE8"/>
    <w:p w14:paraId="76F2374B" w14:textId="39D10877" w:rsidR="005D1CEE" w:rsidRDefault="00B67DDC" w:rsidP="003B6AE8">
      <w:r>
        <w:t>To continue the SCT heating savings TRM research, w</w:t>
      </w:r>
      <w:r w:rsidR="00125CD6">
        <w:t>e recommend that you consider performing a small pilot</w:t>
      </w:r>
      <w:r w:rsidR="00E8305D">
        <w:t xml:space="preserve"> experiment</w:t>
      </w:r>
      <w:r w:rsidR="00125CD6">
        <w:t xml:space="preserve"> </w:t>
      </w:r>
      <w:r w:rsidR="00E8305D">
        <w:t>focus</w:t>
      </w:r>
      <w:r w:rsidR="00125CD6">
        <w:t xml:space="preserve">ed </w:t>
      </w:r>
      <w:r w:rsidR="00E8305D">
        <w:t>on measuring the impact of</w:t>
      </w:r>
      <w:r w:rsidR="00125CD6">
        <w:t xml:space="preserve"> </w:t>
      </w:r>
      <w:r w:rsidR="00125CD6" w:rsidRPr="00E8305D">
        <w:rPr>
          <w:i/>
          <w:iCs/>
        </w:rPr>
        <w:t>advanced</w:t>
      </w:r>
      <w:r w:rsidR="00125CD6">
        <w:t xml:space="preserve"> thermostats installed in small commercial buildings.</w:t>
      </w:r>
      <w:r>
        <w:t xml:space="preserve"> </w:t>
      </w:r>
      <w:r w:rsidR="00E5752E">
        <w:t>To i</w:t>
      </w:r>
      <w:r w:rsidR="005D1CEE">
        <w:t>mprov</w:t>
      </w:r>
      <w:r w:rsidR="00E5752E">
        <w:t>e</w:t>
      </w:r>
      <w:r w:rsidR="005D1CEE">
        <w:t xml:space="preserve"> the statistical </w:t>
      </w:r>
      <w:r w:rsidR="00E5752E">
        <w:t>rigor</w:t>
      </w:r>
      <w:r w:rsidR="005D1CEE">
        <w:t xml:space="preserve"> of the</w:t>
      </w:r>
      <w:r w:rsidR="00E8305D">
        <w:t xml:space="preserve"> resulting</w:t>
      </w:r>
      <w:r w:rsidR="005D1CEE">
        <w:t xml:space="preserve"> savings estimate</w:t>
      </w:r>
      <w:r w:rsidR="00E8305D">
        <w:t>s</w:t>
      </w:r>
      <w:r w:rsidR="00E5752E">
        <w:t xml:space="preserve">, we recommend </w:t>
      </w:r>
      <w:r w:rsidR="00125CD6">
        <w:t>design</w:t>
      </w:r>
      <w:r w:rsidR="00E5752E">
        <w:t>ing</w:t>
      </w:r>
      <w:r w:rsidR="00125CD6">
        <w:t xml:space="preserve"> the</w:t>
      </w:r>
      <w:r w:rsidR="00CE7EED">
        <w:t xml:space="preserve"> pilot </w:t>
      </w:r>
      <w:r w:rsidR="00125CD6">
        <w:t xml:space="preserve">as a </w:t>
      </w:r>
      <w:r w:rsidR="00CE7EED">
        <w:t xml:space="preserve">randomized </w:t>
      </w:r>
      <w:r w:rsidR="00E8305D">
        <w:t>experiment</w:t>
      </w:r>
      <w:r w:rsidR="00CE7EED">
        <w:t xml:space="preserve"> </w:t>
      </w:r>
      <w:r w:rsidR="00155554">
        <w:t>in which</w:t>
      </w:r>
      <w:r w:rsidR="00CE7EED">
        <w:t xml:space="preserve"> representative samples of small business customers are </w:t>
      </w:r>
      <w:r w:rsidR="00E5752E">
        <w:t>offered an</w:t>
      </w:r>
      <w:r w:rsidR="00CE7EED">
        <w:t xml:space="preserve"> efficient thermostat in two waves, one group</w:t>
      </w:r>
      <w:r w:rsidR="00E8305D">
        <w:t xml:space="preserve"> receiving it</w:t>
      </w:r>
      <w:r w:rsidR="00CE7EED">
        <w:t xml:space="preserve"> in the first year and the other group</w:t>
      </w:r>
      <w:r w:rsidR="00E8305D">
        <w:t xml:space="preserve"> receiving it</w:t>
      </w:r>
      <w:r w:rsidR="00CE7EED">
        <w:t xml:space="preserve"> in the second.</w:t>
      </w:r>
      <w:r w:rsidR="00E8305D">
        <w:t xml:space="preserve"> This would obviate the need for drawing a set of matched controls while delivering a result that limits the possibility of bias.</w:t>
      </w:r>
    </w:p>
    <w:sectPr w:rsidR="005D1CEE" w:rsidSect="00BE7857">
      <w:headerReference w:type="default" r:id="rId14"/>
      <w:footerReference w:type="default" r:id="rId15"/>
      <w:headerReference w:type="first" r:id="rId16"/>
      <w:footerReference w:type="first" r:id="rId17"/>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6CBC4" w14:textId="77777777" w:rsidR="009F07ED" w:rsidRDefault="009F07ED" w:rsidP="005D1CEE">
      <w:r>
        <w:separator/>
      </w:r>
    </w:p>
  </w:endnote>
  <w:endnote w:type="continuationSeparator" w:id="0">
    <w:p w14:paraId="4EDFAAA0" w14:textId="77777777" w:rsidR="009F07ED" w:rsidRDefault="009F07ED" w:rsidP="005D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829895"/>
      <w:docPartObj>
        <w:docPartGallery w:val="Page Numbers (Bottom of Page)"/>
        <w:docPartUnique/>
      </w:docPartObj>
    </w:sdtPr>
    <w:sdtEndPr>
      <w:rPr>
        <w:noProof/>
        <w:sz w:val="16"/>
      </w:rPr>
    </w:sdtEndPr>
    <w:sdtContent>
      <w:p w14:paraId="0213AE9E" w14:textId="5AD666CB" w:rsidR="009F07ED" w:rsidRPr="003B1593" w:rsidRDefault="009F07ED">
        <w:pPr>
          <w:pStyle w:val="Footer"/>
          <w:jc w:val="right"/>
          <w:rPr>
            <w:sz w:val="16"/>
          </w:rPr>
        </w:pPr>
        <w:r w:rsidRPr="003B1593">
          <w:rPr>
            <w:sz w:val="16"/>
          </w:rPr>
          <w:fldChar w:fldCharType="begin"/>
        </w:r>
        <w:r w:rsidRPr="003B1593">
          <w:rPr>
            <w:sz w:val="16"/>
          </w:rPr>
          <w:instrText xml:space="preserve"> PAGE   \* MERGEFORMAT </w:instrText>
        </w:r>
        <w:r w:rsidRPr="003B1593">
          <w:rPr>
            <w:sz w:val="16"/>
          </w:rPr>
          <w:fldChar w:fldCharType="separate"/>
        </w:r>
        <w:r>
          <w:rPr>
            <w:noProof/>
            <w:sz w:val="16"/>
          </w:rPr>
          <w:t>8</w:t>
        </w:r>
        <w:r w:rsidRPr="003B1593">
          <w:rPr>
            <w:noProof/>
            <w:sz w:val="16"/>
          </w:rPr>
          <w:fldChar w:fldCharType="end"/>
        </w:r>
      </w:p>
    </w:sdtContent>
  </w:sdt>
  <w:p w14:paraId="565AF79A" w14:textId="77777777" w:rsidR="009F07ED" w:rsidRDefault="009F0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9D30" w14:textId="77777777" w:rsidR="009F07ED" w:rsidRDefault="009F07ED">
    <w:pPr>
      <w:pStyle w:val="Footer"/>
    </w:pPr>
  </w:p>
  <w:p w14:paraId="17FE2A62" w14:textId="28F092F9" w:rsidR="009F07ED" w:rsidRDefault="009F07ED">
    <w:pPr>
      <w:pStyle w:val="Footer"/>
    </w:pPr>
  </w:p>
  <w:p w14:paraId="0CACB378" w14:textId="6D51E8C9" w:rsidR="009F07ED" w:rsidRDefault="009F07ED">
    <w:pPr>
      <w:pStyle w:val="Footer"/>
    </w:pPr>
    <w:r>
      <w:rPr>
        <w:noProof/>
      </w:rPr>
      <mc:AlternateContent>
        <mc:Choice Requires="wps">
          <w:drawing>
            <wp:anchor distT="0" distB="0" distL="114300" distR="114300" simplePos="0" relativeHeight="251662336" behindDoc="0" locked="0" layoutInCell="1" allowOverlap="1" wp14:anchorId="295C71DA" wp14:editId="7A5C6053">
              <wp:simplePos x="0" y="0"/>
              <wp:positionH relativeFrom="margin">
                <wp:align>left</wp:align>
              </wp:positionH>
              <wp:positionV relativeFrom="paragraph">
                <wp:posOffset>67310</wp:posOffset>
              </wp:positionV>
              <wp:extent cx="1811655" cy="956310"/>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D8AF3F" w14:textId="02AFF92D" w:rsidR="009F07ED" w:rsidRDefault="00F55AA6" w:rsidP="00DC7AC8">
                          <w:pPr>
                            <w:pStyle w:val="FooterAddress"/>
                          </w:pPr>
                          <w:r>
                            <w:t>15</w:t>
                          </w:r>
                          <w:r w:rsidR="009F07ED">
                            <w:t xml:space="preserve">0 </w:t>
                          </w:r>
                          <w:r>
                            <w:t xml:space="preserve">N. Riverside Plaza </w:t>
                          </w:r>
                          <w:r w:rsidR="009F07ED">
                            <w:t xml:space="preserve">Suite </w:t>
                          </w:r>
                          <w:r>
                            <w:t>2100</w:t>
                          </w:r>
                          <w:r w:rsidR="009F07ED">
                            <w:t xml:space="preserve"> </w:t>
                          </w:r>
                          <w:r>
                            <w:t>Chicago</w:t>
                          </w:r>
                          <w:r w:rsidR="009F07ED">
                            <w:t xml:space="preserve">, </w:t>
                          </w:r>
                          <w:r>
                            <w:t>IL</w:t>
                          </w:r>
                          <w:r w:rsidR="009F07ED">
                            <w:t xml:space="preserve"> </w:t>
                          </w:r>
                          <w:r>
                            <w:t xml:space="preserve"> 60606</w:t>
                          </w:r>
                        </w:p>
                        <w:p w14:paraId="27CCC573" w14:textId="4B885555" w:rsidR="009F07ED" w:rsidRDefault="009F07ED" w:rsidP="00DC7AC8">
                          <w:pPr>
                            <w:pStyle w:val="FooterAddress"/>
                          </w:pPr>
                          <w:r>
                            <w:t xml:space="preserve">Main No.: </w:t>
                          </w:r>
                          <w:r w:rsidR="00F55AA6">
                            <w:t>312</w:t>
                          </w:r>
                          <w:r>
                            <w:t>.</w:t>
                          </w:r>
                          <w:r w:rsidR="00F55AA6">
                            <w:t>583</w:t>
                          </w:r>
                          <w:r>
                            <w:t>.</w:t>
                          </w:r>
                          <w:r w:rsidR="00F55AA6">
                            <w:t>570</w:t>
                          </w:r>
                          <w:r>
                            <w:t>0</w:t>
                          </w:r>
                        </w:p>
                        <w:p w14:paraId="6EE92DFD" w14:textId="77777777" w:rsidR="009F07ED" w:rsidRDefault="009F07ED" w:rsidP="00DC7AC8">
                          <w:pPr>
                            <w:pStyle w:val="FooterAddress"/>
                          </w:pPr>
                          <w:r>
                            <w:t>guidehouse.com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C71DA" id="_x0000_t202" coordsize="21600,21600" o:spt="202" path="m,l,21600r21600,l21600,xe">
              <v:stroke joinstyle="miter"/>
              <v:path gradientshapeok="t" o:connecttype="rect"/>
            </v:shapetype>
            <v:shape id="Text Box 29" o:spid="_x0000_s1026" type="#_x0000_t202" style="position:absolute;margin-left:0;margin-top:5.3pt;width:142.65pt;height:75.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" filled="f" stroked="f">
              <v:textbox>
                <w:txbxContent>
                  <w:p w14:paraId="3FD8AF3F" w14:textId="02AFF92D" w:rsidR="009F07ED" w:rsidRDefault="00F55AA6" w:rsidP="00DC7AC8">
                    <w:pPr>
                      <w:pStyle w:val="FooterAddress"/>
                    </w:pPr>
                    <w:r>
                      <w:t>15</w:t>
                    </w:r>
                    <w:r w:rsidR="009F07ED">
                      <w:t xml:space="preserve">0 </w:t>
                    </w:r>
                    <w:r>
                      <w:t xml:space="preserve">N. Riverside Plaza </w:t>
                    </w:r>
                    <w:r w:rsidR="009F07ED">
                      <w:t xml:space="preserve">Suite </w:t>
                    </w:r>
                    <w:r>
                      <w:t>2100</w:t>
                    </w:r>
                    <w:r w:rsidR="009F07ED">
                      <w:t xml:space="preserve"> </w:t>
                    </w:r>
                    <w:r>
                      <w:t>Chicago</w:t>
                    </w:r>
                    <w:r w:rsidR="009F07ED">
                      <w:t xml:space="preserve">, </w:t>
                    </w:r>
                    <w:r>
                      <w:t>IL</w:t>
                    </w:r>
                    <w:r w:rsidR="009F07ED">
                      <w:t xml:space="preserve"> </w:t>
                    </w:r>
                    <w:r>
                      <w:t xml:space="preserve"> 60606</w:t>
                    </w:r>
                  </w:p>
                  <w:p w14:paraId="27CCC573" w14:textId="4B885555" w:rsidR="009F07ED" w:rsidRDefault="009F07ED" w:rsidP="00DC7AC8">
                    <w:pPr>
                      <w:pStyle w:val="FooterAddress"/>
                    </w:pPr>
                    <w:r>
                      <w:t xml:space="preserve">Main No.: </w:t>
                    </w:r>
                    <w:r w:rsidR="00F55AA6">
                      <w:t>312</w:t>
                    </w:r>
                    <w:r>
                      <w:t>.</w:t>
                    </w:r>
                    <w:r w:rsidR="00F55AA6">
                      <w:t>583</w:t>
                    </w:r>
                    <w:r>
                      <w:t>.</w:t>
                    </w:r>
                    <w:r w:rsidR="00F55AA6">
                      <w:t>570</w:t>
                    </w:r>
                    <w:r>
                      <w:t>0</w:t>
                    </w:r>
                  </w:p>
                  <w:p w14:paraId="6EE92DFD" w14:textId="77777777" w:rsidR="009F07ED" w:rsidRDefault="009F07ED" w:rsidP="00DC7AC8">
                    <w:pPr>
                      <w:pStyle w:val="FooterAddress"/>
                    </w:pPr>
                    <w:r>
                      <w:t>guidehouse.com</w:t>
                    </w:r>
                  </w:p>
                </w:txbxContent>
              </v:textbox>
              <w10:wrap anchorx="margin"/>
            </v:shape>
          </w:pict>
        </mc:Fallback>
      </mc:AlternateContent>
    </w:r>
  </w:p>
  <w:p w14:paraId="586DA91B" w14:textId="77777777" w:rsidR="009F07ED" w:rsidRDefault="009F07ED">
    <w:pPr>
      <w:pStyle w:val="Footer"/>
    </w:pPr>
  </w:p>
  <w:p w14:paraId="01FD5897" w14:textId="77777777" w:rsidR="009F07ED" w:rsidRDefault="009F07ED">
    <w:pPr>
      <w:pStyle w:val="Footer"/>
    </w:pPr>
  </w:p>
  <w:p w14:paraId="6F3C3BEB" w14:textId="77777777" w:rsidR="009F07ED" w:rsidRDefault="009F07ED">
    <w:pPr>
      <w:pStyle w:val="Footer"/>
    </w:pPr>
  </w:p>
  <w:p w14:paraId="74D3A6DF" w14:textId="77777777" w:rsidR="009F07ED" w:rsidRDefault="009F07ED">
    <w:pPr>
      <w:pStyle w:val="Footer"/>
    </w:pPr>
  </w:p>
  <w:p w14:paraId="76B5BD8F" w14:textId="77777777" w:rsidR="009F07ED" w:rsidRDefault="009F07ED">
    <w:pPr>
      <w:pStyle w:val="Footer"/>
    </w:pPr>
  </w:p>
  <w:p w14:paraId="3535FD3A" w14:textId="1C5B156E" w:rsidR="009F07ED" w:rsidRDefault="009F0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4798" w14:textId="77777777" w:rsidR="009F07ED" w:rsidRDefault="009F07ED" w:rsidP="005D1CEE">
      <w:r>
        <w:separator/>
      </w:r>
    </w:p>
  </w:footnote>
  <w:footnote w:type="continuationSeparator" w:id="0">
    <w:p w14:paraId="03507894" w14:textId="77777777" w:rsidR="009F07ED" w:rsidRDefault="009F07ED" w:rsidP="005D1CEE">
      <w:r>
        <w:continuationSeparator/>
      </w:r>
    </w:p>
  </w:footnote>
  <w:footnote w:id="1">
    <w:p w14:paraId="3D1C5278" w14:textId="0C8B0AD7" w:rsidR="009F07ED" w:rsidRDefault="009F07ED">
      <w:pPr>
        <w:pStyle w:val="FootnoteText"/>
      </w:pPr>
      <w:r>
        <w:rPr>
          <w:rStyle w:val="FootnoteReference"/>
        </w:rPr>
        <w:footnoteRef/>
      </w:r>
      <w:r>
        <w:t xml:space="preserve"> </w:t>
      </w:r>
      <w:r w:rsidRPr="003B1593">
        <w:rPr>
          <w:szCs w:val="16"/>
        </w:rPr>
        <w:t>The IL TRM v8.0 retired the previous Small Commercial Programmable Thermostats, Small Commercial Programmable Thermostat Adjustments, and Advanced Thermostats for Small Commercial measures (measures 4.4.18, 4.4.25, and 4.4.42, respectively) and replaced them with a single provisional Small Commercial Thermostats measure (measure 4.4.48).</w:t>
      </w:r>
      <w:r>
        <w:rPr>
          <w:szCs w:val="16"/>
        </w:rPr>
        <w:t xml:space="preserve"> The measure remains provisional in v9.0 (s</w:t>
      </w:r>
      <w:r w:rsidRPr="003B1593">
        <w:rPr>
          <w:szCs w:val="16"/>
        </w:rPr>
        <w:t>ee IL TRM v</w:t>
      </w:r>
      <w:r>
        <w:rPr>
          <w:szCs w:val="16"/>
        </w:rPr>
        <w:t>9</w:t>
      </w:r>
      <w:r w:rsidRPr="003B1593">
        <w:rPr>
          <w:szCs w:val="16"/>
        </w:rPr>
        <w:t>.0, vol. 2, pp. 4</w:t>
      </w:r>
      <w:r>
        <w:rPr>
          <w:szCs w:val="16"/>
        </w:rPr>
        <w:t>42</w:t>
      </w:r>
      <w:r w:rsidRPr="003B1593">
        <w:rPr>
          <w:szCs w:val="16"/>
        </w:rPr>
        <w:t>-4</w:t>
      </w:r>
      <w:r>
        <w:rPr>
          <w:szCs w:val="16"/>
        </w:rPr>
        <w:t>44).</w:t>
      </w:r>
      <w:r w:rsidR="00F55AA6">
        <w:rPr>
          <w:szCs w:val="16"/>
        </w:rPr>
        <w:t xml:space="preserve"> </w:t>
      </w:r>
      <w:proofErr w:type="spellStart"/>
      <w:r w:rsidR="00EA7961">
        <w:rPr>
          <w:szCs w:val="16"/>
        </w:rPr>
        <w:t>Guidehouse</w:t>
      </w:r>
      <w:proofErr w:type="spellEnd"/>
      <w:r w:rsidR="00EA7961">
        <w:rPr>
          <w:szCs w:val="16"/>
        </w:rPr>
        <w:t xml:space="preserve"> estimated a</w:t>
      </w:r>
      <w:r w:rsidR="00152476">
        <w:rPr>
          <w:szCs w:val="16"/>
        </w:rPr>
        <w:t>n analogous</w:t>
      </w:r>
      <w:r w:rsidR="00F55AA6">
        <w:rPr>
          <w:szCs w:val="16"/>
        </w:rPr>
        <w:t xml:space="preserve"> cooling reduction parameter</w:t>
      </w:r>
      <w:r w:rsidR="00152476">
        <w:rPr>
          <w:szCs w:val="16"/>
        </w:rPr>
        <w:t xml:space="preserve"> in research performed for ComEd, which was incorporated into the IL TRM v9.0.</w:t>
      </w:r>
      <w:r w:rsidR="00EA7961">
        <w:rPr>
          <w:szCs w:val="16"/>
        </w:rPr>
        <w:t xml:space="preserve"> </w:t>
      </w:r>
    </w:p>
  </w:footnote>
  <w:footnote w:id="2">
    <w:p w14:paraId="42EA3C5E" w14:textId="697D5DBA" w:rsidR="009F07ED" w:rsidRPr="003B1593" w:rsidRDefault="009F07ED">
      <w:pPr>
        <w:pStyle w:val="FootnoteText"/>
        <w:rPr>
          <w:szCs w:val="16"/>
        </w:rPr>
      </w:pPr>
      <w:r w:rsidRPr="000E7211">
        <w:rPr>
          <w:rStyle w:val="FootnoteReference"/>
        </w:rPr>
        <w:footnoteRef/>
      </w:r>
      <w:r w:rsidRPr="003B1593">
        <w:rPr>
          <w:szCs w:val="16"/>
        </w:rPr>
        <w:t xml:space="preserve"> As noted in footnote </w:t>
      </w:r>
      <w:r>
        <w:rPr>
          <w:szCs w:val="16"/>
        </w:rPr>
        <w:t>811</w:t>
      </w:r>
      <w:r w:rsidRPr="003B1593">
        <w:rPr>
          <w:szCs w:val="16"/>
        </w:rPr>
        <w:t xml:space="preserve"> on p. 4</w:t>
      </w:r>
      <w:r>
        <w:rPr>
          <w:szCs w:val="16"/>
        </w:rPr>
        <w:t>42</w:t>
      </w:r>
      <w:r w:rsidRPr="003B1593">
        <w:rPr>
          <w:szCs w:val="16"/>
        </w:rPr>
        <w:t>, this value is “Assumed equal to [the] assumption for Residential Advanced Thermostats.”</w:t>
      </w:r>
    </w:p>
  </w:footnote>
  <w:footnote w:id="3">
    <w:p w14:paraId="4A7CD0B5" w14:textId="385E1320" w:rsidR="009F07ED" w:rsidRPr="006F232B" w:rsidRDefault="009F07ED">
      <w:pPr>
        <w:pStyle w:val="FootnoteText"/>
        <w:rPr>
          <w:szCs w:val="16"/>
        </w:rPr>
      </w:pPr>
      <w:r w:rsidRPr="000E7211">
        <w:rPr>
          <w:rStyle w:val="FootnoteReference"/>
        </w:rPr>
        <w:footnoteRef/>
      </w:r>
      <w:r>
        <w:t xml:space="preserve"> The 4 percent savings estimate, which corresponds to an average usage reduction of 0.70 </w:t>
      </w:r>
      <w:proofErr w:type="spellStart"/>
      <w:r>
        <w:t>therms</w:t>
      </w:r>
      <w:proofErr w:type="spellEnd"/>
      <w:r>
        <w:t xml:space="preserve">/day, was based on the full sample, while the 4.5 percent estimate, corresponding to an average reduction of 0.72 </w:t>
      </w:r>
      <w:proofErr w:type="spellStart"/>
      <w:r>
        <w:t>therms</w:t>
      </w:r>
      <w:proofErr w:type="spellEnd"/>
      <w:r>
        <w:t>/day, excluded school buildings from the analysis due to their qualitatively different usage pattern.</w:t>
      </w:r>
      <w:r w:rsidR="004C756C">
        <w:t xml:space="preserve"> (See below for more discussion of the</w:t>
      </w:r>
      <w:r w:rsidR="00F55AA6">
        <w:t xml:space="preserve"> research</w:t>
      </w:r>
      <w:r w:rsidR="004C756C">
        <w:t xml:space="preserve"> samples.)</w:t>
      </w:r>
      <w:r>
        <w:t xml:space="preserve"> </w:t>
      </w:r>
      <w:r w:rsidRPr="006F232B">
        <w:rPr>
          <w:szCs w:val="16"/>
        </w:rPr>
        <w:t xml:space="preserve">The </w:t>
      </w:r>
      <w:r w:rsidRPr="00B534FC">
        <w:rPr>
          <w:szCs w:val="16"/>
        </w:rPr>
        <w:t>90</w:t>
      </w:r>
      <w:r>
        <w:rPr>
          <w:szCs w:val="16"/>
        </w:rPr>
        <w:t xml:space="preserve"> percent</w:t>
      </w:r>
      <w:r w:rsidRPr="00B534FC">
        <w:rPr>
          <w:szCs w:val="16"/>
        </w:rPr>
        <w:t xml:space="preserve"> confidence interval</w:t>
      </w:r>
      <w:r>
        <w:rPr>
          <w:szCs w:val="16"/>
        </w:rPr>
        <w:t>s of both savings estimates encompass positive, negative and zero savings, indicating that they are not significantly different from zero, or one another, at a 90 percent level of confidence</w:t>
      </w:r>
      <w:r w:rsidRPr="006F232B">
        <w:rPr>
          <w:szCs w:val="16"/>
        </w:rPr>
        <w:t>.</w:t>
      </w:r>
    </w:p>
  </w:footnote>
  <w:footnote w:id="4">
    <w:p w14:paraId="5139B89D" w14:textId="5E010892" w:rsidR="009F07ED" w:rsidRPr="00BB554E" w:rsidRDefault="009F07ED" w:rsidP="00C81F21">
      <w:pPr>
        <w:pStyle w:val="FootnoteText"/>
        <w:rPr>
          <w:szCs w:val="16"/>
        </w:rPr>
      </w:pPr>
      <w:r w:rsidRPr="000E7211">
        <w:rPr>
          <w:rStyle w:val="FootnoteReference"/>
        </w:rPr>
        <w:footnoteRef/>
      </w:r>
      <w:r w:rsidRPr="00BB554E">
        <w:rPr>
          <w:szCs w:val="16"/>
        </w:rPr>
        <w:t xml:space="preserve"> </w:t>
      </w:r>
      <w:r>
        <w:rPr>
          <w:szCs w:val="16"/>
        </w:rPr>
        <w:t>To estimate the heating share of whole building heating</w:t>
      </w:r>
      <w:r w:rsidR="005E3664">
        <w:rPr>
          <w:szCs w:val="16"/>
        </w:rPr>
        <w:t>-</w:t>
      </w:r>
      <w:r>
        <w:rPr>
          <w:szCs w:val="16"/>
        </w:rPr>
        <w:t xml:space="preserve">season gas usage, </w:t>
      </w:r>
      <w:r w:rsidR="005F4BD6">
        <w:rPr>
          <w:szCs w:val="16"/>
        </w:rPr>
        <w:t xml:space="preserve">one could </w:t>
      </w:r>
      <w:r>
        <w:rPr>
          <w:szCs w:val="16"/>
        </w:rPr>
        <w:t xml:space="preserve">use </w:t>
      </w:r>
      <w:proofErr w:type="spellStart"/>
      <w:r>
        <w:rPr>
          <w:szCs w:val="16"/>
        </w:rPr>
        <w:t>eQuest</w:t>
      </w:r>
      <w:proofErr w:type="spellEnd"/>
      <w:r>
        <w:rPr>
          <w:szCs w:val="16"/>
        </w:rPr>
        <w:t xml:space="preserve"> models for each relevant building type in each of Illinois’ 5 climate zones (see IL TRM v9.0, Volume 2, p. </w:t>
      </w:r>
      <w:proofErr w:type="gramStart"/>
      <w:r>
        <w:rPr>
          <w:szCs w:val="16"/>
        </w:rPr>
        <w:t>182 )</w:t>
      </w:r>
      <w:proofErr w:type="gramEnd"/>
      <w:r>
        <w:rPr>
          <w:szCs w:val="16"/>
        </w:rPr>
        <w:t>.</w:t>
      </w:r>
      <w:r w:rsidR="005F4BD6">
        <w:rPr>
          <w:szCs w:val="16"/>
        </w:rPr>
        <w:t xml:space="preserve"> The Nicor Gas technical potential model may also be a source of reasonable heating shares.</w:t>
      </w:r>
    </w:p>
  </w:footnote>
  <w:footnote w:id="5">
    <w:p w14:paraId="57AA8447" w14:textId="068114D7" w:rsidR="007249DD" w:rsidRDefault="007249DD">
      <w:pPr>
        <w:pStyle w:val="FootnoteText"/>
      </w:pPr>
      <w:r>
        <w:rPr>
          <w:rStyle w:val="FootnoteReference"/>
        </w:rPr>
        <w:footnoteRef/>
      </w:r>
      <w:r>
        <w:t xml:space="preserve"> If we assume</w:t>
      </w:r>
      <w:r w:rsidR="008B3F0F">
        <w:t xml:space="preserve"> the heating mode equivalent full load hours for the</w:t>
      </w:r>
      <w:r>
        <w:t xml:space="preserve"> “Unknown” building type</w:t>
      </w:r>
      <w:r w:rsidR="007E78C4">
        <w:t xml:space="preserve"> (1,678 hours)</w:t>
      </w:r>
      <w:r>
        <w:t xml:space="preserve">, which is </w:t>
      </w:r>
      <w:r w:rsidR="008B3F0F">
        <w:t>the</w:t>
      </w:r>
      <w:r>
        <w:t xml:space="preserve"> average o</w:t>
      </w:r>
      <w:r w:rsidR="008B3F0F">
        <w:t>ver the</w:t>
      </w:r>
      <w:r>
        <w:t xml:space="preserve"> known building types, a furnace capacity of 80,000 Btu/</w:t>
      </w:r>
      <w:proofErr w:type="spellStart"/>
      <w:r>
        <w:t>hr</w:t>
      </w:r>
      <w:proofErr w:type="spellEnd"/>
      <w:r>
        <w:t xml:space="preserve">, and an AFUE of 0.8, the 8.8 percent </w:t>
      </w:r>
      <w:proofErr w:type="spellStart"/>
      <w:r>
        <w:t>heating_reduction</w:t>
      </w:r>
      <w:proofErr w:type="spellEnd"/>
      <w:r>
        <w:t xml:space="preserve"> parameter value in the current provisional measure yields savings over the heating season of 147.7 </w:t>
      </w:r>
      <w:proofErr w:type="spellStart"/>
      <w:r>
        <w:t>therms</w:t>
      </w:r>
      <w:proofErr w:type="spellEnd"/>
      <w:r>
        <w:t>.</w:t>
      </w:r>
      <w:r w:rsidR="008B3F0F">
        <w:t xml:space="preserve"> </w:t>
      </w:r>
      <w:r w:rsidR="007E78C4">
        <w:t xml:space="preserve">Using </w:t>
      </w:r>
      <w:r w:rsidR="008B3F0F">
        <w:t>2020</w:t>
      </w:r>
      <w:r w:rsidR="007E78C4">
        <w:t xml:space="preserve"> tracking data with TRM v9.0 percent heating savings</w:t>
      </w:r>
      <w:r w:rsidR="008B3F0F">
        <w:t xml:space="preserve">, Nicor Gas </w:t>
      </w:r>
      <w:r w:rsidR="007E78C4">
        <w:t xml:space="preserve">input parameters produced </w:t>
      </w:r>
      <w:r w:rsidR="008B3F0F">
        <w:t xml:space="preserve">a range of gross </w:t>
      </w:r>
      <w:proofErr w:type="spellStart"/>
      <w:r w:rsidR="008B3F0F">
        <w:t>therms</w:t>
      </w:r>
      <w:proofErr w:type="spellEnd"/>
      <w:r w:rsidR="008B3F0F">
        <w:t xml:space="preserve"> saved for this measure of 40-311 </w:t>
      </w:r>
      <w:proofErr w:type="spellStart"/>
      <w:r w:rsidR="008B3F0F">
        <w:t>therms</w:t>
      </w:r>
      <w:proofErr w:type="spellEnd"/>
      <w:r w:rsidR="008B3F0F">
        <w:t xml:space="preserve">, with an average of 198 </w:t>
      </w:r>
      <w:proofErr w:type="spellStart"/>
      <w:r w:rsidR="008B3F0F">
        <w:t>therms</w:t>
      </w:r>
      <w:proofErr w:type="spellEnd"/>
      <w:r w:rsidR="007E78C4">
        <w:t xml:space="preserve"> for 22 installations</w:t>
      </w:r>
      <w:r w:rsidR="008B3F0F">
        <w:t xml:space="preserve">. The average was skewed by several large manufacturing facility units; dropping those lowered the average to 171 </w:t>
      </w:r>
      <w:proofErr w:type="spellStart"/>
      <w:r w:rsidR="008B3F0F">
        <w:t>therms</w:t>
      </w:r>
      <w:proofErr w:type="spellEnd"/>
      <w:r w:rsidR="008B3F0F">
        <w:t xml:space="preserve">. Peoples Gas and North Shore Gas are using 196 </w:t>
      </w:r>
      <w:proofErr w:type="spellStart"/>
      <w:r w:rsidR="008B3F0F">
        <w:t>therms</w:t>
      </w:r>
      <w:proofErr w:type="spellEnd"/>
      <w:r w:rsidR="008B3F0F">
        <w:t xml:space="preserve"> and 200 </w:t>
      </w:r>
      <w:proofErr w:type="spellStart"/>
      <w:r w:rsidR="008B3F0F">
        <w:t>therms</w:t>
      </w:r>
      <w:proofErr w:type="spellEnd"/>
      <w:r w:rsidR="001137DC">
        <w:t>, respectively,</w:t>
      </w:r>
      <w:r w:rsidR="008B3F0F">
        <w:t xml:space="preserve"> for 2021</w:t>
      </w:r>
      <w:r w:rsidR="007E78C4">
        <w:t xml:space="preserve"> default tracking savings</w:t>
      </w:r>
      <w:r w:rsidR="008B3F0F">
        <w:t>.</w:t>
      </w:r>
    </w:p>
  </w:footnote>
  <w:footnote w:id="6">
    <w:p w14:paraId="31EF5076" w14:textId="714C793E" w:rsidR="009F07ED" w:rsidRPr="003B1593" w:rsidRDefault="009F07ED">
      <w:pPr>
        <w:pStyle w:val="FootnoteText"/>
        <w:rPr>
          <w:szCs w:val="16"/>
        </w:rPr>
      </w:pPr>
      <w:r w:rsidRPr="000E7211">
        <w:rPr>
          <w:rStyle w:val="FootnoteReference"/>
        </w:rPr>
        <w:footnoteRef/>
      </w:r>
      <w:r w:rsidRPr="003B1593">
        <w:rPr>
          <w:szCs w:val="16"/>
        </w:rPr>
        <w:t xml:space="preserve"> </w:t>
      </w:r>
      <w:r>
        <w:rPr>
          <w:szCs w:val="16"/>
        </w:rPr>
        <w:t xml:space="preserve">We assumed the heating season to run from October 1 through April 30. </w:t>
      </w:r>
      <w:r w:rsidRPr="003B1593">
        <w:rPr>
          <w:szCs w:val="16"/>
        </w:rPr>
        <w:t>As noted in the</w:t>
      </w:r>
      <w:r>
        <w:rPr>
          <w:szCs w:val="16"/>
        </w:rPr>
        <w:t xml:space="preserve"> Introduction section, and in the</w:t>
      </w:r>
      <w:r w:rsidRPr="003B1593">
        <w:rPr>
          <w:szCs w:val="16"/>
        </w:rPr>
        <w:t xml:space="preserve"> </w:t>
      </w:r>
      <w:r>
        <w:rPr>
          <w:szCs w:val="16"/>
        </w:rPr>
        <w:t>R</w:t>
      </w:r>
      <w:r w:rsidRPr="003B1593">
        <w:rPr>
          <w:szCs w:val="16"/>
        </w:rPr>
        <w:t>ecommendations section below, additional research w</w:t>
      </w:r>
      <w:r w:rsidR="001137DC">
        <w:rPr>
          <w:szCs w:val="16"/>
        </w:rPr>
        <w:t>ould</w:t>
      </w:r>
      <w:r w:rsidRPr="003B1593">
        <w:rPr>
          <w:szCs w:val="16"/>
        </w:rPr>
        <w:t xml:space="preserve"> be required to </w:t>
      </w:r>
      <w:r>
        <w:rPr>
          <w:szCs w:val="16"/>
        </w:rPr>
        <w:t>convert our key findings to a percent-heating-usage reduction basis</w:t>
      </w:r>
      <w:r w:rsidRPr="003B1593">
        <w:rPr>
          <w:szCs w:val="16"/>
        </w:rPr>
        <w:t>.</w:t>
      </w:r>
    </w:p>
  </w:footnote>
  <w:footnote w:id="7">
    <w:p w14:paraId="4093DFFA" w14:textId="3A954052" w:rsidR="00632201" w:rsidRDefault="00632201">
      <w:pPr>
        <w:pStyle w:val="FootnoteText"/>
      </w:pPr>
      <w:r>
        <w:rPr>
          <w:rStyle w:val="FootnoteReference"/>
        </w:rPr>
        <w:footnoteRef/>
      </w:r>
      <w:r>
        <w:t xml:space="preserve"> We restricted the sample to customers that had installed </w:t>
      </w:r>
      <w:r w:rsidR="00E106A6">
        <w:t>SCT</w:t>
      </w:r>
      <w:r>
        <w:t xml:space="preserve">s as the sole measure to avoid </w:t>
      </w:r>
      <w:r w:rsidR="00E106A6">
        <w:t xml:space="preserve">the problem of </w:t>
      </w:r>
      <w:r>
        <w:t>distinguish</w:t>
      </w:r>
      <w:r w:rsidR="00E106A6">
        <w:t>ing</w:t>
      </w:r>
      <w:r>
        <w:t xml:space="preserve"> the effect of the thermostat from those of other measures.</w:t>
      </w:r>
      <w:r w:rsidR="00E003EB">
        <w:t xml:space="preserve"> Nicor Gas was not able to match any of the ACP customers to their accounts.</w:t>
      </w:r>
    </w:p>
  </w:footnote>
  <w:footnote w:id="8">
    <w:p w14:paraId="799BC4C7" w14:textId="32BA4D1F" w:rsidR="009F07ED" w:rsidRPr="00C70E7B" w:rsidRDefault="009F07ED">
      <w:pPr>
        <w:pStyle w:val="FootnoteText"/>
        <w:rPr>
          <w:szCs w:val="16"/>
        </w:rPr>
      </w:pPr>
      <w:r w:rsidRPr="00CA4A2F">
        <w:rPr>
          <w:rStyle w:val="FootnoteReference"/>
        </w:rPr>
        <w:footnoteRef/>
      </w:r>
      <w:r w:rsidRPr="00C70E7B">
        <w:rPr>
          <w:szCs w:val="16"/>
        </w:rPr>
        <w:t xml:space="preserve"> In an</w:t>
      </w:r>
      <w:r>
        <w:rPr>
          <w:szCs w:val="16"/>
        </w:rPr>
        <w:t xml:space="preserve"> RCT</w:t>
      </w:r>
      <w:r w:rsidRPr="00C70E7B">
        <w:rPr>
          <w:szCs w:val="16"/>
        </w:rPr>
        <w:t xml:space="preserve"> customers from the population of interest</w:t>
      </w:r>
      <w:r>
        <w:rPr>
          <w:szCs w:val="16"/>
        </w:rPr>
        <w:t xml:space="preserve"> would b</w:t>
      </w:r>
      <w:r w:rsidRPr="00C70E7B">
        <w:rPr>
          <w:szCs w:val="16"/>
        </w:rPr>
        <w:t>e randomly assigned either</w:t>
      </w:r>
      <w:r>
        <w:rPr>
          <w:szCs w:val="16"/>
        </w:rPr>
        <w:t xml:space="preserve"> to</w:t>
      </w:r>
      <w:r w:rsidRPr="00C70E7B">
        <w:rPr>
          <w:szCs w:val="16"/>
        </w:rPr>
        <w:t xml:space="preserve"> the treatment group, and thus receive the treatment, or to the control group and thus not receive it. </w:t>
      </w:r>
      <w:r>
        <w:rPr>
          <w:szCs w:val="16"/>
        </w:rPr>
        <w:t>When this is done,</w:t>
      </w:r>
      <w:r w:rsidRPr="00C70E7B">
        <w:rPr>
          <w:szCs w:val="16"/>
        </w:rPr>
        <w:t xml:space="preserve"> the randomization</w:t>
      </w:r>
      <w:r>
        <w:rPr>
          <w:szCs w:val="16"/>
        </w:rPr>
        <w:t xml:space="preserve"> ensures that</w:t>
      </w:r>
      <w:r w:rsidRPr="00C70E7B">
        <w:rPr>
          <w:szCs w:val="16"/>
        </w:rPr>
        <w:t xml:space="preserve"> all potentially confounding factors that could bias the causal analysis are controlled for.</w:t>
      </w:r>
    </w:p>
  </w:footnote>
  <w:footnote w:id="9">
    <w:p w14:paraId="47D483C9" w14:textId="2E465DBA" w:rsidR="009F07ED" w:rsidRPr="00C70E7B" w:rsidRDefault="009F07ED" w:rsidP="00530A92">
      <w:pPr>
        <w:pStyle w:val="FootnoteText"/>
        <w:rPr>
          <w:rFonts w:cs="Arial"/>
          <w:szCs w:val="16"/>
        </w:rPr>
      </w:pPr>
      <w:r w:rsidRPr="00CA4A2F">
        <w:rPr>
          <w:rStyle w:val="FootnoteReference"/>
          <w:rFonts w:cs="Arial"/>
        </w:rPr>
        <w:footnoteRef/>
      </w:r>
      <w:r w:rsidRPr="00C70E7B">
        <w:rPr>
          <w:rFonts w:cs="Arial"/>
          <w:szCs w:val="16"/>
        </w:rPr>
        <w:t xml:space="preserve"> Daniel Ho, Kosuke Imai, Gary King, Elizabeth A. Stuart, “Matching as Nonparametric Preprocessing for Reducing Model Dependence in Parametric Causal Inference,” </w:t>
      </w:r>
      <w:r w:rsidRPr="00C70E7B">
        <w:rPr>
          <w:rFonts w:cs="Arial"/>
          <w:i/>
          <w:szCs w:val="16"/>
        </w:rPr>
        <w:t>Political Analysis</w:t>
      </w:r>
      <w:r w:rsidRPr="00C70E7B">
        <w:rPr>
          <w:rFonts w:cs="Arial"/>
          <w:szCs w:val="16"/>
        </w:rPr>
        <w:t xml:space="preserve"> (2007) 15: 199-236. Downloadable at </w:t>
      </w:r>
      <w:r w:rsidRPr="006B078C">
        <w:rPr>
          <w:rFonts w:cs="Arial"/>
          <w:i/>
          <w:szCs w:val="16"/>
        </w:rPr>
        <w:t>https://gking.harvard.edu/files/matchp.pdf</w:t>
      </w:r>
      <w:r w:rsidRPr="00C70E7B">
        <w:rPr>
          <w:rFonts w:cs="Arial"/>
          <w:szCs w:val="16"/>
        </w:rPr>
        <w:t xml:space="preserve">. As the title of the article suggests, using a matched control group reduces the possibility that the results will depend on the particular model specification used, but it does not fully eliminate the possibility of bias. See also Guido W. </w:t>
      </w:r>
      <w:proofErr w:type="spellStart"/>
      <w:r w:rsidRPr="00C70E7B">
        <w:rPr>
          <w:rFonts w:cs="Arial"/>
          <w:szCs w:val="16"/>
        </w:rPr>
        <w:t>Imbens</w:t>
      </w:r>
      <w:proofErr w:type="spellEnd"/>
      <w:r w:rsidRPr="00C70E7B">
        <w:rPr>
          <w:rFonts w:cs="Arial"/>
          <w:szCs w:val="16"/>
        </w:rPr>
        <w:t xml:space="preserve"> and Donald B. Rubin, </w:t>
      </w:r>
      <w:r w:rsidRPr="00C70E7B">
        <w:rPr>
          <w:rFonts w:cs="Arial"/>
          <w:i/>
          <w:szCs w:val="16"/>
        </w:rPr>
        <w:t>Causal Inference for Statistics,</w:t>
      </w:r>
      <w:r w:rsidRPr="00C70E7B">
        <w:rPr>
          <w:rFonts w:cs="Arial"/>
          <w:szCs w:val="16"/>
        </w:rPr>
        <w:t xml:space="preserve"> </w:t>
      </w:r>
      <w:r w:rsidRPr="00C70E7B">
        <w:rPr>
          <w:rFonts w:cs="Arial"/>
          <w:i/>
          <w:szCs w:val="16"/>
        </w:rPr>
        <w:t>Social and Biomedical Sciences: An Introduction,</w:t>
      </w:r>
      <w:r w:rsidRPr="00C70E7B">
        <w:rPr>
          <w:rFonts w:cs="Arial"/>
          <w:szCs w:val="16"/>
        </w:rPr>
        <w:t xml:space="preserve"> Cambridge University Press 2015; Paul J. Gertler et al., </w:t>
      </w:r>
      <w:r w:rsidRPr="00C70E7B">
        <w:rPr>
          <w:rFonts w:cs="Arial"/>
          <w:i/>
          <w:szCs w:val="16"/>
        </w:rPr>
        <w:t>Impact Evaluation in Practice,</w:t>
      </w:r>
      <w:r w:rsidRPr="00C70E7B">
        <w:rPr>
          <w:rFonts w:cs="Arial"/>
          <w:szCs w:val="16"/>
        </w:rPr>
        <w:t xml:space="preserve"> International Bank for Reconstruction and Development 2011; and Joshua D. Angrist and </w:t>
      </w:r>
      <w:proofErr w:type="spellStart"/>
      <w:r w:rsidRPr="00C70E7B">
        <w:rPr>
          <w:rFonts w:cs="Arial"/>
          <w:szCs w:val="16"/>
        </w:rPr>
        <w:t>Jörn</w:t>
      </w:r>
      <w:proofErr w:type="spellEnd"/>
      <w:r w:rsidRPr="00C70E7B">
        <w:rPr>
          <w:rFonts w:cs="Arial"/>
          <w:szCs w:val="16"/>
        </w:rPr>
        <w:t xml:space="preserve">-Steffen </w:t>
      </w:r>
      <w:proofErr w:type="spellStart"/>
      <w:r w:rsidRPr="00C70E7B">
        <w:rPr>
          <w:rFonts w:cs="Arial"/>
          <w:szCs w:val="16"/>
        </w:rPr>
        <w:t>Pischke</w:t>
      </w:r>
      <w:proofErr w:type="spellEnd"/>
      <w:r w:rsidRPr="00C70E7B">
        <w:rPr>
          <w:rFonts w:cs="Arial"/>
          <w:szCs w:val="16"/>
        </w:rPr>
        <w:t xml:space="preserve">, </w:t>
      </w:r>
      <w:r w:rsidRPr="00C70E7B">
        <w:rPr>
          <w:rFonts w:cs="Arial"/>
          <w:i/>
          <w:szCs w:val="16"/>
        </w:rPr>
        <w:t>Mostly Harmless Econometrics: An Empiricist’s Companion,</w:t>
      </w:r>
      <w:r w:rsidRPr="00C70E7B">
        <w:rPr>
          <w:rFonts w:cs="Arial"/>
          <w:szCs w:val="16"/>
        </w:rPr>
        <w:t xml:space="preserve"> Princeton University Press 2009.</w:t>
      </w:r>
    </w:p>
  </w:footnote>
  <w:footnote w:id="10">
    <w:p w14:paraId="3ED09554" w14:textId="3C54AEE7" w:rsidR="009F07ED" w:rsidRPr="007C4431" w:rsidRDefault="009F07ED" w:rsidP="00530A92">
      <w:pPr>
        <w:pStyle w:val="FootnoteText"/>
        <w:rPr>
          <w:szCs w:val="16"/>
        </w:rPr>
      </w:pPr>
      <w:r w:rsidRPr="00CA4A2F">
        <w:rPr>
          <w:rStyle w:val="FootnoteReference"/>
        </w:rPr>
        <w:footnoteRef/>
      </w:r>
      <w:r w:rsidRPr="007C4431">
        <w:rPr>
          <w:szCs w:val="16"/>
        </w:rPr>
        <w:t xml:space="preserve"> Matching with replacement means that the same matched control customer may be matched to more than one participant, and thus that there may be fewer (unique) matched controls than participants, as was the case here.</w:t>
      </w:r>
      <w:r w:rsidR="002C4D7F">
        <w:rPr>
          <w:szCs w:val="16"/>
        </w:rPr>
        <w:t xml:space="preserve"> I</w:t>
      </w:r>
      <w:r w:rsidR="002C4D7F" w:rsidRPr="002C4D7F">
        <w:rPr>
          <w:szCs w:val="16"/>
        </w:rPr>
        <w:t>f a match is selected twice as a result of matching with replacement, it is weighted as such</w:t>
      </w:r>
      <w:r w:rsidR="002C4D7F">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21AE" w14:textId="35721B8E" w:rsidR="009F07ED" w:rsidRDefault="00325F1B">
    <w:pPr>
      <w:pStyle w:val="Header"/>
      <w:rPr>
        <w:szCs w:val="18"/>
      </w:rPr>
    </w:pPr>
    <w:r>
      <w:rPr>
        <w:szCs w:val="18"/>
      </w:rPr>
      <w:t xml:space="preserve">Nicor Gas </w:t>
    </w:r>
    <w:r w:rsidR="009F07ED">
      <w:rPr>
        <w:szCs w:val="18"/>
      </w:rPr>
      <w:t>SCT Research Results</w:t>
    </w:r>
  </w:p>
  <w:p w14:paraId="6F23C4E2" w14:textId="035C5A26" w:rsidR="009F07ED" w:rsidRDefault="004F2F71">
    <w:pPr>
      <w:pStyle w:val="Header"/>
      <w:rPr>
        <w:szCs w:val="18"/>
      </w:rPr>
    </w:pPr>
    <w:r>
      <w:rPr>
        <w:szCs w:val="18"/>
      </w:rPr>
      <w:t>April 21</w:t>
    </w:r>
    <w:r w:rsidR="009F07ED">
      <w:rPr>
        <w:szCs w:val="18"/>
      </w:rPr>
      <w:t>, 202</w:t>
    </w:r>
    <w:r w:rsidR="00325F1B">
      <w:rPr>
        <w:szCs w:val="18"/>
      </w:rPr>
      <w:t>1</w:t>
    </w:r>
  </w:p>
  <w:p w14:paraId="4A45068A" w14:textId="487D9212" w:rsidR="009F07ED" w:rsidRDefault="009F07ED">
    <w:pPr>
      <w:pStyle w:val="Header"/>
      <w:rPr>
        <w:szCs w:val="18"/>
      </w:rPr>
    </w:pPr>
    <w:r>
      <w:rPr>
        <w:szCs w:val="18"/>
      </w:rPr>
      <w:t xml:space="preserve">Page </w:t>
    </w:r>
    <w:r>
      <w:rPr>
        <w:szCs w:val="18"/>
      </w:rPr>
      <w:fldChar w:fldCharType="begin"/>
    </w:r>
    <w:r>
      <w:rPr>
        <w:szCs w:val="18"/>
      </w:rPr>
      <w:instrText xml:space="preserve"> PAGE </w:instrText>
    </w:r>
    <w:r>
      <w:rPr>
        <w:szCs w:val="18"/>
      </w:rPr>
      <w:fldChar w:fldCharType="separate"/>
    </w:r>
    <w:r>
      <w:rPr>
        <w:noProof/>
        <w:szCs w:val="18"/>
      </w:rPr>
      <w:t>8</w:t>
    </w:r>
    <w:r>
      <w:rPr>
        <w:szCs w:val="18"/>
      </w:rPr>
      <w:fldChar w:fldCharType="end"/>
    </w:r>
  </w:p>
  <w:p w14:paraId="5518C076" w14:textId="77777777" w:rsidR="009F07ED" w:rsidRDefault="009F07ED">
    <w:pPr>
      <w:pStyle w:val="Header"/>
      <w:rPr>
        <w:szCs w:val="18"/>
      </w:rPr>
    </w:pPr>
  </w:p>
  <w:p w14:paraId="54DD2B12" w14:textId="77777777" w:rsidR="009F07ED" w:rsidRDefault="009F07ED">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84A9" w14:textId="77777777" w:rsidR="009F07ED" w:rsidRDefault="009F07ED" w:rsidP="00114D80">
    <w:pPr>
      <w:pStyle w:val="Header"/>
      <w:spacing w:line="200" w:lineRule="exact"/>
    </w:pPr>
    <w:r>
      <w:rPr>
        <w:noProof/>
      </w:rPr>
      <w:drawing>
        <wp:anchor distT="0" distB="0" distL="114300" distR="114300" simplePos="0" relativeHeight="251664384" behindDoc="0" locked="0" layoutInCell="1" allowOverlap="1" wp14:anchorId="5129DB61" wp14:editId="4DD1FEBD">
          <wp:simplePos x="0" y="0"/>
          <wp:positionH relativeFrom="column">
            <wp:posOffset>-509270</wp:posOffset>
          </wp:positionH>
          <wp:positionV relativeFrom="page">
            <wp:posOffset>638810</wp:posOffset>
          </wp:positionV>
          <wp:extent cx="1562100" cy="396240"/>
          <wp:effectExtent l="0" t="0" r="0" b="3810"/>
          <wp:wrapSquare wrapText="bothSides"/>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48452A13" w14:textId="77777777" w:rsidR="009F07ED" w:rsidRDefault="009F07ED" w:rsidP="00114D80">
    <w:pPr>
      <w:pStyle w:val="Header"/>
      <w:spacing w:line="200" w:lineRule="exact"/>
    </w:pPr>
  </w:p>
  <w:p w14:paraId="206BFD36" w14:textId="77777777" w:rsidR="009F07ED" w:rsidRDefault="009F07ED" w:rsidP="00114D80">
    <w:pPr>
      <w:pStyle w:val="Header"/>
      <w:spacing w:line="200" w:lineRule="exact"/>
    </w:pPr>
  </w:p>
  <w:p w14:paraId="69DDC014" w14:textId="77777777" w:rsidR="009F07ED" w:rsidRDefault="009F07ED" w:rsidP="00114D80">
    <w:pPr>
      <w:pStyle w:val="Header"/>
      <w:spacing w:line="200" w:lineRule="exact"/>
    </w:pPr>
  </w:p>
  <w:p w14:paraId="7B1EB9B2" w14:textId="77777777" w:rsidR="009F07ED" w:rsidRDefault="009F07ED" w:rsidP="00114D80">
    <w:pPr>
      <w:pStyle w:val="Header"/>
      <w:spacing w:line="200" w:lineRule="exact"/>
    </w:pPr>
  </w:p>
  <w:p w14:paraId="64C6DA39" w14:textId="77777777" w:rsidR="009F07ED" w:rsidRDefault="009F07ED" w:rsidP="00114D80">
    <w:pPr>
      <w:pStyle w:val="Header"/>
      <w:spacing w:line="200" w:lineRule="exact"/>
    </w:pPr>
  </w:p>
  <w:p w14:paraId="3BAEA096" w14:textId="77777777" w:rsidR="009F07ED" w:rsidRDefault="009F07ED" w:rsidP="00114D80">
    <w:pPr>
      <w:pStyle w:val="Header"/>
      <w:spacing w:line="200" w:lineRule="exact"/>
    </w:pPr>
  </w:p>
  <w:p w14:paraId="35537934" w14:textId="77777777" w:rsidR="009F07ED" w:rsidRDefault="009F07ED" w:rsidP="00114D80">
    <w:pPr>
      <w:pStyle w:val="Header"/>
      <w:spacing w:line="200" w:lineRule="exact"/>
    </w:pPr>
  </w:p>
  <w:p w14:paraId="5E5D8A25" w14:textId="77777777" w:rsidR="009F07ED" w:rsidRDefault="009F07ED" w:rsidP="00114D80">
    <w:pPr>
      <w:pStyle w:val="Header"/>
      <w:spacing w:line="200" w:lineRule="exact"/>
    </w:pPr>
  </w:p>
  <w:p w14:paraId="45898781" w14:textId="77777777" w:rsidR="009F07ED" w:rsidRDefault="009F07ED" w:rsidP="00114D80">
    <w:pPr>
      <w:pStyle w:val="Header"/>
      <w:spacing w:line="200" w:lineRule="exact"/>
    </w:pPr>
  </w:p>
  <w:p w14:paraId="48204671" w14:textId="77777777" w:rsidR="009F07ED" w:rsidRPr="00632022" w:rsidRDefault="009F07ED" w:rsidP="00114D80">
    <w:pPr>
      <w:pStyle w:val="MemorandumHeader"/>
    </w:pPr>
    <w:r w:rsidRPr="00632022">
      <w:t>Memorandum</w:t>
    </w:r>
  </w:p>
  <w:p w14:paraId="193B2A14" w14:textId="77777777" w:rsidR="009F07ED" w:rsidRDefault="009F07ED" w:rsidP="00114D80">
    <w:pPr>
      <w:pStyle w:val="Header"/>
      <w:spacing w:line="200" w:lineRule="exact"/>
    </w:pPr>
  </w:p>
  <w:p w14:paraId="0DCA109E" w14:textId="77777777" w:rsidR="009F07ED" w:rsidRDefault="009F07ED" w:rsidP="00114D80">
    <w:pPr>
      <w:pStyle w:val="Header"/>
      <w:spacing w:line="200" w:lineRule="exact"/>
    </w:pPr>
  </w:p>
  <w:p w14:paraId="1BEC3E97" w14:textId="77777777" w:rsidR="009F07ED" w:rsidRDefault="009F07ED" w:rsidP="00114D80">
    <w:pPr>
      <w:pStyle w:val="Header"/>
      <w:spacing w:line="200" w:lineRule="exact"/>
    </w:pPr>
  </w:p>
  <w:p w14:paraId="01E07ADD" w14:textId="77777777" w:rsidR="009F07ED" w:rsidRPr="00114D80" w:rsidRDefault="009F07ED" w:rsidP="00114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6E24F2A"/>
    <w:lvl w:ilvl="0">
      <w:numFmt w:val="decimal"/>
      <w:pStyle w:val="Bullet-ItalicIndent"/>
      <w:lvlText w:val="*"/>
      <w:lvlJc w:val="left"/>
    </w:lvl>
  </w:abstractNum>
  <w:abstractNum w:abstractNumId="1" w15:restartNumberingAfterBreak="0">
    <w:nsid w:val="046264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9D22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88C1D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D674AE9"/>
    <w:multiLevelType w:val="singleLevel"/>
    <w:tmpl w:val="24D67C08"/>
    <w:lvl w:ilvl="0">
      <w:start w:val="1"/>
      <w:numFmt w:val="upperLetter"/>
      <w:lvlText w:val="%1."/>
      <w:lvlJc w:val="left"/>
      <w:pPr>
        <w:tabs>
          <w:tab w:val="num" w:pos="720"/>
        </w:tabs>
        <w:ind w:left="720" w:hanging="720"/>
      </w:pPr>
      <w:rPr>
        <w:rFonts w:hint="default"/>
      </w:rPr>
    </w:lvl>
  </w:abstractNum>
  <w:abstractNum w:abstractNumId="5" w15:restartNumberingAfterBreak="0">
    <w:nsid w:val="0EF04A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1755786"/>
    <w:multiLevelType w:val="hybridMultilevel"/>
    <w:tmpl w:val="FBBC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8169C0"/>
    <w:multiLevelType w:val="singleLevel"/>
    <w:tmpl w:val="7840C80E"/>
    <w:lvl w:ilvl="0">
      <w:start w:val="1"/>
      <w:numFmt w:val="upperLetter"/>
      <w:lvlText w:val="%1."/>
      <w:lvlJc w:val="left"/>
      <w:pPr>
        <w:tabs>
          <w:tab w:val="num" w:pos="720"/>
        </w:tabs>
        <w:ind w:left="720" w:hanging="720"/>
      </w:pPr>
      <w:rPr>
        <w:rFonts w:hint="default"/>
      </w:rPr>
    </w:lvl>
  </w:abstractNum>
  <w:abstractNum w:abstractNumId="8" w15:restartNumberingAfterBreak="0">
    <w:nsid w:val="19DB19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A3B10B5"/>
    <w:multiLevelType w:val="singleLevel"/>
    <w:tmpl w:val="28DAA796"/>
    <w:lvl w:ilvl="0">
      <w:start w:val="17"/>
      <w:numFmt w:val="upperLetter"/>
      <w:lvlText w:val="%1."/>
      <w:lvlJc w:val="left"/>
      <w:pPr>
        <w:tabs>
          <w:tab w:val="num" w:pos="720"/>
        </w:tabs>
        <w:ind w:left="720" w:hanging="720"/>
      </w:pPr>
      <w:rPr>
        <w:rFonts w:hint="default"/>
      </w:rPr>
    </w:lvl>
  </w:abstractNum>
  <w:abstractNum w:abstractNumId="10" w15:restartNumberingAfterBreak="0">
    <w:nsid w:val="22152B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2DF7F12"/>
    <w:multiLevelType w:val="singleLevel"/>
    <w:tmpl w:val="5964AA8C"/>
    <w:lvl w:ilvl="0">
      <w:start w:val="1"/>
      <w:numFmt w:val="upperLetter"/>
      <w:lvlText w:val="%1."/>
      <w:lvlJc w:val="left"/>
      <w:pPr>
        <w:tabs>
          <w:tab w:val="num" w:pos="720"/>
        </w:tabs>
        <w:ind w:left="720" w:hanging="720"/>
      </w:pPr>
      <w:rPr>
        <w:rFonts w:hint="default"/>
      </w:rPr>
    </w:lvl>
  </w:abstractNum>
  <w:abstractNum w:abstractNumId="12" w15:restartNumberingAfterBreak="0">
    <w:nsid w:val="23C16B7F"/>
    <w:multiLevelType w:val="singleLevel"/>
    <w:tmpl w:val="5F84A852"/>
    <w:lvl w:ilvl="0">
      <w:start w:val="1"/>
      <w:numFmt w:val="upperLetter"/>
      <w:lvlText w:val=""/>
      <w:lvlJc w:val="left"/>
      <w:pPr>
        <w:tabs>
          <w:tab w:val="num" w:pos="360"/>
        </w:tabs>
        <w:ind w:left="360" w:hanging="360"/>
      </w:pPr>
      <w:rPr>
        <w:rFonts w:ascii="Arial" w:hAnsi="Arial" w:hint="default"/>
      </w:rPr>
    </w:lvl>
  </w:abstractNum>
  <w:abstractNum w:abstractNumId="13" w15:restartNumberingAfterBreak="0">
    <w:nsid w:val="286D190D"/>
    <w:multiLevelType w:val="singleLevel"/>
    <w:tmpl w:val="979812B4"/>
    <w:lvl w:ilvl="0">
      <w:start w:val="17"/>
      <w:numFmt w:val="upperLetter"/>
      <w:lvlText w:val="%1."/>
      <w:lvlJc w:val="left"/>
      <w:pPr>
        <w:tabs>
          <w:tab w:val="num" w:pos="720"/>
        </w:tabs>
        <w:ind w:left="720" w:hanging="720"/>
      </w:pPr>
      <w:rPr>
        <w:rFonts w:hint="default"/>
      </w:rPr>
    </w:lvl>
  </w:abstractNum>
  <w:abstractNum w:abstractNumId="14" w15:restartNumberingAfterBreak="0">
    <w:nsid w:val="2A9A1D08"/>
    <w:multiLevelType w:val="singleLevel"/>
    <w:tmpl w:val="FAEE1AE8"/>
    <w:lvl w:ilvl="0">
      <w:start w:val="17"/>
      <w:numFmt w:val="upperLetter"/>
      <w:lvlText w:val="%1."/>
      <w:lvlJc w:val="left"/>
      <w:pPr>
        <w:tabs>
          <w:tab w:val="num" w:pos="720"/>
        </w:tabs>
        <w:ind w:left="720" w:hanging="720"/>
      </w:pPr>
      <w:rPr>
        <w:rFonts w:hint="default"/>
      </w:rPr>
    </w:lvl>
  </w:abstractNum>
  <w:abstractNum w:abstractNumId="15" w15:restartNumberingAfterBreak="0">
    <w:nsid w:val="2FFB7185"/>
    <w:multiLevelType w:val="singleLevel"/>
    <w:tmpl w:val="8430B4F0"/>
    <w:lvl w:ilvl="0">
      <w:start w:val="1"/>
      <w:numFmt w:val="upperLetter"/>
      <w:lvlText w:val="%1."/>
      <w:lvlJc w:val="left"/>
      <w:pPr>
        <w:tabs>
          <w:tab w:val="num" w:pos="720"/>
        </w:tabs>
        <w:ind w:left="720" w:hanging="720"/>
      </w:pPr>
      <w:rPr>
        <w:rFonts w:hint="default"/>
      </w:rPr>
    </w:lvl>
  </w:abstractNum>
  <w:abstractNum w:abstractNumId="16" w15:restartNumberingAfterBreak="0">
    <w:nsid w:val="31CF081A"/>
    <w:multiLevelType w:val="singleLevel"/>
    <w:tmpl w:val="E87EBD42"/>
    <w:lvl w:ilvl="0">
      <w:start w:val="1"/>
      <w:numFmt w:val="upperLetter"/>
      <w:lvlText w:val="%1."/>
      <w:lvlJc w:val="left"/>
      <w:pPr>
        <w:tabs>
          <w:tab w:val="num" w:pos="720"/>
        </w:tabs>
        <w:ind w:left="720" w:hanging="720"/>
      </w:pPr>
      <w:rPr>
        <w:rFonts w:hint="default"/>
      </w:rPr>
    </w:lvl>
  </w:abstractNum>
  <w:abstractNum w:abstractNumId="17" w15:restartNumberingAfterBreak="0">
    <w:nsid w:val="345E2A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4BC4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6994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C166606"/>
    <w:multiLevelType w:val="singleLevel"/>
    <w:tmpl w:val="819803F8"/>
    <w:lvl w:ilvl="0">
      <w:start w:val="1"/>
      <w:numFmt w:val="upperLetter"/>
      <w:lvlText w:val="%1."/>
      <w:lvlJc w:val="left"/>
      <w:pPr>
        <w:tabs>
          <w:tab w:val="num" w:pos="720"/>
        </w:tabs>
        <w:ind w:left="720" w:hanging="720"/>
      </w:pPr>
      <w:rPr>
        <w:rFonts w:hint="default"/>
      </w:rPr>
    </w:lvl>
  </w:abstractNum>
  <w:abstractNum w:abstractNumId="21" w15:restartNumberingAfterBreak="0">
    <w:nsid w:val="43D215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DD4068F"/>
    <w:multiLevelType w:val="singleLevel"/>
    <w:tmpl w:val="B3624B7C"/>
    <w:lvl w:ilvl="0">
      <w:start w:val="17"/>
      <w:numFmt w:val="upperLetter"/>
      <w:lvlText w:val="%1."/>
      <w:lvlJc w:val="left"/>
      <w:pPr>
        <w:tabs>
          <w:tab w:val="num" w:pos="720"/>
        </w:tabs>
        <w:ind w:left="720" w:hanging="720"/>
      </w:pPr>
      <w:rPr>
        <w:rFonts w:hint="default"/>
      </w:rPr>
    </w:lvl>
  </w:abstractNum>
  <w:abstractNum w:abstractNumId="23" w15:restartNumberingAfterBreak="0">
    <w:nsid w:val="53F935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7092D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87F5AC9"/>
    <w:multiLevelType w:val="singleLevel"/>
    <w:tmpl w:val="46407B1C"/>
    <w:lvl w:ilvl="0">
      <w:start w:val="1"/>
      <w:numFmt w:val="upperLetter"/>
      <w:lvlText w:val="%1."/>
      <w:lvlJc w:val="left"/>
      <w:pPr>
        <w:tabs>
          <w:tab w:val="num" w:pos="720"/>
        </w:tabs>
        <w:ind w:left="720" w:hanging="720"/>
      </w:pPr>
      <w:rPr>
        <w:rFonts w:hint="default"/>
      </w:rPr>
    </w:lvl>
  </w:abstractNum>
  <w:abstractNum w:abstractNumId="26" w15:restartNumberingAfterBreak="0">
    <w:nsid w:val="592F1CB7"/>
    <w:multiLevelType w:val="singleLevel"/>
    <w:tmpl w:val="86C0E5C6"/>
    <w:lvl w:ilvl="0">
      <w:start w:val="17"/>
      <w:numFmt w:val="upperLetter"/>
      <w:lvlText w:val="%1."/>
      <w:lvlJc w:val="left"/>
      <w:pPr>
        <w:tabs>
          <w:tab w:val="num" w:pos="720"/>
        </w:tabs>
        <w:ind w:left="720" w:hanging="720"/>
      </w:pPr>
      <w:rPr>
        <w:rFonts w:hint="default"/>
      </w:rPr>
    </w:lvl>
  </w:abstractNum>
  <w:abstractNum w:abstractNumId="27" w15:restartNumberingAfterBreak="0">
    <w:nsid w:val="59F85145"/>
    <w:multiLevelType w:val="singleLevel"/>
    <w:tmpl w:val="22B25576"/>
    <w:lvl w:ilvl="0">
      <w:start w:val="1"/>
      <w:numFmt w:val="upperLetter"/>
      <w:lvlText w:val="%1."/>
      <w:lvlJc w:val="left"/>
      <w:pPr>
        <w:tabs>
          <w:tab w:val="num" w:pos="720"/>
        </w:tabs>
        <w:ind w:left="720" w:hanging="720"/>
      </w:pPr>
      <w:rPr>
        <w:rFonts w:hint="default"/>
      </w:rPr>
    </w:lvl>
  </w:abstractNum>
  <w:abstractNum w:abstractNumId="28" w15:restartNumberingAfterBreak="0">
    <w:nsid w:val="5A6B157B"/>
    <w:multiLevelType w:val="hybridMultilevel"/>
    <w:tmpl w:val="A8F2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F1300"/>
    <w:multiLevelType w:val="singleLevel"/>
    <w:tmpl w:val="37E6D30E"/>
    <w:lvl w:ilvl="0">
      <w:start w:val="1"/>
      <w:numFmt w:val="upperLetter"/>
      <w:lvlText w:val="%1."/>
      <w:lvlJc w:val="left"/>
      <w:pPr>
        <w:tabs>
          <w:tab w:val="num" w:pos="1440"/>
        </w:tabs>
        <w:ind w:left="1440" w:hanging="1440"/>
      </w:pPr>
      <w:rPr>
        <w:rFonts w:hint="default"/>
        <w:b w:val="0"/>
        <w:i w:val="0"/>
      </w:rPr>
    </w:lvl>
  </w:abstractNum>
  <w:abstractNum w:abstractNumId="30" w15:restartNumberingAfterBreak="0">
    <w:nsid w:val="62E40DB8"/>
    <w:multiLevelType w:val="singleLevel"/>
    <w:tmpl w:val="FC920374"/>
    <w:lvl w:ilvl="0">
      <w:start w:val="17"/>
      <w:numFmt w:val="upperLetter"/>
      <w:lvlText w:val="%1."/>
      <w:lvlJc w:val="left"/>
      <w:pPr>
        <w:tabs>
          <w:tab w:val="num" w:pos="720"/>
        </w:tabs>
        <w:ind w:left="720" w:hanging="720"/>
      </w:pPr>
      <w:rPr>
        <w:rFonts w:hint="default"/>
      </w:rPr>
    </w:lvl>
  </w:abstractNum>
  <w:abstractNum w:abstractNumId="31" w15:restartNumberingAfterBreak="0">
    <w:nsid w:val="65727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71B37C0"/>
    <w:multiLevelType w:val="singleLevel"/>
    <w:tmpl w:val="E0B29BAA"/>
    <w:lvl w:ilvl="0">
      <w:start w:val="17"/>
      <w:numFmt w:val="upperLetter"/>
      <w:lvlText w:val="%1."/>
      <w:lvlJc w:val="left"/>
      <w:pPr>
        <w:tabs>
          <w:tab w:val="num" w:pos="720"/>
        </w:tabs>
        <w:ind w:left="720" w:hanging="720"/>
      </w:pPr>
      <w:rPr>
        <w:rFonts w:hint="default"/>
      </w:rPr>
    </w:lvl>
  </w:abstractNum>
  <w:abstractNum w:abstractNumId="33" w15:restartNumberingAfterBreak="0">
    <w:nsid w:val="70B34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0BC226C"/>
    <w:multiLevelType w:val="singleLevel"/>
    <w:tmpl w:val="85A8227E"/>
    <w:lvl w:ilvl="0">
      <w:start w:val="17"/>
      <w:numFmt w:val="upperLetter"/>
      <w:lvlText w:val="%1."/>
      <w:lvlJc w:val="left"/>
      <w:pPr>
        <w:tabs>
          <w:tab w:val="num" w:pos="720"/>
        </w:tabs>
        <w:ind w:left="720" w:hanging="720"/>
      </w:pPr>
      <w:rPr>
        <w:rFonts w:hint="default"/>
      </w:rPr>
    </w:lvl>
  </w:abstractNum>
  <w:abstractNum w:abstractNumId="35" w15:restartNumberingAfterBreak="0">
    <w:nsid w:val="74FD5C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B4C6C50"/>
    <w:multiLevelType w:val="singleLevel"/>
    <w:tmpl w:val="1310CD64"/>
    <w:lvl w:ilvl="0">
      <w:start w:val="17"/>
      <w:numFmt w:val="upperLetter"/>
      <w:lvlText w:val="%1."/>
      <w:lvlJc w:val="left"/>
      <w:pPr>
        <w:tabs>
          <w:tab w:val="num" w:pos="720"/>
        </w:tabs>
        <w:ind w:left="720" w:hanging="720"/>
      </w:pPr>
      <w:rPr>
        <w:rFonts w:hint="default"/>
      </w:rPr>
    </w:lvl>
  </w:abstractNum>
  <w:abstractNum w:abstractNumId="37" w15:restartNumberingAfterBreak="0">
    <w:nsid w:val="7DCF36E4"/>
    <w:multiLevelType w:val="singleLevel"/>
    <w:tmpl w:val="20F0DCDC"/>
    <w:lvl w:ilvl="0">
      <w:start w:val="17"/>
      <w:numFmt w:val="upperLetter"/>
      <w:lvlText w:val="%1."/>
      <w:lvlJc w:val="left"/>
      <w:pPr>
        <w:tabs>
          <w:tab w:val="num" w:pos="720"/>
        </w:tabs>
        <w:ind w:left="720" w:hanging="720"/>
      </w:pPr>
      <w:rPr>
        <w:rFonts w:hint="default"/>
      </w:rPr>
    </w:lvl>
  </w:abstractNum>
  <w:abstractNum w:abstractNumId="38" w15:restartNumberingAfterBreak="0">
    <w:nsid w:val="7E2F34A0"/>
    <w:multiLevelType w:val="singleLevel"/>
    <w:tmpl w:val="04090015"/>
    <w:lvl w:ilvl="0">
      <w:start w:val="1"/>
      <w:numFmt w:val="upperLetter"/>
      <w:lvlText w:val="%1."/>
      <w:lvlJc w:val="left"/>
      <w:pPr>
        <w:tabs>
          <w:tab w:val="num" w:pos="360"/>
        </w:tabs>
        <w:ind w:left="360" w:hanging="360"/>
      </w:pPr>
      <w:rPr>
        <w:rFonts w:hint="default"/>
      </w:rPr>
    </w:lvl>
  </w:abstractNum>
  <w:abstractNum w:abstractNumId="39" w15:restartNumberingAfterBreak="0">
    <w:nsid w:val="7FB7539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3"/>
  </w:num>
  <w:num w:numId="2">
    <w:abstractNumId w:val="32"/>
  </w:num>
  <w:num w:numId="3">
    <w:abstractNumId w:val="7"/>
  </w:num>
  <w:num w:numId="4">
    <w:abstractNumId w:val="14"/>
  </w:num>
  <w:num w:numId="5">
    <w:abstractNumId w:val="20"/>
  </w:num>
  <w:num w:numId="6">
    <w:abstractNumId w:val="26"/>
  </w:num>
  <w:num w:numId="7">
    <w:abstractNumId w:val="15"/>
  </w:num>
  <w:num w:numId="8">
    <w:abstractNumId w:val="39"/>
  </w:num>
  <w:num w:numId="9">
    <w:abstractNumId w:val="35"/>
  </w:num>
  <w:num w:numId="10">
    <w:abstractNumId w:val="37"/>
  </w:num>
  <w:num w:numId="11">
    <w:abstractNumId w:val="17"/>
  </w:num>
  <w:num w:numId="12">
    <w:abstractNumId w:val="24"/>
  </w:num>
  <w:num w:numId="13">
    <w:abstractNumId w:val="23"/>
  </w:num>
  <w:num w:numId="14">
    <w:abstractNumId w:val="11"/>
  </w:num>
  <w:num w:numId="15">
    <w:abstractNumId w:val="10"/>
  </w:num>
  <w:num w:numId="16">
    <w:abstractNumId w:val="3"/>
  </w:num>
  <w:num w:numId="17">
    <w:abstractNumId w:val="19"/>
  </w:num>
  <w:num w:numId="18">
    <w:abstractNumId w:val="36"/>
  </w:num>
  <w:num w:numId="19">
    <w:abstractNumId w:val="4"/>
  </w:num>
  <w:num w:numId="20">
    <w:abstractNumId w:val="30"/>
  </w:num>
  <w:num w:numId="21">
    <w:abstractNumId w:val="27"/>
  </w:num>
  <w:num w:numId="22">
    <w:abstractNumId w:val="34"/>
  </w:num>
  <w:num w:numId="23">
    <w:abstractNumId w:val="25"/>
  </w:num>
  <w:num w:numId="24">
    <w:abstractNumId w:val="13"/>
  </w:num>
  <w:num w:numId="25">
    <w:abstractNumId w:val="29"/>
  </w:num>
  <w:num w:numId="26">
    <w:abstractNumId w:val="12"/>
  </w:num>
  <w:num w:numId="27">
    <w:abstractNumId w:val="38"/>
  </w:num>
  <w:num w:numId="28">
    <w:abstractNumId w:val="9"/>
  </w:num>
  <w:num w:numId="29">
    <w:abstractNumId w:val="22"/>
  </w:num>
  <w:num w:numId="30">
    <w:abstractNumId w:val="16"/>
  </w:num>
  <w:num w:numId="31">
    <w:abstractNumId w:val="8"/>
  </w:num>
  <w:num w:numId="32">
    <w:abstractNumId w:val="5"/>
  </w:num>
  <w:num w:numId="33">
    <w:abstractNumId w:val="1"/>
  </w:num>
  <w:num w:numId="34">
    <w:abstractNumId w:val="31"/>
  </w:num>
  <w:num w:numId="35">
    <w:abstractNumId w:val="21"/>
  </w:num>
  <w:num w:numId="36">
    <w:abstractNumId w:val="2"/>
  </w:num>
  <w:num w:numId="37">
    <w:abstractNumId w:val="18"/>
  </w:num>
  <w:num w:numId="38">
    <w:abstractNumId w:val="0"/>
  </w:num>
  <w:num w:numId="39">
    <w:abstractNumId w:val="28"/>
  </w:num>
  <w:num w:numId="40">
    <w:abstractNumId w:val="0"/>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930"/>
    <w:rsid w:val="0000127F"/>
    <w:rsid w:val="00013BA3"/>
    <w:rsid w:val="00020C75"/>
    <w:rsid w:val="0004061C"/>
    <w:rsid w:val="00062463"/>
    <w:rsid w:val="000727F6"/>
    <w:rsid w:val="00073282"/>
    <w:rsid w:val="00076167"/>
    <w:rsid w:val="00093BC7"/>
    <w:rsid w:val="000A402E"/>
    <w:rsid w:val="000A60E3"/>
    <w:rsid w:val="000B2275"/>
    <w:rsid w:val="000B2AAD"/>
    <w:rsid w:val="000B5BE1"/>
    <w:rsid w:val="000B6A66"/>
    <w:rsid w:val="000C17C0"/>
    <w:rsid w:val="000C18FC"/>
    <w:rsid w:val="000D5B5E"/>
    <w:rsid w:val="000E28A8"/>
    <w:rsid w:val="000E6B13"/>
    <w:rsid w:val="000E7211"/>
    <w:rsid w:val="000E766B"/>
    <w:rsid w:val="000F0E05"/>
    <w:rsid w:val="00102769"/>
    <w:rsid w:val="00106CF3"/>
    <w:rsid w:val="001137DC"/>
    <w:rsid w:val="00114D80"/>
    <w:rsid w:val="00114ECF"/>
    <w:rsid w:val="00115640"/>
    <w:rsid w:val="0012079B"/>
    <w:rsid w:val="00122B82"/>
    <w:rsid w:val="00125CD6"/>
    <w:rsid w:val="00135EB2"/>
    <w:rsid w:val="00141A6D"/>
    <w:rsid w:val="00152476"/>
    <w:rsid w:val="00155554"/>
    <w:rsid w:val="00163C78"/>
    <w:rsid w:val="00172DCA"/>
    <w:rsid w:val="001805A8"/>
    <w:rsid w:val="00180F30"/>
    <w:rsid w:val="00190228"/>
    <w:rsid w:val="00194EA5"/>
    <w:rsid w:val="0019533B"/>
    <w:rsid w:val="001A31AD"/>
    <w:rsid w:val="001B21BC"/>
    <w:rsid w:val="001C2E2A"/>
    <w:rsid w:val="001C44D9"/>
    <w:rsid w:val="001D16C8"/>
    <w:rsid w:val="001D3ED9"/>
    <w:rsid w:val="001E4CEC"/>
    <w:rsid w:val="001F11BF"/>
    <w:rsid w:val="00214525"/>
    <w:rsid w:val="00234D57"/>
    <w:rsid w:val="00235479"/>
    <w:rsid w:val="00250710"/>
    <w:rsid w:val="00254A9D"/>
    <w:rsid w:val="002875E0"/>
    <w:rsid w:val="00295FD6"/>
    <w:rsid w:val="00297D42"/>
    <w:rsid w:val="002A0CDC"/>
    <w:rsid w:val="002A5EF0"/>
    <w:rsid w:val="002B2417"/>
    <w:rsid w:val="002C13EE"/>
    <w:rsid w:val="002C1620"/>
    <w:rsid w:val="002C3540"/>
    <w:rsid w:val="002C4D7F"/>
    <w:rsid w:val="002D07E0"/>
    <w:rsid w:val="002E4172"/>
    <w:rsid w:val="002F3CFA"/>
    <w:rsid w:val="002F719F"/>
    <w:rsid w:val="003061CB"/>
    <w:rsid w:val="00311297"/>
    <w:rsid w:val="003129CD"/>
    <w:rsid w:val="0031650B"/>
    <w:rsid w:val="003225E8"/>
    <w:rsid w:val="00324993"/>
    <w:rsid w:val="00325F1B"/>
    <w:rsid w:val="00325F8B"/>
    <w:rsid w:val="00325FBD"/>
    <w:rsid w:val="00371F2B"/>
    <w:rsid w:val="0038615B"/>
    <w:rsid w:val="00392D17"/>
    <w:rsid w:val="003962DF"/>
    <w:rsid w:val="003A048B"/>
    <w:rsid w:val="003A564D"/>
    <w:rsid w:val="003B1593"/>
    <w:rsid w:val="003B18ED"/>
    <w:rsid w:val="003B37C9"/>
    <w:rsid w:val="003B6AE8"/>
    <w:rsid w:val="003C54ED"/>
    <w:rsid w:val="003C59CD"/>
    <w:rsid w:val="003E2BE5"/>
    <w:rsid w:val="003E4C4A"/>
    <w:rsid w:val="00405477"/>
    <w:rsid w:val="0041191B"/>
    <w:rsid w:val="00421583"/>
    <w:rsid w:val="00425B79"/>
    <w:rsid w:val="004334BE"/>
    <w:rsid w:val="004572EF"/>
    <w:rsid w:val="0046230A"/>
    <w:rsid w:val="00464ECA"/>
    <w:rsid w:val="00466848"/>
    <w:rsid w:val="00486764"/>
    <w:rsid w:val="0049227D"/>
    <w:rsid w:val="004937BB"/>
    <w:rsid w:val="00497BE0"/>
    <w:rsid w:val="004A5271"/>
    <w:rsid w:val="004B1D6F"/>
    <w:rsid w:val="004B578C"/>
    <w:rsid w:val="004B5855"/>
    <w:rsid w:val="004B6422"/>
    <w:rsid w:val="004B7DDF"/>
    <w:rsid w:val="004C756C"/>
    <w:rsid w:val="004F2F71"/>
    <w:rsid w:val="004F66FA"/>
    <w:rsid w:val="004F74BC"/>
    <w:rsid w:val="0050283B"/>
    <w:rsid w:val="005226A8"/>
    <w:rsid w:val="005241E5"/>
    <w:rsid w:val="00524C6A"/>
    <w:rsid w:val="00530A92"/>
    <w:rsid w:val="00541366"/>
    <w:rsid w:val="005428FE"/>
    <w:rsid w:val="00544121"/>
    <w:rsid w:val="00552927"/>
    <w:rsid w:val="005639A6"/>
    <w:rsid w:val="005673B7"/>
    <w:rsid w:val="005743EC"/>
    <w:rsid w:val="00574FF6"/>
    <w:rsid w:val="0058599B"/>
    <w:rsid w:val="00591266"/>
    <w:rsid w:val="00596DC1"/>
    <w:rsid w:val="005B0ADE"/>
    <w:rsid w:val="005B1964"/>
    <w:rsid w:val="005B5B35"/>
    <w:rsid w:val="005C5AAC"/>
    <w:rsid w:val="005D0402"/>
    <w:rsid w:val="005D1CEE"/>
    <w:rsid w:val="005E3664"/>
    <w:rsid w:val="005F4BD6"/>
    <w:rsid w:val="00603AEA"/>
    <w:rsid w:val="00604015"/>
    <w:rsid w:val="006133D6"/>
    <w:rsid w:val="006170AA"/>
    <w:rsid w:val="00621814"/>
    <w:rsid w:val="00625426"/>
    <w:rsid w:val="0062677E"/>
    <w:rsid w:val="00631C7E"/>
    <w:rsid w:val="00632201"/>
    <w:rsid w:val="006473E0"/>
    <w:rsid w:val="006703D6"/>
    <w:rsid w:val="0068512A"/>
    <w:rsid w:val="006A3165"/>
    <w:rsid w:val="006A37D8"/>
    <w:rsid w:val="006A3CAF"/>
    <w:rsid w:val="006B078C"/>
    <w:rsid w:val="006B1438"/>
    <w:rsid w:val="006B1FA3"/>
    <w:rsid w:val="006C2A20"/>
    <w:rsid w:val="006D44D2"/>
    <w:rsid w:val="006E08AE"/>
    <w:rsid w:val="006E428E"/>
    <w:rsid w:val="006F232B"/>
    <w:rsid w:val="006F2E00"/>
    <w:rsid w:val="006F6ED4"/>
    <w:rsid w:val="00706C45"/>
    <w:rsid w:val="00707CD6"/>
    <w:rsid w:val="0071255E"/>
    <w:rsid w:val="00713B0E"/>
    <w:rsid w:val="0072366E"/>
    <w:rsid w:val="007249DD"/>
    <w:rsid w:val="007329D5"/>
    <w:rsid w:val="007341C9"/>
    <w:rsid w:val="00734FDD"/>
    <w:rsid w:val="00736DFC"/>
    <w:rsid w:val="0075114E"/>
    <w:rsid w:val="00767710"/>
    <w:rsid w:val="00767904"/>
    <w:rsid w:val="00770A88"/>
    <w:rsid w:val="0077559C"/>
    <w:rsid w:val="007822EC"/>
    <w:rsid w:val="007831A7"/>
    <w:rsid w:val="007834CF"/>
    <w:rsid w:val="007962CA"/>
    <w:rsid w:val="007B0A86"/>
    <w:rsid w:val="007C4431"/>
    <w:rsid w:val="007D6642"/>
    <w:rsid w:val="007E78C4"/>
    <w:rsid w:val="00800B1E"/>
    <w:rsid w:val="0080372E"/>
    <w:rsid w:val="00805974"/>
    <w:rsid w:val="008170F7"/>
    <w:rsid w:val="00820F30"/>
    <w:rsid w:val="00826C92"/>
    <w:rsid w:val="008353A9"/>
    <w:rsid w:val="00840C94"/>
    <w:rsid w:val="00841554"/>
    <w:rsid w:val="00847E60"/>
    <w:rsid w:val="008531D6"/>
    <w:rsid w:val="008703B9"/>
    <w:rsid w:val="0087691D"/>
    <w:rsid w:val="008A27A2"/>
    <w:rsid w:val="008B3005"/>
    <w:rsid w:val="008B3F0F"/>
    <w:rsid w:val="008C13F0"/>
    <w:rsid w:val="008F41C2"/>
    <w:rsid w:val="008F4C70"/>
    <w:rsid w:val="00911CB0"/>
    <w:rsid w:val="00913499"/>
    <w:rsid w:val="00923522"/>
    <w:rsid w:val="009343BC"/>
    <w:rsid w:val="0095512A"/>
    <w:rsid w:val="009601D3"/>
    <w:rsid w:val="009623C8"/>
    <w:rsid w:val="00966649"/>
    <w:rsid w:val="00966887"/>
    <w:rsid w:val="009745AC"/>
    <w:rsid w:val="0097483F"/>
    <w:rsid w:val="009772D6"/>
    <w:rsid w:val="0098282E"/>
    <w:rsid w:val="00990525"/>
    <w:rsid w:val="009B78BF"/>
    <w:rsid w:val="009C31F4"/>
    <w:rsid w:val="009C645D"/>
    <w:rsid w:val="009D1E11"/>
    <w:rsid w:val="009D6DC8"/>
    <w:rsid w:val="009E36B4"/>
    <w:rsid w:val="009E578B"/>
    <w:rsid w:val="009E6305"/>
    <w:rsid w:val="009E706E"/>
    <w:rsid w:val="009E7C01"/>
    <w:rsid w:val="009F07ED"/>
    <w:rsid w:val="009F2B82"/>
    <w:rsid w:val="009F5E81"/>
    <w:rsid w:val="00A11370"/>
    <w:rsid w:val="00A12A8B"/>
    <w:rsid w:val="00A200CC"/>
    <w:rsid w:val="00A205F3"/>
    <w:rsid w:val="00A20923"/>
    <w:rsid w:val="00A23BC2"/>
    <w:rsid w:val="00A33375"/>
    <w:rsid w:val="00A36338"/>
    <w:rsid w:val="00A37579"/>
    <w:rsid w:val="00A552A7"/>
    <w:rsid w:val="00A568D5"/>
    <w:rsid w:val="00A615EA"/>
    <w:rsid w:val="00A62AF3"/>
    <w:rsid w:val="00A65D6F"/>
    <w:rsid w:val="00A80CEF"/>
    <w:rsid w:val="00A80E45"/>
    <w:rsid w:val="00A916B2"/>
    <w:rsid w:val="00A92A63"/>
    <w:rsid w:val="00A9453C"/>
    <w:rsid w:val="00A95A4F"/>
    <w:rsid w:val="00AA092F"/>
    <w:rsid w:val="00AB2B70"/>
    <w:rsid w:val="00AB7E8F"/>
    <w:rsid w:val="00AC75EC"/>
    <w:rsid w:val="00AD12F3"/>
    <w:rsid w:val="00AD2C10"/>
    <w:rsid w:val="00AD681D"/>
    <w:rsid w:val="00AE0285"/>
    <w:rsid w:val="00AE7604"/>
    <w:rsid w:val="00B05DEE"/>
    <w:rsid w:val="00B20867"/>
    <w:rsid w:val="00B20FA2"/>
    <w:rsid w:val="00B22B31"/>
    <w:rsid w:val="00B32B96"/>
    <w:rsid w:val="00B534FC"/>
    <w:rsid w:val="00B6046C"/>
    <w:rsid w:val="00B6637D"/>
    <w:rsid w:val="00B67DDC"/>
    <w:rsid w:val="00B71E73"/>
    <w:rsid w:val="00B90278"/>
    <w:rsid w:val="00B92274"/>
    <w:rsid w:val="00BB0BF3"/>
    <w:rsid w:val="00BC1E3D"/>
    <w:rsid w:val="00BD6DA2"/>
    <w:rsid w:val="00BE326A"/>
    <w:rsid w:val="00BE7857"/>
    <w:rsid w:val="00BE7C92"/>
    <w:rsid w:val="00BF2861"/>
    <w:rsid w:val="00BF545F"/>
    <w:rsid w:val="00BF7515"/>
    <w:rsid w:val="00C00E0E"/>
    <w:rsid w:val="00C01180"/>
    <w:rsid w:val="00C02B6C"/>
    <w:rsid w:val="00C15DC9"/>
    <w:rsid w:val="00C16522"/>
    <w:rsid w:val="00C24EBE"/>
    <w:rsid w:val="00C353A0"/>
    <w:rsid w:val="00C35E70"/>
    <w:rsid w:val="00C362D6"/>
    <w:rsid w:val="00C46A27"/>
    <w:rsid w:val="00C509CE"/>
    <w:rsid w:val="00C61A95"/>
    <w:rsid w:val="00C64A01"/>
    <w:rsid w:val="00C70E7B"/>
    <w:rsid w:val="00C80BF6"/>
    <w:rsid w:val="00C81F21"/>
    <w:rsid w:val="00C82930"/>
    <w:rsid w:val="00C85CBC"/>
    <w:rsid w:val="00C9220C"/>
    <w:rsid w:val="00C9555F"/>
    <w:rsid w:val="00C95D0A"/>
    <w:rsid w:val="00CA4A2F"/>
    <w:rsid w:val="00CA6775"/>
    <w:rsid w:val="00CB1799"/>
    <w:rsid w:val="00CC1A7B"/>
    <w:rsid w:val="00CD301E"/>
    <w:rsid w:val="00CE7EED"/>
    <w:rsid w:val="00CF2072"/>
    <w:rsid w:val="00CF60CD"/>
    <w:rsid w:val="00CF6F95"/>
    <w:rsid w:val="00D0080C"/>
    <w:rsid w:val="00D236CC"/>
    <w:rsid w:val="00D32E8B"/>
    <w:rsid w:val="00D549FC"/>
    <w:rsid w:val="00D55211"/>
    <w:rsid w:val="00D556C0"/>
    <w:rsid w:val="00D631F9"/>
    <w:rsid w:val="00D65A04"/>
    <w:rsid w:val="00D71F58"/>
    <w:rsid w:val="00D73BC2"/>
    <w:rsid w:val="00D77C1A"/>
    <w:rsid w:val="00D833E7"/>
    <w:rsid w:val="00D94A43"/>
    <w:rsid w:val="00D97E2C"/>
    <w:rsid w:val="00DA3008"/>
    <w:rsid w:val="00DB136C"/>
    <w:rsid w:val="00DB5AB1"/>
    <w:rsid w:val="00DC71E7"/>
    <w:rsid w:val="00DC7AC8"/>
    <w:rsid w:val="00DE5428"/>
    <w:rsid w:val="00DE6A0B"/>
    <w:rsid w:val="00DF4242"/>
    <w:rsid w:val="00DF469C"/>
    <w:rsid w:val="00E003EB"/>
    <w:rsid w:val="00E0084D"/>
    <w:rsid w:val="00E106A6"/>
    <w:rsid w:val="00E111D8"/>
    <w:rsid w:val="00E15350"/>
    <w:rsid w:val="00E16421"/>
    <w:rsid w:val="00E25312"/>
    <w:rsid w:val="00E47A15"/>
    <w:rsid w:val="00E500AB"/>
    <w:rsid w:val="00E52075"/>
    <w:rsid w:val="00E53931"/>
    <w:rsid w:val="00E5752E"/>
    <w:rsid w:val="00E57B9C"/>
    <w:rsid w:val="00E636EB"/>
    <w:rsid w:val="00E6372F"/>
    <w:rsid w:val="00E71146"/>
    <w:rsid w:val="00E8000F"/>
    <w:rsid w:val="00E810C4"/>
    <w:rsid w:val="00E8305D"/>
    <w:rsid w:val="00E85375"/>
    <w:rsid w:val="00EA7961"/>
    <w:rsid w:val="00EB5D30"/>
    <w:rsid w:val="00EB7ED6"/>
    <w:rsid w:val="00ED1BB3"/>
    <w:rsid w:val="00ED54FD"/>
    <w:rsid w:val="00EE5A8C"/>
    <w:rsid w:val="00EF0FF9"/>
    <w:rsid w:val="00EF62C6"/>
    <w:rsid w:val="00EF794A"/>
    <w:rsid w:val="00F07742"/>
    <w:rsid w:val="00F13667"/>
    <w:rsid w:val="00F16D09"/>
    <w:rsid w:val="00F21C6F"/>
    <w:rsid w:val="00F258B0"/>
    <w:rsid w:val="00F45C78"/>
    <w:rsid w:val="00F529AF"/>
    <w:rsid w:val="00F55AA6"/>
    <w:rsid w:val="00F60AD7"/>
    <w:rsid w:val="00F72218"/>
    <w:rsid w:val="00F76E2D"/>
    <w:rsid w:val="00F84D5C"/>
    <w:rsid w:val="00FA1528"/>
    <w:rsid w:val="00FA5424"/>
    <w:rsid w:val="00FC3FD2"/>
    <w:rsid w:val="00FD7018"/>
    <w:rsid w:val="00FE2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9443BD5"/>
  <w15:docId w15:val="{212A688C-6307-4CDD-BF8B-A6CBCE7A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qFormat="1"/>
    <w:lsdException w:name="heading 3" w:uiPriority="2"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D80"/>
    <w:rPr>
      <w:rFonts w:ascii="Arial" w:hAnsi="Arial"/>
      <w:color w:val="000000"/>
      <w:szCs w:val="24"/>
    </w:rPr>
  </w:style>
  <w:style w:type="paragraph" w:styleId="Heading1">
    <w:name w:val="heading 1"/>
    <w:basedOn w:val="Normal"/>
    <w:next w:val="Normal"/>
    <w:link w:val="Heading1Char"/>
    <w:qFormat/>
    <w:rsid w:val="00114D80"/>
    <w:pPr>
      <w:keepNext/>
      <w:spacing w:before="360" w:after="120"/>
      <w:contextualSpacing/>
      <w:outlineLvl w:val="0"/>
    </w:pPr>
    <w:rPr>
      <w:rFonts w:eastAsiaTheme="minorHAnsi" w:cs="Arial"/>
      <w:b/>
      <w:bCs/>
      <w:smallCaps/>
      <w:color w:val="93D500" w:themeColor="accent1"/>
      <w:kern w:val="28"/>
      <w:position w:val="6"/>
      <w:sz w:val="28"/>
      <w:szCs w:val="26"/>
    </w:rPr>
  </w:style>
  <w:style w:type="paragraph" w:styleId="Heading2">
    <w:name w:val="heading 2"/>
    <w:basedOn w:val="Normal"/>
    <w:next w:val="Normal"/>
    <w:link w:val="Heading2Char"/>
    <w:uiPriority w:val="2"/>
    <w:qFormat/>
    <w:rsid w:val="00114D80"/>
    <w:pPr>
      <w:keepNext/>
      <w:spacing w:before="360" w:after="240"/>
      <w:contextualSpacing/>
      <w:outlineLvl w:val="1"/>
    </w:pPr>
    <w:rPr>
      <w:rFonts w:eastAsiaTheme="minorHAnsi" w:cs="Arial"/>
      <w:b/>
      <w:bCs/>
      <w:iCs/>
      <w:color w:val="0093C9"/>
      <w:sz w:val="26"/>
      <w:szCs w:val="28"/>
    </w:rPr>
  </w:style>
  <w:style w:type="paragraph" w:styleId="Heading3">
    <w:name w:val="heading 3"/>
    <w:basedOn w:val="Normal"/>
    <w:next w:val="Normal"/>
    <w:link w:val="Heading3Char"/>
    <w:uiPriority w:val="2"/>
    <w:qFormat/>
    <w:rsid w:val="00114D80"/>
    <w:pPr>
      <w:keepNext/>
      <w:spacing w:before="360" w:after="240"/>
      <w:contextualSpacing/>
      <w:outlineLvl w:val="2"/>
    </w:pPr>
    <w:rPr>
      <w:rFonts w:eastAsiaTheme="minorHAnsi" w:cs="Arial"/>
      <w:b/>
      <w:bCs/>
      <w:color w:val="863399" w:themeColor="accent5"/>
      <w:szCs w:val="26"/>
    </w:rPr>
  </w:style>
  <w:style w:type="paragraph" w:styleId="Heading4">
    <w:name w:val="heading 4"/>
    <w:basedOn w:val="Normal"/>
    <w:next w:val="Normal"/>
    <w:qFormat/>
    <w:rsid w:val="00114D80"/>
    <w:pPr>
      <w:keepNext/>
      <w:spacing w:line="200" w:lineRule="exact"/>
      <w:jc w:val="right"/>
      <w:outlineLvl w:val="3"/>
    </w:pPr>
    <w:rPr>
      <w:rFonts w:ascii="Arial Narrow" w:hAnsi="Arial Narrow"/>
      <w:b/>
      <w:bCs/>
    </w:rPr>
  </w:style>
  <w:style w:type="paragraph" w:styleId="Heading5">
    <w:name w:val="heading 5"/>
    <w:basedOn w:val="Normal"/>
    <w:next w:val="Normal"/>
    <w:qFormat/>
    <w:rsid w:val="00114D80"/>
    <w:pPr>
      <w:keepNext/>
      <w:outlineLvl w:val="4"/>
    </w:pPr>
    <w:rPr>
      <w:rFonts w:cs="Arial"/>
      <w:b/>
      <w:bCs/>
      <w:i/>
      <w:iCs/>
    </w:rPr>
  </w:style>
  <w:style w:type="paragraph" w:styleId="Heading6">
    <w:name w:val="heading 6"/>
    <w:basedOn w:val="Normal"/>
    <w:next w:val="Normal"/>
    <w:link w:val="Heading6Char"/>
    <w:uiPriority w:val="9"/>
    <w:semiHidden/>
    <w:unhideWhenUsed/>
    <w:qFormat/>
    <w:rsid w:val="00114D80"/>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14D80"/>
    <w:pPr>
      <w:jc w:val="both"/>
    </w:pPr>
    <w:rPr>
      <w:szCs w:val="20"/>
    </w:rPr>
  </w:style>
  <w:style w:type="paragraph" w:styleId="BodyText2">
    <w:name w:val="Body Text 2"/>
    <w:basedOn w:val="Normal"/>
    <w:semiHidden/>
    <w:rsid w:val="00114D80"/>
    <w:rPr>
      <w:b/>
      <w:szCs w:val="20"/>
    </w:rPr>
  </w:style>
  <w:style w:type="paragraph" w:styleId="Header">
    <w:name w:val="header"/>
    <w:basedOn w:val="Normal"/>
    <w:semiHidden/>
    <w:rsid w:val="00114D80"/>
    <w:pPr>
      <w:tabs>
        <w:tab w:val="center" w:pos="4320"/>
        <w:tab w:val="right" w:pos="8640"/>
      </w:tabs>
    </w:pPr>
    <w:rPr>
      <w:szCs w:val="20"/>
    </w:rPr>
  </w:style>
  <w:style w:type="character" w:styleId="Hyperlink">
    <w:name w:val="Hyperlink"/>
    <w:basedOn w:val="DefaultParagraphFont"/>
    <w:semiHidden/>
    <w:rsid w:val="00114D80"/>
    <w:rPr>
      <w:color w:val="0000FF"/>
      <w:u w:val="single"/>
    </w:rPr>
  </w:style>
  <w:style w:type="paragraph" w:styleId="Footer">
    <w:name w:val="footer"/>
    <w:basedOn w:val="Normal"/>
    <w:link w:val="FooterChar"/>
    <w:rsid w:val="00114D80"/>
    <w:pPr>
      <w:tabs>
        <w:tab w:val="center" w:pos="4320"/>
        <w:tab w:val="right" w:pos="8640"/>
      </w:tabs>
    </w:pPr>
  </w:style>
  <w:style w:type="paragraph" w:customStyle="1" w:styleId="Bullet-ItalicIndent">
    <w:name w:val="Bullet - Italic Indent"/>
    <w:basedOn w:val="Normal"/>
    <w:rsid w:val="00114D80"/>
    <w:pPr>
      <w:numPr>
        <w:numId w:val="40"/>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114D80"/>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114D80"/>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114D80"/>
    <w:pPr>
      <w:spacing w:after="120"/>
      <w:ind w:left="360"/>
    </w:pPr>
  </w:style>
  <w:style w:type="paragraph" w:styleId="Salutation">
    <w:name w:val="Salutation"/>
    <w:basedOn w:val="Normal"/>
    <w:next w:val="Normal"/>
    <w:semiHidden/>
    <w:rsid w:val="00114D80"/>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114D80"/>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114D80"/>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114D80"/>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114D80"/>
    <w:pPr>
      <w:ind w:right="-630"/>
      <w:jc w:val="left"/>
    </w:pPr>
    <w:rPr>
      <w:sz w:val="24"/>
    </w:rPr>
  </w:style>
  <w:style w:type="paragraph" w:customStyle="1" w:styleId="MemoFrame">
    <w:name w:val="Memo Frame"/>
    <w:basedOn w:val="Normal"/>
    <w:link w:val="MemoFrameChar"/>
    <w:rsid w:val="00114D80"/>
    <w:rPr>
      <w:b/>
    </w:rPr>
  </w:style>
  <w:style w:type="character" w:customStyle="1" w:styleId="Heading6Char">
    <w:name w:val="Heading 6 Char"/>
    <w:basedOn w:val="DefaultParagraphFont"/>
    <w:link w:val="Heading6"/>
    <w:uiPriority w:val="9"/>
    <w:semiHidden/>
    <w:rsid w:val="00114D80"/>
    <w:rPr>
      <w:rFonts w:ascii="Arial" w:eastAsiaTheme="majorEastAsia" w:hAnsi="Arial" w:cstheme="majorBidi"/>
      <w:i/>
      <w:iCs/>
      <w:color w:val="486A00" w:themeColor="accent1" w:themeShade="7F"/>
      <w:szCs w:val="24"/>
    </w:rPr>
  </w:style>
  <w:style w:type="paragraph" w:styleId="BalloonText">
    <w:name w:val="Balloon Text"/>
    <w:basedOn w:val="Normal"/>
    <w:link w:val="BalloonTextChar"/>
    <w:uiPriority w:val="99"/>
    <w:semiHidden/>
    <w:unhideWhenUsed/>
    <w:rsid w:val="00114D80"/>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114D80"/>
    <w:rPr>
      <w:rFonts w:ascii="Lucida Grande" w:hAnsi="Lucida Grande" w:cs="Lucida Grande"/>
      <w:color w:val="000000"/>
      <w:szCs w:val="18"/>
    </w:rPr>
  </w:style>
  <w:style w:type="paragraph" w:customStyle="1" w:styleId="MemorandumHeader">
    <w:name w:val="Memorandum Header"/>
    <w:basedOn w:val="Heading5"/>
    <w:autoRedefine/>
    <w:qFormat/>
    <w:rsid w:val="00114D80"/>
    <w:pPr>
      <w:spacing w:line="200" w:lineRule="exact"/>
      <w:ind w:hanging="270"/>
    </w:pPr>
    <w:rPr>
      <w:i w:val="0"/>
      <w:iCs w:val="0"/>
      <w:sz w:val="22"/>
      <w:szCs w:val="22"/>
    </w:rPr>
  </w:style>
  <w:style w:type="paragraph" w:customStyle="1" w:styleId="FooterAddress">
    <w:name w:val="Footer Address"/>
    <w:basedOn w:val="Normal"/>
    <w:autoRedefine/>
    <w:qFormat/>
    <w:rsid w:val="00114D80"/>
    <w:rPr>
      <w:rFonts w:cs="Arial"/>
      <w:sz w:val="16"/>
    </w:rPr>
  </w:style>
  <w:style w:type="paragraph" w:customStyle="1" w:styleId="MemoLabel">
    <w:name w:val="Memo Label"/>
    <w:basedOn w:val="MemoFrame"/>
    <w:link w:val="MemoLabelChar"/>
    <w:qFormat/>
    <w:rsid w:val="00A92A63"/>
  </w:style>
  <w:style w:type="paragraph" w:customStyle="1" w:styleId="MemoBody">
    <w:name w:val="Memo Body"/>
    <w:basedOn w:val="MemoLabel"/>
    <w:link w:val="MemoBodyChar"/>
    <w:qFormat/>
    <w:rsid w:val="00A92A63"/>
    <w:rPr>
      <w:b w:val="0"/>
    </w:rPr>
  </w:style>
  <w:style w:type="character" w:customStyle="1" w:styleId="MemoFrameChar">
    <w:name w:val="Memo Frame Char"/>
    <w:basedOn w:val="DefaultParagraphFont"/>
    <w:link w:val="MemoFrame"/>
    <w:rsid w:val="00A92A63"/>
    <w:rPr>
      <w:rFonts w:ascii="Arial" w:hAnsi="Arial"/>
      <w:b/>
      <w:color w:val="000000"/>
      <w:szCs w:val="24"/>
    </w:rPr>
  </w:style>
  <w:style w:type="character" w:customStyle="1" w:styleId="MemoLabelChar">
    <w:name w:val="Memo Label Char"/>
    <w:basedOn w:val="MemoFrameChar"/>
    <w:link w:val="MemoLabel"/>
    <w:rsid w:val="00A92A63"/>
    <w:rPr>
      <w:rFonts w:ascii="Arial" w:hAnsi="Arial"/>
      <w:b/>
      <w:color w:val="000000"/>
      <w:szCs w:val="24"/>
    </w:rPr>
  </w:style>
  <w:style w:type="character" w:customStyle="1" w:styleId="MemoBodyChar">
    <w:name w:val="Memo Body Char"/>
    <w:basedOn w:val="MemoLabelChar"/>
    <w:link w:val="MemoBody"/>
    <w:rsid w:val="00A92A63"/>
    <w:rPr>
      <w:rFonts w:ascii="Arial" w:hAnsi="Arial"/>
      <w:b w:val="0"/>
      <w:color w:val="000000"/>
      <w:szCs w:val="24"/>
    </w:rPr>
  </w:style>
  <w:style w:type="paragraph" w:styleId="FootnoteText">
    <w:name w:val="footnote text"/>
    <w:basedOn w:val="Normal"/>
    <w:link w:val="FootnoteTextChar"/>
    <w:uiPriority w:val="99"/>
    <w:rsid w:val="00114D80"/>
    <w:pPr>
      <w:keepLines/>
    </w:pPr>
    <w:rPr>
      <w:rFonts w:eastAsiaTheme="minorHAnsi" w:cstheme="minorBidi"/>
      <w:color w:val="auto"/>
      <w:sz w:val="16"/>
      <w:szCs w:val="20"/>
    </w:rPr>
  </w:style>
  <w:style w:type="character" w:customStyle="1" w:styleId="FootnoteTextChar">
    <w:name w:val="Footnote Text Char"/>
    <w:basedOn w:val="DefaultParagraphFont"/>
    <w:link w:val="FootnoteText"/>
    <w:uiPriority w:val="99"/>
    <w:rsid w:val="00114D80"/>
    <w:rPr>
      <w:rFonts w:ascii="Arial" w:eastAsiaTheme="minorHAnsi" w:hAnsi="Arial" w:cstheme="minorBidi"/>
      <w:sz w:val="16"/>
    </w:rPr>
  </w:style>
  <w:style w:type="character" w:styleId="FootnoteReference">
    <w:name w:val="footnote reference"/>
    <w:aliases w:val="Footnote_Reference"/>
    <w:basedOn w:val="DefaultParagraphFont"/>
    <w:uiPriority w:val="99"/>
    <w:rsid w:val="00114D80"/>
    <w:rPr>
      <w:rFonts w:ascii="Arial" w:hAnsi="Arial"/>
      <w:color w:val="53575A" w:themeColor="text1"/>
      <w:vertAlign w:val="superscript"/>
    </w:rPr>
  </w:style>
  <w:style w:type="paragraph" w:styleId="Caption">
    <w:name w:val="caption"/>
    <w:basedOn w:val="Normal"/>
    <w:next w:val="Normal"/>
    <w:link w:val="CaptionChar"/>
    <w:uiPriority w:val="35"/>
    <w:qFormat/>
    <w:rsid w:val="00114D80"/>
    <w:pPr>
      <w:keepNext/>
      <w:spacing w:after="120"/>
      <w:jc w:val="center"/>
    </w:pPr>
    <w:rPr>
      <w:rFonts w:eastAsiaTheme="minorHAnsi" w:cstheme="minorBidi"/>
      <w:b/>
      <w:bCs/>
      <w:color w:val="93D500" w:themeColor="accent1"/>
      <w:szCs w:val="20"/>
    </w:rPr>
  </w:style>
  <w:style w:type="character" w:styleId="CommentReference">
    <w:name w:val="annotation reference"/>
    <w:basedOn w:val="DefaultParagraphFont"/>
    <w:semiHidden/>
    <w:unhideWhenUsed/>
    <w:rsid w:val="003E2BE5"/>
    <w:rPr>
      <w:sz w:val="16"/>
      <w:szCs w:val="16"/>
    </w:rPr>
  </w:style>
  <w:style w:type="paragraph" w:styleId="CommentText">
    <w:name w:val="annotation text"/>
    <w:basedOn w:val="Normal"/>
    <w:link w:val="CommentTextChar"/>
    <w:unhideWhenUsed/>
    <w:rsid w:val="003E2BE5"/>
    <w:rPr>
      <w:szCs w:val="20"/>
    </w:rPr>
  </w:style>
  <w:style w:type="character" w:customStyle="1" w:styleId="CommentTextChar">
    <w:name w:val="Comment Text Char"/>
    <w:basedOn w:val="DefaultParagraphFont"/>
    <w:link w:val="CommentText"/>
    <w:rsid w:val="003E2BE5"/>
    <w:rPr>
      <w:rFonts w:ascii="Arial" w:hAnsi="Arial"/>
    </w:rPr>
  </w:style>
  <w:style w:type="paragraph" w:styleId="CommentSubject">
    <w:name w:val="annotation subject"/>
    <w:basedOn w:val="CommentText"/>
    <w:next w:val="CommentText"/>
    <w:link w:val="CommentSubjectChar"/>
    <w:uiPriority w:val="99"/>
    <w:semiHidden/>
    <w:unhideWhenUsed/>
    <w:rsid w:val="003E2BE5"/>
    <w:rPr>
      <w:b/>
      <w:bCs/>
    </w:rPr>
  </w:style>
  <w:style w:type="character" w:customStyle="1" w:styleId="CommentSubjectChar">
    <w:name w:val="Comment Subject Char"/>
    <w:basedOn w:val="CommentTextChar"/>
    <w:link w:val="CommentSubject"/>
    <w:uiPriority w:val="99"/>
    <w:semiHidden/>
    <w:rsid w:val="003E2BE5"/>
    <w:rPr>
      <w:rFonts w:ascii="Arial" w:hAnsi="Arial"/>
      <w:b/>
      <w:bCs/>
    </w:rPr>
  </w:style>
  <w:style w:type="character" w:customStyle="1" w:styleId="UnresolvedMention1">
    <w:name w:val="Unresolved Mention1"/>
    <w:basedOn w:val="DefaultParagraphFont"/>
    <w:uiPriority w:val="99"/>
    <w:semiHidden/>
    <w:unhideWhenUsed/>
    <w:rsid w:val="00530A92"/>
    <w:rPr>
      <w:color w:val="605E5C"/>
      <w:shd w:val="clear" w:color="auto" w:fill="E1DFDD"/>
    </w:rPr>
  </w:style>
  <w:style w:type="paragraph" w:styleId="TOC2">
    <w:name w:val="toc 2"/>
    <w:basedOn w:val="Normal"/>
    <w:next w:val="Normal"/>
    <w:autoRedefine/>
    <w:uiPriority w:val="39"/>
    <w:rsid w:val="000B5BE1"/>
    <w:pPr>
      <w:tabs>
        <w:tab w:val="left" w:pos="1080"/>
        <w:tab w:val="right" w:leader="dot" w:pos="9346"/>
      </w:tabs>
      <w:ind w:left="1094" w:hanging="547"/>
      <w:contextualSpacing/>
    </w:pPr>
    <w:rPr>
      <w:rFonts w:eastAsiaTheme="minorHAnsi" w:cstheme="minorBidi"/>
      <w:noProof/>
      <w:szCs w:val="22"/>
    </w:rPr>
  </w:style>
  <w:style w:type="character" w:customStyle="1" w:styleId="CaptionChar">
    <w:name w:val="Caption Char"/>
    <w:basedOn w:val="DefaultParagraphFont"/>
    <w:link w:val="Caption"/>
    <w:uiPriority w:val="35"/>
    <w:rsid w:val="00114D80"/>
    <w:rPr>
      <w:rFonts w:ascii="Arial" w:eastAsiaTheme="minorHAnsi" w:hAnsi="Arial" w:cstheme="minorBidi"/>
      <w:b/>
      <w:bCs/>
      <w:color w:val="93D500" w:themeColor="accent1"/>
    </w:rPr>
  </w:style>
  <w:style w:type="character" w:styleId="FollowedHyperlink">
    <w:name w:val="FollowedHyperlink"/>
    <w:basedOn w:val="DefaultParagraphFont"/>
    <w:uiPriority w:val="99"/>
    <w:semiHidden/>
    <w:unhideWhenUsed/>
    <w:rsid w:val="007834CF"/>
    <w:rPr>
      <w:color w:val="638C1C" w:themeColor="followedHyperlink"/>
      <w:u w:val="single"/>
    </w:rPr>
  </w:style>
  <w:style w:type="paragraph" w:styleId="NoSpacing">
    <w:name w:val="No Spacing"/>
    <w:uiPriority w:val="1"/>
    <w:qFormat/>
    <w:rsid w:val="00EE5A8C"/>
    <w:rPr>
      <w:rFonts w:ascii="Arial" w:eastAsiaTheme="minorHAnsi" w:hAnsi="Arial" w:cs="Arial"/>
      <w:szCs w:val="40"/>
    </w:rPr>
  </w:style>
  <w:style w:type="character" w:customStyle="1" w:styleId="PresentedByChar">
    <w:name w:val="Presented By Char"/>
    <w:basedOn w:val="DefaultParagraphFont"/>
    <w:link w:val="PresentedBy"/>
    <w:locked/>
    <w:rsid w:val="00EE5A8C"/>
    <w:rPr>
      <w:rFonts w:ascii="Palatino Linotype" w:eastAsiaTheme="minorHAnsi" w:hAnsi="Palatino Linotype" w:cstheme="minorBidi"/>
      <w:color w:val="6F6754"/>
      <w:szCs w:val="22"/>
    </w:rPr>
  </w:style>
  <w:style w:type="paragraph" w:customStyle="1" w:styleId="PresentedBy">
    <w:name w:val="Presented By"/>
    <w:basedOn w:val="Normal"/>
    <w:link w:val="PresentedByChar"/>
    <w:rsid w:val="00EE5A8C"/>
    <w:pPr>
      <w:tabs>
        <w:tab w:val="left" w:pos="360"/>
        <w:tab w:val="left" w:pos="720"/>
        <w:tab w:val="left" w:pos="1080"/>
        <w:tab w:val="left" w:pos="1440"/>
      </w:tabs>
      <w:spacing w:after="240"/>
    </w:pPr>
    <w:rPr>
      <w:rFonts w:ascii="Palatino Linotype" w:eastAsiaTheme="minorHAnsi" w:hAnsi="Palatino Linotype" w:cstheme="minorBidi"/>
      <w:color w:val="6F6754"/>
      <w:szCs w:val="22"/>
    </w:rPr>
  </w:style>
  <w:style w:type="character" w:customStyle="1" w:styleId="FooterChar">
    <w:name w:val="Footer Char"/>
    <w:basedOn w:val="DefaultParagraphFont"/>
    <w:link w:val="Footer"/>
    <w:rsid w:val="00EE5A8C"/>
    <w:rPr>
      <w:rFonts w:ascii="Arial" w:hAnsi="Arial"/>
      <w:color w:val="000000"/>
      <w:szCs w:val="24"/>
    </w:rPr>
  </w:style>
  <w:style w:type="paragraph" w:styleId="Revision">
    <w:name w:val="Revision"/>
    <w:hidden/>
    <w:uiPriority w:val="99"/>
    <w:semiHidden/>
    <w:rsid w:val="00736DFC"/>
    <w:rPr>
      <w:rFonts w:ascii="Arial" w:hAnsi="Arial"/>
      <w:szCs w:val="24"/>
    </w:rPr>
  </w:style>
  <w:style w:type="paragraph" w:styleId="ListParagraph">
    <w:name w:val="List Paragraph"/>
    <w:basedOn w:val="Normal"/>
    <w:link w:val="ListParagraphChar"/>
    <w:uiPriority w:val="34"/>
    <w:qFormat/>
    <w:rsid w:val="00114D80"/>
    <w:pPr>
      <w:ind w:left="720"/>
    </w:pPr>
    <w:rPr>
      <w:rFonts w:eastAsiaTheme="minorHAnsi" w:cstheme="minorBidi"/>
      <w:color w:val="auto"/>
      <w:szCs w:val="22"/>
    </w:rPr>
  </w:style>
  <w:style w:type="character" w:styleId="PlaceholderText">
    <w:name w:val="Placeholder Text"/>
    <w:basedOn w:val="DefaultParagraphFont"/>
    <w:uiPriority w:val="99"/>
    <w:semiHidden/>
    <w:rsid w:val="006C2A20"/>
    <w:rPr>
      <w:color w:val="808080"/>
    </w:rPr>
  </w:style>
  <w:style w:type="table" w:customStyle="1" w:styleId="EnergyTable">
    <w:name w:val="Energy Table"/>
    <w:basedOn w:val="TableNormal"/>
    <w:uiPriority w:val="99"/>
    <w:qFormat/>
    <w:rsid w:val="00114D80"/>
    <w:pPr>
      <w:spacing w:before="40" w:after="40"/>
      <w:jc w:val="center"/>
    </w:pPr>
    <w:rPr>
      <w:rFonts w:ascii="Arial" w:hAnsi="Arial"/>
    </w:rPr>
    <w:tblPr>
      <w:tblStyleRowBandSize w:val="1"/>
      <w:jc w:val="center"/>
      <w:tblBorders>
        <w:bottom w:val="single" w:sz="8" w:space="0" w:color="53575A" w:themeColor="text2"/>
        <w:insideH w:val="single" w:sz="4" w:space="0" w:color="DB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53575A"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GraphFootnote">
    <w:name w:val="Graph Footnote"/>
    <w:basedOn w:val="Normal"/>
    <w:next w:val="Normal"/>
    <w:uiPriority w:val="99"/>
    <w:qFormat/>
    <w:rsid w:val="00114D80"/>
    <w:rPr>
      <w:rFonts w:ascii="Arial Narrow" w:hAnsi="Arial Narrow" w:cstheme="minorBidi"/>
      <w:color w:val="auto"/>
    </w:rPr>
  </w:style>
  <w:style w:type="character" w:customStyle="1" w:styleId="Heading1Char">
    <w:name w:val="Heading 1 Char"/>
    <w:basedOn w:val="DefaultParagraphFont"/>
    <w:link w:val="Heading1"/>
    <w:rsid w:val="00114D80"/>
    <w:rPr>
      <w:rFonts w:ascii="Arial" w:eastAsiaTheme="minorHAnsi" w:hAnsi="Arial" w:cs="Arial"/>
      <w:b/>
      <w:bCs/>
      <w:smallCaps/>
      <w:color w:val="93D500" w:themeColor="accent1"/>
      <w:kern w:val="28"/>
      <w:position w:val="6"/>
      <w:sz w:val="28"/>
      <w:szCs w:val="26"/>
    </w:rPr>
  </w:style>
  <w:style w:type="character" w:customStyle="1" w:styleId="Heading2Char">
    <w:name w:val="Heading 2 Char"/>
    <w:basedOn w:val="DefaultParagraphFont"/>
    <w:link w:val="Heading2"/>
    <w:uiPriority w:val="2"/>
    <w:rsid w:val="00114D80"/>
    <w:rPr>
      <w:rFonts w:ascii="Arial" w:eastAsiaTheme="minorHAnsi" w:hAnsi="Arial" w:cs="Arial"/>
      <w:b/>
      <w:bCs/>
      <w:iCs/>
      <w:color w:val="0093C9"/>
      <w:sz w:val="26"/>
      <w:szCs w:val="28"/>
    </w:rPr>
  </w:style>
  <w:style w:type="character" w:customStyle="1" w:styleId="Heading3Char">
    <w:name w:val="Heading 3 Char"/>
    <w:basedOn w:val="DefaultParagraphFont"/>
    <w:link w:val="Heading3"/>
    <w:uiPriority w:val="2"/>
    <w:rsid w:val="00114D80"/>
    <w:rPr>
      <w:rFonts w:ascii="Arial" w:eastAsiaTheme="minorHAnsi" w:hAnsi="Arial" w:cs="Arial"/>
      <w:b/>
      <w:bCs/>
      <w:color w:val="863399" w:themeColor="accent5"/>
      <w:szCs w:val="26"/>
    </w:rPr>
  </w:style>
  <w:style w:type="character" w:customStyle="1" w:styleId="ListParagraphChar">
    <w:name w:val="List Paragraph Char"/>
    <w:basedOn w:val="DefaultParagraphFont"/>
    <w:link w:val="ListParagraph"/>
    <w:uiPriority w:val="34"/>
    <w:locked/>
    <w:rsid w:val="00114D80"/>
    <w:rPr>
      <w:rFonts w:ascii="Arial" w:eastAsiaTheme="minorHAnsi" w:hAnsi="Arial" w:cstheme="minorBidi"/>
      <w:szCs w:val="22"/>
    </w:rPr>
  </w:style>
  <w:style w:type="paragraph" w:customStyle="1" w:styleId="Source">
    <w:name w:val="Source"/>
    <w:basedOn w:val="Normal"/>
    <w:link w:val="SourceChar"/>
    <w:qFormat/>
    <w:rsid w:val="00114D80"/>
    <w:rPr>
      <w:rFonts w:eastAsiaTheme="minorHAnsi" w:cstheme="minorBidi"/>
      <w:i/>
      <w:color w:val="auto"/>
      <w:sz w:val="16"/>
      <w:szCs w:val="20"/>
    </w:rPr>
  </w:style>
  <w:style w:type="character" w:customStyle="1" w:styleId="SourceChar">
    <w:name w:val="Source Char"/>
    <w:basedOn w:val="DefaultParagraphFont"/>
    <w:link w:val="Source"/>
    <w:rsid w:val="00114D80"/>
    <w:rPr>
      <w:rFonts w:ascii="Arial" w:eastAsiaTheme="minorHAnsi" w:hAnsi="Arial" w:cstheme="minorBidi"/>
      <w:i/>
      <w:sz w:val="16"/>
    </w:rPr>
  </w:style>
  <w:style w:type="paragraph" w:customStyle="1" w:styleId="StyleMemoFrameLeft-018cm">
    <w:name w:val="Style Memo Frame + Left:  -0.18 cm"/>
    <w:basedOn w:val="MemoFrame"/>
    <w:rsid w:val="00114D80"/>
    <w:pPr>
      <w:ind w:left="-101"/>
    </w:pPr>
    <w:rPr>
      <w:bCs/>
      <w:szCs w:val="20"/>
    </w:rPr>
  </w:style>
  <w:style w:type="paragraph" w:customStyle="1" w:styleId="Default">
    <w:name w:val="Default"/>
    <w:rsid w:val="0050283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0044">
      <w:bodyDiv w:val="1"/>
      <w:marLeft w:val="0"/>
      <w:marRight w:val="0"/>
      <w:marTop w:val="0"/>
      <w:marBottom w:val="0"/>
      <w:divBdr>
        <w:top w:val="none" w:sz="0" w:space="0" w:color="auto"/>
        <w:left w:val="none" w:sz="0" w:space="0" w:color="auto"/>
        <w:bottom w:val="none" w:sz="0" w:space="0" w:color="auto"/>
        <w:right w:val="none" w:sz="0" w:space="0" w:color="auto"/>
      </w:divBdr>
    </w:div>
    <w:div w:id="860556074">
      <w:bodyDiv w:val="1"/>
      <w:marLeft w:val="0"/>
      <w:marRight w:val="0"/>
      <w:marTop w:val="0"/>
      <w:marBottom w:val="0"/>
      <w:divBdr>
        <w:top w:val="none" w:sz="0" w:space="0" w:color="auto"/>
        <w:left w:val="none" w:sz="0" w:space="0" w:color="auto"/>
        <w:bottom w:val="none" w:sz="0" w:space="0" w:color="auto"/>
        <w:right w:val="none" w:sz="0" w:space="0" w:color="auto"/>
      </w:divBdr>
    </w:div>
    <w:div w:id="878590523">
      <w:bodyDiv w:val="1"/>
      <w:marLeft w:val="0"/>
      <w:marRight w:val="0"/>
      <w:marTop w:val="0"/>
      <w:marBottom w:val="0"/>
      <w:divBdr>
        <w:top w:val="none" w:sz="0" w:space="0" w:color="auto"/>
        <w:left w:val="none" w:sz="0" w:space="0" w:color="auto"/>
        <w:bottom w:val="none" w:sz="0" w:space="0" w:color="auto"/>
        <w:right w:val="none" w:sz="0" w:space="0" w:color="auto"/>
      </w:divBdr>
    </w:div>
    <w:div w:id="962999331">
      <w:bodyDiv w:val="1"/>
      <w:marLeft w:val="0"/>
      <w:marRight w:val="0"/>
      <w:marTop w:val="0"/>
      <w:marBottom w:val="0"/>
      <w:divBdr>
        <w:top w:val="none" w:sz="0" w:space="0" w:color="auto"/>
        <w:left w:val="none" w:sz="0" w:space="0" w:color="auto"/>
        <w:bottom w:val="none" w:sz="0" w:space="0" w:color="auto"/>
        <w:right w:val="none" w:sz="0" w:space="0" w:color="auto"/>
      </w:divBdr>
    </w:div>
    <w:div w:id="1033846124">
      <w:bodyDiv w:val="1"/>
      <w:marLeft w:val="0"/>
      <w:marRight w:val="0"/>
      <w:marTop w:val="0"/>
      <w:marBottom w:val="0"/>
      <w:divBdr>
        <w:top w:val="none" w:sz="0" w:space="0" w:color="auto"/>
        <w:left w:val="none" w:sz="0" w:space="0" w:color="auto"/>
        <w:bottom w:val="none" w:sz="0" w:space="0" w:color="auto"/>
        <w:right w:val="none" w:sz="0" w:space="0" w:color="auto"/>
      </w:divBdr>
    </w:div>
    <w:div w:id="1311520807">
      <w:bodyDiv w:val="1"/>
      <w:marLeft w:val="0"/>
      <w:marRight w:val="0"/>
      <w:marTop w:val="0"/>
      <w:marBottom w:val="0"/>
      <w:divBdr>
        <w:top w:val="none" w:sz="0" w:space="0" w:color="auto"/>
        <w:left w:val="none" w:sz="0" w:space="0" w:color="auto"/>
        <w:bottom w:val="none" w:sz="0" w:space="0" w:color="auto"/>
        <w:right w:val="none" w:sz="0" w:space="0" w:color="auto"/>
      </w:divBdr>
    </w:div>
    <w:div w:id="1459301850">
      <w:bodyDiv w:val="1"/>
      <w:marLeft w:val="0"/>
      <w:marRight w:val="0"/>
      <w:marTop w:val="0"/>
      <w:marBottom w:val="0"/>
      <w:divBdr>
        <w:top w:val="none" w:sz="0" w:space="0" w:color="auto"/>
        <w:left w:val="none" w:sz="0" w:space="0" w:color="auto"/>
        <w:bottom w:val="none" w:sz="0" w:space="0" w:color="auto"/>
        <w:right w:val="none" w:sz="0" w:space="0" w:color="auto"/>
      </w:divBdr>
    </w:div>
    <w:div w:id="16125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Navigant Color Palette_Word">
  <a:themeElements>
    <a:clrScheme name="Navigant-new">
      <a:dk1>
        <a:srgbClr val="53575A"/>
      </a:dk1>
      <a:lt1>
        <a:srgbClr val="FFFFFF"/>
      </a:lt1>
      <a:dk2>
        <a:srgbClr val="53575A"/>
      </a:dk2>
      <a:lt2>
        <a:srgbClr val="FFFFFF"/>
      </a:lt2>
      <a:accent1>
        <a:srgbClr val="93D500"/>
      </a:accent1>
      <a:accent2>
        <a:srgbClr val="638C1C"/>
      </a:accent2>
      <a:accent3>
        <a:srgbClr val="53575A"/>
      </a:accent3>
      <a:accent4>
        <a:srgbClr val="095540"/>
      </a:accent4>
      <a:accent5>
        <a:srgbClr val="863399"/>
      </a:accent5>
      <a:accent6>
        <a:srgbClr val="0069A7"/>
      </a:accent6>
      <a:hlink>
        <a:srgbClr val="93D500"/>
      </a:hlink>
      <a:folHlink>
        <a:srgbClr val="638C1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A3728-398E-42A1-A437-BB3CEDF0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1788</Words>
  <Characters>10432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Links>
    <vt:vector size="6" baseType="variant">
      <vt:variant>
        <vt:i4>4522068</vt:i4>
      </vt:variant>
      <vt:variant>
        <vt:i4>-1</vt:i4>
      </vt:variant>
      <vt:variant>
        <vt:i4>2076</vt:i4>
      </vt:variant>
      <vt:variant>
        <vt:i4>1</vt:i4>
      </vt:variant>
      <vt:variant>
        <vt:lpwstr>M_logo_cmyk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Higgins(Migrated)</dc:creator>
  <cp:keywords/>
  <dc:description/>
  <cp:lastModifiedBy>Celia Johnson</cp:lastModifiedBy>
  <cp:revision>2</cp:revision>
  <cp:lastPrinted>2021-04-21T21:23:00Z</cp:lastPrinted>
  <dcterms:created xsi:type="dcterms:W3CDTF">2021-04-23T20:54:00Z</dcterms:created>
  <dcterms:modified xsi:type="dcterms:W3CDTF">2021-04-23T20:54:00Z</dcterms:modified>
  <cp:contentStatus/>
</cp:coreProperties>
</file>