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CD3CAA" w:rsidRDefault="00CD3CAA" w:rsidP="00C86D45"/>
    <w:p w14:paraId="02F03F72" w14:textId="77777777" w:rsidR="00CD3CAA" w:rsidRDefault="00CD3CAA" w:rsidP="00C86D45">
      <w:pPr>
        <w:pStyle w:val="Title"/>
      </w:pPr>
    </w:p>
    <w:p w14:paraId="1D2C8FD3" w14:textId="1AF7620A" w:rsidR="00CD3CAA" w:rsidRPr="00190360" w:rsidRDefault="00970BA5" w:rsidP="00C86D45">
      <w:pPr>
        <w:pStyle w:val="Title"/>
      </w:pPr>
      <w:bookmarkStart w:id="0" w:name="Title_Program_Name"/>
      <w:r w:rsidRPr="00B5662A">
        <w:t>Home Energy Reports</w:t>
      </w:r>
      <w:bookmarkEnd w:id="0"/>
      <w:r>
        <w:t xml:space="preserve"> </w:t>
      </w:r>
      <w:r w:rsidDel="00B77FA9">
        <w:t xml:space="preserve">Program </w:t>
      </w:r>
      <w:r>
        <w:t>Impact Evaluation Report</w:t>
      </w:r>
    </w:p>
    <w:p w14:paraId="0506F919" w14:textId="77777777" w:rsidR="00CD3CAA" w:rsidRDefault="00CD3CAA" w:rsidP="00C86D45"/>
    <w:p w14:paraId="3A773FF2" w14:textId="291BADC3" w:rsidR="00CD3CAA" w:rsidRPr="00903EB1" w:rsidRDefault="00970BA5" w:rsidP="00C86D45">
      <w:pPr>
        <w:pStyle w:val="Subtitle"/>
      </w:pPr>
      <w:r w:rsidRPr="00903EB1">
        <w:t>Energy Efficiency Plan: Program Year 2025</w:t>
      </w:r>
    </w:p>
    <w:p w14:paraId="52F05965" w14:textId="4967A2B7" w:rsidR="00CD3CAA" w:rsidRPr="00903EB1" w:rsidRDefault="00970BA5" w:rsidP="00C86D45">
      <w:pPr>
        <w:pStyle w:val="Subtitle"/>
      </w:pPr>
      <w:r w:rsidRPr="00903EB1">
        <w:t xml:space="preserve">(01/01/2025-12/31/2025) </w:t>
      </w:r>
    </w:p>
    <w:p w14:paraId="2E775BE8" w14:textId="77777777" w:rsidR="00CD3CAA" w:rsidRPr="005B6988" w:rsidRDefault="00CD3CAA" w:rsidP="00C86D45"/>
    <w:p w14:paraId="4BCD3333" w14:textId="77777777" w:rsidR="00CD3CAA" w:rsidRPr="0056335A" w:rsidRDefault="00970BA5">
      <w:pPr>
        <w:rPr>
          <w:rStyle w:val="Strong"/>
          <w:sz w:val="28"/>
          <w:szCs w:val="28"/>
        </w:rPr>
      </w:pPr>
      <w:r w:rsidRPr="0056335A">
        <w:rPr>
          <w:rStyle w:val="Strong"/>
          <w:sz w:val="28"/>
          <w:szCs w:val="28"/>
        </w:rPr>
        <w:t>Prepared for:</w:t>
      </w:r>
    </w:p>
    <w:p w14:paraId="1ED5FE83" w14:textId="2B481AA1" w:rsidR="00CD3CAA" w:rsidRPr="0056335A" w:rsidRDefault="00970BA5">
      <w:pPr>
        <w:rPr>
          <w:rStyle w:val="Strong"/>
          <w:sz w:val="28"/>
          <w:szCs w:val="28"/>
        </w:rPr>
      </w:pPr>
      <w:r>
        <w:rPr>
          <w:rStyle w:val="Strong"/>
          <w:sz w:val="28"/>
          <w:szCs w:val="28"/>
        </w:rPr>
        <w:t>Nicor Gas Company</w:t>
      </w:r>
    </w:p>
    <w:p w14:paraId="78219F65" w14:textId="13725934" w:rsidR="00CD3CAA" w:rsidRPr="0056335A" w:rsidRDefault="00970BA5">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CD3CAA" w:rsidRPr="0056335A" w:rsidRDefault="00970BA5">
      <w:pPr>
        <w:rPr>
          <w:rStyle w:val="Strong"/>
          <w:sz w:val="28"/>
          <w:szCs w:val="28"/>
        </w:rPr>
      </w:pPr>
      <w:r w:rsidRPr="0056335A">
        <w:rPr>
          <w:rStyle w:val="Strong"/>
          <w:sz w:val="28"/>
          <w:szCs w:val="28"/>
        </w:rPr>
        <w:t>DRAFT</w:t>
      </w:r>
    </w:p>
    <w:p w14:paraId="21376970" w14:textId="3D21E9A5" w:rsidR="00CD3CAA" w:rsidRPr="0056335A" w:rsidRDefault="0066457F">
      <w:pPr>
        <w:rPr>
          <w:rStyle w:val="Strong"/>
          <w:sz w:val="28"/>
          <w:szCs w:val="28"/>
        </w:rPr>
      </w:pPr>
      <w:r>
        <w:rPr>
          <w:rStyle w:val="Strong"/>
          <w:sz w:val="28"/>
          <w:szCs w:val="28"/>
        </w:rPr>
        <w:t>April 17</w:t>
      </w:r>
      <w:r w:rsidRPr="00BD0E01">
        <w:rPr>
          <w:rStyle w:val="Strong"/>
          <w:sz w:val="28"/>
          <w:szCs w:val="28"/>
        </w:rPr>
        <w:t xml:space="preserve">, </w:t>
      </w:r>
      <w:r>
        <w:rPr>
          <w:rStyle w:val="Strong"/>
          <w:sz w:val="28"/>
          <w:szCs w:val="28"/>
        </w:rPr>
        <w:t>2026</w:t>
      </w:r>
    </w:p>
    <w:p w14:paraId="59E60A6D" w14:textId="77777777" w:rsidR="00CD3CAA" w:rsidRDefault="00CD3CAA"/>
    <w:p w14:paraId="16409EEC" w14:textId="1B81EC12" w:rsidR="00CD3CAA" w:rsidRPr="0010260D" w:rsidRDefault="00970BA5" w:rsidP="00C86D45">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CD3CAA" w:rsidRPr="0010260D" w:rsidRDefault="00CD3CAA" w:rsidP="00C86D45">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tblGrid>
      <w:tr w:rsidR="0066457F" w:rsidRPr="0010260D" w14:paraId="4155AFC7" w14:textId="77777777" w:rsidTr="00C86D45">
        <w:trPr>
          <w:trHeight w:val="1134"/>
        </w:trPr>
        <w:tc>
          <w:tcPr>
            <w:tcW w:w="2337" w:type="dxa"/>
          </w:tcPr>
          <w:p w14:paraId="142E74E2" w14:textId="7EAFC297" w:rsidR="0066457F" w:rsidRPr="0066457F" w:rsidRDefault="0066457F" w:rsidP="00C86D45">
            <w:pPr>
              <w:pStyle w:val="NoSpacing"/>
              <w:rPr>
                <w:b/>
                <w:bCs/>
                <w:sz w:val="22"/>
                <w:szCs w:val="22"/>
              </w:rPr>
            </w:pPr>
            <w:r w:rsidRPr="0066457F">
              <w:rPr>
                <w:b/>
                <w:bCs/>
                <w:sz w:val="22"/>
                <w:szCs w:val="22"/>
              </w:rPr>
              <w:t>Gilbert Wong</w:t>
            </w:r>
          </w:p>
          <w:p w14:paraId="54F55874" w14:textId="72828517" w:rsidR="0066457F" w:rsidRPr="0066457F" w:rsidRDefault="0066457F" w:rsidP="00C86D45">
            <w:pPr>
              <w:pStyle w:val="NoSpacing"/>
              <w:rPr>
                <w:sz w:val="22"/>
                <w:szCs w:val="22"/>
              </w:rPr>
            </w:pPr>
            <w:r w:rsidRPr="0066457F">
              <w:rPr>
                <w:sz w:val="22"/>
                <w:szCs w:val="22"/>
              </w:rPr>
              <w:t>Guidehouse</w:t>
            </w:r>
          </w:p>
        </w:tc>
        <w:tc>
          <w:tcPr>
            <w:tcW w:w="2337" w:type="dxa"/>
          </w:tcPr>
          <w:p w14:paraId="00F0A264" w14:textId="46784FEA" w:rsidR="0066457F" w:rsidRPr="0066457F" w:rsidRDefault="0066457F" w:rsidP="00C86D45">
            <w:pPr>
              <w:pStyle w:val="NoSpacing"/>
              <w:rPr>
                <w:b/>
                <w:bCs/>
                <w:sz w:val="22"/>
                <w:szCs w:val="22"/>
              </w:rPr>
            </w:pPr>
            <w:r w:rsidRPr="0066457F">
              <w:rPr>
                <w:b/>
                <w:bCs/>
                <w:sz w:val="22"/>
                <w:szCs w:val="22"/>
              </w:rPr>
              <w:t>Dustin Kunkel</w:t>
            </w:r>
          </w:p>
          <w:p w14:paraId="634F2B36" w14:textId="4493A968" w:rsidR="0066457F" w:rsidRPr="0066457F" w:rsidRDefault="0066457F" w:rsidP="00C86D45">
            <w:pPr>
              <w:pStyle w:val="NoSpacing"/>
              <w:rPr>
                <w:sz w:val="22"/>
                <w:szCs w:val="22"/>
              </w:rPr>
            </w:pPr>
            <w:r w:rsidRPr="0066457F">
              <w:rPr>
                <w:sz w:val="22"/>
                <w:szCs w:val="22"/>
              </w:rPr>
              <w:t>Guidehouse</w:t>
            </w:r>
          </w:p>
        </w:tc>
        <w:tc>
          <w:tcPr>
            <w:tcW w:w="2338" w:type="dxa"/>
          </w:tcPr>
          <w:p w14:paraId="1F7E854F" w14:textId="5FB1AF64" w:rsidR="0066457F" w:rsidRPr="0066457F" w:rsidRDefault="0066457F" w:rsidP="00C86D45">
            <w:pPr>
              <w:pStyle w:val="NoSpacing"/>
              <w:rPr>
                <w:b/>
                <w:bCs/>
                <w:sz w:val="22"/>
                <w:szCs w:val="22"/>
              </w:rPr>
            </w:pPr>
            <w:r w:rsidRPr="0066457F">
              <w:rPr>
                <w:b/>
                <w:bCs/>
                <w:sz w:val="22"/>
                <w:szCs w:val="22"/>
              </w:rPr>
              <w:t>Carly Olig</w:t>
            </w:r>
          </w:p>
          <w:p w14:paraId="6F39A4FC" w14:textId="44F83DB0" w:rsidR="0066457F" w:rsidRPr="0066457F" w:rsidRDefault="0066457F" w:rsidP="00C86D45">
            <w:pPr>
              <w:pStyle w:val="NoSpacing"/>
              <w:rPr>
                <w:sz w:val="22"/>
                <w:szCs w:val="22"/>
              </w:rPr>
            </w:pPr>
            <w:r w:rsidRPr="0066457F">
              <w:rPr>
                <w:sz w:val="22"/>
                <w:szCs w:val="22"/>
              </w:rPr>
              <w:t>Guidehouse</w:t>
            </w:r>
          </w:p>
        </w:tc>
      </w:tr>
      <w:tr w:rsidR="0066457F" w:rsidRPr="0010260D" w14:paraId="73DF88AA" w14:textId="77777777" w:rsidTr="00C86D45">
        <w:trPr>
          <w:trHeight w:val="1134"/>
        </w:trPr>
        <w:tc>
          <w:tcPr>
            <w:tcW w:w="2337" w:type="dxa"/>
          </w:tcPr>
          <w:p w14:paraId="7E2D130D" w14:textId="64B22F99" w:rsidR="0066457F" w:rsidRPr="00187113" w:rsidRDefault="0066457F" w:rsidP="00C86D45">
            <w:pPr>
              <w:pStyle w:val="NoSpacing"/>
              <w:jc w:val="center"/>
              <w:rPr>
                <w:b/>
                <w:bCs/>
                <w:sz w:val="22"/>
                <w:szCs w:val="22"/>
                <w:highlight w:val="yellow"/>
              </w:rPr>
            </w:pPr>
          </w:p>
        </w:tc>
        <w:tc>
          <w:tcPr>
            <w:tcW w:w="2337" w:type="dxa"/>
          </w:tcPr>
          <w:p w14:paraId="2240E35E" w14:textId="23D46EE0" w:rsidR="0066457F" w:rsidRPr="00187113" w:rsidRDefault="0066457F" w:rsidP="00C86D45">
            <w:pPr>
              <w:pStyle w:val="NoSpacing"/>
              <w:jc w:val="center"/>
              <w:rPr>
                <w:b/>
                <w:bCs/>
                <w:sz w:val="22"/>
                <w:szCs w:val="22"/>
                <w:highlight w:val="yellow"/>
              </w:rPr>
            </w:pPr>
          </w:p>
        </w:tc>
        <w:tc>
          <w:tcPr>
            <w:tcW w:w="2338" w:type="dxa"/>
          </w:tcPr>
          <w:p w14:paraId="2E5F5A8D" w14:textId="27AE50E2" w:rsidR="0066457F" w:rsidRPr="00187113" w:rsidRDefault="0066457F" w:rsidP="00C86D45">
            <w:pPr>
              <w:pStyle w:val="NoSpacing"/>
              <w:jc w:val="center"/>
              <w:rPr>
                <w:b/>
                <w:bCs/>
                <w:sz w:val="22"/>
                <w:szCs w:val="22"/>
                <w:highlight w:val="yellow"/>
              </w:rPr>
            </w:pPr>
          </w:p>
        </w:tc>
      </w:tr>
      <w:tr w:rsidR="0066457F" w:rsidRPr="0010260D" w14:paraId="432CCF57" w14:textId="77777777" w:rsidTr="00C86D45">
        <w:trPr>
          <w:trHeight w:val="1134"/>
        </w:trPr>
        <w:tc>
          <w:tcPr>
            <w:tcW w:w="2337" w:type="dxa"/>
          </w:tcPr>
          <w:p w14:paraId="43372510" w14:textId="0B735B2A" w:rsidR="0066457F" w:rsidRPr="00FD0661" w:rsidRDefault="0066457F" w:rsidP="00C86D45">
            <w:pPr>
              <w:pStyle w:val="NoSpacing"/>
              <w:jc w:val="center"/>
              <w:rPr>
                <w:rFonts w:cs="Arial"/>
                <w:noProof/>
              </w:rPr>
            </w:pPr>
          </w:p>
        </w:tc>
        <w:tc>
          <w:tcPr>
            <w:tcW w:w="2337" w:type="dxa"/>
          </w:tcPr>
          <w:p w14:paraId="3595A7F6" w14:textId="77777777" w:rsidR="0066457F" w:rsidRPr="00FD0661" w:rsidRDefault="0066457F" w:rsidP="00C86D45">
            <w:pPr>
              <w:pStyle w:val="NoSpacing"/>
              <w:jc w:val="center"/>
              <w:rPr>
                <w:rFonts w:cs="Arial"/>
                <w:noProof/>
              </w:rPr>
            </w:pPr>
          </w:p>
        </w:tc>
        <w:tc>
          <w:tcPr>
            <w:tcW w:w="2338" w:type="dxa"/>
          </w:tcPr>
          <w:p w14:paraId="49595757" w14:textId="77777777" w:rsidR="0066457F" w:rsidRPr="00FD0661" w:rsidRDefault="0066457F" w:rsidP="00C86D45">
            <w:pPr>
              <w:pStyle w:val="NoSpacing"/>
              <w:rPr>
                <w:rFonts w:cs="Arial"/>
                <w:noProof/>
              </w:rPr>
            </w:pPr>
          </w:p>
        </w:tc>
      </w:tr>
    </w:tbl>
    <w:p w14:paraId="25F39255" w14:textId="77777777" w:rsidR="00CD3CAA" w:rsidRDefault="00970BA5">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C86D45" w:rsidRPr="009B781E" w14:paraId="42306BBE" w14:textId="77777777" w:rsidTr="00C86D45">
        <w:tc>
          <w:tcPr>
            <w:tcW w:w="386" w:type="dxa"/>
          </w:tcPr>
          <w:p w14:paraId="631457BC" w14:textId="1D1767BD" w:rsidR="00CD3CAA" w:rsidRPr="009B781E" w:rsidRDefault="00CD3CAA" w:rsidP="00C86D45">
            <w:pPr>
              <w:pStyle w:val="NoSpacing"/>
              <w:rPr>
                <w:i/>
                <w:iCs/>
                <w:noProof/>
              </w:rPr>
            </w:pPr>
          </w:p>
        </w:tc>
        <w:tc>
          <w:tcPr>
            <w:tcW w:w="1870" w:type="dxa"/>
          </w:tcPr>
          <w:p w14:paraId="3D34E61E" w14:textId="509A6C3B" w:rsidR="00CD3CAA" w:rsidRPr="009B781E" w:rsidRDefault="00CD3CAA" w:rsidP="00C86D45">
            <w:pPr>
              <w:pStyle w:val="NoSpacing"/>
              <w:rPr>
                <w:i/>
                <w:iCs/>
              </w:rPr>
            </w:pPr>
          </w:p>
        </w:tc>
        <w:tc>
          <w:tcPr>
            <w:tcW w:w="1870" w:type="dxa"/>
          </w:tcPr>
          <w:p w14:paraId="316CD295" w14:textId="118C5B62" w:rsidR="00CD3CAA" w:rsidRPr="009B781E" w:rsidRDefault="00CD3CAA" w:rsidP="00C86D45">
            <w:pPr>
              <w:pStyle w:val="NoSpacing"/>
              <w:rPr>
                <w:i/>
                <w:iCs/>
              </w:rPr>
            </w:pPr>
          </w:p>
        </w:tc>
        <w:tc>
          <w:tcPr>
            <w:tcW w:w="1870" w:type="dxa"/>
          </w:tcPr>
          <w:p w14:paraId="36D7751F" w14:textId="55394802" w:rsidR="00CD3CAA" w:rsidRPr="009B781E" w:rsidRDefault="00CD3CAA" w:rsidP="00C86D45">
            <w:pPr>
              <w:pStyle w:val="NoSpacing"/>
              <w:rPr>
                <w:i/>
                <w:iCs/>
              </w:rPr>
            </w:pPr>
          </w:p>
        </w:tc>
        <w:tc>
          <w:tcPr>
            <w:tcW w:w="1870" w:type="dxa"/>
          </w:tcPr>
          <w:p w14:paraId="02B4FBAF" w14:textId="424B1389" w:rsidR="00CD3CAA" w:rsidRPr="009B781E" w:rsidRDefault="00CD3CAA" w:rsidP="00C86D45">
            <w:pPr>
              <w:pStyle w:val="NoSpacing"/>
              <w:rPr>
                <w:i/>
                <w:iCs/>
              </w:rPr>
            </w:pPr>
          </w:p>
        </w:tc>
        <w:tc>
          <w:tcPr>
            <w:tcW w:w="1870" w:type="dxa"/>
          </w:tcPr>
          <w:p w14:paraId="74281EBF" w14:textId="1159EFA4" w:rsidR="00CD3CAA" w:rsidRPr="009B781E" w:rsidRDefault="00CD3CAA" w:rsidP="00C86D45">
            <w:pPr>
              <w:pStyle w:val="NoSpacing"/>
              <w:rPr>
                <w:i/>
                <w:iCs/>
              </w:rPr>
            </w:pPr>
          </w:p>
        </w:tc>
      </w:tr>
    </w:tbl>
    <w:p w14:paraId="5496EE32" w14:textId="77777777" w:rsidR="00CD3CAA" w:rsidRPr="00564AAD" w:rsidRDefault="00970BA5" w:rsidP="00C86D45">
      <w:pPr>
        <w:pStyle w:val="NoSpacing"/>
        <w:rPr>
          <w:b/>
          <w:bCs/>
        </w:rPr>
      </w:pPr>
      <w:r w:rsidRPr="00564AAD">
        <w:rPr>
          <w:b/>
          <w:bCs/>
        </w:rPr>
        <w:t>Submitted to:</w:t>
      </w:r>
    </w:p>
    <w:p w14:paraId="4D4E6119" w14:textId="369C5E75" w:rsidR="00CD3CAA" w:rsidRDefault="00970BA5" w:rsidP="00C86D45">
      <w:pPr>
        <w:pStyle w:val="NoSpacing"/>
      </w:pPr>
      <w:r>
        <w:t>Nicor Gas Company</w:t>
      </w:r>
    </w:p>
    <w:p w14:paraId="6CA78075" w14:textId="405DCF07" w:rsidR="00CD3CAA" w:rsidRDefault="00970BA5" w:rsidP="00C86D45">
      <w:pPr>
        <w:pStyle w:val="NoSpacing"/>
      </w:pPr>
      <w:r>
        <w:t>1844 Ferry Road</w:t>
      </w:r>
    </w:p>
    <w:p w14:paraId="395C9214" w14:textId="4C987E15" w:rsidR="00CD3CAA" w:rsidRPr="00564AAD" w:rsidRDefault="00970BA5" w:rsidP="00C86D45">
      <w:pPr>
        <w:pStyle w:val="NoSpacing"/>
      </w:pPr>
      <w:r>
        <w:t>Naperville, IL 60563</w:t>
      </w:r>
    </w:p>
    <w:p w14:paraId="52EFC8CF" w14:textId="77777777" w:rsidR="00CD3CAA" w:rsidRPr="00564AAD" w:rsidRDefault="00CD3CAA" w:rsidP="00C86D45">
      <w:pPr>
        <w:pStyle w:val="NoSpacing"/>
      </w:pPr>
    </w:p>
    <w:p w14:paraId="53F7870A" w14:textId="77777777" w:rsidR="00CD3CAA" w:rsidRPr="00564AAD" w:rsidRDefault="00970BA5" w:rsidP="00C86D45">
      <w:pPr>
        <w:pStyle w:val="NoSpacing"/>
        <w:rPr>
          <w:b/>
          <w:bCs/>
        </w:rPr>
      </w:pPr>
      <w:r w:rsidRPr="00564AAD">
        <w:rPr>
          <w:b/>
          <w:bCs/>
        </w:rPr>
        <w:t>Submitted by:</w:t>
      </w:r>
    </w:p>
    <w:p w14:paraId="5A045C4E" w14:textId="77777777" w:rsidR="00CD3CAA" w:rsidRPr="00564AAD" w:rsidRDefault="00970BA5" w:rsidP="00C86D45">
      <w:pPr>
        <w:pStyle w:val="NoSpacing"/>
      </w:pPr>
      <w:r w:rsidRPr="00564AAD">
        <w:t>Guidehouse Inc.</w:t>
      </w:r>
    </w:p>
    <w:p w14:paraId="6542356B" w14:textId="77777777" w:rsidR="00CD3CAA" w:rsidRDefault="00970BA5" w:rsidP="00C86D45">
      <w:pPr>
        <w:pStyle w:val="NoSpacing"/>
      </w:pPr>
      <w:r>
        <w:t>167 N. Green Street</w:t>
      </w:r>
    </w:p>
    <w:p w14:paraId="4802A659" w14:textId="3C640C8C" w:rsidR="00CD3CAA" w:rsidRDefault="00970BA5" w:rsidP="00C86D45">
      <w:pPr>
        <w:pStyle w:val="NoSpacing"/>
      </w:pPr>
      <w:r>
        <w:t>12th Floor</w:t>
      </w:r>
    </w:p>
    <w:p w14:paraId="5CD2CC66" w14:textId="28B47F5F" w:rsidR="00CD3CAA" w:rsidRPr="00564AAD" w:rsidRDefault="00970BA5" w:rsidP="00C86D45">
      <w:pPr>
        <w:pStyle w:val="NoSpacing"/>
      </w:pPr>
      <w:r>
        <w:t>Chicago, IL 60607</w:t>
      </w:r>
    </w:p>
    <w:p w14:paraId="1AFE93DD" w14:textId="77777777" w:rsidR="00CD3CAA" w:rsidRPr="00564AAD" w:rsidRDefault="00CD3CAA" w:rsidP="00C86D45">
      <w:pPr>
        <w:pStyle w:val="NoSpacing"/>
      </w:pPr>
    </w:p>
    <w:p w14:paraId="337B5143" w14:textId="77777777" w:rsidR="00CD3CAA" w:rsidRPr="00564AAD" w:rsidRDefault="00CD3CAA" w:rsidP="00C86D45">
      <w:pPr>
        <w:pStyle w:val="NoSpacing"/>
      </w:pPr>
    </w:p>
    <w:p w14:paraId="1CE95839" w14:textId="77777777" w:rsidR="00CD3CAA" w:rsidRPr="00631500" w:rsidRDefault="00970BA5" w:rsidP="00C86D45">
      <w:pPr>
        <w:pStyle w:val="NoSpacing"/>
        <w:rPr>
          <w:b/>
          <w:bCs/>
        </w:rPr>
      </w:pPr>
      <w:r w:rsidRPr="00631500">
        <w:rPr>
          <w:b/>
          <w:bCs/>
        </w:rPr>
        <w:t>Contact:</w:t>
      </w:r>
    </w:p>
    <w:p w14:paraId="3EEA573A" w14:textId="77777777" w:rsidR="00CD3CAA" w:rsidRPr="00564AAD" w:rsidRDefault="00CD3CAA" w:rsidP="00C86D45">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C86D45" w:rsidRPr="00564AAD" w14:paraId="439334FA" w14:textId="77777777" w:rsidTr="00C86D45">
        <w:tc>
          <w:tcPr>
            <w:tcW w:w="3330" w:type="dxa"/>
          </w:tcPr>
          <w:p w14:paraId="2C883693" w14:textId="33C5EBF3" w:rsidR="00CD3CAA" w:rsidRPr="00AE6836" w:rsidRDefault="00970BA5" w:rsidP="00C86D45">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7BEAF55D" w:rsidR="00CD3CAA" w:rsidRPr="00AE6836" w:rsidRDefault="00970BA5" w:rsidP="00C86D45">
            <w:pPr>
              <w:spacing w:after="0"/>
              <w:rPr>
                <w:rFonts w:cs="Arial"/>
                <w:sz w:val="21"/>
                <w:szCs w:val="21"/>
              </w:rPr>
            </w:pPr>
            <w:r>
              <w:rPr>
                <w:rFonts w:eastAsia="Arial" w:cs="Arial"/>
                <w:sz w:val="21"/>
                <w:szCs w:val="21"/>
              </w:rPr>
              <w:t>202.481.7352</w:t>
            </w:r>
          </w:p>
          <w:p w14:paraId="16482BF1" w14:textId="4C693D5C" w:rsidR="00CD3CAA" w:rsidRPr="00AE6836" w:rsidRDefault="00CD3CAA" w:rsidP="00C86D45">
            <w:pPr>
              <w:pStyle w:val="NoSpacing"/>
            </w:pPr>
            <w:hyperlink r:id="rId12" w:history="1">
              <w:r w:rsidRPr="00264ACD">
                <w:rPr>
                  <w:rStyle w:val="Hyperlink"/>
                  <w:rFonts w:cs="Arial"/>
                  <w:b/>
                  <w:color w:val="auto"/>
                  <w:sz w:val="21"/>
                  <w:szCs w:val="21"/>
                </w:rPr>
                <w:t>cmaglione@guidehouse.com</w:t>
              </w:r>
            </w:hyperlink>
          </w:p>
        </w:tc>
        <w:tc>
          <w:tcPr>
            <w:tcW w:w="3060" w:type="dxa"/>
          </w:tcPr>
          <w:p w14:paraId="1E4C24CB" w14:textId="14C88D4E" w:rsidR="00CD3CAA" w:rsidRPr="00F61CF7" w:rsidRDefault="00970BA5" w:rsidP="00C86D45">
            <w:pPr>
              <w:spacing w:after="0"/>
              <w:rPr>
                <w:rFonts w:cs="Arial"/>
                <w:sz w:val="21"/>
                <w:szCs w:val="21"/>
              </w:rPr>
            </w:pPr>
            <w:r w:rsidRPr="00F61CF7">
              <w:rPr>
                <w:rFonts w:eastAsia="Arial" w:cs="Arial"/>
                <w:sz w:val="21"/>
                <w:szCs w:val="21"/>
              </w:rPr>
              <w:t>Jeff Erickson, Director</w:t>
            </w:r>
          </w:p>
          <w:p w14:paraId="6A2C2F66" w14:textId="6C2C6BE7" w:rsidR="00CD3CAA" w:rsidRPr="00F61CF7" w:rsidRDefault="00970BA5" w:rsidP="00C86D45">
            <w:pPr>
              <w:spacing w:after="0"/>
              <w:rPr>
                <w:rFonts w:cs="Arial"/>
                <w:sz w:val="21"/>
                <w:szCs w:val="21"/>
              </w:rPr>
            </w:pPr>
            <w:r w:rsidRPr="00F61CF7">
              <w:rPr>
                <w:rFonts w:eastAsia="Arial" w:cs="Arial"/>
                <w:sz w:val="21"/>
                <w:szCs w:val="21"/>
              </w:rPr>
              <w:t>608.616.4962</w:t>
            </w:r>
          </w:p>
          <w:p w14:paraId="2C28F0D8" w14:textId="6F930DD6" w:rsidR="00CD3CAA" w:rsidRPr="00F61CF7" w:rsidRDefault="00CD3CAA" w:rsidP="00C86D45">
            <w:pPr>
              <w:pStyle w:val="NoSpacing"/>
            </w:pPr>
            <w:hyperlink r:id="rId13" w:history="1">
              <w:r w:rsidRPr="00F61CF7">
                <w:rPr>
                  <w:rStyle w:val="Hyperlink"/>
                  <w:rFonts w:cs="Arial"/>
                  <w:b/>
                  <w:color w:val="auto"/>
                  <w:sz w:val="21"/>
                  <w:szCs w:val="21"/>
                </w:rPr>
                <w:t>jeff.erickson@guidehouse.com</w:t>
              </w:r>
            </w:hyperlink>
          </w:p>
        </w:tc>
        <w:tc>
          <w:tcPr>
            <w:tcW w:w="3870" w:type="dxa"/>
          </w:tcPr>
          <w:p w14:paraId="2CD5C960" w14:textId="434A4F14" w:rsidR="00CD3CAA" w:rsidRPr="00F61CF7" w:rsidRDefault="00970BA5" w:rsidP="00C86D45">
            <w:pPr>
              <w:spacing w:after="0"/>
              <w:rPr>
                <w:rFonts w:cs="Arial"/>
                <w:sz w:val="21"/>
                <w:szCs w:val="21"/>
              </w:rPr>
            </w:pPr>
            <w:r w:rsidRPr="00F61CF7">
              <w:rPr>
                <w:rFonts w:eastAsia="Arial" w:cs="Arial"/>
                <w:sz w:val="21"/>
                <w:szCs w:val="21"/>
              </w:rPr>
              <w:t>Laura Agapay-Read, Associate Director</w:t>
            </w:r>
          </w:p>
          <w:p w14:paraId="209B276B" w14:textId="551FD213" w:rsidR="00CD3CAA" w:rsidRPr="00F61CF7" w:rsidRDefault="00970BA5" w:rsidP="00C86D45">
            <w:pPr>
              <w:spacing w:after="0"/>
              <w:rPr>
                <w:rFonts w:cs="Arial"/>
                <w:sz w:val="21"/>
                <w:szCs w:val="21"/>
              </w:rPr>
            </w:pPr>
            <w:r w:rsidRPr="00F61CF7">
              <w:rPr>
                <w:rFonts w:eastAsia="Arial" w:cs="Arial"/>
                <w:sz w:val="21"/>
                <w:szCs w:val="21"/>
              </w:rPr>
              <w:t>312.583.4178</w:t>
            </w:r>
          </w:p>
          <w:p w14:paraId="72F5322F" w14:textId="052CA882" w:rsidR="00CD3CAA" w:rsidRPr="00F61CF7" w:rsidRDefault="00CD3CAA" w:rsidP="00C86D45">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01643710" w14:textId="77777777" w:rsidR="00CD3CAA" w:rsidRDefault="00CD3CAA" w:rsidP="00C86D45">
      <w:pPr>
        <w:pStyle w:val="NoSpacing"/>
      </w:pPr>
    </w:p>
    <w:p w14:paraId="5A8B3D52" w14:textId="038FF796" w:rsidR="00CD3CAA" w:rsidRPr="00762586" w:rsidRDefault="00970BA5" w:rsidP="00C86D45">
      <w:pPr>
        <w:pStyle w:val="NoSpacing"/>
        <w:rPr>
          <w:rFonts w:eastAsia="Arial" w:cs="Arial"/>
          <w:sz w:val="21"/>
          <w:szCs w:val="21"/>
        </w:rPr>
      </w:pPr>
      <w:r w:rsidRPr="00762586">
        <w:rPr>
          <w:rFonts w:eastAsia="Arial" w:cs="Arial"/>
          <w:sz w:val="21"/>
          <w:szCs w:val="21"/>
        </w:rPr>
        <w:t>Charles Ampong, Associate Director</w:t>
      </w:r>
    </w:p>
    <w:p w14:paraId="5B3F28A4" w14:textId="77777777" w:rsidR="00CD3CAA" w:rsidRPr="00CA038C" w:rsidRDefault="00970BA5" w:rsidP="00C86D45">
      <w:pPr>
        <w:pStyle w:val="NoSpacing"/>
        <w:rPr>
          <w:rFonts w:eastAsia="Arial" w:cs="Arial"/>
          <w:sz w:val="21"/>
          <w:szCs w:val="21"/>
        </w:rPr>
      </w:pPr>
      <w:r w:rsidRPr="00CA038C">
        <w:rPr>
          <w:rFonts w:eastAsia="Arial" w:cs="Arial"/>
          <w:sz w:val="21"/>
          <w:szCs w:val="21"/>
        </w:rPr>
        <w:t>608.616.4922</w:t>
      </w:r>
    </w:p>
    <w:p w14:paraId="6B447806" w14:textId="3B9C4D5B" w:rsidR="00CD3CAA" w:rsidRPr="00CA038C" w:rsidRDefault="00CD3CAA" w:rsidP="00C86D45">
      <w:pPr>
        <w:pStyle w:val="NoSpacing"/>
        <w:rPr>
          <w:rStyle w:val="Hyperlink"/>
          <w:b/>
          <w:color w:val="auto"/>
        </w:rPr>
      </w:pPr>
      <w:hyperlink r:id="rId15" w:history="1">
        <w:r w:rsidRPr="00CA038C">
          <w:rPr>
            <w:rStyle w:val="Hyperlink"/>
            <w:rFonts w:cs="Arial"/>
            <w:b/>
            <w:color w:val="auto"/>
            <w:sz w:val="21"/>
            <w:szCs w:val="21"/>
          </w:rPr>
          <w:t>charles.ampong@guidehouse.com</w:t>
        </w:r>
      </w:hyperlink>
    </w:p>
    <w:p w14:paraId="5A3FFA0E" w14:textId="77777777" w:rsidR="00CD3CAA" w:rsidRPr="00762586" w:rsidRDefault="00CD3CAA" w:rsidP="00C86D45">
      <w:pPr>
        <w:pStyle w:val="NoSpacing"/>
        <w:rPr>
          <w:rFonts w:eastAsia="Arial" w:cs="Arial"/>
          <w:sz w:val="21"/>
          <w:szCs w:val="21"/>
        </w:rPr>
      </w:pPr>
    </w:p>
    <w:p w14:paraId="246F2D01" w14:textId="77777777" w:rsidR="00CD3CAA" w:rsidRPr="00564AAD" w:rsidRDefault="00CD3CAA" w:rsidP="00C86D45">
      <w:pPr>
        <w:pStyle w:val="NoSpacing"/>
      </w:pPr>
    </w:p>
    <w:p w14:paraId="4E6E3E1B" w14:textId="7B88C414" w:rsidR="00CD3CAA" w:rsidRPr="00035A6D" w:rsidRDefault="00970BA5" w:rsidP="00C86D45">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CD3CAA" w:rsidRDefault="00CD3CAA">
      <w:pPr>
        <w:sectPr w:rsidR="00CD3CAA" w:rsidSect="00B1430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p w14:paraId="258C3457" w14:textId="77777777" w:rsidR="00CD3CAA" w:rsidRDefault="00CD3CAA"/>
    <w:p w14:paraId="346103F2" w14:textId="49B22EF3" w:rsidR="00CD3CAA" w:rsidRPr="008C17F1" w:rsidRDefault="00970BA5">
      <w:pPr>
        <w:rPr>
          <w:sz w:val="40"/>
          <w:szCs w:val="40"/>
        </w:rPr>
      </w:pPr>
      <w:r>
        <w:rPr>
          <w:sz w:val="40"/>
          <w:szCs w:val="40"/>
        </w:rPr>
        <w:t>Table of Contents</w:t>
      </w:r>
    </w:p>
    <w:p w14:paraId="6D7E1091" w14:textId="255433A7" w:rsidR="00424F30" w:rsidRDefault="00970BA5">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7314361" w:history="1">
        <w:r w:rsidR="00424F30" w:rsidRPr="003F5E41">
          <w:rPr>
            <w:rStyle w:val="Hyperlink"/>
            <w:noProof/>
          </w:rPr>
          <w:t>Introduction</w:t>
        </w:r>
        <w:r w:rsidR="00424F30">
          <w:rPr>
            <w:noProof/>
            <w:webHidden/>
          </w:rPr>
          <w:tab/>
        </w:r>
        <w:r w:rsidR="00424F30">
          <w:rPr>
            <w:noProof/>
            <w:webHidden/>
          </w:rPr>
          <w:fldChar w:fldCharType="begin"/>
        </w:r>
        <w:r w:rsidR="00424F30">
          <w:rPr>
            <w:noProof/>
            <w:webHidden/>
          </w:rPr>
          <w:instrText xml:space="preserve"> PAGEREF _Toc227314361 \h </w:instrText>
        </w:r>
        <w:r w:rsidR="00424F30">
          <w:rPr>
            <w:noProof/>
            <w:webHidden/>
          </w:rPr>
        </w:r>
        <w:r w:rsidR="00424F30">
          <w:rPr>
            <w:noProof/>
            <w:webHidden/>
          </w:rPr>
          <w:fldChar w:fldCharType="separate"/>
        </w:r>
        <w:r w:rsidR="00424F30">
          <w:rPr>
            <w:noProof/>
            <w:webHidden/>
          </w:rPr>
          <w:t>4</w:t>
        </w:r>
        <w:r w:rsidR="00424F30">
          <w:rPr>
            <w:noProof/>
            <w:webHidden/>
          </w:rPr>
          <w:fldChar w:fldCharType="end"/>
        </w:r>
      </w:hyperlink>
    </w:p>
    <w:p w14:paraId="184E899C" w14:textId="198D1E71" w:rsidR="00424F30" w:rsidRDefault="00424F30">
      <w:pPr>
        <w:pStyle w:val="TOC1"/>
        <w:tabs>
          <w:tab w:val="right" w:leader="dot" w:pos="9350"/>
        </w:tabs>
        <w:rPr>
          <w:rFonts w:cstheme="minorBidi"/>
          <w:noProof/>
          <w:kern w:val="2"/>
          <w:sz w:val="24"/>
          <w:szCs w:val="24"/>
          <w14:ligatures w14:val="standardContextual"/>
        </w:rPr>
      </w:pPr>
      <w:hyperlink w:anchor="_Toc227314362" w:history="1">
        <w:r w:rsidRPr="003F5E41">
          <w:rPr>
            <w:rStyle w:val="Hyperlink"/>
            <w:noProof/>
          </w:rPr>
          <w:t>Program Description</w:t>
        </w:r>
        <w:r>
          <w:rPr>
            <w:noProof/>
            <w:webHidden/>
          </w:rPr>
          <w:tab/>
        </w:r>
        <w:r>
          <w:rPr>
            <w:noProof/>
            <w:webHidden/>
          </w:rPr>
          <w:fldChar w:fldCharType="begin"/>
        </w:r>
        <w:r>
          <w:rPr>
            <w:noProof/>
            <w:webHidden/>
          </w:rPr>
          <w:instrText xml:space="preserve"> PAGEREF _Toc227314362 \h </w:instrText>
        </w:r>
        <w:r>
          <w:rPr>
            <w:noProof/>
            <w:webHidden/>
          </w:rPr>
        </w:r>
        <w:r>
          <w:rPr>
            <w:noProof/>
            <w:webHidden/>
          </w:rPr>
          <w:fldChar w:fldCharType="separate"/>
        </w:r>
        <w:r>
          <w:rPr>
            <w:noProof/>
            <w:webHidden/>
          </w:rPr>
          <w:t>4</w:t>
        </w:r>
        <w:r>
          <w:rPr>
            <w:noProof/>
            <w:webHidden/>
          </w:rPr>
          <w:fldChar w:fldCharType="end"/>
        </w:r>
      </w:hyperlink>
    </w:p>
    <w:p w14:paraId="1801D926" w14:textId="7BE374B6" w:rsidR="00424F30" w:rsidRDefault="00424F30">
      <w:pPr>
        <w:pStyle w:val="TOC1"/>
        <w:tabs>
          <w:tab w:val="right" w:leader="dot" w:pos="9350"/>
        </w:tabs>
        <w:rPr>
          <w:rFonts w:cstheme="minorBidi"/>
          <w:noProof/>
          <w:kern w:val="2"/>
          <w:sz w:val="24"/>
          <w:szCs w:val="24"/>
          <w14:ligatures w14:val="standardContextual"/>
        </w:rPr>
      </w:pPr>
      <w:hyperlink w:anchor="_Toc227314363" w:history="1">
        <w:r w:rsidRPr="003F5E41">
          <w:rPr>
            <w:rStyle w:val="Hyperlink"/>
            <w:noProof/>
          </w:rPr>
          <w:t>Program Savings Detail</w:t>
        </w:r>
        <w:r>
          <w:rPr>
            <w:noProof/>
            <w:webHidden/>
          </w:rPr>
          <w:tab/>
        </w:r>
        <w:r>
          <w:rPr>
            <w:noProof/>
            <w:webHidden/>
          </w:rPr>
          <w:fldChar w:fldCharType="begin"/>
        </w:r>
        <w:r>
          <w:rPr>
            <w:noProof/>
            <w:webHidden/>
          </w:rPr>
          <w:instrText xml:space="preserve"> PAGEREF _Toc227314363 \h </w:instrText>
        </w:r>
        <w:r>
          <w:rPr>
            <w:noProof/>
            <w:webHidden/>
          </w:rPr>
        </w:r>
        <w:r>
          <w:rPr>
            <w:noProof/>
            <w:webHidden/>
          </w:rPr>
          <w:fldChar w:fldCharType="separate"/>
        </w:r>
        <w:r>
          <w:rPr>
            <w:noProof/>
            <w:webHidden/>
          </w:rPr>
          <w:t>5</w:t>
        </w:r>
        <w:r>
          <w:rPr>
            <w:noProof/>
            <w:webHidden/>
          </w:rPr>
          <w:fldChar w:fldCharType="end"/>
        </w:r>
      </w:hyperlink>
    </w:p>
    <w:p w14:paraId="19F4587B" w14:textId="31475E50" w:rsidR="00424F30" w:rsidRDefault="00424F30">
      <w:pPr>
        <w:pStyle w:val="TOC1"/>
        <w:tabs>
          <w:tab w:val="right" w:leader="dot" w:pos="9350"/>
        </w:tabs>
        <w:rPr>
          <w:rFonts w:cstheme="minorBidi"/>
          <w:noProof/>
          <w:kern w:val="2"/>
          <w:sz w:val="24"/>
          <w:szCs w:val="24"/>
          <w14:ligatures w14:val="standardContextual"/>
        </w:rPr>
      </w:pPr>
      <w:hyperlink w:anchor="_Toc227314364" w:history="1">
        <w:r w:rsidRPr="003F5E41">
          <w:rPr>
            <w:rStyle w:val="Hyperlink"/>
            <w:noProof/>
          </w:rPr>
          <w:t>Program Savings by Measure</w:t>
        </w:r>
        <w:r>
          <w:rPr>
            <w:noProof/>
            <w:webHidden/>
          </w:rPr>
          <w:tab/>
        </w:r>
        <w:r>
          <w:rPr>
            <w:noProof/>
            <w:webHidden/>
          </w:rPr>
          <w:fldChar w:fldCharType="begin"/>
        </w:r>
        <w:r>
          <w:rPr>
            <w:noProof/>
            <w:webHidden/>
          </w:rPr>
          <w:instrText xml:space="preserve"> PAGEREF _Toc227314364 \h </w:instrText>
        </w:r>
        <w:r>
          <w:rPr>
            <w:noProof/>
            <w:webHidden/>
          </w:rPr>
        </w:r>
        <w:r>
          <w:rPr>
            <w:noProof/>
            <w:webHidden/>
          </w:rPr>
          <w:fldChar w:fldCharType="separate"/>
        </w:r>
        <w:r>
          <w:rPr>
            <w:noProof/>
            <w:webHidden/>
          </w:rPr>
          <w:t>5</w:t>
        </w:r>
        <w:r>
          <w:rPr>
            <w:noProof/>
            <w:webHidden/>
          </w:rPr>
          <w:fldChar w:fldCharType="end"/>
        </w:r>
      </w:hyperlink>
    </w:p>
    <w:p w14:paraId="4DF319B6" w14:textId="2556E7E1" w:rsidR="00424F30" w:rsidRDefault="00424F30">
      <w:pPr>
        <w:pStyle w:val="TOC1"/>
        <w:tabs>
          <w:tab w:val="right" w:leader="dot" w:pos="9350"/>
        </w:tabs>
        <w:rPr>
          <w:rFonts w:cstheme="minorBidi"/>
          <w:noProof/>
          <w:kern w:val="2"/>
          <w:sz w:val="24"/>
          <w:szCs w:val="24"/>
          <w14:ligatures w14:val="standardContextual"/>
        </w:rPr>
      </w:pPr>
      <w:hyperlink w:anchor="_Toc227314365" w:history="1">
        <w:r w:rsidRPr="003F5E41">
          <w:rPr>
            <w:rStyle w:val="Hyperlink"/>
            <w:noProof/>
          </w:rPr>
          <w:t>Impact Analysis Findings and Recommendations</w:t>
        </w:r>
        <w:r>
          <w:rPr>
            <w:noProof/>
            <w:webHidden/>
          </w:rPr>
          <w:tab/>
        </w:r>
        <w:r>
          <w:rPr>
            <w:noProof/>
            <w:webHidden/>
          </w:rPr>
          <w:fldChar w:fldCharType="begin"/>
        </w:r>
        <w:r>
          <w:rPr>
            <w:noProof/>
            <w:webHidden/>
          </w:rPr>
          <w:instrText xml:space="preserve"> PAGEREF _Toc227314365 \h </w:instrText>
        </w:r>
        <w:r>
          <w:rPr>
            <w:noProof/>
            <w:webHidden/>
          </w:rPr>
        </w:r>
        <w:r>
          <w:rPr>
            <w:noProof/>
            <w:webHidden/>
          </w:rPr>
          <w:fldChar w:fldCharType="separate"/>
        </w:r>
        <w:r>
          <w:rPr>
            <w:noProof/>
            <w:webHidden/>
          </w:rPr>
          <w:t>5</w:t>
        </w:r>
        <w:r>
          <w:rPr>
            <w:noProof/>
            <w:webHidden/>
          </w:rPr>
          <w:fldChar w:fldCharType="end"/>
        </w:r>
      </w:hyperlink>
    </w:p>
    <w:p w14:paraId="022E2959" w14:textId="32B6E0DA" w:rsidR="00424F30" w:rsidRDefault="00424F30">
      <w:pPr>
        <w:pStyle w:val="TOC2"/>
        <w:tabs>
          <w:tab w:val="left" w:pos="960"/>
          <w:tab w:val="right" w:leader="dot" w:pos="9350"/>
        </w:tabs>
        <w:rPr>
          <w:rFonts w:cstheme="minorBidi"/>
          <w:noProof/>
          <w:kern w:val="2"/>
          <w:sz w:val="24"/>
          <w:szCs w:val="24"/>
          <w14:ligatures w14:val="standardContextual"/>
        </w:rPr>
      </w:pPr>
      <w:hyperlink w:anchor="_Toc227314366" w:history="1">
        <w:r w:rsidRPr="003F5E41">
          <w:rPr>
            <w:rStyle w:val="Hyperlink"/>
            <w:noProof/>
          </w:rPr>
          <w:t>1.1</w:t>
        </w:r>
        <w:r>
          <w:rPr>
            <w:rFonts w:cstheme="minorBidi"/>
            <w:noProof/>
            <w:kern w:val="2"/>
            <w:sz w:val="24"/>
            <w:szCs w:val="24"/>
            <w14:ligatures w14:val="standardContextual"/>
          </w:rPr>
          <w:tab/>
        </w:r>
        <w:r w:rsidRPr="003F5E41">
          <w:rPr>
            <w:rStyle w:val="Hyperlink"/>
            <w:noProof/>
          </w:rPr>
          <w:t>Findings and Recommendations</w:t>
        </w:r>
        <w:r>
          <w:rPr>
            <w:noProof/>
            <w:webHidden/>
          </w:rPr>
          <w:tab/>
        </w:r>
        <w:r>
          <w:rPr>
            <w:noProof/>
            <w:webHidden/>
          </w:rPr>
          <w:fldChar w:fldCharType="begin"/>
        </w:r>
        <w:r>
          <w:rPr>
            <w:noProof/>
            <w:webHidden/>
          </w:rPr>
          <w:instrText xml:space="preserve"> PAGEREF _Toc227314366 \h </w:instrText>
        </w:r>
        <w:r>
          <w:rPr>
            <w:noProof/>
            <w:webHidden/>
          </w:rPr>
        </w:r>
        <w:r>
          <w:rPr>
            <w:noProof/>
            <w:webHidden/>
          </w:rPr>
          <w:fldChar w:fldCharType="separate"/>
        </w:r>
        <w:r>
          <w:rPr>
            <w:noProof/>
            <w:webHidden/>
          </w:rPr>
          <w:t>5</w:t>
        </w:r>
        <w:r>
          <w:rPr>
            <w:noProof/>
            <w:webHidden/>
          </w:rPr>
          <w:fldChar w:fldCharType="end"/>
        </w:r>
      </w:hyperlink>
    </w:p>
    <w:p w14:paraId="3FF4E0B9" w14:textId="2D93E6C0" w:rsidR="00424F30" w:rsidRDefault="00424F30">
      <w:pPr>
        <w:pStyle w:val="TOC1"/>
        <w:tabs>
          <w:tab w:val="right" w:leader="dot" w:pos="9350"/>
        </w:tabs>
        <w:rPr>
          <w:rFonts w:cstheme="minorBidi"/>
          <w:noProof/>
          <w:kern w:val="2"/>
          <w:sz w:val="24"/>
          <w:szCs w:val="24"/>
          <w14:ligatures w14:val="standardContextual"/>
        </w:rPr>
      </w:pPr>
      <w:hyperlink w:anchor="_Toc227314367" w:history="1">
        <w:r w:rsidRPr="003F5E41">
          <w:rPr>
            <w:rStyle w:val="Hyperlink"/>
            <w:noProof/>
          </w:rPr>
          <w:t>Appendix A. Impact Analysis Methodology</w:t>
        </w:r>
        <w:r>
          <w:rPr>
            <w:noProof/>
            <w:webHidden/>
          </w:rPr>
          <w:tab/>
        </w:r>
        <w:r>
          <w:rPr>
            <w:noProof/>
            <w:webHidden/>
          </w:rPr>
          <w:fldChar w:fldCharType="begin"/>
        </w:r>
        <w:r>
          <w:rPr>
            <w:noProof/>
            <w:webHidden/>
          </w:rPr>
          <w:instrText xml:space="preserve"> PAGEREF _Toc227314367 \h </w:instrText>
        </w:r>
        <w:r>
          <w:rPr>
            <w:noProof/>
            <w:webHidden/>
          </w:rPr>
        </w:r>
        <w:r>
          <w:rPr>
            <w:noProof/>
            <w:webHidden/>
          </w:rPr>
          <w:fldChar w:fldCharType="separate"/>
        </w:r>
        <w:r>
          <w:rPr>
            <w:noProof/>
            <w:webHidden/>
          </w:rPr>
          <w:t>6</w:t>
        </w:r>
        <w:r>
          <w:rPr>
            <w:noProof/>
            <w:webHidden/>
          </w:rPr>
          <w:fldChar w:fldCharType="end"/>
        </w:r>
      </w:hyperlink>
    </w:p>
    <w:p w14:paraId="305DE530" w14:textId="382C09A9" w:rsidR="00424F30" w:rsidRDefault="00424F30">
      <w:pPr>
        <w:pStyle w:val="TOC1"/>
        <w:tabs>
          <w:tab w:val="right" w:leader="dot" w:pos="9350"/>
        </w:tabs>
        <w:rPr>
          <w:rFonts w:cstheme="minorBidi"/>
          <w:noProof/>
          <w:kern w:val="2"/>
          <w:sz w:val="24"/>
          <w:szCs w:val="24"/>
          <w14:ligatures w14:val="standardContextual"/>
        </w:rPr>
      </w:pPr>
      <w:hyperlink w:anchor="_Toc227314368" w:history="1">
        <w:r w:rsidRPr="003F5E41">
          <w:rPr>
            <w:rStyle w:val="Hyperlink"/>
            <w:noProof/>
          </w:rPr>
          <w:t>Appendix B. Detailed Impact Analysis Results</w:t>
        </w:r>
        <w:r>
          <w:rPr>
            <w:noProof/>
            <w:webHidden/>
          </w:rPr>
          <w:tab/>
        </w:r>
        <w:r>
          <w:rPr>
            <w:noProof/>
            <w:webHidden/>
          </w:rPr>
          <w:fldChar w:fldCharType="begin"/>
        </w:r>
        <w:r>
          <w:rPr>
            <w:noProof/>
            <w:webHidden/>
          </w:rPr>
          <w:instrText xml:space="preserve"> PAGEREF _Toc227314368 \h </w:instrText>
        </w:r>
        <w:r>
          <w:rPr>
            <w:noProof/>
            <w:webHidden/>
          </w:rPr>
        </w:r>
        <w:r>
          <w:rPr>
            <w:noProof/>
            <w:webHidden/>
          </w:rPr>
          <w:fldChar w:fldCharType="separate"/>
        </w:r>
        <w:r>
          <w:rPr>
            <w:noProof/>
            <w:webHidden/>
          </w:rPr>
          <w:t>13</w:t>
        </w:r>
        <w:r>
          <w:rPr>
            <w:noProof/>
            <w:webHidden/>
          </w:rPr>
          <w:fldChar w:fldCharType="end"/>
        </w:r>
      </w:hyperlink>
    </w:p>
    <w:p w14:paraId="1D2E33F6" w14:textId="76F4184D" w:rsidR="00424F30" w:rsidRDefault="00424F30">
      <w:pPr>
        <w:pStyle w:val="TOC1"/>
        <w:tabs>
          <w:tab w:val="right" w:leader="dot" w:pos="9350"/>
        </w:tabs>
        <w:rPr>
          <w:rFonts w:cstheme="minorBidi"/>
          <w:noProof/>
          <w:kern w:val="2"/>
          <w:sz w:val="24"/>
          <w:szCs w:val="24"/>
          <w14:ligatures w14:val="standardContextual"/>
        </w:rPr>
      </w:pPr>
      <w:hyperlink w:anchor="_Toc227314369" w:history="1">
        <w:r w:rsidRPr="003F5E41">
          <w:rPr>
            <w:rStyle w:val="Hyperlink"/>
            <w:noProof/>
          </w:rPr>
          <w:t>Appendix C. Program Specific Inputs for the Illinois TRC</w:t>
        </w:r>
        <w:r>
          <w:rPr>
            <w:noProof/>
            <w:webHidden/>
          </w:rPr>
          <w:tab/>
        </w:r>
        <w:r>
          <w:rPr>
            <w:noProof/>
            <w:webHidden/>
          </w:rPr>
          <w:fldChar w:fldCharType="begin"/>
        </w:r>
        <w:r>
          <w:rPr>
            <w:noProof/>
            <w:webHidden/>
          </w:rPr>
          <w:instrText xml:space="preserve"> PAGEREF _Toc227314369 \h </w:instrText>
        </w:r>
        <w:r>
          <w:rPr>
            <w:noProof/>
            <w:webHidden/>
          </w:rPr>
        </w:r>
        <w:r>
          <w:rPr>
            <w:noProof/>
            <w:webHidden/>
          </w:rPr>
          <w:fldChar w:fldCharType="separate"/>
        </w:r>
        <w:r>
          <w:rPr>
            <w:noProof/>
            <w:webHidden/>
          </w:rPr>
          <w:t>15</w:t>
        </w:r>
        <w:r>
          <w:rPr>
            <w:noProof/>
            <w:webHidden/>
          </w:rPr>
          <w:fldChar w:fldCharType="end"/>
        </w:r>
      </w:hyperlink>
    </w:p>
    <w:p w14:paraId="46033CAD" w14:textId="69CF4A61" w:rsidR="00CD3CAA" w:rsidRDefault="00970BA5">
      <w:r>
        <w:fldChar w:fldCharType="end"/>
      </w:r>
    </w:p>
    <w:p w14:paraId="08802225" w14:textId="4D7A0146" w:rsidR="00CD3CAA" w:rsidRPr="008C17F1" w:rsidRDefault="00970BA5">
      <w:pPr>
        <w:rPr>
          <w:sz w:val="40"/>
          <w:szCs w:val="40"/>
        </w:rPr>
      </w:pPr>
      <w:r>
        <w:rPr>
          <w:sz w:val="40"/>
          <w:szCs w:val="40"/>
        </w:rPr>
        <w:t>Table of Tables, Figures, and Equations</w:t>
      </w:r>
    </w:p>
    <w:p w14:paraId="091CFC7F" w14:textId="2E22D411" w:rsidR="00424F30" w:rsidRDefault="00970BA5">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7314402" w:history="1">
        <w:r w:rsidR="00424F30" w:rsidRPr="00F47E7B">
          <w:rPr>
            <w:rStyle w:val="Hyperlink"/>
            <w:noProof/>
          </w:rPr>
          <w:t>Table 1. 2025 Volumetric Findings Detail</w:t>
        </w:r>
        <w:r w:rsidR="00424F30">
          <w:rPr>
            <w:noProof/>
            <w:webHidden/>
          </w:rPr>
          <w:tab/>
        </w:r>
        <w:r w:rsidR="00424F30">
          <w:rPr>
            <w:noProof/>
            <w:webHidden/>
          </w:rPr>
          <w:fldChar w:fldCharType="begin"/>
        </w:r>
        <w:r w:rsidR="00424F30">
          <w:rPr>
            <w:noProof/>
            <w:webHidden/>
          </w:rPr>
          <w:instrText xml:space="preserve"> PAGEREF _Toc227314402 \h </w:instrText>
        </w:r>
        <w:r w:rsidR="00424F30">
          <w:rPr>
            <w:noProof/>
            <w:webHidden/>
          </w:rPr>
        </w:r>
        <w:r w:rsidR="00424F30">
          <w:rPr>
            <w:noProof/>
            <w:webHidden/>
          </w:rPr>
          <w:fldChar w:fldCharType="separate"/>
        </w:r>
        <w:r w:rsidR="00424F30">
          <w:rPr>
            <w:noProof/>
            <w:webHidden/>
          </w:rPr>
          <w:t>4</w:t>
        </w:r>
        <w:r w:rsidR="00424F30">
          <w:rPr>
            <w:noProof/>
            <w:webHidden/>
          </w:rPr>
          <w:fldChar w:fldCharType="end"/>
        </w:r>
      </w:hyperlink>
    </w:p>
    <w:p w14:paraId="380F4C1C" w14:textId="53559C41" w:rsidR="00424F30" w:rsidRDefault="00424F30">
      <w:pPr>
        <w:pStyle w:val="TableofFigures"/>
        <w:tabs>
          <w:tab w:val="right" w:leader="dot" w:pos="9350"/>
        </w:tabs>
        <w:rPr>
          <w:noProof/>
          <w:kern w:val="2"/>
          <w:sz w:val="24"/>
          <w:lang w:eastAsia="en-US"/>
          <w14:ligatures w14:val="standardContextual"/>
        </w:rPr>
      </w:pPr>
      <w:hyperlink w:anchor="_Toc227314403" w:history="1">
        <w:r w:rsidRPr="00F47E7B">
          <w:rPr>
            <w:rStyle w:val="Hyperlink"/>
            <w:noProof/>
          </w:rPr>
          <w:t>Table 2. 2025 Annual Energy Savings Summary</w:t>
        </w:r>
        <w:r>
          <w:rPr>
            <w:noProof/>
            <w:webHidden/>
          </w:rPr>
          <w:tab/>
        </w:r>
        <w:r>
          <w:rPr>
            <w:noProof/>
            <w:webHidden/>
          </w:rPr>
          <w:fldChar w:fldCharType="begin"/>
        </w:r>
        <w:r>
          <w:rPr>
            <w:noProof/>
            <w:webHidden/>
          </w:rPr>
          <w:instrText xml:space="preserve"> PAGEREF _Toc227314403 \h </w:instrText>
        </w:r>
        <w:r>
          <w:rPr>
            <w:noProof/>
            <w:webHidden/>
          </w:rPr>
        </w:r>
        <w:r>
          <w:rPr>
            <w:noProof/>
            <w:webHidden/>
          </w:rPr>
          <w:fldChar w:fldCharType="separate"/>
        </w:r>
        <w:r>
          <w:rPr>
            <w:noProof/>
            <w:webHidden/>
          </w:rPr>
          <w:t>5</w:t>
        </w:r>
        <w:r>
          <w:rPr>
            <w:noProof/>
            <w:webHidden/>
          </w:rPr>
          <w:fldChar w:fldCharType="end"/>
        </w:r>
      </w:hyperlink>
    </w:p>
    <w:p w14:paraId="3DE79BF3" w14:textId="5653C5F4" w:rsidR="00424F30" w:rsidRDefault="00424F30">
      <w:pPr>
        <w:pStyle w:val="TableofFigures"/>
        <w:tabs>
          <w:tab w:val="right" w:leader="dot" w:pos="9350"/>
        </w:tabs>
        <w:rPr>
          <w:noProof/>
          <w:kern w:val="2"/>
          <w:sz w:val="24"/>
          <w:lang w:eastAsia="en-US"/>
          <w14:ligatures w14:val="standardContextual"/>
        </w:rPr>
      </w:pPr>
      <w:hyperlink w:anchor="_Toc227314404" w:history="1">
        <w:r w:rsidRPr="00F47E7B">
          <w:rPr>
            <w:rStyle w:val="Hyperlink"/>
            <w:noProof/>
          </w:rPr>
          <w:t>Table 3. Gas Savings Persistence Factors</w:t>
        </w:r>
        <w:r>
          <w:rPr>
            <w:noProof/>
            <w:webHidden/>
          </w:rPr>
          <w:tab/>
        </w:r>
        <w:r>
          <w:rPr>
            <w:noProof/>
            <w:webHidden/>
          </w:rPr>
          <w:fldChar w:fldCharType="begin"/>
        </w:r>
        <w:r>
          <w:rPr>
            <w:noProof/>
            <w:webHidden/>
          </w:rPr>
          <w:instrText xml:space="preserve"> PAGEREF _Toc227314404 \h </w:instrText>
        </w:r>
        <w:r>
          <w:rPr>
            <w:noProof/>
            <w:webHidden/>
          </w:rPr>
        </w:r>
        <w:r>
          <w:rPr>
            <w:noProof/>
            <w:webHidden/>
          </w:rPr>
          <w:fldChar w:fldCharType="separate"/>
        </w:r>
        <w:r>
          <w:rPr>
            <w:noProof/>
            <w:webHidden/>
          </w:rPr>
          <w:t>11</w:t>
        </w:r>
        <w:r>
          <w:rPr>
            <w:noProof/>
            <w:webHidden/>
          </w:rPr>
          <w:fldChar w:fldCharType="end"/>
        </w:r>
      </w:hyperlink>
    </w:p>
    <w:p w14:paraId="79568194" w14:textId="6F2A76A7" w:rsidR="00424F30" w:rsidRDefault="00424F30">
      <w:pPr>
        <w:pStyle w:val="TableofFigures"/>
        <w:tabs>
          <w:tab w:val="right" w:leader="dot" w:pos="9350"/>
        </w:tabs>
        <w:rPr>
          <w:noProof/>
          <w:kern w:val="2"/>
          <w:sz w:val="24"/>
          <w:lang w:eastAsia="en-US"/>
          <w14:ligatures w14:val="standardContextual"/>
        </w:rPr>
      </w:pPr>
      <w:hyperlink w:anchor="_Toc227314405" w:history="1">
        <w:r w:rsidRPr="00F47E7B">
          <w:rPr>
            <w:rStyle w:val="Hyperlink"/>
            <w:noProof/>
          </w:rPr>
          <w:t>Table 4. 2025 Program Persistence Summary</w:t>
        </w:r>
        <w:r>
          <w:rPr>
            <w:noProof/>
            <w:webHidden/>
          </w:rPr>
          <w:tab/>
        </w:r>
        <w:r>
          <w:rPr>
            <w:noProof/>
            <w:webHidden/>
          </w:rPr>
          <w:fldChar w:fldCharType="begin"/>
        </w:r>
        <w:r>
          <w:rPr>
            <w:noProof/>
            <w:webHidden/>
          </w:rPr>
          <w:instrText xml:space="preserve"> PAGEREF _Toc227314405 \h </w:instrText>
        </w:r>
        <w:r>
          <w:rPr>
            <w:noProof/>
            <w:webHidden/>
          </w:rPr>
        </w:r>
        <w:r>
          <w:rPr>
            <w:noProof/>
            <w:webHidden/>
          </w:rPr>
          <w:fldChar w:fldCharType="separate"/>
        </w:r>
        <w:r>
          <w:rPr>
            <w:noProof/>
            <w:webHidden/>
          </w:rPr>
          <w:t>12</w:t>
        </w:r>
        <w:r>
          <w:rPr>
            <w:noProof/>
            <w:webHidden/>
          </w:rPr>
          <w:fldChar w:fldCharType="end"/>
        </w:r>
      </w:hyperlink>
    </w:p>
    <w:p w14:paraId="06B615D6" w14:textId="454C13BB" w:rsidR="00424F30" w:rsidRDefault="00424F30">
      <w:pPr>
        <w:pStyle w:val="TableofFigures"/>
        <w:tabs>
          <w:tab w:val="right" w:leader="dot" w:pos="9350"/>
        </w:tabs>
        <w:rPr>
          <w:noProof/>
          <w:kern w:val="2"/>
          <w:sz w:val="24"/>
          <w:lang w:eastAsia="en-US"/>
          <w14:ligatures w14:val="standardContextual"/>
        </w:rPr>
      </w:pPr>
      <w:hyperlink w:anchor="_Toc227314406" w:history="1">
        <w:r w:rsidRPr="00F47E7B">
          <w:rPr>
            <w:rStyle w:val="Hyperlink"/>
            <w:noProof/>
          </w:rPr>
          <w:t>Table 5. 2025 Savings Results</w:t>
        </w:r>
        <w:r>
          <w:rPr>
            <w:noProof/>
            <w:webHidden/>
          </w:rPr>
          <w:tab/>
        </w:r>
        <w:r>
          <w:rPr>
            <w:noProof/>
            <w:webHidden/>
          </w:rPr>
          <w:fldChar w:fldCharType="begin"/>
        </w:r>
        <w:r>
          <w:rPr>
            <w:noProof/>
            <w:webHidden/>
          </w:rPr>
          <w:instrText xml:space="preserve"> PAGEREF _Toc227314406 \h </w:instrText>
        </w:r>
        <w:r>
          <w:rPr>
            <w:noProof/>
            <w:webHidden/>
          </w:rPr>
        </w:r>
        <w:r>
          <w:rPr>
            <w:noProof/>
            <w:webHidden/>
          </w:rPr>
          <w:fldChar w:fldCharType="separate"/>
        </w:r>
        <w:r>
          <w:rPr>
            <w:noProof/>
            <w:webHidden/>
          </w:rPr>
          <w:t>13</w:t>
        </w:r>
        <w:r>
          <w:rPr>
            <w:noProof/>
            <w:webHidden/>
          </w:rPr>
          <w:fldChar w:fldCharType="end"/>
        </w:r>
      </w:hyperlink>
    </w:p>
    <w:p w14:paraId="12706B04" w14:textId="4A720501" w:rsidR="00424F30" w:rsidRDefault="00424F30">
      <w:pPr>
        <w:pStyle w:val="TableofFigures"/>
        <w:tabs>
          <w:tab w:val="right" w:leader="dot" w:pos="9350"/>
        </w:tabs>
        <w:rPr>
          <w:noProof/>
          <w:kern w:val="2"/>
          <w:sz w:val="24"/>
          <w:lang w:eastAsia="en-US"/>
          <w14:ligatures w14:val="standardContextual"/>
        </w:rPr>
      </w:pPr>
      <w:hyperlink w:anchor="_Toc227314407" w:history="1">
        <w:r w:rsidRPr="00F47E7B">
          <w:rPr>
            <w:rStyle w:val="Hyperlink"/>
            <w:noProof/>
          </w:rPr>
          <w:t>Table 6. 2025 Uplift Adjustment Details, Wave 4 (202402)</w:t>
        </w:r>
        <w:r>
          <w:rPr>
            <w:noProof/>
            <w:webHidden/>
          </w:rPr>
          <w:tab/>
        </w:r>
        <w:r>
          <w:rPr>
            <w:noProof/>
            <w:webHidden/>
          </w:rPr>
          <w:fldChar w:fldCharType="begin"/>
        </w:r>
        <w:r>
          <w:rPr>
            <w:noProof/>
            <w:webHidden/>
          </w:rPr>
          <w:instrText xml:space="preserve"> PAGEREF _Toc227314407 \h </w:instrText>
        </w:r>
        <w:r>
          <w:rPr>
            <w:noProof/>
            <w:webHidden/>
          </w:rPr>
        </w:r>
        <w:r>
          <w:rPr>
            <w:noProof/>
            <w:webHidden/>
          </w:rPr>
          <w:fldChar w:fldCharType="separate"/>
        </w:r>
        <w:r>
          <w:rPr>
            <w:noProof/>
            <w:webHidden/>
          </w:rPr>
          <w:t>14</w:t>
        </w:r>
        <w:r>
          <w:rPr>
            <w:noProof/>
            <w:webHidden/>
          </w:rPr>
          <w:fldChar w:fldCharType="end"/>
        </w:r>
      </w:hyperlink>
    </w:p>
    <w:p w14:paraId="7DC63BBC" w14:textId="3BF2C7CF" w:rsidR="00424F30" w:rsidRDefault="00424F30">
      <w:pPr>
        <w:pStyle w:val="TableofFigures"/>
        <w:tabs>
          <w:tab w:val="right" w:leader="dot" w:pos="9350"/>
        </w:tabs>
        <w:rPr>
          <w:noProof/>
          <w:kern w:val="2"/>
          <w:sz w:val="24"/>
          <w:lang w:eastAsia="en-US"/>
          <w14:ligatures w14:val="standardContextual"/>
        </w:rPr>
      </w:pPr>
      <w:hyperlink w:anchor="_Toc227314408" w:history="1">
        <w:r w:rsidRPr="00F47E7B">
          <w:rPr>
            <w:rStyle w:val="Hyperlink"/>
            <w:noProof/>
          </w:rPr>
          <w:t>Table 7. Verified Cost Effectiveness Inputs</w:t>
        </w:r>
        <w:r>
          <w:rPr>
            <w:noProof/>
            <w:webHidden/>
          </w:rPr>
          <w:tab/>
        </w:r>
        <w:r>
          <w:rPr>
            <w:noProof/>
            <w:webHidden/>
          </w:rPr>
          <w:fldChar w:fldCharType="begin"/>
        </w:r>
        <w:r>
          <w:rPr>
            <w:noProof/>
            <w:webHidden/>
          </w:rPr>
          <w:instrText xml:space="preserve"> PAGEREF _Toc227314408 \h </w:instrText>
        </w:r>
        <w:r>
          <w:rPr>
            <w:noProof/>
            <w:webHidden/>
          </w:rPr>
        </w:r>
        <w:r>
          <w:rPr>
            <w:noProof/>
            <w:webHidden/>
          </w:rPr>
          <w:fldChar w:fldCharType="separate"/>
        </w:r>
        <w:r>
          <w:rPr>
            <w:noProof/>
            <w:webHidden/>
          </w:rPr>
          <w:t>15</w:t>
        </w:r>
        <w:r>
          <w:rPr>
            <w:noProof/>
            <w:webHidden/>
          </w:rPr>
          <w:fldChar w:fldCharType="end"/>
        </w:r>
      </w:hyperlink>
    </w:p>
    <w:p w14:paraId="0B8A9F88" w14:textId="202373AE" w:rsidR="00CD3CAA" w:rsidRDefault="00970BA5">
      <w:r>
        <w:fldChar w:fldCharType="end"/>
      </w:r>
    </w:p>
    <w:p w14:paraId="5BD9973F" w14:textId="25319BCA" w:rsidR="00424F30" w:rsidRPr="00424F30" w:rsidRDefault="00970BA5">
      <w:pPr>
        <w:pStyle w:val="TableofFigures"/>
        <w:tabs>
          <w:tab w:val="right" w:leader="dot" w:pos="9350"/>
        </w:tabs>
        <w:rPr>
          <w:noProof/>
          <w:kern w:val="2"/>
          <w:sz w:val="24"/>
          <w:lang w:eastAsia="en-US"/>
          <w14:ligatures w14:val="standardContextual"/>
        </w:rPr>
      </w:pPr>
      <w:r w:rsidRPr="00D65695">
        <w:rPr>
          <w:highlight w:val="yellow"/>
        </w:rPr>
        <w:fldChar w:fldCharType="begin"/>
      </w:r>
      <w:r w:rsidRPr="00D65695">
        <w:rPr>
          <w:highlight w:val="yellow"/>
        </w:rPr>
        <w:instrText xml:space="preserve"> TOC \h \z \c "Equation" </w:instrText>
      </w:r>
      <w:r w:rsidRPr="00D65695">
        <w:rPr>
          <w:highlight w:val="yellow"/>
        </w:rPr>
        <w:fldChar w:fldCharType="separate"/>
      </w:r>
      <w:hyperlink w:anchor="_Toc227314410" w:history="1">
        <w:r w:rsidR="00424F30" w:rsidRPr="00B1430A">
          <w:rPr>
            <w:rStyle w:val="Hyperlink"/>
            <w:rFonts w:asciiTheme="majorHAnsi" w:hAnsiTheme="majorHAnsi" w:cs="Arial"/>
            <w:noProof/>
          </w:rPr>
          <w:t>Equation 1. Lagged Dependent Variable Regression Model</w:t>
        </w:r>
        <w:r w:rsidR="00424F30" w:rsidRPr="00424F30">
          <w:rPr>
            <w:noProof/>
            <w:webHidden/>
          </w:rPr>
          <w:tab/>
        </w:r>
        <w:r w:rsidR="00424F30" w:rsidRPr="00424F30">
          <w:rPr>
            <w:noProof/>
            <w:webHidden/>
          </w:rPr>
          <w:fldChar w:fldCharType="begin"/>
        </w:r>
        <w:r w:rsidR="00424F30" w:rsidRPr="00424F30">
          <w:rPr>
            <w:noProof/>
            <w:webHidden/>
          </w:rPr>
          <w:instrText xml:space="preserve"> PAGEREF _Toc227314410 \h </w:instrText>
        </w:r>
        <w:r w:rsidR="00424F30" w:rsidRPr="00424F30">
          <w:rPr>
            <w:noProof/>
            <w:webHidden/>
          </w:rPr>
        </w:r>
        <w:r w:rsidR="00424F30" w:rsidRPr="00424F30">
          <w:rPr>
            <w:noProof/>
            <w:webHidden/>
          </w:rPr>
          <w:fldChar w:fldCharType="separate"/>
        </w:r>
        <w:r w:rsidR="00424F30" w:rsidRPr="00424F30">
          <w:rPr>
            <w:noProof/>
            <w:webHidden/>
          </w:rPr>
          <w:t>7</w:t>
        </w:r>
        <w:r w:rsidR="00424F30" w:rsidRPr="00424F30">
          <w:rPr>
            <w:noProof/>
            <w:webHidden/>
          </w:rPr>
          <w:fldChar w:fldCharType="end"/>
        </w:r>
      </w:hyperlink>
    </w:p>
    <w:p w14:paraId="458C44E5" w14:textId="55688429" w:rsidR="00424F30" w:rsidRPr="00424F30" w:rsidRDefault="00424F30">
      <w:pPr>
        <w:pStyle w:val="TableofFigures"/>
        <w:tabs>
          <w:tab w:val="right" w:leader="dot" w:pos="9350"/>
        </w:tabs>
        <w:rPr>
          <w:noProof/>
          <w:kern w:val="2"/>
          <w:sz w:val="24"/>
          <w:lang w:eastAsia="en-US"/>
          <w14:ligatures w14:val="standardContextual"/>
        </w:rPr>
      </w:pPr>
      <w:hyperlink w:anchor="_Toc227314411" w:history="1">
        <w:r w:rsidRPr="00B1430A">
          <w:rPr>
            <w:rStyle w:val="Hyperlink"/>
            <w:rFonts w:asciiTheme="majorHAnsi" w:hAnsiTheme="majorHAnsi" w:cs="Arial"/>
            <w:noProof/>
          </w:rPr>
          <w:t>Equation 2. Linear Fixed Effects Regression Model</w:t>
        </w:r>
        <w:r w:rsidRPr="00424F30">
          <w:rPr>
            <w:noProof/>
            <w:webHidden/>
          </w:rPr>
          <w:tab/>
        </w:r>
        <w:r w:rsidRPr="00424F30">
          <w:rPr>
            <w:noProof/>
            <w:webHidden/>
          </w:rPr>
          <w:fldChar w:fldCharType="begin"/>
        </w:r>
        <w:r w:rsidRPr="00424F30">
          <w:rPr>
            <w:noProof/>
            <w:webHidden/>
          </w:rPr>
          <w:instrText xml:space="preserve"> PAGEREF _Toc227314411 \h </w:instrText>
        </w:r>
        <w:r w:rsidRPr="00424F30">
          <w:rPr>
            <w:noProof/>
            <w:webHidden/>
          </w:rPr>
        </w:r>
        <w:r w:rsidRPr="00424F30">
          <w:rPr>
            <w:noProof/>
            <w:webHidden/>
          </w:rPr>
          <w:fldChar w:fldCharType="separate"/>
        </w:r>
        <w:r w:rsidRPr="00424F30">
          <w:rPr>
            <w:noProof/>
            <w:webHidden/>
          </w:rPr>
          <w:t>8</w:t>
        </w:r>
        <w:r w:rsidRPr="00424F30">
          <w:rPr>
            <w:noProof/>
            <w:webHidden/>
          </w:rPr>
          <w:fldChar w:fldCharType="end"/>
        </w:r>
      </w:hyperlink>
    </w:p>
    <w:p w14:paraId="313BEC72" w14:textId="783E1CD8" w:rsidR="00424F30" w:rsidRPr="00424F30" w:rsidRDefault="00424F30">
      <w:pPr>
        <w:pStyle w:val="TableofFigures"/>
        <w:tabs>
          <w:tab w:val="right" w:leader="dot" w:pos="9350"/>
        </w:tabs>
        <w:rPr>
          <w:noProof/>
          <w:kern w:val="2"/>
          <w:sz w:val="24"/>
          <w:lang w:eastAsia="en-US"/>
          <w14:ligatures w14:val="standardContextual"/>
        </w:rPr>
      </w:pPr>
      <w:hyperlink w:anchor="_Toc227314412" w:history="1">
        <w:r w:rsidRPr="00B1430A">
          <w:rPr>
            <w:rStyle w:val="Hyperlink"/>
            <w:rFonts w:asciiTheme="majorHAnsi" w:hAnsiTheme="majorHAnsi" w:cs="Arial"/>
            <w:noProof/>
          </w:rPr>
          <w:t>Equation 3. Program Level Standard Error</w:t>
        </w:r>
        <w:r w:rsidRPr="00424F30">
          <w:rPr>
            <w:noProof/>
            <w:webHidden/>
          </w:rPr>
          <w:tab/>
        </w:r>
        <w:r w:rsidRPr="00424F30">
          <w:rPr>
            <w:noProof/>
            <w:webHidden/>
          </w:rPr>
          <w:fldChar w:fldCharType="begin"/>
        </w:r>
        <w:r w:rsidRPr="00424F30">
          <w:rPr>
            <w:noProof/>
            <w:webHidden/>
          </w:rPr>
          <w:instrText xml:space="preserve"> PAGEREF _Toc227314412 \h </w:instrText>
        </w:r>
        <w:r w:rsidRPr="00424F30">
          <w:rPr>
            <w:noProof/>
            <w:webHidden/>
          </w:rPr>
        </w:r>
        <w:r w:rsidRPr="00424F30">
          <w:rPr>
            <w:noProof/>
            <w:webHidden/>
          </w:rPr>
          <w:fldChar w:fldCharType="separate"/>
        </w:r>
        <w:r w:rsidRPr="00424F30">
          <w:rPr>
            <w:noProof/>
            <w:webHidden/>
          </w:rPr>
          <w:t>8</w:t>
        </w:r>
        <w:r w:rsidRPr="00424F30">
          <w:rPr>
            <w:noProof/>
            <w:webHidden/>
          </w:rPr>
          <w:fldChar w:fldCharType="end"/>
        </w:r>
      </w:hyperlink>
    </w:p>
    <w:p w14:paraId="62EA906D" w14:textId="5C95CAC9" w:rsidR="00424F30" w:rsidRPr="00424F30" w:rsidRDefault="00424F30">
      <w:pPr>
        <w:pStyle w:val="TableofFigures"/>
        <w:tabs>
          <w:tab w:val="right" w:leader="dot" w:pos="9350"/>
        </w:tabs>
        <w:rPr>
          <w:noProof/>
          <w:kern w:val="2"/>
          <w:sz w:val="24"/>
          <w:lang w:eastAsia="en-US"/>
          <w14:ligatures w14:val="standardContextual"/>
        </w:rPr>
      </w:pPr>
      <w:hyperlink w:anchor="_Toc227314413" w:history="1">
        <w:r w:rsidRPr="00B1430A">
          <w:rPr>
            <w:rStyle w:val="Hyperlink"/>
            <w:rFonts w:asciiTheme="majorHAnsi" w:hAnsiTheme="majorHAnsi" w:cs="Arial"/>
            <w:noProof/>
          </w:rPr>
          <w:t>Equation 4. Current Year Uplift Calculation</w:t>
        </w:r>
        <w:r w:rsidRPr="00424F30">
          <w:rPr>
            <w:noProof/>
            <w:webHidden/>
          </w:rPr>
          <w:tab/>
        </w:r>
        <w:r w:rsidRPr="00424F30">
          <w:rPr>
            <w:noProof/>
            <w:webHidden/>
          </w:rPr>
          <w:fldChar w:fldCharType="begin"/>
        </w:r>
        <w:r w:rsidRPr="00424F30">
          <w:rPr>
            <w:noProof/>
            <w:webHidden/>
          </w:rPr>
          <w:instrText xml:space="preserve"> PAGEREF _Toc227314413 \h </w:instrText>
        </w:r>
        <w:r w:rsidRPr="00424F30">
          <w:rPr>
            <w:noProof/>
            <w:webHidden/>
          </w:rPr>
        </w:r>
        <w:r w:rsidRPr="00424F30">
          <w:rPr>
            <w:noProof/>
            <w:webHidden/>
          </w:rPr>
          <w:fldChar w:fldCharType="separate"/>
        </w:r>
        <w:r w:rsidRPr="00424F30">
          <w:rPr>
            <w:noProof/>
            <w:webHidden/>
          </w:rPr>
          <w:t>9</w:t>
        </w:r>
        <w:r w:rsidRPr="00424F30">
          <w:rPr>
            <w:noProof/>
            <w:webHidden/>
          </w:rPr>
          <w:fldChar w:fldCharType="end"/>
        </w:r>
      </w:hyperlink>
    </w:p>
    <w:p w14:paraId="5BB39C95" w14:textId="57E1B7E6" w:rsidR="00424F30" w:rsidRPr="00424F30" w:rsidRDefault="00424F30">
      <w:pPr>
        <w:pStyle w:val="TableofFigures"/>
        <w:tabs>
          <w:tab w:val="right" w:leader="dot" w:pos="9350"/>
        </w:tabs>
        <w:rPr>
          <w:noProof/>
          <w:kern w:val="2"/>
          <w:sz w:val="24"/>
          <w:lang w:eastAsia="en-US"/>
          <w14:ligatures w14:val="standardContextual"/>
        </w:rPr>
      </w:pPr>
      <w:hyperlink w:anchor="_Toc227314414" w:history="1">
        <w:r w:rsidRPr="00B1430A">
          <w:rPr>
            <w:rStyle w:val="Hyperlink"/>
            <w:rFonts w:asciiTheme="majorHAnsi" w:hAnsiTheme="majorHAnsi" w:cs="Arial"/>
            <w:noProof/>
          </w:rPr>
          <w:t>Equation 5. Legacy Uplift Calculation</w:t>
        </w:r>
        <w:r w:rsidRPr="00424F30">
          <w:rPr>
            <w:noProof/>
            <w:webHidden/>
          </w:rPr>
          <w:tab/>
        </w:r>
        <w:r w:rsidRPr="00424F30">
          <w:rPr>
            <w:noProof/>
            <w:webHidden/>
          </w:rPr>
          <w:fldChar w:fldCharType="begin"/>
        </w:r>
        <w:r w:rsidRPr="00424F30">
          <w:rPr>
            <w:noProof/>
            <w:webHidden/>
          </w:rPr>
          <w:instrText xml:space="preserve"> PAGEREF _Toc227314414 \h </w:instrText>
        </w:r>
        <w:r w:rsidRPr="00424F30">
          <w:rPr>
            <w:noProof/>
            <w:webHidden/>
          </w:rPr>
        </w:r>
        <w:r w:rsidRPr="00424F30">
          <w:rPr>
            <w:noProof/>
            <w:webHidden/>
          </w:rPr>
          <w:fldChar w:fldCharType="separate"/>
        </w:r>
        <w:r w:rsidRPr="00424F30">
          <w:rPr>
            <w:noProof/>
            <w:webHidden/>
          </w:rPr>
          <w:t>10</w:t>
        </w:r>
        <w:r w:rsidRPr="00424F30">
          <w:rPr>
            <w:noProof/>
            <w:webHidden/>
          </w:rPr>
          <w:fldChar w:fldCharType="end"/>
        </w:r>
      </w:hyperlink>
    </w:p>
    <w:p w14:paraId="3DA6E9E2" w14:textId="4BF37AA3" w:rsidR="00CD3CAA" w:rsidRDefault="00970BA5">
      <w:r w:rsidRPr="00D65695">
        <w:rPr>
          <w:highlight w:val="yellow"/>
        </w:rPr>
        <w:fldChar w:fldCharType="end"/>
      </w:r>
    </w:p>
    <w:p w14:paraId="632BE945" w14:textId="77777777" w:rsidR="00CD3CAA" w:rsidRDefault="00CD3CAA"/>
    <w:p w14:paraId="08905987" w14:textId="77777777" w:rsidR="00CD3CAA" w:rsidRDefault="00CD3CAA"/>
    <w:p w14:paraId="45B58AD7" w14:textId="2B840588" w:rsidR="00CD3CAA" w:rsidRDefault="00CD3CAA">
      <w:pPr>
        <w:sectPr w:rsidR="00CD3CAA" w:rsidSect="00C86D45">
          <w:headerReference w:type="first" r:id="rId22"/>
          <w:pgSz w:w="12240" w:h="15840"/>
          <w:pgMar w:top="1440" w:right="1440" w:bottom="1440" w:left="1440" w:header="720" w:footer="720" w:gutter="0"/>
          <w:pgNumType w:fmt="lowerRoman"/>
          <w:cols w:space="720"/>
          <w:titlePg/>
          <w:docGrid w:linePitch="360"/>
        </w:sectPr>
      </w:pPr>
    </w:p>
    <w:p w14:paraId="61DD9945" w14:textId="77777777" w:rsidR="00CD3CAA" w:rsidRDefault="00970BA5" w:rsidP="00C86D45">
      <w:pPr>
        <w:pStyle w:val="Heading1"/>
      </w:pPr>
      <w:bookmarkStart w:id="1" w:name="_Toc151976667"/>
      <w:bookmarkStart w:id="2" w:name="_Toc187399541"/>
      <w:bookmarkStart w:id="3" w:name="_Toc227314361"/>
      <w:r>
        <w:lastRenderedPageBreak/>
        <w:t>Introduction</w:t>
      </w:r>
      <w:bookmarkEnd w:id="1"/>
      <w:bookmarkEnd w:id="2"/>
      <w:bookmarkEnd w:id="3"/>
    </w:p>
    <w:p w14:paraId="411A00DF" w14:textId="36354326" w:rsidR="0066457F" w:rsidRDefault="00970BA5" w:rsidP="00B1430A">
      <w:pPr>
        <w:pStyle w:val="BodyText"/>
      </w:pPr>
      <w:r w:rsidRPr="00F64B8B">
        <w:t xml:space="preserve">This report presents </w:t>
      </w:r>
      <w:r>
        <w:t xml:space="preserve">the results of the impact evaluation of the Nicor Gas 2025 </w:t>
      </w:r>
      <w:r w:rsidR="0066457F">
        <w:t>Home Energy Report (HER)</w:t>
      </w:r>
      <w:r>
        <w:t xml:space="preserve"> program. It presents a summary of the energy impacts for the total program and broken out by relevant measure and program structure details. The </w:t>
      </w:r>
      <w:proofErr w:type="spellStart"/>
      <w:r>
        <w:t>appendi</w:t>
      </w:r>
      <w:r w:rsidR="00C8791C">
        <w:t>ce</w:t>
      </w:r>
      <w:proofErr w:type="spellEnd"/>
      <w:r>
        <w:t xml:space="preserve"> </w:t>
      </w:r>
      <w:proofErr w:type="gramStart"/>
      <w:r>
        <w:t>present</w:t>
      </w:r>
      <w:proofErr w:type="gramEnd"/>
      <w:r>
        <w:t xml:space="preserve"> the impact analysis methodology</w:t>
      </w:r>
      <w:r w:rsidR="00C8791C">
        <w:t xml:space="preserve"> and the inputs for cost effectiveness analysis</w:t>
      </w:r>
      <w:r>
        <w:t>. Program year 2025 covers January 1 to December 31, 2025</w:t>
      </w:r>
      <w:r w:rsidRPr="00B52A58">
        <w:t xml:space="preserve">. </w:t>
      </w:r>
    </w:p>
    <w:p w14:paraId="18549E79" w14:textId="11BF229A" w:rsidR="00CD3CAA" w:rsidRDefault="00970BA5" w:rsidP="00C86D45">
      <w:pPr>
        <w:pStyle w:val="Heading1"/>
      </w:pPr>
      <w:bookmarkStart w:id="4" w:name="_Toc227313992"/>
      <w:bookmarkStart w:id="5" w:name="_Toc227314005"/>
      <w:bookmarkStart w:id="6" w:name="_Toc227313993"/>
      <w:bookmarkStart w:id="7" w:name="_Toc227314006"/>
      <w:bookmarkStart w:id="8" w:name="_Toc227313994"/>
      <w:bookmarkStart w:id="9" w:name="_Toc227314007"/>
      <w:bookmarkStart w:id="10" w:name="_Toc227313995"/>
      <w:bookmarkStart w:id="11" w:name="_Toc227314008"/>
      <w:bookmarkStart w:id="12" w:name="_Toc151976668"/>
      <w:bookmarkStart w:id="13" w:name="_Toc187399542"/>
      <w:bookmarkStart w:id="14" w:name="_Toc227314362"/>
      <w:bookmarkEnd w:id="4"/>
      <w:bookmarkEnd w:id="5"/>
      <w:bookmarkEnd w:id="6"/>
      <w:bookmarkEnd w:id="7"/>
      <w:bookmarkEnd w:id="8"/>
      <w:bookmarkEnd w:id="9"/>
      <w:bookmarkEnd w:id="10"/>
      <w:bookmarkEnd w:id="11"/>
      <w:r>
        <w:t xml:space="preserve">Program </w:t>
      </w:r>
      <w:bookmarkEnd w:id="12"/>
      <w:bookmarkEnd w:id="13"/>
      <w:r>
        <w:t>Description</w:t>
      </w:r>
      <w:bookmarkEnd w:id="14"/>
    </w:p>
    <w:p w14:paraId="506F2F85" w14:textId="77777777" w:rsidR="00325170" w:rsidRDefault="00325170" w:rsidP="00325170">
      <w:r>
        <w:t>The program was designed to generate energy savings by providing residential customers with information about energy use and conservation strategies.</w:t>
      </w:r>
      <w:r w:rsidRPr="0066457F">
        <w:t xml:space="preserve"> </w:t>
      </w:r>
      <w:r>
        <w:t>Program participants receive information from regularly mailed and emailed home energy reports, including:</w:t>
      </w:r>
    </w:p>
    <w:p w14:paraId="547EE951" w14:textId="77777777" w:rsidR="00325170" w:rsidRDefault="00325170" w:rsidP="00325170">
      <w:pPr>
        <w:pStyle w:val="ListParagraph"/>
        <w:numPr>
          <w:ilvl w:val="0"/>
          <w:numId w:val="26"/>
        </w:numPr>
        <w:suppressAutoHyphens/>
        <w:spacing w:before="120" w:after="120" w:line="240" w:lineRule="auto"/>
        <w:contextualSpacing w:val="0"/>
      </w:pPr>
      <w:r>
        <w:t>Assessment of how their recent energy use compares to their past energy use</w:t>
      </w:r>
    </w:p>
    <w:p w14:paraId="23C9A6C3" w14:textId="77777777" w:rsidR="00325170" w:rsidRDefault="00325170" w:rsidP="00325170">
      <w:pPr>
        <w:pStyle w:val="ListParagraph"/>
        <w:numPr>
          <w:ilvl w:val="0"/>
          <w:numId w:val="26"/>
        </w:numPr>
        <w:suppressAutoHyphens/>
        <w:spacing w:before="120" w:after="120" w:line="240" w:lineRule="auto"/>
        <w:contextualSpacing w:val="0"/>
      </w:pPr>
      <w:r>
        <w:t>Tips on how to reduce energy consumption, some of which are tailored to the customer’s circumstances</w:t>
      </w:r>
    </w:p>
    <w:p w14:paraId="0A0F549E" w14:textId="77777777" w:rsidR="00325170" w:rsidRPr="00D937E4" w:rsidRDefault="00325170" w:rsidP="00325170">
      <w:pPr>
        <w:pStyle w:val="ListParagraph"/>
        <w:numPr>
          <w:ilvl w:val="0"/>
          <w:numId w:val="26"/>
        </w:numPr>
        <w:suppressAutoHyphens/>
        <w:spacing w:before="120" w:after="120" w:line="240" w:lineRule="auto"/>
        <w:contextualSpacing w:val="0"/>
      </w:pPr>
      <w:r>
        <w:t>Information on how their energy use compares to that of neighbors with similar homes</w:t>
      </w:r>
    </w:p>
    <w:p w14:paraId="70FB04B0" w14:textId="1814B961" w:rsidR="0066457F" w:rsidRPr="004A1129" w:rsidRDefault="0066457F" w:rsidP="0066457F">
      <w:r>
        <w:t xml:space="preserve">An important feature of the Nicor Gas HER program is that it is designed as a randomized controlled trial (RCT). To estimate changes in </w:t>
      </w:r>
      <w:proofErr w:type="gramStart"/>
      <w:r>
        <w:t>energy</w:t>
      </w:r>
      <w:proofErr w:type="gramEnd"/>
      <w:r>
        <w:t xml:space="preserve"> use due to the program, customers in each target group of residential customers were randomly assigned to either the recipient group or the control (non-recipient) group.</w:t>
      </w:r>
      <w:r>
        <w:rPr>
          <w:rStyle w:val="CommentReference"/>
        </w:rPr>
        <w:t xml:space="preserve"> </w:t>
      </w:r>
      <w:r>
        <w:t xml:space="preserve">Customers may opt </w:t>
      </w:r>
      <w:r w:rsidRPr="00C33DAA">
        <w:rPr>
          <w:i/>
        </w:rPr>
        <w:t>out</w:t>
      </w:r>
      <w:r>
        <w:t xml:space="preserve"> of the program at any time but cannot opt </w:t>
      </w:r>
      <w:r w:rsidRPr="00C33DAA">
        <w:rPr>
          <w:i/>
        </w:rPr>
        <w:t>in</w:t>
      </w:r>
      <w:r>
        <w:t xml:space="preserve"> due to the RCT design. An implication of the RCT design is that the savings estimates are intrinsically net of</w:t>
      </w:r>
      <w:r w:rsidR="009F46B9">
        <w:t xml:space="preserve"> </w:t>
      </w:r>
      <w:r>
        <w:t>free-ridership and most spillover bias</w:t>
      </w:r>
      <w:r w:rsidR="00E80229">
        <w:t xml:space="preserve"> but not non-participant spillover</w:t>
      </w:r>
      <w:r>
        <w:t xml:space="preserve">. </w:t>
      </w:r>
    </w:p>
    <w:p w14:paraId="68EFC274" w14:textId="78837C55" w:rsidR="0066457F" w:rsidRPr="0062325C" w:rsidRDefault="0066457F" w:rsidP="0066457F">
      <w:r w:rsidRPr="00FC75E5">
        <w:rPr>
          <w:rFonts w:cs="Arial"/>
          <w:color w:val="000000"/>
          <w:szCs w:val="22"/>
        </w:rPr>
        <w:t xml:space="preserve">The </w:t>
      </w:r>
      <w:r w:rsidRPr="00FA03A3">
        <w:rPr>
          <w:rFonts w:cs="Arial"/>
          <w:color w:val="000000"/>
          <w:szCs w:val="22"/>
        </w:rPr>
        <w:t xml:space="preserve">Nicor Gas HER program </w:t>
      </w:r>
      <w:r w:rsidR="00EA7FDC">
        <w:rPr>
          <w:rFonts w:cs="Arial"/>
          <w:color w:val="000000"/>
          <w:szCs w:val="22"/>
        </w:rPr>
        <w:t>had</w:t>
      </w:r>
      <w:r w:rsidR="00EA7FDC" w:rsidRPr="00FA03A3">
        <w:rPr>
          <w:rFonts w:cs="Arial"/>
          <w:color w:val="000000"/>
          <w:szCs w:val="22"/>
        </w:rPr>
        <w:t xml:space="preserve"> </w:t>
      </w:r>
      <w:r>
        <w:rPr>
          <w:rFonts w:cs="Arial"/>
          <w:color w:val="000000"/>
          <w:szCs w:val="22"/>
        </w:rPr>
        <w:t>one</w:t>
      </w:r>
      <w:r w:rsidRPr="00FA03A3">
        <w:rPr>
          <w:rFonts w:cs="Arial"/>
          <w:color w:val="000000"/>
          <w:szCs w:val="22"/>
        </w:rPr>
        <w:t xml:space="preserve"> </w:t>
      </w:r>
      <w:r w:rsidR="00EA7FDC">
        <w:rPr>
          <w:rFonts w:cs="Arial"/>
          <w:color w:val="000000"/>
          <w:szCs w:val="22"/>
        </w:rPr>
        <w:t xml:space="preserve">active </w:t>
      </w:r>
      <w:r w:rsidRPr="00FA03A3">
        <w:rPr>
          <w:rFonts w:cs="Arial"/>
          <w:color w:val="000000"/>
          <w:szCs w:val="22"/>
        </w:rPr>
        <w:t>wave in 202</w:t>
      </w:r>
      <w:r>
        <w:rPr>
          <w:rFonts w:cs="Arial"/>
          <w:color w:val="000000"/>
          <w:szCs w:val="22"/>
        </w:rPr>
        <w:t>5</w:t>
      </w:r>
      <w:r w:rsidR="00BB1D2F">
        <w:rPr>
          <w:rStyle w:val="FootnoteReference"/>
          <w:rFonts w:cs="Arial"/>
          <w:color w:val="000000"/>
          <w:szCs w:val="22"/>
        </w:rPr>
        <w:footnoteReference w:id="1"/>
      </w:r>
      <w:r w:rsidRPr="00FA03A3">
        <w:rPr>
          <w:rFonts w:cs="Arial"/>
          <w:color w:val="000000"/>
          <w:szCs w:val="22"/>
        </w:rPr>
        <w:t xml:space="preserve">. </w:t>
      </w:r>
      <w:r>
        <w:rPr>
          <w:rFonts w:cs="Arial"/>
          <w:color w:val="000000"/>
          <w:szCs w:val="22"/>
        </w:rPr>
        <w:t xml:space="preserve">Wave 4 was launched in February 2024. </w:t>
      </w:r>
      <w:r>
        <w:rPr>
          <w:rFonts w:cs="Arial"/>
          <w:color w:val="000000"/>
          <w:szCs w:val="22"/>
        </w:rPr>
        <w:fldChar w:fldCharType="begin"/>
      </w:r>
      <w:r>
        <w:rPr>
          <w:rFonts w:cs="Arial"/>
          <w:color w:val="000000"/>
          <w:szCs w:val="22"/>
        </w:rPr>
        <w:instrText xml:space="preserve"> REF _Ref195736058 \h  \* MERGEFORMAT </w:instrText>
      </w:r>
      <w:r>
        <w:rPr>
          <w:rFonts w:cs="Arial"/>
          <w:color w:val="000000"/>
          <w:szCs w:val="22"/>
        </w:rPr>
      </w:r>
      <w:r>
        <w:rPr>
          <w:rFonts w:cs="Arial"/>
          <w:color w:val="000000"/>
          <w:szCs w:val="22"/>
        </w:rPr>
        <w:fldChar w:fldCharType="separate"/>
      </w:r>
      <w:r>
        <w:t xml:space="preserve">Table </w:t>
      </w:r>
      <w:r>
        <w:rPr>
          <w:noProof/>
        </w:rPr>
        <w:t>1</w:t>
      </w:r>
      <w:r>
        <w:rPr>
          <w:rFonts w:cs="Arial"/>
          <w:color w:val="000000"/>
          <w:szCs w:val="22"/>
        </w:rPr>
        <w:fldChar w:fldCharType="end"/>
      </w:r>
      <w:r>
        <w:rPr>
          <w:rFonts w:cs="Arial"/>
          <w:color w:val="000000"/>
          <w:szCs w:val="22"/>
        </w:rPr>
        <w:t xml:space="preserve"> </w:t>
      </w:r>
      <w:r>
        <w:t>shows active accounts at the beginning of the evaluation period, January 2025, for Wave 4.</w:t>
      </w:r>
    </w:p>
    <w:p w14:paraId="5103D958" w14:textId="781840CA" w:rsidR="0066457F" w:rsidRDefault="0066457F" w:rsidP="0066457F">
      <w:r>
        <w:t>The program had 7</w:t>
      </w:r>
      <w:r w:rsidR="00553BC7">
        <w:t>4</w:t>
      </w:r>
      <w:r w:rsidRPr="00EE614F">
        <w:t>,</w:t>
      </w:r>
      <w:r w:rsidR="00553BC7">
        <w:t>065</w:t>
      </w:r>
      <w:r>
        <w:t xml:space="preserve"> total participants in 2025. </w:t>
      </w:r>
    </w:p>
    <w:p w14:paraId="1BB5F2D1" w14:textId="5F46C5E5" w:rsidR="0066457F" w:rsidRDefault="0066457F" w:rsidP="00FF3171">
      <w:pPr>
        <w:pStyle w:val="Caption"/>
      </w:pPr>
      <w:bookmarkStart w:id="15" w:name="_Ref195736058"/>
      <w:bookmarkStart w:id="16" w:name="_Toc198717854"/>
      <w:bookmarkStart w:id="17" w:name="_Toc227314402"/>
      <w:r>
        <w:t xml:space="preserve">Table </w:t>
      </w:r>
      <w:r>
        <w:fldChar w:fldCharType="begin"/>
      </w:r>
      <w:r>
        <w:instrText xml:space="preserve"> SEQ Table \* ARABIC </w:instrText>
      </w:r>
      <w:r>
        <w:fldChar w:fldCharType="separate"/>
      </w:r>
      <w:r w:rsidR="000B4769">
        <w:rPr>
          <w:noProof/>
        </w:rPr>
        <w:t>1</w:t>
      </w:r>
      <w:r>
        <w:fldChar w:fldCharType="end"/>
      </w:r>
      <w:bookmarkEnd w:id="15"/>
      <w:r w:rsidRPr="00F7087A">
        <w:t>.</w:t>
      </w:r>
      <w:r>
        <w:t xml:space="preserve"> 202</w:t>
      </w:r>
      <w:r w:rsidR="001247C2">
        <w:t>5</w:t>
      </w:r>
      <w:r>
        <w:t xml:space="preserve"> </w:t>
      </w:r>
      <w:r w:rsidRPr="005C2837">
        <w:t>Volumetric</w:t>
      </w:r>
      <w:r>
        <w:t xml:space="preserve"> Findings Detail</w:t>
      </w:r>
      <w:bookmarkStart w:id="18" w:name="Table_1"/>
      <w:bookmarkEnd w:id="16"/>
      <w:bookmarkEnd w:id="17"/>
      <w:bookmarkEnd w:id="18"/>
    </w:p>
    <w:tbl>
      <w:tblPr>
        <w:tblW w:w="5971" w:type="dxa"/>
        <w:jc w:val="center"/>
        <w:tblLook w:val="04A0" w:firstRow="1" w:lastRow="0" w:firstColumn="1" w:lastColumn="0" w:noHBand="0" w:noVBand="1"/>
      </w:tblPr>
      <w:tblGrid>
        <w:gridCol w:w="1620"/>
        <w:gridCol w:w="2520"/>
        <w:gridCol w:w="1831"/>
      </w:tblGrid>
      <w:tr w:rsidR="0066457F" w:rsidRPr="00EB1AD3" w14:paraId="7F951E36" w14:textId="77777777" w:rsidTr="00C86D45">
        <w:trPr>
          <w:trHeight w:val="315"/>
          <w:jc w:val="center"/>
        </w:trPr>
        <w:tc>
          <w:tcPr>
            <w:tcW w:w="1620" w:type="dxa"/>
            <w:tcBorders>
              <w:top w:val="nil"/>
              <w:left w:val="nil"/>
              <w:bottom w:val="single" w:sz="12" w:space="0" w:color="95D600"/>
              <w:right w:val="nil"/>
            </w:tcBorders>
            <w:shd w:val="clear" w:color="000000" w:fill="036479"/>
            <w:vAlign w:val="center"/>
            <w:hideMark/>
          </w:tcPr>
          <w:p w14:paraId="2E30FA58" w14:textId="77777777" w:rsidR="0066457F" w:rsidRPr="00EE14C7" w:rsidRDefault="0066457F" w:rsidP="00C86D45">
            <w:pPr>
              <w:spacing w:after="0"/>
              <w:rPr>
                <w:rFonts w:cs="Calibri"/>
                <w:b/>
                <w:bCs/>
                <w:color w:val="FFFFFF"/>
                <w:sz w:val="20"/>
                <w:szCs w:val="20"/>
              </w:rPr>
            </w:pPr>
            <w:r w:rsidRPr="00EE14C7">
              <w:rPr>
                <w:rFonts w:cs="Calibri"/>
                <w:b/>
                <w:bCs/>
                <w:color w:val="FFFFFF"/>
                <w:sz w:val="20"/>
                <w:szCs w:val="20"/>
              </w:rPr>
              <w:t>Wave</w:t>
            </w:r>
          </w:p>
        </w:tc>
        <w:tc>
          <w:tcPr>
            <w:tcW w:w="2520" w:type="dxa"/>
            <w:tcBorders>
              <w:top w:val="nil"/>
              <w:left w:val="nil"/>
              <w:bottom w:val="single" w:sz="12" w:space="0" w:color="95D600"/>
              <w:right w:val="nil"/>
            </w:tcBorders>
            <w:shd w:val="clear" w:color="000000" w:fill="036479"/>
            <w:vAlign w:val="center"/>
            <w:hideMark/>
          </w:tcPr>
          <w:p w14:paraId="2800C136" w14:textId="77777777" w:rsidR="0066457F" w:rsidRPr="00EE14C7" w:rsidRDefault="0066457F" w:rsidP="00C86D45">
            <w:pPr>
              <w:spacing w:after="0"/>
              <w:jc w:val="right"/>
              <w:rPr>
                <w:rFonts w:cs="Calibri"/>
                <w:b/>
                <w:bCs/>
                <w:color w:val="FFFFFF"/>
                <w:sz w:val="20"/>
                <w:szCs w:val="20"/>
              </w:rPr>
            </w:pPr>
            <w:r w:rsidRPr="00EE14C7">
              <w:rPr>
                <w:rFonts w:cs="Calibri"/>
                <w:b/>
                <w:bCs/>
                <w:color w:val="FFFFFF"/>
                <w:sz w:val="20"/>
                <w:szCs w:val="20"/>
              </w:rPr>
              <w:t>Participant Count</w:t>
            </w:r>
          </w:p>
        </w:tc>
        <w:tc>
          <w:tcPr>
            <w:tcW w:w="1831" w:type="dxa"/>
            <w:tcBorders>
              <w:top w:val="nil"/>
              <w:left w:val="nil"/>
              <w:bottom w:val="single" w:sz="12" w:space="0" w:color="95D600"/>
              <w:right w:val="nil"/>
            </w:tcBorders>
            <w:shd w:val="clear" w:color="000000" w:fill="036479"/>
            <w:vAlign w:val="center"/>
            <w:hideMark/>
          </w:tcPr>
          <w:p w14:paraId="4000F3C8" w14:textId="77777777" w:rsidR="0066457F" w:rsidRPr="00EE14C7" w:rsidRDefault="0066457F" w:rsidP="00C86D45">
            <w:pPr>
              <w:spacing w:after="0"/>
              <w:jc w:val="right"/>
              <w:rPr>
                <w:rFonts w:cs="Calibri"/>
                <w:b/>
                <w:bCs/>
                <w:color w:val="FFFFFF"/>
                <w:sz w:val="20"/>
                <w:szCs w:val="20"/>
              </w:rPr>
            </w:pPr>
            <w:r w:rsidRPr="00EE14C7">
              <w:rPr>
                <w:rFonts w:cs="Calibri"/>
                <w:b/>
                <w:bCs/>
                <w:color w:val="FFFFFF"/>
                <w:sz w:val="20"/>
                <w:szCs w:val="20"/>
              </w:rPr>
              <w:t>Control Count</w:t>
            </w:r>
          </w:p>
        </w:tc>
      </w:tr>
      <w:tr w:rsidR="0066457F" w:rsidRPr="00EB1AD3" w14:paraId="653F8658" w14:textId="77777777" w:rsidTr="00C86D45">
        <w:trPr>
          <w:trHeight w:val="315"/>
          <w:jc w:val="center"/>
        </w:trPr>
        <w:tc>
          <w:tcPr>
            <w:tcW w:w="1620" w:type="dxa"/>
            <w:tcBorders>
              <w:top w:val="nil"/>
              <w:left w:val="nil"/>
              <w:bottom w:val="single" w:sz="8" w:space="0" w:color="B3EFFD"/>
              <w:right w:val="nil"/>
            </w:tcBorders>
            <w:shd w:val="clear" w:color="000000" w:fill="FFFFFF"/>
            <w:vAlign w:val="center"/>
            <w:hideMark/>
          </w:tcPr>
          <w:p w14:paraId="749D6D31" w14:textId="77777777" w:rsidR="0066457F" w:rsidRPr="00EE14C7" w:rsidRDefault="0066457F" w:rsidP="00C86D45">
            <w:pPr>
              <w:spacing w:after="0"/>
              <w:rPr>
                <w:rFonts w:cs="Calibri"/>
                <w:color w:val="000000"/>
                <w:sz w:val="20"/>
                <w:szCs w:val="20"/>
              </w:rPr>
            </w:pPr>
            <w:r w:rsidRPr="00EE14C7">
              <w:rPr>
                <w:rFonts w:cs="Calibri"/>
                <w:color w:val="000000"/>
                <w:sz w:val="20"/>
                <w:szCs w:val="20"/>
              </w:rPr>
              <w:t>Wave 4 (202402)</w:t>
            </w:r>
          </w:p>
        </w:tc>
        <w:tc>
          <w:tcPr>
            <w:tcW w:w="2520" w:type="dxa"/>
            <w:tcBorders>
              <w:top w:val="nil"/>
              <w:left w:val="nil"/>
              <w:bottom w:val="single" w:sz="8" w:space="0" w:color="B3EFFD"/>
              <w:right w:val="nil"/>
            </w:tcBorders>
            <w:shd w:val="clear" w:color="000000" w:fill="FFFFFF"/>
            <w:vAlign w:val="center"/>
            <w:hideMark/>
          </w:tcPr>
          <w:p w14:paraId="5672DF16" w14:textId="55BA5BF7" w:rsidR="0066457F" w:rsidRPr="00EE14C7" w:rsidRDefault="0066457F" w:rsidP="00C86D45">
            <w:pPr>
              <w:spacing w:after="0"/>
              <w:jc w:val="right"/>
              <w:rPr>
                <w:rFonts w:cs="Calibri"/>
                <w:color w:val="000000"/>
                <w:sz w:val="20"/>
                <w:szCs w:val="20"/>
              </w:rPr>
            </w:pPr>
            <w:r w:rsidRPr="00EE14C7">
              <w:rPr>
                <w:rFonts w:cs="Calibri"/>
                <w:color w:val="000000"/>
                <w:sz w:val="20"/>
                <w:szCs w:val="20"/>
              </w:rPr>
              <w:t xml:space="preserve">                     7</w:t>
            </w:r>
            <w:r w:rsidR="007D3F48">
              <w:rPr>
                <w:rFonts w:cs="Calibri"/>
                <w:color w:val="000000"/>
                <w:sz w:val="20"/>
                <w:szCs w:val="20"/>
              </w:rPr>
              <w:t>4</w:t>
            </w:r>
            <w:r w:rsidRPr="00EE14C7">
              <w:rPr>
                <w:rFonts w:cs="Calibri"/>
                <w:color w:val="000000"/>
                <w:sz w:val="20"/>
                <w:szCs w:val="20"/>
              </w:rPr>
              <w:t>,</w:t>
            </w:r>
            <w:r w:rsidR="007D3F48">
              <w:rPr>
                <w:rFonts w:cs="Calibri"/>
                <w:color w:val="000000"/>
                <w:sz w:val="20"/>
                <w:szCs w:val="20"/>
              </w:rPr>
              <w:t>065</w:t>
            </w:r>
            <w:r w:rsidRPr="00EE14C7">
              <w:rPr>
                <w:rFonts w:cs="Calibri"/>
                <w:color w:val="000000"/>
                <w:sz w:val="20"/>
                <w:szCs w:val="20"/>
              </w:rPr>
              <w:t xml:space="preserve"> </w:t>
            </w:r>
          </w:p>
        </w:tc>
        <w:tc>
          <w:tcPr>
            <w:tcW w:w="1831" w:type="dxa"/>
            <w:tcBorders>
              <w:top w:val="nil"/>
              <w:left w:val="nil"/>
              <w:bottom w:val="single" w:sz="8" w:space="0" w:color="B3EFFD"/>
              <w:right w:val="nil"/>
            </w:tcBorders>
            <w:shd w:val="clear" w:color="000000" w:fill="FFFFFF"/>
            <w:vAlign w:val="center"/>
            <w:hideMark/>
          </w:tcPr>
          <w:p w14:paraId="0FE52816" w14:textId="2B779B42" w:rsidR="0066457F" w:rsidRPr="00EE14C7" w:rsidRDefault="0066457F" w:rsidP="00C86D45">
            <w:pPr>
              <w:spacing w:after="0"/>
              <w:jc w:val="right"/>
              <w:rPr>
                <w:rFonts w:cs="Calibri"/>
                <w:color w:val="000000"/>
                <w:sz w:val="20"/>
                <w:szCs w:val="20"/>
              </w:rPr>
            </w:pPr>
            <w:r w:rsidRPr="00EE14C7">
              <w:rPr>
                <w:rFonts w:cs="Calibri"/>
                <w:color w:val="000000"/>
                <w:sz w:val="20"/>
                <w:szCs w:val="20"/>
              </w:rPr>
              <w:t>2</w:t>
            </w:r>
            <w:r w:rsidR="007D3F48">
              <w:rPr>
                <w:rFonts w:cs="Calibri"/>
                <w:color w:val="000000"/>
                <w:sz w:val="20"/>
                <w:szCs w:val="20"/>
              </w:rPr>
              <w:t>3</w:t>
            </w:r>
            <w:r w:rsidRPr="00EE14C7">
              <w:rPr>
                <w:rFonts w:cs="Calibri"/>
                <w:color w:val="000000"/>
                <w:sz w:val="20"/>
                <w:szCs w:val="20"/>
              </w:rPr>
              <w:t>,</w:t>
            </w:r>
            <w:r w:rsidR="007D3F48">
              <w:rPr>
                <w:rFonts w:cs="Calibri"/>
                <w:color w:val="000000"/>
                <w:sz w:val="20"/>
                <w:szCs w:val="20"/>
              </w:rPr>
              <w:t>501</w:t>
            </w:r>
            <w:r w:rsidRPr="00EE14C7">
              <w:rPr>
                <w:rFonts w:cs="Calibri"/>
                <w:color w:val="000000"/>
                <w:sz w:val="20"/>
                <w:szCs w:val="20"/>
              </w:rPr>
              <w:t xml:space="preserve"> </w:t>
            </w:r>
          </w:p>
        </w:tc>
      </w:tr>
      <w:tr w:rsidR="0066457F" w:rsidRPr="00EB1AD3" w14:paraId="60469121" w14:textId="77777777" w:rsidTr="00C86D45">
        <w:trPr>
          <w:trHeight w:val="300"/>
          <w:jc w:val="center"/>
        </w:trPr>
        <w:tc>
          <w:tcPr>
            <w:tcW w:w="1620" w:type="dxa"/>
            <w:tcBorders>
              <w:top w:val="nil"/>
              <w:left w:val="nil"/>
              <w:bottom w:val="single" w:sz="4" w:space="0" w:color="auto"/>
              <w:right w:val="nil"/>
            </w:tcBorders>
            <w:shd w:val="clear" w:color="000000" w:fill="FFFFFF"/>
            <w:vAlign w:val="center"/>
            <w:hideMark/>
          </w:tcPr>
          <w:p w14:paraId="5111BA34" w14:textId="77777777" w:rsidR="0066457F" w:rsidRPr="00EE14C7" w:rsidRDefault="0066457F" w:rsidP="00C86D45">
            <w:pPr>
              <w:spacing w:after="0"/>
              <w:rPr>
                <w:rFonts w:cs="Calibri"/>
                <w:b/>
                <w:bCs/>
                <w:color w:val="000000"/>
                <w:sz w:val="20"/>
                <w:szCs w:val="20"/>
              </w:rPr>
            </w:pPr>
            <w:r w:rsidRPr="00EE14C7">
              <w:rPr>
                <w:rFonts w:cs="Calibri"/>
                <w:b/>
                <w:bCs/>
                <w:color w:val="000000"/>
                <w:sz w:val="20"/>
                <w:szCs w:val="20"/>
              </w:rPr>
              <w:t>Total</w:t>
            </w:r>
          </w:p>
        </w:tc>
        <w:tc>
          <w:tcPr>
            <w:tcW w:w="2520" w:type="dxa"/>
            <w:tcBorders>
              <w:top w:val="nil"/>
              <w:left w:val="nil"/>
              <w:bottom w:val="single" w:sz="4" w:space="0" w:color="auto"/>
              <w:right w:val="nil"/>
            </w:tcBorders>
            <w:shd w:val="clear" w:color="000000" w:fill="FFFFFF"/>
            <w:vAlign w:val="center"/>
            <w:hideMark/>
          </w:tcPr>
          <w:p w14:paraId="30214DBC" w14:textId="626D86C8" w:rsidR="0066457F" w:rsidRPr="00EE14C7" w:rsidRDefault="0066457F" w:rsidP="00C86D45">
            <w:pPr>
              <w:spacing w:after="0"/>
              <w:jc w:val="right"/>
              <w:rPr>
                <w:rFonts w:cs="Calibri"/>
                <w:b/>
                <w:bCs/>
                <w:color w:val="000000"/>
                <w:sz w:val="20"/>
                <w:szCs w:val="20"/>
              </w:rPr>
            </w:pPr>
            <w:r w:rsidRPr="00EE14C7">
              <w:rPr>
                <w:rFonts w:cs="Calibri"/>
                <w:b/>
                <w:bCs/>
                <w:color w:val="000000"/>
                <w:sz w:val="20"/>
                <w:szCs w:val="20"/>
              </w:rPr>
              <w:t>7</w:t>
            </w:r>
            <w:r w:rsidR="007D3F48">
              <w:rPr>
                <w:rFonts w:cs="Calibri"/>
                <w:b/>
                <w:bCs/>
                <w:color w:val="000000"/>
                <w:sz w:val="20"/>
                <w:szCs w:val="20"/>
              </w:rPr>
              <w:t>4</w:t>
            </w:r>
            <w:r w:rsidRPr="00EE14C7">
              <w:rPr>
                <w:rFonts w:cs="Calibri"/>
                <w:b/>
                <w:bCs/>
                <w:color w:val="000000"/>
                <w:sz w:val="20"/>
                <w:szCs w:val="20"/>
              </w:rPr>
              <w:t>,</w:t>
            </w:r>
            <w:r w:rsidR="007D3F48">
              <w:rPr>
                <w:rFonts w:cs="Calibri"/>
                <w:b/>
                <w:bCs/>
                <w:color w:val="000000"/>
                <w:sz w:val="20"/>
                <w:szCs w:val="20"/>
              </w:rPr>
              <w:t>065</w:t>
            </w:r>
          </w:p>
        </w:tc>
        <w:tc>
          <w:tcPr>
            <w:tcW w:w="1831" w:type="dxa"/>
            <w:tcBorders>
              <w:top w:val="nil"/>
              <w:left w:val="nil"/>
              <w:bottom w:val="single" w:sz="4" w:space="0" w:color="auto"/>
              <w:right w:val="nil"/>
            </w:tcBorders>
            <w:shd w:val="clear" w:color="000000" w:fill="FFFFFF"/>
            <w:vAlign w:val="center"/>
            <w:hideMark/>
          </w:tcPr>
          <w:p w14:paraId="08AFEDE8" w14:textId="75DCD63E" w:rsidR="0066457F" w:rsidRPr="00EE14C7" w:rsidRDefault="0066457F" w:rsidP="00C86D45">
            <w:pPr>
              <w:spacing w:after="0"/>
              <w:jc w:val="right"/>
              <w:rPr>
                <w:rFonts w:cs="Calibri"/>
                <w:b/>
                <w:bCs/>
                <w:color w:val="000000"/>
                <w:sz w:val="20"/>
                <w:szCs w:val="20"/>
              </w:rPr>
            </w:pPr>
            <w:r w:rsidRPr="00EE14C7">
              <w:rPr>
                <w:rFonts w:cs="Calibri"/>
                <w:b/>
                <w:bCs/>
                <w:color w:val="000000"/>
                <w:sz w:val="20"/>
                <w:szCs w:val="20"/>
              </w:rPr>
              <w:t>2</w:t>
            </w:r>
            <w:r w:rsidR="007D3F48">
              <w:rPr>
                <w:rFonts w:cs="Calibri"/>
                <w:b/>
                <w:bCs/>
                <w:color w:val="000000"/>
                <w:sz w:val="20"/>
                <w:szCs w:val="20"/>
              </w:rPr>
              <w:t>3</w:t>
            </w:r>
            <w:r w:rsidRPr="00EE14C7">
              <w:rPr>
                <w:rFonts w:cs="Calibri"/>
                <w:b/>
                <w:bCs/>
                <w:color w:val="000000"/>
                <w:sz w:val="20"/>
                <w:szCs w:val="20"/>
              </w:rPr>
              <w:t>,</w:t>
            </w:r>
            <w:r w:rsidR="007D3F48">
              <w:rPr>
                <w:rFonts w:cs="Calibri"/>
                <w:b/>
                <w:bCs/>
                <w:color w:val="000000"/>
                <w:sz w:val="20"/>
                <w:szCs w:val="20"/>
              </w:rPr>
              <w:t>501</w:t>
            </w:r>
          </w:p>
        </w:tc>
      </w:tr>
    </w:tbl>
    <w:p w14:paraId="0E3A9381" w14:textId="77777777" w:rsidR="0066457F" w:rsidRPr="000D4E58" w:rsidRDefault="0066457F" w:rsidP="0066457F">
      <w:pPr>
        <w:pStyle w:val="Source"/>
        <w:ind w:left="1695" w:right="2160"/>
        <w:rPr>
          <w:rFonts w:asciiTheme="minorHAnsi" w:hAnsiTheme="minorHAnsi"/>
          <w:iCs/>
          <w:sz w:val="18"/>
          <w:szCs w:val="18"/>
        </w:rPr>
      </w:pPr>
      <w:r w:rsidRPr="000D4E58">
        <w:rPr>
          <w:rFonts w:asciiTheme="minorHAnsi" w:hAnsiTheme="minorHAnsi"/>
          <w:iCs/>
          <w:sz w:val="18"/>
          <w:szCs w:val="18"/>
        </w:rPr>
        <w:t>Source: Guidehouse analysis of Nicor Gas program tracking and customer billing data.</w:t>
      </w:r>
    </w:p>
    <w:p w14:paraId="58EC258C" w14:textId="77777777" w:rsidR="0066457F" w:rsidRDefault="0066457F" w:rsidP="00C86D45"/>
    <w:p w14:paraId="2CBD6F36" w14:textId="77777777" w:rsidR="00CD3CAA" w:rsidRDefault="00970BA5" w:rsidP="00C86D45">
      <w:pPr>
        <w:pStyle w:val="Heading1"/>
      </w:pPr>
      <w:bookmarkStart w:id="19" w:name="_Toc227314363"/>
      <w:r>
        <w:lastRenderedPageBreak/>
        <w:t>Program Savings Detail</w:t>
      </w:r>
      <w:bookmarkEnd w:id="19"/>
    </w:p>
    <w:bookmarkStart w:id="20" w:name="_Ref500500894"/>
    <w:bookmarkStart w:id="21" w:name="_Toc397011684"/>
    <w:bookmarkStart w:id="22" w:name="_Toc397011694"/>
    <w:bookmarkStart w:id="23" w:name="_Toc398541809"/>
    <w:bookmarkStart w:id="24" w:name="_Toc398541922"/>
    <w:bookmarkStart w:id="25" w:name="_Toc398546654"/>
    <w:bookmarkStart w:id="26" w:name="_Toc423009516"/>
    <w:bookmarkStart w:id="27" w:name="_Toc426278634"/>
    <w:bookmarkStart w:id="28" w:name="_Toc61360847"/>
    <w:bookmarkStart w:id="29" w:name="_Toc189750768"/>
    <w:p w14:paraId="6D95EBB4" w14:textId="44A9EEDD" w:rsidR="00CD3CAA" w:rsidRPr="00C82B33" w:rsidRDefault="00C82B33" w:rsidP="00C82B33">
      <w:r>
        <w:fldChar w:fldCharType="begin"/>
      </w:r>
      <w:r>
        <w:instrText xml:space="preserve"> REF _Ref226720800 \h </w:instrText>
      </w:r>
      <w:r>
        <w:fldChar w:fldCharType="separate"/>
      </w:r>
      <w:r>
        <w:t xml:space="preserve">Table </w:t>
      </w:r>
      <w:r>
        <w:rPr>
          <w:noProof/>
        </w:rPr>
        <w:t>2</w:t>
      </w:r>
      <w:r>
        <w:fldChar w:fldCharType="end"/>
      </w:r>
      <w:r>
        <w:t xml:space="preserve"> </w:t>
      </w:r>
      <w:r w:rsidR="0066457F">
        <w:t xml:space="preserve">summarizes the energy savings the HER Program achieved in 2025. </w:t>
      </w:r>
      <w:r w:rsidR="0066457F" w:rsidRPr="009B04CE">
        <w:t>These savings reflect adjustments for uplift</w:t>
      </w:r>
      <w:r w:rsidR="0066457F" w:rsidRPr="009B04CE">
        <w:rPr>
          <w:rStyle w:val="FootnoteReference"/>
        </w:rPr>
        <w:footnoteReference w:id="2"/>
      </w:r>
      <w:r w:rsidR="0066457F" w:rsidRPr="009B04CE">
        <w:t xml:space="preserve"> </w:t>
      </w:r>
      <w:r w:rsidR="0044611A">
        <w:t>and for</w:t>
      </w:r>
      <w:r w:rsidR="0066457F" w:rsidRPr="009B04CE">
        <w:t xml:space="preserve"> removing savings persisting from 202</w:t>
      </w:r>
      <w:r w:rsidR="0066457F">
        <w:t>4</w:t>
      </w:r>
      <w:r w:rsidR="00E60AF9">
        <w:t>,</w:t>
      </w:r>
      <w:r w:rsidR="0066457F" w:rsidRPr="009B04CE">
        <w:t xml:space="preserve"> per the Illinois Statewide Technical Reference Manual (IL-TRM).</w:t>
      </w:r>
      <w:r w:rsidR="0066457F" w:rsidRPr="009B04CE">
        <w:rPr>
          <w:rStyle w:val="FootnoteReference"/>
        </w:rPr>
        <w:footnoteReference w:id="3"/>
      </w:r>
      <w:r w:rsidR="0066457F">
        <w:rPr>
          <w:rStyle w:val="ui-provider"/>
        </w:rPr>
        <w:t> </w:t>
      </w:r>
      <w:r w:rsidR="0066457F">
        <w:t xml:space="preserve">As the RCT design inherently estimates savings that are net of participant spillover and free ridership, neither the evaluation team nor the implementer estimated gross savings, and there is no gross realization rate and no net-to-gross (NTG) ratio. Guidehouse added non-participant spillover (NPSO) to its initial savings estimate using the deemed factor of 1.048; to ensure an apples-to-apples comparison for the net realization rate this same deemed factor was applied to the ex-ante savings. The realization rate </w:t>
      </w:r>
      <w:r w:rsidR="0066457F" w:rsidRPr="000679BB">
        <w:t xml:space="preserve">is </w:t>
      </w:r>
      <w:r w:rsidR="0066457F">
        <w:t>8</w:t>
      </w:r>
      <w:r w:rsidR="00C87DD6">
        <w:t>8</w:t>
      </w:r>
      <w:r w:rsidR="0066457F" w:rsidRPr="000679BB">
        <w:t>%</w:t>
      </w:r>
      <w:bookmarkStart w:id="30" w:name="Table_3"/>
      <w:bookmarkEnd w:id="20"/>
      <w:bookmarkEnd w:id="21"/>
      <w:bookmarkEnd w:id="22"/>
      <w:bookmarkEnd w:id="23"/>
      <w:bookmarkEnd w:id="24"/>
      <w:bookmarkEnd w:id="25"/>
      <w:bookmarkEnd w:id="26"/>
      <w:bookmarkEnd w:id="27"/>
      <w:bookmarkEnd w:id="28"/>
      <w:bookmarkEnd w:id="29"/>
      <w:bookmarkEnd w:id="30"/>
      <w:r w:rsidR="00970BA5">
        <w:t>.</w:t>
      </w:r>
    </w:p>
    <w:p w14:paraId="206DAE7C" w14:textId="46C2DBB4" w:rsidR="00C82B33" w:rsidRDefault="00C82B33" w:rsidP="00FF3171">
      <w:pPr>
        <w:pStyle w:val="Caption"/>
      </w:pPr>
      <w:bookmarkStart w:id="31" w:name="_Ref226720800"/>
      <w:bookmarkStart w:id="32" w:name="_Toc227314403"/>
      <w:r>
        <w:t xml:space="preserve">Table </w:t>
      </w:r>
      <w:r>
        <w:fldChar w:fldCharType="begin"/>
      </w:r>
      <w:r>
        <w:instrText xml:space="preserve"> SEQ Table \* ARABIC </w:instrText>
      </w:r>
      <w:r>
        <w:fldChar w:fldCharType="separate"/>
      </w:r>
      <w:r w:rsidR="000B4769">
        <w:rPr>
          <w:noProof/>
        </w:rPr>
        <w:t>2</w:t>
      </w:r>
      <w:r>
        <w:fldChar w:fldCharType="end"/>
      </w:r>
      <w:bookmarkEnd w:id="31"/>
      <w:r>
        <w:t xml:space="preserve">. </w:t>
      </w:r>
      <w:r w:rsidRPr="00233A83">
        <w:t>2025 Annual Energy Savings Summary</w:t>
      </w:r>
      <w:bookmarkEnd w:id="32"/>
    </w:p>
    <w:tbl>
      <w:tblPr>
        <w:tblW w:w="5000" w:type="pct"/>
        <w:tblLook w:val="04A0" w:firstRow="1" w:lastRow="0" w:firstColumn="1" w:lastColumn="0" w:noHBand="0" w:noVBand="1"/>
      </w:tblPr>
      <w:tblGrid>
        <w:gridCol w:w="946"/>
        <w:gridCol w:w="1128"/>
        <w:gridCol w:w="1830"/>
        <w:gridCol w:w="1277"/>
        <w:gridCol w:w="1092"/>
        <w:gridCol w:w="1016"/>
        <w:gridCol w:w="929"/>
        <w:gridCol w:w="1142"/>
      </w:tblGrid>
      <w:tr w:rsidR="00EE14C7" w:rsidRPr="00EE14C7" w14:paraId="18442A57" w14:textId="77777777" w:rsidTr="00EE14C7">
        <w:trPr>
          <w:trHeight w:val="1035"/>
        </w:trPr>
        <w:tc>
          <w:tcPr>
            <w:tcW w:w="443" w:type="pct"/>
            <w:tcBorders>
              <w:top w:val="nil"/>
              <w:left w:val="nil"/>
              <w:bottom w:val="single" w:sz="12" w:space="0" w:color="95D600"/>
              <w:right w:val="nil"/>
            </w:tcBorders>
            <w:shd w:val="clear" w:color="000000" w:fill="036479"/>
            <w:vAlign w:val="center"/>
            <w:hideMark/>
          </w:tcPr>
          <w:p w14:paraId="28905C55" w14:textId="77777777" w:rsidR="00EE14C7" w:rsidRPr="00EE14C7" w:rsidRDefault="00EE14C7" w:rsidP="00EE14C7">
            <w:pPr>
              <w:spacing w:after="0" w:line="240" w:lineRule="auto"/>
              <w:rPr>
                <w:rFonts w:eastAsia="Times New Roman" w:cs="Calibri"/>
                <w:b/>
                <w:bCs/>
                <w:color w:val="FFFFFF"/>
                <w:sz w:val="20"/>
                <w:szCs w:val="20"/>
                <w:lang w:eastAsia="en-US"/>
              </w:rPr>
            </w:pPr>
            <w:bookmarkStart w:id="33" w:name="_Hlk500574807"/>
            <w:r w:rsidRPr="00EE14C7">
              <w:rPr>
                <w:rFonts w:eastAsia="Times New Roman" w:cs="Calibri"/>
                <w:b/>
                <w:bCs/>
                <w:color w:val="FFFFFF"/>
                <w:sz w:val="20"/>
                <w:szCs w:val="20"/>
                <w:lang w:eastAsia="en-US"/>
              </w:rPr>
              <w:t>Wave</w:t>
            </w:r>
          </w:p>
        </w:tc>
        <w:tc>
          <w:tcPr>
            <w:tcW w:w="644" w:type="pct"/>
            <w:tcBorders>
              <w:top w:val="nil"/>
              <w:left w:val="nil"/>
              <w:bottom w:val="single" w:sz="12" w:space="0" w:color="95D600"/>
              <w:right w:val="nil"/>
            </w:tcBorders>
            <w:shd w:val="clear" w:color="000000" w:fill="036479"/>
            <w:vAlign w:val="center"/>
            <w:hideMark/>
          </w:tcPr>
          <w:p w14:paraId="4532F468"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Ex-Ante Savings (therms)*</w:t>
            </w:r>
          </w:p>
        </w:tc>
        <w:tc>
          <w:tcPr>
            <w:tcW w:w="1019" w:type="pct"/>
            <w:tcBorders>
              <w:top w:val="nil"/>
              <w:left w:val="nil"/>
              <w:bottom w:val="single" w:sz="12" w:space="0" w:color="95D600"/>
              <w:right w:val="nil"/>
            </w:tcBorders>
            <w:shd w:val="clear" w:color="000000" w:fill="036479"/>
            <w:vAlign w:val="center"/>
            <w:hideMark/>
          </w:tcPr>
          <w:p w14:paraId="4ED71737"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Verified Unadjusted Savings (therms)</w:t>
            </w:r>
          </w:p>
        </w:tc>
        <w:tc>
          <w:tcPr>
            <w:tcW w:w="723" w:type="pct"/>
            <w:tcBorders>
              <w:top w:val="nil"/>
              <w:left w:val="nil"/>
              <w:bottom w:val="single" w:sz="12" w:space="0" w:color="95D600"/>
              <w:right w:val="nil"/>
            </w:tcBorders>
            <w:shd w:val="clear" w:color="000000" w:fill="036479"/>
            <w:vAlign w:val="center"/>
            <w:hideMark/>
          </w:tcPr>
          <w:p w14:paraId="2CA2863A"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Total Uplift and Persistence Adjustment (therms)</w:t>
            </w:r>
          </w:p>
        </w:tc>
        <w:tc>
          <w:tcPr>
            <w:tcW w:w="624" w:type="pct"/>
            <w:tcBorders>
              <w:top w:val="nil"/>
              <w:left w:val="nil"/>
              <w:bottom w:val="single" w:sz="12" w:space="0" w:color="95D600"/>
              <w:right w:val="nil"/>
            </w:tcBorders>
            <w:shd w:val="clear" w:color="000000" w:fill="036479"/>
            <w:vAlign w:val="center"/>
            <w:hideMark/>
          </w:tcPr>
          <w:p w14:paraId="72043276"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Verified Adjusted Savings (therms)</w:t>
            </w:r>
          </w:p>
        </w:tc>
        <w:tc>
          <w:tcPr>
            <w:tcW w:w="500" w:type="pct"/>
            <w:tcBorders>
              <w:top w:val="nil"/>
              <w:left w:val="nil"/>
              <w:bottom w:val="single" w:sz="12" w:space="0" w:color="95D600"/>
              <w:right w:val="nil"/>
            </w:tcBorders>
            <w:shd w:val="clear" w:color="000000" w:fill="036479"/>
            <w:vAlign w:val="center"/>
            <w:hideMark/>
          </w:tcPr>
          <w:p w14:paraId="2610DF71"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NPSO (therms)‡</w:t>
            </w:r>
          </w:p>
        </w:tc>
        <w:tc>
          <w:tcPr>
            <w:tcW w:w="536" w:type="pct"/>
            <w:tcBorders>
              <w:top w:val="nil"/>
              <w:left w:val="nil"/>
              <w:bottom w:val="single" w:sz="12" w:space="0" w:color="95D600"/>
              <w:right w:val="nil"/>
            </w:tcBorders>
            <w:shd w:val="clear" w:color="000000" w:fill="036479"/>
            <w:vAlign w:val="center"/>
            <w:hideMark/>
          </w:tcPr>
          <w:p w14:paraId="7058AE37"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Final Verified Savings (therms)</w:t>
            </w:r>
          </w:p>
        </w:tc>
        <w:tc>
          <w:tcPr>
            <w:tcW w:w="511" w:type="pct"/>
            <w:tcBorders>
              <w:top w:val="nil"/>
              <w:left w:val="nil"/>
              <w:bottom w:val="single" w:sz="12" w:space="0" w:color="95D600"/>
              <w:right w:val="nil"/>
            </w:tcBorders>
            <w:shd w:val="clear" w:color="000000" w:fill="036479"/>
            <w:vAlign w:val="center"/>
            <w:hideMark/>
          </w:tcPr>
          <w:p w14:paraId="15206EB7" w14:textId="77777777" w:rsidR="00EE14C7" w:rsidRPr="00EE14C7" w:rsidRDefault="00EE14C7" w:rsidP="00EE14C7">
            <w:pPr>
              <w:spacing w:after="0" w:line="240" w:lineRule="auto"/>
              <w:jc w:val="right"/>
              <w:rPr>
                <w:rFonts w:eastAsia="Times New Roman" w:cs="Calibri"/>
                <w:b/>
                <w:bCs/>
                <w:color w:val="FFFFFF"/>
                <w:sz w:val="20"/>
                <w:szCs w:val="20"/>
                <w:lang w:eastAsia="en-US"/>
              </w:rPr>
            </w:pPr>
            <w:r w:rsidRPr="00EE14C7">
              <w:rPr>
                <w:rFonts w:eastAsia="Times New Roman" w:cs="Calibri"/>
                <w:b/>
                <w:bCs/>
                <w:color w:val="FFFFFF"/>
                <w:sz w:val="20"/>
                <w:szCs w:val="20"/>
                <w:lang w:eastAsia="en-US"/>
              </w:rPr>
              <w:t>Verified Realization Rate*</w:t>
            </w:r>
          </w:p>
        </w:tc>
      </w:tr>
      <w:tr w:rsidR="00EE14C7" w:rsidRPr="00EE14C7" w14:paraId="0436C69F" w14:textId="77777777" w:rsidTr="00EE14C7">
        <w:trPr>
          <w:trHeight w:val="330"/>
        </w:trPr>
        <w:tc>
          <w:tcPr>
            <w:tcW w:w="443" w:type="pct"/>
            <w:tcBorders>
              <w:top w:val="nil"/>
              <w:left w:val="nil"/>
              <w:bottom w:val="single" w:sz="8" w:space="0" w:color="B3EFFD"/>
              <w:right w:val="nil"/>
            </w:tcBorders>
            <w:shd w:val="clear" w:color="000000" w:fill="FFFFFF"/>
            <w:vAlign w:val="center"/>
            <w:hideMark/>
          </w:tcPr>
          <w:p w14:paraId="0A190681" w14:textId="77777777" w:rsidR="00EE14C7" w:rsidRPr="00EE14C7" w:rsidRDefault="00EE14C7" w:rsidP="00EE14C7">
            <w:pPr>
              <w:spacing w:after="0" w:line="240" w:lineRule="auto"/>
              <w:rPr>
                <w:rFonts w:eastAsia="Times New Roman" w:cs="Calibri"/>
                <w:color w:val="000000"/>
                <w:sz w:val="20"/>
                <w:szCs w:val="20"/>
                <w:lang w:eastAsia="en-US"/>
              </w:rPr>
            </w:pPr>
            <w:r w:rsidRPr="00EE14C7">
              <w:rPr>
                <w:rFonts w:eastAsia="Times New Roman" w:cs="Calibri"/>
                <w:color w:val="000000"/>
                <w:sz w:val="20"/>
                <w:szCs w:val="20"/>
                <w:lang w:eastAsia="en-US"/>
              </w:rPr>
              <w:t>Wave 4 (202402)</w:t>
            </w:r>
          </w:p>
        </w:tc>
        <w:tc>
          <w:tcPr>
            <w:tcW w:w="644" w:type="pct"/>
            <w:tcBorders>
              <w:top w:val="nil"/>
              <w:left w:val="nil"/>
              <w:bottom w:val="single" w:sz="8" w:space="0" w:color="B3EFFD"/>
              <w:right w:val="nil"/>
            </w:tcBorders>
            <w:shd w:val="clear" w:color="000000" w:fill="FFFFFF"/>
            <w:vAlign w:val="center"/>
            <w:hideMark/>
          </w:tcPr>
          <w:p w14:paraId="7D1B2D7E" w14:textId="7C96099B"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349,654</w:t>
            </w:r>
          </w:p>
        </w:tc>
        <w:tc>
          <w:tcPr>
            <w:tcW w:w="1019" w:type="pct"/>
            <w:tcBorders>
              <w:top w:val="nil"/>
              <w:left w:val="nil"/>
              <w:bottom w:val="single" w:sz="8" w:space="0" w:color="B3EFFD"/>
              <w:right w:val="nil"/>
            </w:tcBorders>
            <w:shd w:val="clear" w:color="000000" w:fill="FFFFFF"/>
            <w:vAlign w:val="center"/>
            <w:hideMark/>
          </w:tcPr>
          <w:p w14:paraId="16AD488A" w14:textId="253517E4"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427,255</w:t>
            </w:r>
          </w:p>
        </w:tc>
        <w:tc>
          <w:tcPr>
            <w:tcW w:w="723" w:type="pct"/>
            <w:tcBorders>
              <w:top w:val="nil"/>
              <w:left w:val="nil"/>
              <w:bottom w:val="single" w:sz="8" w:space="0" w:color="B3EFFD"/>
              <w:right w:val="nil"/>
            </w:tcBorders>
            <w:shd w:val="clear" w:color="000000" w:fill="FFFFFF"/>
            <w:vAlign w:val="center"/>
            <w:hideMark/>
          </w:tcPr>
          <w:p w14:paraId="10C4A316" w14:textId="0460B89F"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133,242</w:t>
            </w:r>
          </w:p>
        </w:tc>
        <w:tc>
          <w:tcPr>
            <w:tcW w:w="624" w:type="pct"/>
            <w:tcBorders>
              <w:top w:val="nil"/>
              <w:left w:val="nil"/>
              <w:bottom w:val="single" w:sz="8" w:space="0" w:color="B3EFFD"/>
              <w:right w:val="nil"/>
            </w:tcBorders>
            <w:shd w:val="clear" w:color="000000" w:fill="FFFFFF"/>
            <w:vAlign w:val="center"/>
            <w:hideMark/>
          </w:tcPr>
          <w:p w14:paraId="62B14B5F" w14:textId="0D97556D"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294,013</w:t>
            </w:r>
          </w:p>
        </w:tc>
        <w:tc>
          <w:tcPr>
            <w:tcW w:w="500" w:type="pct"/>
            <w:tcBorders>
              <w:top w:val="nil"/>
              <w:left w:val="nil"/>
              <w:bottom w:val="single" w:sz="8" w:space="0" w:color="B3EFFD"/>
              <w:right w:val="nil"/>
            </w:tcBorders>
            <w:shd w:val="clear" w:color="000000" w:fill="FFFFFF"/>
            <w:vAlign w:val="center"/>
            <w:hideMark/>
          </w:tcPr>
          <w:p w14:paraId="46A5672F" w14:textId="16323B41"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14,113</w:t>
            </w:r>
          </w:p>
        </w:tc>
        <w:tc>
          <w:tcPr>
            <w:tcW w:w="536" w:type="pct"/>
            <w:tcBorders>
              <w:top w:val="nil"/>
              <w:left w:val="nil"/>
              <w:bottom w:val="single" w:sz="8" w:space="0" w:color="B3EFFD"/>
              <w:right w:val="nil"/>
            </w:tcBorders>
            <w:shd w:val="clear" w:color="000000" w:fill="FFFFFF"/>
            <w:vAlign w:val="center"/>
            <w:hideMark/>
          </w:tcPr>
          <w:p w14:paraId="52745096" w14:textId="52FE34E4"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308,126</w:t>
            </w:r>
          </w:p>
        </w:tc>
        <w:tc>
          <w:tcPr>
            <w:tcW w:w="511" w:type="pct"/>
            <w:tcBorders>
              <w:top w:val="nil"/>
              <w:left w:val="nil"/>
              <w:bottom w:val="single" w:sz="8" w:space="0" w:color="B3EFFD"/>
              <w:right w:val="nil"/>
            </w:tcBorders>
            <w:shd w:val="clear" w:color="000000" w:fill="FFFFFF"/>
            <w:vAlign w:val="center"/>
            <w:hideMark/>
          </w:tcPr>
          <w:p w14:paraId="53447484" w14:textId="77777777" w:rsidR="00EE14C7" w:rsidRPr="00EE14C7" w:rsidRDefault="00EE14C7" w:rsidP="00C87DD6">
            <w:pPr>
              <w:spacing w:after="0" w:line="240" w:lineRule="auto"/>
              <w:jc w:val="right"/>
              <w:rPr>
                <w:rFonts w:eastAsia="Times New Roman" w:cs="Calibri"/>
                <w:color w:val="000000"/>
                <w:sz w:val="20"/>
                <w:szCs w:val="20"/>
                <w:lang w:eastAsia="en-US"/>
              </w:rPr>
            </w:pPr>
            <w:r w:rsidRPr="00EE14C7">
              <w:rPr>
                <w:rFonts w:eastAsia="Times New Roman" w:cs="Calibri"/>
                <w:color w:val="000000"/>
                <w:sz w:val="20"/>
                <w:szCs w:val="20"/>
                <w:lang w:eastAsia="en-US"/>
              </w:rPr>
              <w:t>88%</w:t>
            </w:r>
          </w:p>
        </w:tc>
      </w:tr>
      <w:tr w:rsidR="00EE14C7" w:rsidRPr="00EE14C7" w14:paraId="57B83A06" w14:textId="77777777" w:rsidTr="00EE14C7">
        <w:trPr>
          <w:trHeight w:val="315"/>
        </w:trPr>
        <w:tc>
          <w:tcPr>
            <w:tcW w:w="443" w:type="pct"/>
            <w:tcBorders>
              <w:top w:val="nil"/>
              <w:left w:val="nil"/>
              <w:bottom w:val="single" w:sz="8" w:space="0" w:color="036479"/>
              <w:right w:val="nil"/>
            </w:tcBorders>
            <w:vAlign w:val="center"/>
            <w:hideMark/>
          </w:tcPr>
          <w:p w14:paraId="446E6CFF" w14:textId="77777777" w:rsidR="00EE14C7" w:rsidRPr="00EE14C7" w:rsidRDefault="00EE14C7" w:rsidP="00EE14C7">
            <w:pPr>
              <w:spacing w:after="0" w:line="240" w:lineRule="auto"/>
              <w:rPr>
                <w:rFonts w:eastAsia="Times New Roman" w:cs="Calibri"/>
                <w:b/>
                <w:bCs/>
                <w:color w:val="000000"/>
                <w:sz w:val="20"/>
                <w:szCs w:val="20"/>
                <w:lang w:eastAsia="en-US"/>
              </w:rPr>
            </w:pPr>
            <w:r w:rsidRPr="00EE14C7">
              <w:rPr>
                <w:rFonts w:eastAsia="Times New Roman" w:cs="Calibri"/>
                <w:b/>
                <w:bCs/>
                <w:color w:val="000000"/>
                <w:sz w:val="20"/>
                <w:szCs w:val="20"/>
                <w:lang w:eastAsia="en-US"/>
              </w:rPr>
              <w:t>Total</w:t>
            </w:r>
          </w:p>
        </w:tc>
        <w:tc>
          <w:tcPr>
            <w:tcW w:w="644" w:type="pct"/>
            <w:tcBorders>
              <w:top w:val="nil"/>
              <w:left w:val="nil"/>
              <w:bottom w:val="single" w:sz="8" w:space="0" w:color="036479"/>
              <w:right w:val="nil"/>
            </w:tcBorders>
            <w:vAlign w:val="center"/>
            <w:hideMark/>
          </w:tcPr>
          <w:p w14:paraId="5B58450E" w14:textId="7D4002BD"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349,654</w:t>
            </w:r>
          </w:p>
        </w:tc>
        <w:tc>
          <w:tcPr>
            <w:tcW w:w="1019" w:type="pct"/>
            <w:tcBorders>
              <w:top w:val="nil"/>
              <w:left w:val="nil"/>
              <w:bottom w:val="single" w:sz="8" w:space="0" w:color="036479"/>
              <w:right w:val="nil"/>
            </w:tcBorders>
            <w:vAlign w:val="center"/>
            <w:hideMark/>
          </w:tcPr>
          <w:p w14:paraId="645E22CB" w14:textId="32156C3D"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427,255</w:t>
            </w:r>
          </w:p>
        </w:tc>
        <w:tc>
          <w:tcPr>
            <w:tcW w:w="723" w:type="pct"/>
            <w:tcBorders>
              <w:top w:val="nil"/>
              <w:left w:val="nil"/>
              <w:bottom w:val="single" w:sz="8" w:space="0" w:color="036479"/>
              <w:right w:val="nil"/>
            </w:tcBorders>
            <w:vAlign w:val="center"/>
            <w:hideMark/>
          </w:tcPr>
          <w:p w14:paraId="0A69B77E" w14:textId="6A2FA77E"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133,242</w:t>
            </w:r>
          </w:p>
        </w:tc>
        <w:tc>
          <w:tcPr>
            <w:tcW w:w="624" w:type="pct"/>
            <w:tcBorders>
              <w:top w:val="nil"/>
              <w:left w:val="nil"/>
              <w:bottom w:val="single" w:sz="8" w:space="0" w:color="036479"/>
              <w:right w:val="nil"/>
            </w:tcBorders>
            <w:vAlign w:val="center"/>
            <w:hideMark/>
          </w:tcPr>
          <w:p w14:paraId="14B105E9" w14:textId="566C754E"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294,013</w:t>
            </w:r>
          </w:p>
        </w:tc>
        <w:tc>
          <w:tcPr>
            <w:tcW w:w="500" w:type="pct"/>
            <w:tcBorders>
              <w:top w:val="nil"/>
              <w:left w:val="nil"/>
              <w:bottom w:val="single" w:sz="8" w:space="0" w:color="036479"/>
              <w:right w:val="nil"/>
            </w:tcBorders>
            <w:vAlign w:val="center"/>
            <w:hideMark/>
          </w:tcPr>
          <w:p w14:paraId="663C8AC4" w14:textId="4FBD921F"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14,113</w:t>
            </w:r>
          </w:p>
        </w:tc>
        <w:tc>
          <w:tcPr>
            <w:tcW w:w="536" w:type="pct"/>
            <w:tcBorders>
              <w:top w:val="nil"/>
              <w:left w:val="nil"/>
              <w:bottom w:val="single" w:sz="8" w:space="0" w:color="036479"/>
              <w:right w:val="nil"/>
            </w:tcBorders>
            <w:vAlign w:val="center"/>
            <w:hideMark/>
          </w:tcPr>
          <w:p w14:paraId="3BA47A37" w14:textId="0B29169E"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308,126</w:t>
            </w:r>
          </w:p>
        </w:tc>
        <w:tc>
          <w:tcPr>
            <w:tcW w:w="511" w:type="pct"/>
            <w:tcBorders>
              <w:top w:val="nil"/>
              <w:left w:val="nil"/>
              <w:bottom w:val="single" w:sz="8" w:space="0" w:color="036479"/>
              <w:right w:val="nil"/>
            </w:tcBorders>
            <w:vAlign w:val="center"/>
            <w:hideMark/>
          </w:tcPr>
          <w:p w14:paraId="2FF150DF" w14:textId="77777777" w:rsidR="00EE14C7" w:rsidRPr="00EE14C7" w:rsidRDefault="00EE14C7" w:rsidP="00C87DD6">
            <w:pPr>
              <w:spacing w:after="0" w:line="240" w:lineRule="auto"/>
              <w:jc w:val="right"/>
              <w:rPr>
                <w:rFonts w:eastAsia="Times New Roman" w:cs="Calibri"/>
                <w:b/>
                <w:bCs/>
                <w:color w:val="000000"/>
                <w:sz w:val="20"/>
                <w:szCs w:val="20"/>
                <w:lang w:eastAsia="en-US"/>
              </w:rPr>
            </w:pPr>
            <w:r w:rsidRPr="00EE14C7">
              <w:rPr>
                <w:rFonts w:eastAsia="Times New Roman" w:cs="Calibri"/>
                <w:b/>
                <w:bCs/>
                <w:color w:val="000000"/>
                <w:sz w:val="20"/>
                <w:szCs w:val="20"/>
                <w:lang w:eastAsia="en-US"/>
              </w:rPr>
              <w:t>88%</w:t>
            </w:r>
          </w:p>
        </w:tc>
      </w:tr>
    </w:tbl>
    <w:p w14:paraId="3DFFD061" w14:textId="567BBE01" w:rsidR="00CD3CAA" w:rsidRPr="000D4E58" w:rsidRDefault="000D25C1" w:rsidP="00C86D45">
      <w:pPr>
        <w:pStyle w:val="TableFigureSourceorNote"/>
        <w:rPr>
          <w:szCs w:val="18"/>
        </w:rPr>
      </w:pPr>
      <w:r w:rsidRPr="000D4E58">
        <w:rPr>
          <w:szCs w:val="18"/>
        </w:rPr>
        <w:t>* Realization Rate (RR) is the ratio of verified savings to ex ante savings, based on evaluation research findings.</w:t>
      </w:r>
    </w:p>
    <w:bookmarkEnd w:id="33"/>
    <w:p w14:paraId="20745E41" w14:textId="4029371B" w:rsidR="00CD3CAA" w:rsidRPr="000D4E58" w:rsidRDefault="00970BA5" w:rsidP="00C86D45">
      <w:pPr>
        <w:pStyle w:val="TableFigureSourceorNote"/>
        <w:rPr>
          <w:szCs w:val="18"/>
        </w:rPr>
      </w:pPr>
      <w:r w:rsidRPr="000D4E58">
        <w:rPr>
          <w:szCs w:val="18"/>
        </w:rPr>
        <w:t xml:space="preserve">‡ The market </w:t>
      </w:r>
      <w:proofErr w:type="gramStart"/>
      <w:r w:rsidRPr="000D4E58">
        <w:rPr>
          <w:szCs w:val="18"/>
        </w:rPr>
        <w:t>rate</w:t>
      </w:r>
      <w:proofErr w:type="gramEnd"/>
      <w:r w:rsidRPr="000D4E58">
        <w:rPr>
          <w:szCs w:val="18"/>
        </w:rPr>
        <w:t xml:space="preserve"> net savings were multiplied by a residential non-participant spillover (NPSO) factor of 1.048. </w:t>
      </w:r>
    </w:p>
    <w:p w14:paraId="2B50BA15" w14:textId="77777777" w:rsidR="00CD3CAA" w:rsidRPr="000D4E58" w:rsidRDefault="00970BA5" w:rsidP="00C86D45">
      <w:pPr>
        <w:pStyle w:val="TableFigureSourceorNote"/>
        <w:rPr>
          <w:szCs w:val="18"/>
        </w:rPr>
      </w:pPr>
      <w:r w:rsidRPr="000D4E58">
        <w:rPr>
          <w:szCs w:val="18"/>
        </w:rPr>
        <w:t>Source: Evaluation team analysis.</w:t>
      </w:r>
    </w:p>
    <w:p w14:paraId="492C45AC" w14:textId="3BA525D8" w:rsidR="00CD3CAA" w:rsidRDefault="00970BA5" w:rsidP="00C86D45">
      <w:pPr>
        <w:pStyle w:val="Heading1"/>
      </w:pPr>
      <w:bookmarkStart w:id="34" w:name="_Toc227314364"/>
      <w:r>
        <w:t>Program Savings by Measure</w:t>
      </w:r>
      <w:bookmarkEnd w:id="34"/>
    </w:p>
    <w:p w14:paraId="0357EFBC" w14:textId="0833D02B" w:rsidR="000D25C1" w:rsidRDefault="000D25C1" w:rsidP="000D25C1">
      <w:bookmarkStart w:id="35" w:name="_Toc398546655"/>
      <w:bookmarkStart w:id="36" w:name="_Toc423009517"/>
      <w:bookmarkStart w:id="37" w:name="_Toc426278635"/>
      <w:bookmarkStart w:id="38" w:name="_Toc61360848"/>
      <w:bookmarkStart w:id="39" w:name="_Toc189750769"/>
      <w:bookmarkStart w:id="40" w:name="_Hlk29910940"/>
      <w:r>
        <w:t xml:space="preserve">The HER Program includes a single measure, behavioral savings, </w:t>
      </w:r>
      <w:r w:rsidR="00794871">
        <w:t>thus</w:t>
      </w:r>
      <w:r>
        <w:t xml:space="preserve"> the program savings and measure savings are the same. </w:t>
      </w:r>
      <w:r w:rsidRPr="007E7B1A">
        <w:t>Detailed savings are presented in</w:t>
      </w:r>
      <w:r>
        <w:t xml:space="preserve"> </w:t>
      </w:r>
      <w:r>
        <w:fldChar w:fldCharType="begin"/>
      </w:r>
      <w:r>
        <w:instrText xml:space="preserve"> REF _Ref195791566 \h  \* MERGEFORMAT </w:instrText>
      </w:r>
      <w:r>
        <w:fldChar w:fldCharType="separate"/>
      </w:r>
      <w:r>
        <w:t>Detailed Impact Analysis Results</w:t>
      </w:r>
      <w:r>
        <w:fldChar w:fldCharType="end"/>
      </w:r>
      <w:r>
        <w:t xml:space="preserve">. </w:t>
      </w:r>
    </w:p>
    <w:p w14:paraId="2F46DC34" w14:textId="67063A5A" w:rsidR="00CD3CAA" w:rsidRDefault="00970BA5" w:rsidP="00C86D45">
      <w:pPr>
        <w:pStyle w:val="Heading1"/>
      </w:pPr>
      <w:bookmarkStart w:id="41" w:name="_Toc227314365"/>
      <w:bookmarkEnd w:id="35"/>
      <w:bookmarkEnd w:id="36"/>
      <w:bookmarkEnd w:id="37"/>
      <w:bookmarkEnd w:id="38"/>
      <w:bookmarkEnd w:id="39"/>
      <w:bookmarkEnd w:id="40"/>
      <w:r>
        <w:t>Impact Analysis Findings and Recommendations</w:t>
      </w:r>
      <w:bookmarkEnd w:id="41"/>
    </w:p>
    <w:p w14:paraId="29B1D941" w14:textId="249B294F" w:rsidR="00CD3CAA" w:rsidRDefault="00970BA5" w:rsidP="000D25C1">
      <w:pPr>
        <w:pStyle w:val="Heading2"/>
      </w:pPr>
      <w:bookmarkStart w:id="42" w:name="_Toc227314366"/>
      <w:r>
        <w:t>Findings and Recommendations</w:t>
      </w:r>
      <w:bookmarkEnd w:id="42"/>
    </w:p>
    <w:p w14:paraId="26E86663" w14:textId="13879602" w:rsidR="00CD3CAA" w:rsidRDefault="00970BA5" w:rsidP="00C86D45">
      <w:pPr>
        <w:spacing w:line="264" w:lineRule="auto"/>
      </w:pPr>
      <w:r w:rsidRPr="00915A79">
        <w:rPr>
          <w:b/>
        </w:rPr>
        <w:t>Finding 1.</w:t>
      </w:r>
      <w:r w:rsidR="000D25C1">
        <w:rPr>
          <w:b/>
        </w:rPr>
        <w:t xml:space="preserve"> </w:t>
      </w:r>
      <w:r w:rsidR="000D25C1" w:rsidRPr="004B1E1E">
        <w:t>Overall</w:t>
      </w:r>
      <w:r w:rsidR="000D25C1">
        <w:t>,</w:t>
      </w:r>
      <w:r w:rsidR="000D25C1" w:rsidRPr="004B1E1E">
        <w:t xml:space="preserve"> Guidehouse found an energy savings realization rate of </w:t>
      </w:r>
      <w:r w:rsidR="000D25C1">
        <w:t>8</w:t>
      </w:r>
      <w:r w:rsidR="009271F3">
        <w:t>8</w:t>
      </w:r>
      <w:r w:rsidR="000D25C1" w:rsidRPr="000679BB">
        <w:t>%</w:t>
      </w:r>
      <w:r w:rsidR="000D25C1" w:rsidRPr="004B1E1E">
        <w:t xml:space="preserve"> compared with the program implementer ex ante savings estimate</w:t>
      </w:r>
      <w:r w:rsidR="000D25C1">
        <w:t>.</w:t>
      </w:r>
    </w:p>
    <w:p w14:paraId="1387D4E9" w14:textId="2403FD73" w:rsidR="0031029B" w:rsidRPr="00915A79" w:rsidRDefault="0031029B" w:rsidP="0031029B">
      <w:pPr>
        <w:spacing w:line="264" w:lineRule="auto"/>
        <w:rPr>
          <w:b/>
        </w:rPr>
      </w:pPr>
      <w:r w:rsidRPr="00915A79">
        <w:rPr>
          <w:b/>
        </w:rPr>
        <w:t xml:space="preserve">Finding </w:t>
      </w:r>
      <w:r>
        <w:rPr>
          <w:b/>
        </w:rPr>
        <w:t>2</w:t>
      </w:r>
      <w:r w:rsidRPr="00915A79">
        <w:rPr>
          <w:b/>
        </w:rPr>
        <w:t>.</w:t>
      </w:r>
      <w:r>
        <w:rPr>
          <w:b/>
        </w:rPr>
        <w:t xml:space="preserve"> </w:t>
      </w:r>
      <w:r w:rsidRPr="00B1430A">
        <w:rPr>
          <w:bCs/>
        </w:rPr>
        <w:t>E</w:t>
      </w:r>
      <w:r w:rsidRPr="004B1E1E">
        <w:t xml:space="preserve">nergy savings </w:t>
      </w:r>
      <w:r>
        <w:t>for Wave 4 (202402) increased from 0.17% in CY2024 to 0.31% in CY2025, indicating that savings are ramping up for this relatively new wave.</w:t>
      </w:r>
    </w:p>
    <w:p w14:paraId="4967A410" w14:textId="77777777" w:rsidR="0031029B" w:rsidRPr="00915A79" w:rsidRDefault="0031029B" w:rsidP="00C86D45">
      <w:pPr>
        <w:spacing w:line="264" w:lineRule="auto"/>
        <w:rPr>
          <w:b/>
        </w:rPr>
      </w:pPr>
    </w:p>
    <w:p w14:paraId="0E5F02D9" w14:textId="77777777" w:rsidR="00CD3CAA" w:rsidRDefault="00970BA5" w:rsidP="00C86D45">
      <w:pPr>
        <w:pStyle w:val="Heading1"/>
      </w:pPr>
      <w:bookmarkStart w:id="43" w:name="_Toc223474635"/>
      <w:bookmarkStart w:id="44" w:name="_Toc224286391"/>
      <w:bookmarkStart w:id="45" w:name="_Ref227052667"/>
      <w:bookmarkStart w:id="46" w:name="_Toc227314367"/>
      <w:r>
        <w:lastRenderedPageBreak/>
        <w:t xml:space="preserve">Appendix A. </w:t>
      </w:r>
      <w:r w:rsidRPr="002E0934">
        <w:t>Impact Analysis Methodology</w:t>
      </w:r>
      <w:bookmarkEnd w:id="43"/>
      <w:bookmarkEnd w:id="44"/>
      <w:bookmarkEnd w:id="45"/>
      <w:bookmarkEnd w:id="46"/>
    </w:p>
    <w:p w14:paraId="1700C6E9" w14:textId="77777777" w:rsidR="000D25C1" w:rsidRPr="00EE614F" w:rsidRDefault="000D25C1" w:rsidP="000D25C1">
      <w:pPr>
        <w:keepNext/>
        <w:keepLines/>
        <w:numPr>
          <w:ilvl w:val="5"/>
          <w:numId w:val="0"/>
        </w:numPr>
        <w:spacing w:before="240" w:after="240"/>
        <w:ind w:left="720" w:hanging="720"/>
        <w:outlineLvl w:val="5"/>
        <w:rPr>
          <w:rFonts w:cs="Arial"/>
          <w:b/>
          <w:iCs/>
          <w:kern w:val="28"/>
          <w:position w:val="6"/>
          <w:sz w:val="28"/>
          <w:szCs w:val="26"/>
        </w:rPr>
      </w:pPr>
      <w:bookmarkStart w:id="47" w:name="_Ref64939605"/>
      <w:bookmarkStart w:id="48" w:name="_Toc69284648"/>
      <w:bookmarkStart w:id="49" w:name="_Toc110421330"/>
      <w:bookmarkStart w:id="50" w:name="_Toc132900791"/>
      <w:bookmarkStart w:id="51" w:name="_Toc137824763"/>
      <w:bookmarkStart w:id="52" w:name="_Toc172553797"/>
      <w:bookmarkStart w:id="53" w:name="_Toc507870205"/>
      <w:bookmarkStart w:id="54" w:name="_Toc512873036"/>
      <w:r w:rsidRPr="00EE614F">
        <w:rPr>
          <w:rFonts w:cs="Arial"/>
          <w:b/>
          <w:iCs/>
          <w:kern w:val="28"/>
          <w:position w:val="6"/>
          <w:sz w:val="28"/>
          <w:szCs w:val="26"/>
        </w:rPr>
        <w:t>Savings Methodology</w:t>
      </w:r>
      <w:bookmarkEnd w:id="47"/>
      <w:bookmarkEnd w:id="48"/>
      <w:bookmarkEnd w:id="49"/>
      <w:bookmarkEnd w:id="50"/>
      <w:bookmarkEnd w:id="51"/>
      <w:bookmarkEnd w:id="52"/>
    </w:p>
    <w:p w14:paraId="13DBA261" w14:textId="4073EDAA" w:rsidR="000D25C1" w:rsidRPr="00EE614F" w:rsidRDefault="000D25C1" w:rsidP="000D25C1">
      <w:pPr>
        <w:spacing w:after="240"/>
        <w:rPr>
          <w:szCs w:val="20"/>
        </w:rPr>
      </w:pPr>
      <w:r w:rsidRPr="00EE614F">
        <w:rPr>
          <w:szCs w:val="20"/>
        </w:rPr>
        <w:t>This section details the methodology employed for developing custom savings estimates for 202</w:t>
      </w:r>
      <w:r>
        <w:rPr>
          <w:szCs w:val="20"/>
        </w:rPr>
        <w:t>5</w:t>
      </w:r>
      <w:r w:rsidRPr="00EE614F">
        <w:rPr>
          <w:szCs w:val="20"/>
        </w:rPr>
        <w:t xml:space="preserve">. These estimates were used for verifying savings for </w:t>
      </w:r>
      <w:r>
        <w:rPr>
          <w:szCs w:val="20"/>
        </w:rPr>
        <w:t>all</w:t>
      </w:r>
      <w:r w:rsidRPr="00EE614F">
        <w:rPr>
          <w:szCs w:val="20"/>
        </w:rPr>
        <w:t xml:space="preserve"> waves.</w:t>
      </w:r>
    </w:p>
    <w:p w14:paraId="6BF10C85" w14:textId="77777777" w:rsidR="000D25C1" w:rsidRPr="00EE614F" w:rsidRDefault="000D25C1" w:rsidP="000D25C1">
      <w:pPr>
        <w:numPr>
          <w:ilvl w:val="6"/>
          <w:numId w:val="0"/>
        </w:numPr>
        <w:spacing w:before="240" w:after="240"/>
        <w:ind w:left="720" w:hanging="720"/>
        <w:outlineLvl w:val="6"/>
        <w:rPr>
          <w:b/>
          <w:iCs/>
          <w:sz w:val="24"/>
          <w:szCs w:val="26"/>
        </w:rPr>
      </w:pPr>
      <w:r w:rsidRPr="00EE614F">
        <w:rPr>
          <w:b/>
          <w:iCs/>
          <w:sz w:val="24"/>
          <w:szCs w:val="26"/>
        </w:rPr>
        <w:t>Data Cleaning</w:t>
      </w:r>
    </w:p>
    <w:p w14:paraId="197A4DBE" w14:textId="77777777" w:rsidR="000D25C1" w:rsidRPr="00EE614F" w:rsidRDefault="000D25C1" w:rsidP="000D25C1">
      <w:pPr>
        <w:spacing w:after="240"/>
        <w:rPr>
          <w:szCs w:val="20"/>
        </w:rPr>
      </w:pPr>
      <w:r w:rsidRPr="00EE614F">
        <w:rPr>
          <w:szCs w:val="20"/>
        </w:rPr>
        <w:t>The evaluation team removed customers and data points from the analysis in several steps:</w:t>
      </w:r>
    </w:p>
    <w:p w14:paraId="04053C95" w14:textId="77777777" w:rsidR="000D25C1" w:rsidRPr="00EE614F" w:rsidRDefault="000D25C1" w:rsidP="000D25C1">
      <w:pPr>
        <w:keepNext/>
        <w:keepLines/>
        <w:numPr>
          <w:ilvl w:val="0"/>
          <w:numId w:val="27"/>
        </w:numPr>
        <w:spacing w:after="0" w:line="240" w:lineRule="auto"/>
        <w:contextualSpacing/>
        <w:rPr>
          <w:szCs w:val="20"/>
        </w:rPr>
      </w:pPr>
      <w:r w:rsidRPr="00EE614F">
        <w:rPr>
          <w:szCs w:val="20"/>
        </w:rPr>
        <w:t>Excluded data from outside of the period of examination and relevant pre-period for each wave</w:t>
      </w:r>
    </w:p>
    <w:p w14:paraId="57F1C957" w14:textId="77777777" w:rsidR="000D25C1" w:rsidRPr="00EE614F" w:rsidRDefault="000D25C1" w:rsidP="000D25C1">
      <w:pPr>
        <w:keepNext/>
        <w:keepLines/>
        <w:numPr>
          <w:ilvl w:val="0"/>
          <w:numId w:val="27"/>
        </w:numPr>
        <w:spacing w:after="0" w:line="240" w:lineRule="auto"/>
        <w:contextualSpacing/>
        <w:rPr>
          <w:szCs w:val="20"/>
        </w:rPr>
      </w:pPr>
      <w:r w:rsidRPr="00EE614F">
        <w:rPr>
          <w:szCs w:val="20"/>
        </w:rPr>
        <w:t>Removed exact duplicate observations</w:t>
      </w:r>
    </w:p>
    <w:p w14:paraId="71C5E4B2" w14:textId="77777777" w:rsidR="000D25C1" w:rsidRPr="00EE614F" w:rsidRDefault="000D25C1" w:rsidP="000D25C1">
      <w:pPr>
        <w:keepNext/>
        <w:keepLines/>
        <w:numPr>
          <w:ilvl w:val="0"/>
          <w:numId w:val="27"/>
        </w:numPr>
        <w:spacing w:after="0" w:line="240" w:lineRule="auto"/>
        <w:contextualSpacing/>
        <w:rPr>
          <w:szCs w:val="20"/>
        </w:rPr>
      </w:pPr>
      <w:r w:rsidRPr="00EE614F">
        <w:rPr>
          <w:szCs w:val="20"/>
        </w:rPr>
        <w:t>Aggregated bills that ended in the same month</w:t>
      </w:r>
    </w:p>
    <w:p w14:paraId="4FE3758D" w14:textId="77777777" w:rsidR="000D25C1" w:rsidRPr="00EE614F" w:rsidRDefault="000D25C1" w:rsidP="000D25C1">
      <w:pPr>
        <w:numPr>
          <w:ilvl w:val="0"/>
          <w:numId w:val="27"/>
        </w:numPr>
        <w:spacing w:after="0" w:line="240" w:lineRule="auto"/>
        <w:contextualSpacing/>
        <w:rPr>
          <w:szCs w:val="20"/>
        </w:rPr>
      </w:pPr>
      <w:r w:rsidRPr="00EE614F">
        <w:rPr>
          <w:szCs w:val="20"/>
        </w:rPr>
        <w:t>Excluded observations with a bill length greater than 90 days</w:t>
      </w:r>
    </w:p>
    <w:p w14:paraId="642189D9" w14:textId="77777777" w:rsidR="000D25C1" w:rsidRPr="00EE614F" w:rsidRDefault="000D25C1" w:rsidP="000D25C1">
      <w:pPr>
        <w:numPr>
          <w:ilvl w:val="0"/>
          <w:numId w:val="27"/>
        </w:numPr>
        <w:spacing w:after="0" w:line="240" w:lineRule="auto"/>
        <w:contextualSpacing/>
        <w:rPr>
          <w:szCs w:val="20"/>
        </w:rPr>
      </w:pPr>
      <w:r w:rsidRPr="00EE614F">
        <w:rPr>
          <w:szCs w:val="20"/>
        </w:rPr>
        <w:t xml:space="preserve">Excluded outlier observations, defined as observations with average daily usage outside plus or minus one order of magnitude from the </w:t>
      </w:r>
      <w:proofErr w:type="gramStart"/>
      <w:r w:rsidRPr="00EE614F">
        <w:rPr>
          <w:szCs w:val="20"/>
        </w:rPr>
        <w:t>median</w:t>
      </w:r>
      <w:proofErr w:type="gramEnd"/>
    </w:p>
    <w:p w14:paraId="75B22BAF" w14:textId="77777777" w:rsidR="000D25C1" w:rsidRPr="00EE614F" w:rsidRDefault="000D25C1" w:rsidP="000D25C1">
      <w:pPr>
        <w:numPr>
          <w:ilvl w:val="0"/>
          <w:numId w:val="27"/>
        </w:numPr>
        <w:spacing w:after="0" w:line="240" w:lineRule="auto"/>
        <w:contextualSpacing/>
        <w:rPr>
          <w:szCs w:val="20"/>
        </w:rPr>
      </w:pPr>
      <w:r w:rsidRPr="00EE614F">
        <w:rPr>
          <w:szCs w:val="20"/>
        </w:rPr>
        <w:t>For the lagged dependent variable (LDV) model, removed observations that did not have a usage value in the same month of the pre-period</w:t>
      </w:r>
    </w:p>
    <w:p w14:paraId="4F42E151" w14:textId="77777777" w:rsidR="000D25C1" w:rsidRPr="00EE614F" w:rsidRDefault="000D25C1" w:rsidP="000D25C1">
      <w:pPr>
        <w:spacing w:after="0"/>
        <w:ind w:left="720"/>
        <w:contextualSpacing/>
        <w:rPr>
          <w:szCs w:val="20"/>
        </w:rPr>
      </w:pPr>
    </w:p>
    <w:p w14:paraId="53CACD4C" w14:textId="77777777" w:rsidR="000D25C1" w:rsidRPr="00EE614F" w:rsidRDefault="000D25C1" w:rsidP="000D25C1">
      <w:pPr>
        <w:spacing w:after="240"/>
        <w:rPr>
          <w:szCs w:val="20"/>
        </w:rPr>
      </w:pPr>
      <w:r w:rsidRPr="00EE614F">
        <w:rPr>
          <w:szCs w:val="20"/>
        </w:rPr>
        <w:t xml:space="preserve">Across </w:t>
      </w:r>
      <w:r>
        <w:rPr>
          <w:szCs w:val="20"/>
        </w:rPr>
        <w:t>all</w:t>
      </w:r>
      <w:r w:rsidRPr="00EE614F">
        <w:rPr>
          <w:szCs w:val="20"/>
        </w:rPr>
        <w:t xml:space="preserve"> waves, these cleaning steps removed no entire customers and less than 2% of observations (after </w:t>
      </w:r>
      <w:proofErr w:type="spellStart"/>
      <w:r w:rsidRPr="00EE614F">
        <w:rPr>
          <w:szCs w:val="20"/>
        </w:rPr>
        <w:t>subsetting</w:t>
      </w:r>
      <w:proofErr w:type="spellEnd"/>
      <w:r w:rsidRPr="00EE614F">
        <w:rPr>
          <w:szCs w:val="20"/>
        </w:rPr>
        <w:t xml:space="preserve"> to the relevant analysis period), evenly distributed across participants and controls. This result suggests that the evaluation team’s cleaning steps did not introduce non-random biases into the data.</w:t>
      </w:r>
    </w:p>
    <w:p w14:paraId="2632B387" w14:textId="77777777" w:rsidR="000D25C1" w:rsidRPr="00EE614F" w:rsidRDefault="000D25C1" w:rsidP="000D25C1">
      <w:pPr>
        <w:keepNext/>
        <w:keepLines/>
        <w:numPr>
          <w:ilvl w:val="6"/>
          <w:numId w:val="0"/>
        </w:numPr>
        <w:spacing w:before="240" w:after="240"/>
        <w:ind w:left="720" w:hanging="720"/>
        <w:outlineLvl w:val="6"/>
        <w:rPr>
          <w:b/>
          <w:iCs/>
          <w:sz w:val="24"/>
          <w:szCs w:val="26"/>
        </w:rPr>
      </w:pPr>
      <w:r w:rsidRPr="00EE614F">
        <w:rPr>
          <w:b/>
          <w:iCs/>
          <w:sz w:val="24"/>
          <w:szCs w:val="26"/>
        </w:rPr>
        <w:t>Modeling Methodology</w:t>
      </w:r>
    </w:p>
    <w:p w14:paraId="021E107F" w14:textId="3D5AB5C5" w:rsidR="000D25C1" w:rsidRPr="00EE614F" w:rsidRDefault="000D25C1" w:rsidP="000D25C1">
      <w:pPr>
        <w:spacing w:after="0"/>
        <w:rPr>
          <w:sz w:val="20"/>
          <w:szCs w:val="20"/>
        </w:rPr>
      </w:pPr>
      <w:r w:rsidRPr="00EE614F">
        <w:rPr>
          <w:szCs w:val="20"/>
        </w:rPr>
        <w:t>The evaluation team used LDV and linear fixed effects regression (LFER) models to estimate program savings.</w:t>
      </w:r>
      <w:r w:rsidRPr="00EE614F">
        <w:rPr>
          <w:szCs w:val="20"/>
          <w:vertAlign w:val="superscript"/>
        </w:rPr>
        <w:footnoteReference w:id="4"/>
      </w:r>
      <w:r w:rsidRPr="00EE614F">
        <w:rPr>
          <w:szCs w:val="20"/>
        </w:rPr>
        <w:t xml:space="preserve"> Both approaches should, in principle, produce unbiased estimates of program savings under a wide range of conditions, but Guidehouse prefers the LDV results for two reasons. First, savings estimates produced by the LDV model tend to be more accurate and more precisely estimated than those from the LFER model</w:t>
      </w:r>
      <w:r w:rsidRPr="00EE614F">
        <w:rPr>
          <w:szCs w:val="20"/>
          <w:vertAlign w:val="superscript"/>
        </w:rPr>
        <w:footnoteReference w:id="5"/>
      </w:r>
      <w:r w:rsidRPr="00EE614F">
        <w:rPr>
          <w:szCs w:val="20"/>
        </w:rPr>
        <w:t xml:space="preserve"> based on experience analyzing similar HER programs’ impacts and findings from </w:t>
      </w:r>
      <w:proofErr w:type="gramStart"/>
      <w:r w:rsidRPr="00EE614F">
        <w:rPr>
          <w:szCs w:val="20"/>
        </w:rPr>
        <w:t>the academic</w:t>
      </w:r>
      <w:proofErr w:type="gramEnd"/>
      <w:r w:rsidRPr="00EE614F">
        <w:rPr>
          <w:szCs w:val="20"/>
        </w:rPr>
        <w:t xml:space="preserve"> literature.</w:t>
      </w:r>
      <w:r w:rsidRPr="00EE614F">
        <w:rPr>
          <w:szCs w:val="20"/>
          <w:vertAlign w:val="superscript"/>
        </w:rPr>
        <w:footnoteReference w:id="6"/>
      </w:r>
      <w:r w:rsidRPr="00EE614F">
        <w:rPr>
          <w:szCs w:val="20"/>
        </w:rPr>
        <w:t xml:space="preserve"> Second, the implementer uses a similar model for its evaluation, which makes the two sets of results more comparable. Although the LDV and LFER models are structurally very different, these should generate similar program savings estimates, assuming the RCT is well balanced with respect to the drivers </w:t>
      </w:r>
      <w:r w:rsidRPr="00EE614F">
        <w:rPr>
          <w:szCs w:val="20"/>
        </w:rPr>
        <w:lastRenderedPageBreak/>
        <w:t>of energy use. Guidehouse used the LDV results for reporting total program savings for 202</w:t>
      </w:r>
      <w:r>
        <w:rPr>
          <w:szCs w:val="20"/>
        </w:rPr>
        <w:t>5</w:t>
      </w:r>
      <w:r w:rsidRPr="00EE614F">
        <w:rPr>
          <w:szCs w:val="20"/>
        </w:rPr>
        <w:t>, while the LFER provided a robustness check.</w:t>
      </w:r>
    </w:p>
    <w:p w14:paraId="566B926E" w14:textId="77777777" w:rsidR="000D25C1" w:rsidRPr="00EE614F" w:rsidRDefault="000D25C1" w:rsidP="000D25C1">
      <w:pPr>
        <w:widowControl w:val="0"/>
        <w:spacing w:before="240" w:after="240"/>
        <w:rPr>
          <w:rFonts w:eastAsia="Calibri"/>
          <w:b/>
          <w:szCs w:val="22"/>
        </w:rPr>
      </w:pPr>
      <w:r w:rsidRPr="00EE614F">
        <w:rPr>
          <w:rFonts w:eastAsia="Calibri"/>
          <w:b/>
          <w:szCs w:val="22"/>
        </w:rPr>
        <w:t>Lagged Dependent Variable Model</w:t>
      </w:r>
    </w:p>
    <w:p w14:paraId="77DD6BF0" w14:textId="52B52B1E" w:rsidR="000D25C1" w:rsidRPr="00EE614F" w:rsidRDefault="000D25C1" w:rsidP="000D25C1">
      <w:pPr>
        <w:spacing w:after="240"/>
        <w:rPr>
          <w:szCs w:val="20"/>
        </w:rPr>
      </w:pPr>
      <w:r w:rsidRPr="00EE614F">
        <w:rPr>
          <w:szCs w:val="20"/>
        </w:rPr>
        <w:t xml:space="preserve">The LDV model controls non-treatment differences in energy use between treatment and control customers using lagged energy use as an explanatory variable. The model frames energy use in calendar month </w:t>
      </w:r>
      <w:r w:rsidRPr="00EE614F">
        <w:rPr>
          <w:i/>
          <w:szCs w:val="20"/>
        </w:rPr>
        <w:t>t</w:t>
      </w:r>
      <w:r w:rsidRPr="00EE614F">
        <w:rPr>
          <w:szCs w:val="20"/>
        </w:rPr>
        <w:t xml:space="preserve"> of the post-program period as a function of both the treatment variable and energy use in the same calendar month of the pre-program period. </w:t>
      </w:r>
      <w:r>
        <w:rPr>
          <w:szCs w:val="20"/>
        </w:rPr>
        <w:t xml:space="preserve"> </w:t>
      </w:r>
      <w:r w:rsidRPr="00EE614F">
        <w:rPr>
          <w:szCs w:val="20"/>
        </w:rPr>
        <w:t xml:space="preserve">The underlying logic is that systematic differences between control and treatment customers will be reflected in differences in their past energy use, which is highly correlated with their current energy use. Formally, the model is shown in </w:t>
      </w:r>
      <w:r w:rsidRPr="00124445">
        <w:rPr>
          <w:szCs w:val="20"/>
        </w:rPr>
        <w:fldChar w:fldCharType="begin"/>
      </w:r>
      <w:r w:rsidRPr="00EE614F">
        <w:rPr>
          <w:szCs w:val="20"/>
        </w:rPr>
        <w:instrText xml:space="preserve"> REF _Ref132906166 \h </w:instrText>
      </w:r>
      <w:r>
        <w:rPr>
          <w:szCs w:val="20"/>
        </w:rPr>
        <w:instrText xml:space="preserve"> \* MERGEFORMAT </w:instrText>
      </w:r>
      <w:r w:rsidRPr="00124445">
        <w:rPr>
          <w:szCs w:val="20"/>
        </w:rPr>
      </w:r>
      <w:r w:rsidRPr="00124445">
        <w:rPr>
          <w:szCs w:val="20"/>
        </w:rPr>
        <w:fldChar w:fldCharType="separate"/>
      </w:r>
      <w:r w:rsidRPr="0050419E">
        <w:rPr>
          <w:szCs w:val="20"/>
        </w:rPr>
        <w:t>Equation 1</w:t>
      </w:r>
      <w:r w:rsidRPr="00124445">
        <w:rPr>
          <w:szCs w:val="20"/>
        </w:rPr>
        <w:fldChar w:fldCharType="end"/>
      </w:r>
      <w:r w:rsidRPr="00EE614F">
        <w:rPr>
          <w:szCs w:val="20"/>
        </w:rPr>
        <w:t>.</w:t>
      </w:r>
    </w:p>
    <w:p w14:paraId="0482CF33" w14:textId="77777777" w:rsidR="000D25C1" w:rsidRPr="009271F3" w:rsidRDefault="000D25C1" w:rsidP="000D25C1">
      <w:pPr>
        <w:keepNext/>
        <w:jc w:val="center"/>
        <w:rPr>
          <w:rFonts w:asciiTheme="majorHAnsi" w:hAnsiTheme="majorHAnsi" w:cs="Arial"/>
          <w:b/>
          <w:bCs/>
          <w:szCs w:val="20"/>
        </w:rPr>
      </w:pPr>
      <w:bookmarkStart w:id="55" w:name="_Ref132906166"/>
      <w:bookmarkStart w:id="56" w:name="_Toc137824505"/>
      <w:bookmarkStart w:id="57" w:name="_Toc172553814"/>
      <w:bookmarkStart w:id="58" w:name="_Toc227314410"/>
      <w:r w:rsidRPr="009271F3">
        <w:rPr>
          <w:rFonts w:asciiTheme="majorHAnsi" w:hAnsiTheme="majorHAnsi" w:cs="Arial"/>
          <w:b/>
          <w:bCs/>
          <w:szCs w:val="20"/>
        </w:rPr>
        <w:t xml:space="preserve">Equation </w:t>
      </w:r>
      <w:r w:rsidRPr="009271F3">
        <w:rPr>
          <w:rFonts w:asciiTheme="majorHAnsi" w:hAnsiTheme="majorHAnsi" w:cs="Arial"/>
          <w:b/>
          <w:bCs/>
          <w:szCs w:val="20"/>
        </w:rPr>
        <w:fldChar w:fldCharType="begin"/>
      </w:r>
      <w:r w:rsidRPr="009271F3">
        <w:rPr>
          <w:rFonts w:asciiTheme="majorHAnsi" w:hAnsiTheme="majorHAnsi" w:cs="Arial"/>
          <w:b/>
          <w:bCs/>
          <w:szCs w:val="20"/>
        </w:rPr>
        <w:instrText xml:space="preserve"> SEQ Equation \* ARABIC \s 5 </w:instrText>
      </w:r>
      <w:r w:rsidRPr="009271F3">
        <w:rPr>
          <w:rFonts w:asciiTheme="majorHAnsi" w:hAnsiTheme="majorHAnsi" w:cs="Arial"/>
          <w:b/>
          <w:bCs/>
          <w:szCs w:val="20"/>
        </w:rPr>
        <w:fldChar w:fldCharType="separate"/>
      </w:r>
      <w:r w:rsidRPr="009271F3">
        <w:rPr>
          <w:rFonts w:asciiTheme="majorHAnsi" w:hAnsiTheme="majorHAnsi" w:cs="Arial"/>
          <w:b/>
          <w:bCs/>
          <w:noProof/>
          <w:szCs w:val="20"/>
        </w:rPr>
        <w:t>1</w:t>
      </w:r>
      <w:r w:rsidRPr="009271F3">
        <w:rPr>
          <w:rFonts w:asciiTheme="majorHAnsi" w:hAnsiTheme="majorHAnsi" w:cs="Arial"/>
          <w:b/>
          <w:bCs/>
          <w:noProof/>
          <w:szCs w:val="20"/>
        </w:rPr>
        <w:fldChar w:fldCharType="end"/>
      </w:r>
      <w:bookmarkEnd w:id="55"/>
      <w:r w:rsidRPr="009271F3">
        <w:rPr>
          <w:rFonts w:asciiTheme="majorHAnsi" w:hAnsiTheme="majorHAnsi" w:cs="Arial"/>
          <w:b/>
          <w:bCs/>
          <w:szCs w:val="20"/>
        </w:rPr>
        <w:t>. Lagged Dependent Variable Regression Model</w:t>
      </w:r>
      <w:bookmarkEnd w:id="56"/>
      <w:bookmarkEnd w:id="57"/>
      <w:bookmarkEnd w:id="58"/>
    </w:p>
    <w:p w14:paraId="2953987E" w14:textId="77777777" w:rsidR="000D25C1" w:rsidRPr="00EE614F" w:rsidRDefault="000D25C1" w:rsidP="000D25C1">
      <w:pPr>
        <w:spacing w:after="0"/>
        <w:rPr>
          <w:szCs w:val="20"/>
        </w:rPr>
      </w:pPr>
      <m:oMathPara>
        <m:oMath>
          <m:r>
            <w:rPr>
              <w:rFonts w:ascii="Cambria Math" w:hAnsi="Cambria Math"/>
              <w:szCs w:val="20"/>
            </w:rPr>
            <m:t>AD</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kt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r>
            <w:rPr>
              <w:rFonts w:ascii="Cambria Math" w:hAnsi="Cambria Math"/>
              <w:szCs w:val="20"/>
            </w:rPr>
            <m:t>Treatmen</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k</m:t>
              </m:r>
            </m:sub>
          </m:sSub>
          <m:r>
            <w:rPr>
              <w:rFonts w:ascii="Cambria Math" w:hAnsi="Cambria Math"/>
              <w:szCs w:val="20"/>
            </w:rPr>
            <m:t xml:space="preserve">+ </m:t>
          </m:r>
          <m:nary>
            <m:naryPr>
              <m:chr m:val="∑"/>
              <m:limLoc m:val="subSup"/>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β</m:t>
                  </m:r>
                </m:e>
                <m:sub>
                  <m:r>
                    <w:rPr>
                      <w:rFonts w:ascii="Cambria Math" w:hAnsi="Cambria Math"/>
                      <w:szCs w:val="20"/>
                    </w:rPr>
                    <m:t>2</m:t>
                  </m:r>
                </m:sub>
              </m:sSub>
              <m:r>
                <w:rPr>
                  <w:rFonts w:ascii="Cambria Math" w:hAnsi="Cambria Math"/>
                  <w:szCs w:val="20"/>
                </w:rPr>
                <m:t>Mont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jt</m:t>
                  </m:r>
                </m:sub>
              </m:sSub>
            </m:e>
          </m:nary>
          <m:r>
            <w:rPr>
              <w:rFonts w:ascii="Cambria Math" w:hAnsi="Cambria Math"/>
              <w:szCs w:val="20"/>
            </w:rPr>
            <m:t>+</m:t>
          </m:r>
          <m:nary>
            <m:naryPr>
              <m:chr m:val="∑"/>
              <m:limLoc m:val="undOvr"/>
              <m:supHide m:val="1"/>
              <m:ctrlPr>
                <w:rPr>
                  <w:rFonts w:ascii="Cambria Math" w:hAnsi="Cambria Math"/>
                  <w:i/>
                  <w:szCs w:val="20"/>
                </w:rPr>
              </m:ctrlPr>
            </m:naryPr>
            <m:sub>
              <m:r>
                <w:rPr>
                  <w:rFonts w:ascii="Cambria Math" w:hAnsi="Cambria Math"/>
                  <w:szCs w:val="20"/>
                </w:rPr>
                <m:t>J</m:t>
              </m:r>
            </m:sub>
            <m:sup/>
            <m:e>
              <m:sSub>
                <m:sSubPr>
                  <m:ctrlPr>
                    <w:rPr>
                      <w:rFonts w:ascii="Cambria Math" w:hAnsi="Cambria Math"/>
                      <w:i/>
                      <w:szCs w:val="20"/>
                    </w:rPr>
                  </m:ctrlPr>
                </m:sSubPr>
                <m:e>
                  <m:r>
                    <w:rPr>
                      <w:rFonts w:ascii="Cambria Math" w:hAnsi="Cambria Math"/>
                      <w:szCs w:val="20"/>
                    </w:rPr>
                    <m:t>β</m:t>
                  </m:r>
                </m:e>
                <m:sub>
                  <m:r>
                    <w:rPr>
                      <w:rFonts w:ascii="Cambria Math" w:hAnsi="Cambria Math"/>
                      <w:szCs w:val="20"/>
                    </w:rPr>
                    <m:t>3</m:t>
                  </m:r>
                </m:sub>
              </m:sSub>
              <m:r>
                <w:rPr>
                  <w:rFonts w:ascii="Cambria Math" w:hAnsi="Cambria Math"/>
                  <w:szCs w:val="20"/>
                </w:rPr>
                <m:t>Mont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jt</m:t>
                  </m:r>
                </m:sub>
              </m:sSub>
              <m:r>
                <w:rPr>
                  <w:rFonts w:ascii="Cambria Math" w:hAnsi="Cambria Math"/>
                  <w:sz w:val="18"/>
                  <w:szCs w:val="20"/>
                </w:rPr>
                <m:t>∙ADUla</m:t>
              </m:r>
              <m:sSub>
                <m:sSubPr>
                  <m:ctrlPr>
                    <w:rPr>
                      <w:rFonts w:ascii="Cambria Math" w:hAnsi="Cambria Math"/>
                      <w:i/>
                      <w:sz w:val="18"/>
                      <w:szCs w:val="18"/>
                    </w:rPr>
                  </m:ctrlPr>
                </m:sSubPr>
                <m:e>
                  <m:r>
                    <w:rPr>
                      <w:rFonts w:ascii="Cambria Math" w:hAnsi="Cambria Math"/>
                      <w:sz w:val="18"/>
                      <w:szCs w:val="20"/>
                    </w:rPr>
                    <m:t>g</m:t>
                  </m:r>
                </m:e>
                <m:sub>
                  <m:r>
                    <w:rPr>
                      <w:rFonts w:ascii="Cambria Math" w:hAnsi="Cambria Math"/>
                      <w:sz w:val="18"/>
                      <w:szCs w:val="20"/>
                    </w:rPr>
                    <m:t>kt</m:t>
                  </m:r>
                </m:sub>
              </m:sSub>
            </m:e>
          </m:nary>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ε</m:t>
              </m:r>
            </m:e>
            <m:sub>
              <m:r>
                <w:rPr>
                  <w:rFonts w:ascii="Cambria Math" w:hAnsi="Cambria Math"/>
                  <w:szCs w:val="20"/>
                </w:rPr>
                <m:t>kt</m:t>
              </m:r>
            </m:sub>
          </m:sSub>
        </m:oMath>
      </m:oMathPara>
    </w:p>
    <w:p w14:paraId="070DDFC3" w14:textId="77777777" w:rsidR="000D25C1" w:rsidRPr="00EE614F" w:rsidRDefault="000D25C1" w:rsidP="000D25C1">
      <w:pPr>
        <w:keepNext/>
        <w:keepLines/>
        <w:spacing w:after="0"/>
        <w:rPr>
          <w:szCs w:val="20"/>
        </w:rPr>
      </w:pPr>
      <w:r w:rsidRPr="00EE614F">
        <w:rPr>
          <w:szCs w:val="20"/>
        </w:rPr>
        <w:t>Where:</w:t>
      </w:r>
    </w:p>
    <w:p w14:paraId="3A4DE1FB" w14:textId="77777777" w:rsidR="000D25C1" w:rsidRPr="00EE614F" w:rsidRDefault="00C8791C" w:rsidP="000D25C1">
      <w:pPr>
        <w:keepNext/>
        <w:keepLines/>
        <w:spacing w:after="60"/>
        <w:ind w:firstLine="720"/>
        <w:rPr>
          <w:i/>
          <w:szCs w:val="20"/>
        </w:rPr>
      </w:pPr>
      <m:oMath>
        <m:sSub>
          <m:sSubPr>
            <m:ctrlPr>
              <w:rPr>
                <w:rFonts w:ascii="Cambria Math" w:hAnsi="Cambria Math"/>
                <w:i/>
                <w:szCs w:val="20"/>
              </w:rPr>
            </m:ctrlPr>
          </m:sSubPr>
          <m:e>
            <m:r>
              <w:rPr>
                <w:rFonts w:ascii="Cambria Math" w:hAnsi="Cambria Math"/>
                <w:szCs w:val="20"/>
              </w:rPr>
              <m:t>ADU</m:t>
            </m:r>
          </m:e>
          <m:sub>
            <m:r>
              <w:rPr>
                <w:rFonts w:ascii="Cambria Math" w:hAnsi="Cambria Math"/>
                <w:szCs w:val="20"/>
              </w:rPr>
              <m:t>kt</m:t>
            </m:r>
          </m:sub>
        </m:sSub>
      </m:oMath>
      <w:r w:rsidR="000D25C1" w:rsidRPr="00EE614F">
        <w:rPr>
          <w:szCs w:val="20"/>
        </w:rPr>
        <w:tab/>
      </w:r>
      <w:r w:rsidR="000D25C1" w:rsidRPr="00EE614F">
        <w:rPr>
          <w:szCs w:val="20"/>
        </w:rPr>
        <w:tab/>
        <w:t xml:space="preserve">is average daily consumption of therms by household </w:t>
      </w:r>
      <w:r w:rsidR="000D25C1" w:rsidRPr="00EE614F">
        <w:rPr>
          <w:i/>
          <w:szCs w:val="20"/>
        </w:rPr>
        <w:t>k</w:t>
      </w:r>
      <w:r w:rsidR="000D25C1" w:rsidRPr="00EE614F">
        <w:rPr>
          <w:szCs w:val="20"/>
        </w:rPr>
        <w:t xml:space="preserve"> in bill period </w:t>
      </w:r>
      <w:r w:rsidR="000D25C1" w:rsidRPr="00EE614F">
        <w:rPr>
          <w:i/>
          <w:szCs w:val="20"/>
        </w:rPr>
        <w:t>t</w:t>
      </w:r>
    </w:p>
    <w:p w14:paraId="58E31F1E" w14:textId="77777777" w:rsidR="000D25C1" w:rsidRPr="00EE614F" w:rsidRDefault="00C8791C" w:rsidP="000D25C1">
      <w:pPr>
        <w:keepNext/>
        <w:keepLines/>
        <w:spacing w:after="60"/>
        <w:ind w:left="2160" w:hanging="1440"/>
        <w:rPr>
          <w:szCs w:val="20"/>
        </w:rPr>
      </w:pPr>
      <m:oMath>
        <m:sSub>
          <m:sSubPr>
            <m:ctrlPr>
              <w:rPr>
                <w:rFonts w:ascii="Cambria Math" w:hAnsi="Cambria Math"/>
                <w:i/>
                <w:szCs w:val="20"/>
              </w:rPr>
            </m:ctrlPr>
          </m:sSubPr>
          <m:e>
            <m:r>
              <w:rPr>
                <w:rFonts w:ascii="Cambria Math" w:hAnsi="Cambria Math"/>
                <w:szCs w:val="20"/>
              </w:rPr>
              <m:t>Treatment</m:t>
            </m:r>
          </m:e>
          <m:sub>
            <m:r>
              <w:rPr>
                <w:rFonts w:ascii="Cambria Math" w:hAnsi="Cambria Math"/>
                <w:szCs w:val="20"/>
              </w:rPr>
              <m:t>k</m:t>
            </m:r>
          </m:sub>
        </m:sSub>
      </m:oMath>
      <w:r w:rsidR="000D25C1" w:rsidRPr="00EE614F">
        <w:rPr>
          <w:szCs w:val="20"/>
        </w:rPr>
        <w:tab/>
        <w:t>is a binary variable taking a value of 0 if household k is assigned to the control group, and 1 if assigned to the treatment group</w:t>
      </w:r>
    </w:p>
    <w:p w14:paraId="1C2D9FF0" w14:textId="77777777" w:rsidR="000D25C1" w:rsidRPr="00EE614F" w:rsidRDefault="00C8791C" w:rsidP="000D25C1">
      <w:pPr>
        <w:keepNext/>
        <w:keepLines/>
        <w:spacing w:after="60"/>
        <w:ind w:left="2160" w:hanging="1440"/>
        <w:rPr>
          <w:szCs w:val="20"/>
        </w:rPr>
      </w:pPr>
      <m:oMath>
        <m:sSub>
          <m:sSubPr>
            <m:ctrlPr>
              <w:rPr>
                <w:rFonts w:ascii="Cambria Math" w:hAnsi="Cambria Math"/>
                <w:i/>
                <w:szCs w:val="20"/>
              </w:rPr>
            </m:ctrlPr>
          </m:sSubPr>
          <m:e>
            <m:r>
              <w:rPr>
                <w:rFonts w:ascii="Cambria Math" w:hAnsi="Cambria Math"/>
                <w:szCs w:val="20"/>
              </w:rPr>
              <m:t>Month</m:t>
            </m:r>
          </m:e>
          <m:sub>
            <m:r>
              <w:rPr>
                <w:rFonts w:ascii="Cambria Math" w:hAnsi="Cambria Math"/>
                <w:szCs w:val="20"/>
              </w:rPr>
              <m:t>jt</m:t>
            </m:r>
          </m:sub>
        </m:sSub>
      </m:oMath>
      <w:r w:rsidR="000D25C1" w:rsidRPr="00EE614F">
        <w:rPr>
          <w:szCs w:val="20"/>
        </w:rPr>
        <w:tab/>
        <w:t>is a binary variable taking a value of 1 when j = t and 0 otherwise</w:t>
      </w:r>
      <w:r w:rsidR="000D25C1" w:rsidRPr="00EE614F">
        <w:rPr>
          <w:szCs w:val="20"/>
          <w:vertAlign w:val="superscript"/>
        </w:rPr>
        <w:footnoteReference w:id="7"/>
      </w:r>
    </w:p>
    <w:p w14:paraId="1D5D6C18" w14:textId="77777777" w:rsidR="000D25C1" w:rsidRPr="00EE614F" w:rsidRDefault="00C8791C" w:rsidP="000D25C1">
      <w:pPr>
        <w:keepNext/>
        <w:keepLines/>
        <w:spacing w:after="60"/>
        <w:ind w:left="2160" w:hanging="1440"/>
        <w:rPr>
          <w:szCs w:val="20"/>
        </w:rPr>
      </w:pPr>
      <m:oMath>
        <m:sSub>
          <m:sSubPr>
            <m:ctrlPr>
              <w:rPr>
                <w:rFonts w:ascii="Cambria Math" w:hAnsi="Cambria Math"/>
                <w:i/>
                <w:szCs w:val="20"/>
              </w:rPr>
            </m:ctrlPr>
          </m:sSubPr>
          <m:e>
            <m:r>
              <w:rPr>
                <w:rFonts w:ascii="Cambria Math" w:hAnsi="Cambria Math"/>
                <w:szCs w:val="20"/>
              </w:rPr>
              <m:t>ADUlag</m:t>
            </m:r>
          </m:e>
          <m:sub>
            <m:r>
              <w:rPr>
                <w:rFonts w:ascii="Cambria Math" w:hAnsi="Cambria Math"/>
                <w:szCs w:val="20"/>
              </w:rPr>
              <m:t>kt</m:t>
            </m:r>
          </m:sub>
        </m:sSub>
      </m:oMath>
      <w:r w:rsidR="000D25C1" w:rsidRPr="00EE614F">
        <w:rPr>
          <w:szCs w:val="20"/>
        </w:rPr>
        <w:tab/>
        <w:t xml:space="preserve">is household </w:t>
      </w:r>
      <w:r w:rsidR="000D25C1" w:rsidRPr="00EE614F">
        <w:rPr>
          <w:i/>
          <w:szCs w:val="20"/>
        </w:rPr>
        <w:t>k</w:t>
      </w:r>
      <w:r w:rsidR="000D25C1" w:rsidRPr="00EE614F">
        <w:rPr>
          <w:szCs w:val="20"/>
        </w:rPr>
        <w:t xml:space="preserve">’s energy use in the same calendar month of the pre-program year as the calendar month of month </w:t>
      </w:r>
      <w:r w:rsidR="000D25C1" w:rsidRPr="00EE614F">
        <w:rPr>
          <w:i/>
          <w:szCs w:val="20"/>
        </w:rPr>
        <w:t>t</w:t>
      </w:r>
    </w:p>
    <w:p w14:paraId="24088726" w14:textId="77777777" w:rsidR="000D25C1" w:rsidRPr="00EE614F" w:rsidRDefault="00C8791C" w:rsidP="000D25C1">
      <w:pPr>
        <w:keepLines/>
        <w:spacing w:after="60"/>
        <w:ind w:left="2160" w:hanging="1440"/>
        <w:rPr>
          <w:szCs w:val="20"/>
        </w:rPr>
      </w:pPr>
      <m:oMath>
        <m:sSub>
          <m:sSubPr>
            <m:ctrlPr>
              <w:rPr>
                <w:rFonts w:ascii="Cambria Math" w:hAnsi="Cambria Math"/>
                <w:i/>
                <w:szCs w:val="20"/>
              </w:rPr>
            </m:ctrlPr>
          </m:sSubPr>
          <m:e>
            <m:r>
              <w:rPr>
                <w:rFonts w:ascii="Cambria Math" w:hAnsi="Cambria Math"/>
                <w:szCs w:val="20"/>
              </w:rPr>
              <m:t>ε</m:t>
            </m:r>
          </m:e>
          <m:sub>
            <m:r>
              <w:rPr>
                <w:rFonts w:ascii="Cambria Math" w:hAnsi="Cambria Math"/>
                <w:szCs w:val="20"/>
              </w:rPr>
              <m:t>kt</m:t>
            </m:r>
          </m:sub>
        </m:sSub>
      </m:oMath>
      <w:r w:rsidR="000D25C1" w:rsidRPr="00EE614F">
        <w:rPr>
          <w:rFonts w:ascii="Verdana" w:hAnsi="Verdana"/>
          <w:szCs w:val="20"/>
        </w:rPr>
        <w:t xml:space="preserve"> </w:t>
      </w:r>
      <w:r w:rsidR="000D25C1" w:rsidRPr="00EE614F">
        <w:rPr>
          <w:rFonts w:ascii="Verdana" w:hAnsi="Verdana"/>
          <w:szCs w:val="20"/>
        </w:rPr>
        <w:tab/>
      </w:r>
      <w:r w:rsidR="000D25C1" w:rsidRPr="00EE614F">
        <w:rPr>
          <w:szCs w:val="20"/>
        </w:rPr>
        <w:t xml:space="preserve">is the cluster-robust error term for household </w:t>
      </w:r>
      <w:r w:rsidR="000D25C1" w:rsidRPr="00EE614F">
        <w:rPr>
          <w:i/>
          <w:szCs w:val="20"/>
        </w:rPr>
        <w:t>k</w:t>
      </w:r>
      <w:r w:rsidR="000D25C1" w:rsidRPr="00EE614F">
        <w:rPr>
          <w:szCs w:val="20"/>
        </w:rPr>
        <w:t xml:space="preserve"> during billing cycle </w:t>
      </w:r>
      <w:r w:rsidR="000D25C1" w:rsidRPr="00EE614F">
        <w:rPr>
          <w:i/>
          <w:szCs w:val="20"/>
        </w:rPr>
        <w:t xml:space="preserve">t; </w:t>
      </w:r>
      <w:r w:rsidR="000D25C1" w:rsidRPr="00EE614F">
        <w:rPr>
          <w:szCs w:val="20"/>
        </w:rPr>
        <w:t>cluster-robust errors account for heteroskedasticity and autocorrelation at the household level</w:t>
      </w:r>
    </w:p>
    <w:p w14:paraId="763579A5" w14:textId="77777777" w:rsidR="000D25C1" w:rsidRPr="00EE614F" w:rsidRDefault="000D25C1" w:rsidP="000D25C1">
      <w:pPr>
        <w:keepLines/>
        <w:spacing w:after="0"/>
        <w:ind w:left="2160" w:hanging="1440"/>
        <w:rPr>
          <w:szCs w:val="20"/>
        </w:rPr>
      </w:pPr>
    </w:p>
    <w:p w14:paraId="7C889BA9" w14:textId="77777777" w:rsidR="000D25C1" w:rsidRPr="00EE614F" w:rsidRDefault="000D25C1" w:rsidP="000D25C1">
      <w:pPr>
        <w:spacing w:after="240"/>
        <w:rPr>
          <w:szCs w:val="20"/>
        </w:rPr>
      </w:pPr>
      <w:r w:rsidRPr="00EE614F">
        <w:rPr>
          <w:szCs w:val="20"/>
        </w:rPr>
        <w:t xml:space="preserve">The coefficient </w:t>
      </w:r>
      <w:r w:rsidRPr="00EE614F">
        <w:rPr>
          <w:rFonts w:cs="Arial"/>
          <w:szCs w:val="20"/>
        </w:rPr>
        <w:t>β</w:t>
      </w:r>
      <w:r w:rsidRPr="00EE614F">
        <w:rPr>
          <w:rFonts w:cs="Arial"/>
          <w:szCs w:val="20"/>
          <w:vertAlign w:val="subscript"/>
        </w:rPr>
        <w:t>1</w:t>
      </w:r>
      <w:r w:rsidRPr="00EE614F">
        <w:rPr>
          <w:szCs w:val="20"/>
        </w:rPr>
        <w:t xml:space="preserve"> is the estimate of average daily therms energy savings due to the program.</w:t>
      </w:r>
    </w:p>
    <w:p w14:paraId="1FC891D1" w14:textId="77777777" w:rsidR="000D25C1" w:rsidRPr="00EE614F" w:rsidRDefault="000D25C1" w:rsidP="000D25C1">
      <w:pPr>
        <w:keepNext/>
        <w:spacing w:after="240"/>
        <w:rPr>
          <w:b/>
          <w:noProof/>
          <w:szCs w:val="16"/>
        </w:rPr>
      </w:pPr>
      <w:r w:rsidRPr="00EE614F">
        <w:rPr>
          <w:b/>
          <w:noProof/>
          <w:szCs w:val="16"/>
        </w:rPr>
        <w:t>Linear Fixed Effects Regression Model</w:t>
      </w:r>
    </w:p>
    <w:p w14:paraId="6C8EB64C" w14:textId="77777777" w:rsidR="000D25C1" w:rsidRPr="00EE614F" w:rsidRDefault="000D25C1" w:rsidP="000D25C1">
      <w:pPr>
        <w:spacing w:after="240"/>
        <w:rPr>
          <w:szCs w:val="20"/>
        </w:rPr>
      </w:pPr>
      <w:r w:rsidRPr="00EE614F">
        <w:rPr>
          <w:szCs w:val="20"/>
        </w:rPr>
        <w:t xml:space="preserve">The LFER model used by the evaluation team is one in which the average daily consumption of therms by household </w:t>
      </w:r>
      <w:r w:rsidRPr="00EE614F">
        <w:rPr>
          <w:i/>
          <w:szCs w:val="20"/>
        </w:rPr>
        <w:t>k</w:t>
      </w:r>
      <w:r w:rsidRPr="00EE614F">
        <w:rPr>
          <w:szCs w:val="20"/>
        </w:rPr>
        <w:t xml:space="preserve"> in bill period </w:t>
      </w:r>
      <w:r w:rsidRPr="00EE614F">
        <w:rPr>
          <w:i/>
          <w:szCs w:val="20"/>
        </w:rPr>
        <w:t>t</w:t>
      </w:r>
      <w:r w:rsidRPr="00EE614F">
        <w:rPr>
          <w:szCs w:val="20"/>
        </w:rPr>
        <w:t xml:space="preserve">, denoted by </w:t>
      </w:r>
      <w:proofErr w:type="spellStart"/>
      <w:r w:rsidRPr="00EE614F">
        <w:rPr>
          <w:i/>
          <w:szCs w:val="20"/>
        </w:rPr>
        <w:t>ADU</w:t>
      </w:r>
      <w:r w:rsidRPr="00EE614F">
        <w:rPr>
          <w:i/>
          <w:szCs w:val="20"/>
          <w:vertAlign w:val="subscript"/>
        </w:rPr>
        <w:t>kt</w:t>
      </w:r>
      <w:proofErr w:type="spellEnd"/>
      <w:r w:rsidRPr="00EE614F">
        <w:rPr>
          <w:i/>
          <w:szCs w:val="20"/>
        </w:rPr>
        <w:t xml:space="preserve"> </w:t>
      </w:r>
      <w:r w:rsidRPr="00EE614F">
        <w:rPr>
          <w:szCs w:val="20"/>
        </w:rPr>
        <w:t>is a function of the following three terms:</w:t>
      </w:r>
    </w:p>
    <w:p w14:paraId="39F4645E" w14:textId="77777777" w:rsidR="000D25C1" w:rsidRPr="00EE614F" w:rsidRDefault="000D25C1" w:rsidP="000D25C1">
      <w:pPr>
        <w:numPr>
          <w:ilvl w:val="0"/>
          <w:numId w:val="28"/>
        </w:numPr>
        <w:spacing w:after="0" w:line="240" w:lineRule="auto"/>
        <w:rPr>
          <w:szCs w:val="20"/>
        </w:rPr>
      </w:pPr>
      <w:r w:rsidRPr="00EE614F">
        <w:rPr>
          <w:szCs w:val="20"/>
        </w:rPr>
        <w:t xml:space="preserve">The binary variable </w:t>
      </w:r>
      <w:proofErr w:type="spellStart"/>
      <w:r w:rsidRPr="00EE614F">
        <w:rPr>
          <w:i/>
          <w:szCs w:val="20"/>
        </w:rPr>
        <w:t>Treatment</w:t>
      </w:r>
      <w:r w:rsidRPr="00EE614F">
        <w:rPr>
          <w:i/>
          <w:szCs w:val="20"/>
          <w:vertAlign w:val="subscript"/>
        </w:rPr>
        <w:t>k</w:t>
      </w:r>
      <w:proofErr w:type="spellEnd"/>
      <w:r w:rsidRPr="00EE614F">
        <w:rPr>
          <w:szCs w:val="20"/>
          <w:vertAlign w:val="subscript"/>
        </w:rPr>
        <w:t>.</w:t>
      </w:r>
    </w:p>
    <w:p w14:paraId="6FBB2D35" w14:textId="77777777" w:rsidR="000D25C1" w:rsidRPr="00EE614F" w:rsidRDefault="000D25C1" w:rsidP="000D25C1">
      <w:pPr>
        <w:numPr>
          <w:ilvl w:val="0"/>
          <w:numId w:val="28"/>
        </w:numPr>
        <w:spacing w:after="0" w:line="240" w:lineRule="auto"/>
        <w:rPr>
          <w:szCs w:val="20"/>
        </w:rPr>
      </w:pPr>
      <w:r w:rsidRPr="00EE614F">
        <w:rPr>
          <w:szCs w:val="20"/>
        </w:rPr>
        <w:t xml:space="preserve">The binary variable </w:t>
      </w:r>
      <w:proofErr w:type="spellStart"/>
      <w:r w:rsidRPr="00EE614F">
        <w:rPr>
          <w:i/>
          <w:szCs w:val="20"/>
        </w:rPr>
        <w:t>Post</w:t>
      </w:r>
      <w:r w:rsidRPr="00EE614F">
        <w:rPr>
          <w:i/>
          <w:szCs w:val="20"/>
          <w:vertAlign w:val="subscript"/>
        </w:rPr>
        <w:t>t</w:t>
      </w:r>
      <w:proofErr w:type="spellEnd"/>
      <w:r w:rsidRPr="00EE614F">
        <w:rPr>
          <w:szCs w:val="20"/>
        </w:rPr>
        <w:t xml:space="preserve">, taking a value of 0 if month </w:t>
      </w:r>
      <w:r w:rsidRPr="00EE614F">
        <w:rPr>
          <w:i/>
          <w:szCs w:val="20"/>
        </w:rPr>
        <w:t>t</w:t>
      </w:r>
      <w:r w:rsidRPr="00EE614F">
        <w:rPr>
          <w:szCs w:val="20"/>
        </w:rPr>
        <w:t xml:space="preserve"> is in the pre-treatment period, and 1 if in the post-treatment period</w:t>
      </w:r>
    </w:p>
    <w:p w14:paraId="7AC239E5" w14:textId="77777777" w:rsidR="000D25C1" w:rsidRPr="00EE614F" w:rsidRDefault="000D25C1" w:rsidP="000D25C1">
      <w:pPr>
        <w:numPr>
          <w:ilvl w:val="0"/>
          <w:numId w:val="28"/>
        </w:numPr>
        <w:spacing w:after="0" w:line="240" w:lineRule="auto"/>
        <w:rPr>
          <w:szCs w:val="20"/>
        </w:rPr>
      </w:pPr>
      <w:r w:rsidRPr="00EE614F">
        <w:rPr>
          <w:szCs w:val="20"/>
        </w:rPr>
        <w:t xml:space="preserve">The interaction between these variables, </w:t>
      </w:r>
      <w:proofErr w:type="spellStart"/>
      <w:r w:rsidRPr="00EE614F">
        <w:rPr>
          <w:i/>
          <w:szCs w:val="20"/>
        </w:rPr>
        <w:t>Treatment</w:t>
      </w:r>
      <w:r w:rsidRPr="00EE614F">
        <w:rPr>
          <w:i/>
          <w:szCs w:val="20"/>
          <w:vertAlign w:val="subscript"/>
        </w:rPr>
        <w:t>k</w:t>
      </w:r>
      <w:proofErr w:type="spellEnd"/>
      <w:r w:rsidRPr="00EE614F">
        <w:rPr>
          <w:i/>
          <w:szCs w:val="20"/>
          <w:vertAlign w:val="subscript"/>
        </w:rPr>
        <w:t xml:space="preserve"> </w:t>
      </w:r>
      <w:r w:rsidRPr="00EE614F">
        <w:rPr>
          <w:szCs w:val="20"/>
        </w:rPr>
        <w:t>·</w:t>
      </w:r>
      <w:proofErr w:type="spellStart"/>
      <w:r w:rsidRPr="00EE614F">
        <w:rPr>
          <w:i/>
          <w:szCs w:val="20"/>
        </w:rPr>
        <w:t>Post</w:t>
      </w:r>
      <w:r w:rsidRPr="00EE614F">
        <w:rPr>
          <w:i/>
          <w:szCs w:val="20"/>
          <w:vertAlign w:val="subscript"/>
        </w:rPr>
        <w:t>t</w:t>
      </w:r>
      <w:proofErr w:type="spellEnd"/>
    </w:p>
    <w:p w14:paraId="0833F8E9" w14:textId="77777777" w:rsidR="000D25C1" w:rsidRPr="00EE614F" w:rsidRDefault="000D25C1" w:rsidP="000D25C1">
      <w:pPr>
        <w:spacing w:after="0"/>
        <w:rPr>
          <w:szCs w:val="20"/>
        </w:rPr>
      </w:pPr>
    </w:p>
    <w:p w14:paraId="4CE0B9B7" w14:textId="77777777" w:rsidR="000D25C1" w:rsidRPr="00EE614F" w:rsidRDefault="000D25C1" w:rsidP="000D25C1">
      <w:pPr>
        <w:spacing w:after="240"/>
        <w:rPr>
          <w:szCs w:val="20"/>
        </w:rPr>
      </w:pPr>
      <w:r w:rsidRPr="00EE614F">
        <w:rPr>
          <w:szCs w:val="20"/>
        </w:rPr>
        <w:lastRenderedPageBreak/>
        <w:t xml:space="preserve">Formally, the LFER model is shown in </w:t>
      </w:r>
      <w:r w:rsidRPr="00124445">
        <w:rPr>
          <w:szCs w:val="20"/>
        </w:rPr>
        <w:fldChar w:fldCharType="begin"/>
      </w:r>
      <w:r w:rsidRPr="00EE614F">
        <w:rPr>
          <w:szCs w:val="20"/>
        </w:rPr>
        <w:instrText xml:space="preserve"> REF _Ref132906210 \h </w:instrText>
      </w:r>
      <w:r>
        <w:rPr>
          <w:szCs w:val="20"/>
        </w:rPr>
        <w:instrText xml:space="preserve"> \* MERGEFORMAT </w:instrText>
      </w:r>
      <w:r w:rsidRPr="00124445">
        <w:rPr>
          <w:szCs w:val="20"/>
        </w:rPr>
      </w:r>
      <w:r w:rsidRPr="00124445">
        <w:rPr>
          <w:szCs w:val="20"/>
        </w:rPr>
        <w:fldChar w:fldCharType="separate"/>
      </w:r>
      <w:r w:rsidRPr="0050419E">
        <w:rPr>
          <w:szCs w:val="20"/>
        </w:rPr>
        <w:t>Equation 2</w:t>
      </w:r>
      <w:r w:rsidRPr="00124445">
        <w:rPr>
          <w:szCs w:val="20"/>
        </w:rPr>
        <w:fldChar w:fldCharType="end"/>
      </w:r>
      <w:r w:rsidRPr="00EE614F">
        <w:rPr>
          <w:szCs w:val="20"/>
        </w:rPr>
        <w:t>.</w:t>
      </w:r>
    </w:p>
    <w:p w14:paraId="64418EB9" w14:textId="77777777" w:rsidR="000D25C1" w:rsidRPr="009271F3" w:rsidRDefault="000D25C1" w:rsidP="000D25C1">
      <w:pPr>
        <w:keepNext/>
        <w:jc w:val="center"/>
        <w:rPr>
          <w:rFonts w:asciiTheme="majorHAnsi" w:hAnsiTheme="majorHAnsi" w:cs="Arial"/>
          <w:b/>
          <w:bCs/>
          <w:szCs w:val="20"/>
        </w:rPr>
      </w:pPr>
      <w:bookmarkStart w:id="59" w:name="_Ref132906210"/>
      <w:bookmarkStart w:id="60" w:name="_Ref132906201"/>
      <w:bookmarkStart w:id="61" w:name="_Toc137824506"/>
      <w:bookmarkStart w:id="62" w:name="_Toc172553815"/>
      <w:bookmarkStart w:id="63" w:name="_Toc227314411"/>
      <w:r w:rsidRPr="009271F3">
        <w:rPr>
          <w:rFonts w:asciiTheme="majorHAnsi" w:hAnsiTheme="majorHAnsi" w:cs="Arial"/>
          <w:b/>
          <w:bCs/>
          <w:szCs w:val="20"/>
        </w:rPr>
        <w:t xml:space="preserve">Equation </w:t>
      </w:r>
      <w:r w:rsidRPr="009271F3">
        <w:rPr>
          <w:rFonts w:asciiTheme="majorHAnsi" w:hAnsiTheme="majorHAnsi" w:cs="Arial"/>
          <w:b/>
          <w:bCs/>
          <w:szCs w:val="20"/>
        </w:rPr>
        <w:fldChar w:fldCharType="begin"/>
      </w:r>
      <w:r w:rsidRPr="009271F3">
        <w:rPr>
          <w:rFonts w:asciiTheme="majorHAnsi" w:hAnsiTheme="majorHAnsi" w:cs="Arial"/>
          <w:b/>
          <w:bCs/>
          <w:szCs w:val="20"/>
        </w:rPr>
        <w:instrText xml:space="preserve"> SEQ Equation \* ARABIC \s 5 </w:instrText>
      </w:r>
      <w:r w:rsidRPr="009271F3">
        <w:rPr>
          <w:rFonts w:asciiTheme="majorHAnsi" w:hAnsiTheme="majorHAnsi" w:cs="Arial"/>
          <w:b/>
          <w:bCs/>
          <w:szCs w:val="20"/>
        </w:rPr>
        <w:fldChar w:fldCharType="separate"/>
      </w:r>
      <w:r w:rsidRPr="009271F3">
        <w:rPr>
          <w:rFonts w:asciiTheme="majorHAnsi" w:hAnsiTheme="majorHAnsi" w:cs="Arial"/>
          <w:b/>
          <w:bCs/>
          <w:noProof/>
          <w:szCs w:val="20"/>
        </w:rPr>
        <w:t>2</w:t>
      </w:r>
      <w:r w:rsidRPr="009271F3">
        <w:rPr>
          <w:rFonts w:asciiTheme="majorHAnsi" w:hAnsiTheme="majorHAnsi" w:cs="Arial"/>
          <w:b/>
          <w:bCs/>
          <w:noProof/>
          <w:szCs w:val="20"/>
        </w:rPr>
        <w:fldChar w:fldCharType="end"/>
      </w:r>
      <w:bookmarkEnd w:id="59"/>
      <w:r w:rsidRPr="009271F3">
        <w:rPr>
          <w:rFonts w:asciiTheme="majorHAnsi" w:hAnsiTheme="majorHAnsi" w:cs="Arial"/>
          <w:b/>
          <w:bCs/>
          <w:szCs w:val="20"/>
        </w:rPr>
        <w:t>. Linear Fixed Effects Regression Model</w:t>
      </w:r>
      <w:bookmarkEnd w:id="60"/>
      <w:bookmarkEnd w:id="61"/>
      <w:bookmarkEnd w:id="62"/>
      <w:bookmarkEnd w:id="63"/>
    </w:p>
    <w:p w14:paraId="420D48F7" w14:textId="77777777" w:rsidR="000D25C1" w:rsidRPr="00EE614F" w:rsidRDefault="00C8791C" w:rsidP="000D25C1">
      <w:pPr>
        <w:spacing w:after="0"/>
        <w:rPr>
          <w:rFonts w:ascii="Cambria Math" w:hAnsi="Cambria Math"/>
          <w:i/>
          <w:szCs w:val="20"/>
        </w:rPr>
      </w:pPr>
      <m:oMathPara>
        <m:oMath>
          <m:sSub>
            <m:sSubPr>
              <m:ctrlPr>
                <w:rPr>
                  <w:rFonts w:ascii="Cambria Math" w:hAnsi="Cambria Math"/>
                  <w:i/>
                  <w:szCs w:val="20"/>
                </w:rPr>
              </m:ctrlPr>
            </m:sSubPr>
            <m:e>
              <m:r>
                <w:rPr>
                  <w:rFonts w:ascii="Cambria Math" w:hAnsi="Cambria Math"/>
                  <w:szCs w:val="20"/>
                </w:rPr>
                <m:t>ADU</m:t>
              </m:r>
            </m:e>
            <m:sub>
              <m:r>
                <w:rPr>
                  <w:rFonts w:ascii="Cambria Math" w:hAnsi="Cambria Math"/>
                  <w:szCs w:val="20"/>
                </w:rPr>
                <m:t>kt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0k</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Post</m:t>
              </m:r>
            </m:e>
            <m:sub>
              <m:r>
                <w:rPr>
                  <w:rFonts w:ascii="Cambria Math" w:hAnsi="Cambria Math"/>
                  <w:szCs w:val="20"/>
                </w:rPr>
                <m:t>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α</m:t>
              </m:r>
            </m:e>
            <m:sub>
              <m:r>
                <w:rPr>
                  <w:rFonts w:ascii="Cambria Math" w:hAnsi="Cambria Math"/>
                  <w:szCs w:val="20"/>
                </w:rPr>
                <m:t>2</m:t>
              </m:r>
            </m:sub>
          </m:sSub>
          <m:sSub>
            <m:sSubPr>
              <m:ctrlPr>
                <w:rPr>
                  <w:rFonts w:ascii="Cambria Math" w:hAnsi="Cambria Math"/>
                  <w:i/>
                  <w:szCs w:val="20"/>
                </w:rPr>
              </m:ctrlPr>
            </m:sSubPr>
            <m:e>
              <m:r>
                <w:rPr>
                  <w:rFonts w:ascii="Cambria Math" w:hAnsi="Cambria Math"/>
                  <w:szCs w:val="20"/>
                </w:rPr>
                <m:t>Treatment</m:t>
              </m:r>
            </m:e>
            <m:sub>
              <m:r>
                <w:rPr>
                  <w:rFonts w:ascii="Cambria Math" w:hAnsi="Cambria Math"/>
                  <w:szCs w:val="20"/>
                </w:rPr>
                <m:t>k</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Post</m:t>
              </m:r>
            </m:e>
            <m:sub>
              <m:r>
                <w:rPr>
                  <w:rFonts w:ascii="Cambria Math" w:hAnsi="Cambria Math"/>
                  <w:szCs w:val="20"/>
                </w:rPr>
                <m:t>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ε</m:t>
              </m:r>
            </m:e>
            <m:sub>
              <m:r>
                <w:rPr>
                  <w:rFonts w:ascii="Cambria Math" w:hAnsi="Cambria Math"/>
                  <w:szCs w:val="20"/>
                </w:rPr>
                <m:t>kt</m:t>
              </m:r>
            </m:sub>
          </m:sSub>
        </m:oMath>
      </m:oMathPara>
    </w:p>
    <w:p w14:paraId="12B50BF1" w14:textId="77777777" w:rsidR="000D25C1" w:rsidRPr="00EE614F" w:rsidRDefault="000D25C1" w:rsidP="000D25C1">
      <w:pPr>
        <w:spacing w:after="0"/>
        <w:rPr>
          <w:szCs w:val="20"/>
        </w:rPr>
      </w:pPr>
    </w:p>
    <w:p w14:paraId="4697D8B8" w14:textId="77777777" w:rsidR="000D25C1" w:rsidRPr="00EE614F" w:rsidRDefault="000D25C1" w:rsidP="000D25C1">
      <w:pPr>
        <w:spacing w:after="240"/>
        <w:rPr>
          <w:szCs w:val="20"/>
        </w:rPr>
      </w:pPr>
      <w:r w:rsidRPr="00EE614F">
        <w:rPr>
          <w:szCs w:val="20"/>
        </w:rPr>
        <w:t>Coefficient α</w:t>
      </w:r>
      <w:r w:rsidRPr="00EE614F">
        <w:rPr>
          <w:szCs w:val="20"/>
          <w:vertAlign w:val="subscript"/>
        </w:rPr>
        <w:t>0k</w:t>
      </w:r>
      <w:r w:rsidRPr="00EE614F">
        <w:rPr>
          <w:szCs w:val="20"/>
        </w:rPr>
        <w:t xml:space="preserve"> captures all household-specific effects on energy use that do not change over time, including those that are unobservable. Coefficient α</w:t>
      </w:r>
      <w:r w:rsidRPr="00EE614F">
        <w:rPr>
          <w:szCs w:val="20"/>
          <w:vertAlign w:val="subscript"/>
        </w:rPr>
        <w:t>1</w:t>
      </w:r>
      <w:r w:rsidRPr="00EE614F">
        <w:rPr>
          <w:szCs w:val="20"/>
        </w:rPr>
        <w:t xml:space="preserve"> captures the average effect across all households of being in the post-treatment period. The effect of being both in the treatment group and in the post period, i.e., the effect directly attributable to the program, is captured by the coefficient α</w:t>
      </w:r>
      <w:r w:rsidRPr="00EE614F">
        <w:rPr>
          <w:szCs w:val="20"/>
          <w:vertAlign w:val="subscript"/>
        </w:rPr>
        <w:t>2</w:t>
      </w:r>
      <w:r w:rsidRPr="00EE614F">
        <w:rPr>
          <w:szCs w:val="20"/>
        </w:rPr>
        <w:t>. In other words, whereas the coefficient α</w:t>
      </w:r>
      <w:r w:rsidRPr="00EE614F">
        <w:rPr>
          <w:szCs w:val="20"/>
          <w:vertAlign w:val="subscript"/>
        </w:rPr>
        <w:t>1</w:t>
      </w:r>
      <w:r w:rsidRPr="00EE614F">
        <w:rPr>
          <w:szCs w:val="20"/>
        </w:rPr>
        <w:t xml:space="preserve"> captures the change in average daily therms use across the pre- and post-treatment for the control group, the sum α</w:t>
      </w:r>
      <w:r w:rsidRPr="00EE614F">
        <w:rPr>
          <w:szCs w:val="20"/>
          <w:vertAlign w:val="subscript"/>
        </w:rPr>
        <w:t>1</w:t>
      </w:r>
      <w:r w:rsidRPr="00EE614F">
        <w:rPr>
          <w:szCs w:val="20"/>
        </w:rPr>
        <w:t>+α</w:t>
      </w:r>
      <w:r w:rsidRPr="00EE614F">
        <w:rPr>
          <w:szCs w:val="20"/>
          <w:vertAlign w:val="subscript"/>
        </w:rPr>
        <w:t>2</w:t>
      </w:r>
      <w:r w:rsidRPr="00EE614F">
        <w:rPr>
          <w:szCs w:val="20"/>
        </w:rPr>
        <w:t xml:space="preserve"> captures this change for the treatment group and so α</w:t>
      </w:r>
      <w:r w:rsidRPr="00EE614F">
        <w:rPr>
          <w:szCs w:val="20"/>
          <w:vertAlign w:val="subscript"/>
        </w:rPr>
        <w:t>2</w:t>
      </w:r>
      <w:r w:rsidRPr="00EE614F">
        <w:rPr>
          <w:szCs w:val="20"/>
        </w:rPr>
        <w:t xml:space="preserve"> is the estimate of average daily therms energy savings due to the program.</w:t>
      </w:r>
    </w:p>
    <w:p w14:paraId="4A61DF36" w14:textId="77777777" w:rsidR="000D25C1" w:rsidRPr="00EE614F" w:rsidRDefault="000D25C1" w:rsidP="000D25C1">
      <w:pPr>
        <w:keepNext/>
        <w:spacing w:after="240"/>
        <w:rPr>
          <w:b/>
          <w:noProof/>
          <w:szCs w:val="16"/>
        </w:rPr>
      </w:pPr>
      <w:r w:rsidRPr="00EE614F">
        <w:rPr>
          <w:b/>
          <w:noProof/>
          <w:szCs w:val="16"/>
        </w:rPr>
        <w:t>Statistical Significance</w:t>
      </w:r>
    </w:p>
    <w:p w14:paraId="27BD08B0" w14:textId="77777777" w:rsidR="000D25C1" w:rsidRPr="00EE614F" w:rsidRDefault="000D25C1" w:rsidP="000D25C1">
      <w:pPr>
        <w:spacing w:after="240"/>
        <w:rPr>
          <w:szCs w:val="20"/>
        </w:rPr>
      </w:pPr>
      <w:r w:rsidRPr="00EE614F">
        <w:rPr>
          <w:szCs w:val="20"/>
        </w:rPr>
        <w:t xml:space="preserve">Guidehouse considered the program level, rather than wave level, statistical significance in claiming savings for this program. The program level standard error is calculated as shown in </w:t>
      </w:r>
      <w:r w:rsidRPr="00EE614F">
        <w:rPr>
          <w:szCs w:val="20"/>
        </w:rPr>
        <w:fldChar w:fldCharType="begin"/>
      </w:r>
      <w:r w:rsidRPr="00EE614F">
        <w:rPr>
          <w:szCs w:val="20"/>
        </w:rPr>
        <w:instrText xml:space="preserve"> REF _Ref169867757 \h </w:instrText>
      </w:r>
      <w:r>
        <w:rPr>
          <w:szCs w:val="20"/>
        </w:rPr>
        <w:instrText xml:space="preserve"> \* MERGEFORMAT </w:instrText>
      </w:r>
      <w:r w:rsidRPr="00EE614F">
        <w:rPr>
          <w:szCs w:val="20"/>
        </w:rPr>
      </w:r>
      <w:r w:rsidRPr="00EE614F">
        <w:rPr>
          <w:szCs w:val="20"/>
        </w:rPr>
        <w:fldChar w:fldCharType="separate"/>
      </w:r>
      <w:r w:rsidRPr="0050419E">
        <w:rPr>
          <w:szCs w:val="20"/>
        </w:rPr>
        <w:t>Equation 3</w:t>
      </w:r>
      <w:r w:rsidRPr="00EE614F">
        <w:rPr>
          <w:szCs w:val="20"/>
        </w:rPr>
        <w:fldChar w:fldCharType="end"/>
      </w:r>
      <w:r w:rsidRPr="00EE614F">
        <w:rPr>
          <w:szCs w:val="20"/>
        </w:rPr>
        <w:t>.</w:t>
      </w:r>
    </w:p>
    <w:p w14:paraId="1A031B43" w14:textId="77777777" w:rsidR="000D25C1" w:rsidRPr="009271F3" w:rsidRDefault="000D25C1" w:rsidP="000D25C1">
      <w:pPr>
        <w:keepNext/>
        <w:jc w:val="center"/>
        <w:rPr>
          <w:rFonts w:asciiTheme="majorHAnsi" w:hAnsiTheme="majorHAnsi" w:cs="Arial"/>
          <w:b/>
          <w:bCs/>
          <w:szCs w:val="20"/>
        </w:rPr>
      </w:pPr>
      <w:bookmarkStart w:id="64" w:name="_Ref169867757"/>
      <w:bookmarkStart w:id="65" w:name="_Ref169867750"/>
      <w:bookmarkStart w:id="66" w:name="_Toc172553816"/>
      <w:bookmarkStart w:id="67" w:name="_Toc227314412"/>
      <w:r w:rsidRPr="009271F3">
        <w:rPr>
          <w:rFonts w:asciiTheme="majorHAnsi" w:hAnsiTheme="majorHAnsi" w:cs="Arial"/>
          <w:b/>
          <w:bCs/>
          <w:szCs w:val="20"/>
        </w:rPr>
        <w:t xml:space="preserve">Equation </w:t>
      </w:r>
      <w:r w:rsidRPr="009271F3">
        <w:rPr>
          <w:rFonts w:asciiTheme="majorHAnsi" w:hAnsiTheme="majorHAnsi" w:cs="Arial"/>
          <w:b/>
          <w:bCs/>
          <w:szCs w:val="20"/>
        </w:rPr>
        <w:fldChar w:fldCharType="begin"/>
      </w:r>
      <w:r w:rsidRPr="009271F3">
        <w:rPr>
          <w:rFonts w:asciiTheme="majorHAnsi" w:hAnsiTheme="majorHAnsi" w:cs="Arial"/>
          <w:b/>
          <w:bCs/>
          <w:szCs w:val="20"/>
        </w:rPr>
        <w:instrText xml:space="preserve"> SEQ Equation \* ARABIC \s 5 </w:instrText>
      </w:r>
      <w:r w:rsidRPr="009271F3">
        <w:rPr>
          <w:rFonts w:asciiTheme="majorHAnsi" w:hAnsiTheme="majorHAnsi" w:cs="Arial"/>
          <w:b/>
          <w:bCs/>
          <w:szCs w:val="20"/>
        </w:rPr>
        <w:fldChar w:fldCharType="separate"/>
      </w:r>
      <w:r w:rsidRPr="009271F3">
        <w:rPr>
          <w:rFonts w:asciiTheme="majorHAnsi" w:hAnsiTheme="majorHAnsi" w:cs="Arial"/>
          <w:b/>
          <w:bCs/>
          <w:noProof/>
          <w:szCs w:val="20"/>
        </w:rPr>
        <w:t>3</w:t>
      </w:r>
      <w:r w:rsidRPr="009271F3">
        <w:rPr>
          <w:rFonts w:asciiTheme="majorHAnsi" w:hAnsiTheme="majorHAnsi" w:cs="Arial"/>
          <w:b/>
          <w:bCs/>
          <w:noProof/>
          <w:szCs w:val="20"/>
        </w:rPr>
        <w:fldChar w:fldCharType="end"/>
      </w:r>
      <w:bookmarkEnd w:id="64"/>
      <w:r w:rsidRPr="009271F3">
        <w:rPr>
          <w:rFonts w:asciiTheme="majorHAnsi" w:hAnsiTheme="majorHAnsi" w:cs="Arial"/>
          <w:b/>
          <w:bCs/>
          <w:szCs w:val="20"/>
        </w:rPr>
        <w:t xml:space="preserve">. </w:t>
      </w:r>
      <w:bookmarkEnd w:id="65"/>
      <w:r w:rsidRPr="009271F3">
        <w:rPr>
          <w:rFonts w:asciiTheme="majorHAnsi" w:hAnsiTheme="majorHAnsi" w:cs="Arial"/>
          <w:b/>
          <w:bCs/>
          <w:szCs w:val="20"/>
        </w:rPr>
        <w:t>Program Level Standard Error</w:t>
      </w:r>
      <w:bookmarkEnd w:id="66"/>
      <w:bookmarkEnd w:id="67"/>
    </w:p>
    <w:p w14:paraId="04398C38" w14:textId="77777777" w:rsidR="000D25C1" w:rsidRPr="00EE614F" w:rsidRDefault="000D25C1" w:rsidP="000D25C1">
      <w:pPr>
        <w:spacing w:after="0"/>
        <w:rPr>
          <w:rFonts w:ascii="Cambria Math" w:hAnsi="Cambria Math"/>
          <w:i/>
          <w:szCs w:val="20"/>
        </w:rPr>
      </w:pPr>
      <m:oMathPara>
        <m:oMath>
          <m:r>
            <w:rPr>
              <w:rFonts w:ascii="Cambria Math" w:hAnsi="Cambria Math"/>
              <w:szCs w:val="20"/>
            </w:rPr>
            <m:t>ProgramSE=</m:t>
          </m:r>
          <m:rad>
            <m:radPr>
              <m:degHide m:val="1"/>
              <m:ctrlPr>
                <w:rPr>
                  <w:rFonts w:ascii="Cambria Math" w:hAnsi="Cambria Math"/>
                  <w:i/>
                  <w:szCs w:val="20"/>
                </w:rPr>
              </m:ctrlPr>
            </m:radPr>
            <m:deg/>
            <m:e>
              <m:r>
                <w:rPr>
                  <w:rFonts w:ascii="Cambria Math" w:hAnsi="Cambria Math"/>
                  <w:szCs w:val="20"/>
                </w:rPr>
                <m:t>SE</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Wave1</m:t>
                      </m:r>
                    </m:e>
                  </m:d>
                </m:e>
                <m:sup>
                  <m:r>
                    <w:rPr>
                      <w:rFonts w:ascii="Cambria Math" w:hAnsi="Cambria Math"/>
                      <w:szCs w:val="20"/>
                    </w:rPr>
                    <m:t>2</m:t>
                  </m:r>
                </m:sup>
              </m:sSup>
              <m:r>
                <w:rPr>
                  <w:rFonts w:ascii="Cambria Math" w:hAnsi="Cambria Math"/>
                  <w:szCs w:val="20"/>
                </w:rPr>
                <m:t>+SE</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Wave2</m:t>
                      </m:r>
                    </m:e>
                  </m:d>
                </m:e>
                <m:sup>
                  <m:r>
                    <w:rPr>
                      <w:rFonts w:ascii="Cambria Math" w:hAnsi="Cambria Math"/>
                      <w:szCs w:val="20"/>
                    </w:rPr>
                    <m:t>2</m:t>
                  </m:r>
                </m:sup>
              </m:sSup>
              <m:r>
                <w:rPr>
                  <w:rFonts w:ascii="Cambria Math" w:hAnsi="Cambria Math"/>
                  <w:szCs w:val="20"/>
                </w:rPr>
                <m:t>+SE</m:t>
              </m:r>
              <m:sSup>
                <m:sSupPr>
                  <m:ctrlPr>
                    <w:rPr>
                      <w:rFonts w:ascii="Cambria Math" w:hAnsi="Cambria Math"/>
                      <w:i/>
                      <w:szCs w:val="20"/>
                    </w:rPr>
                  </m:ctrlPr>
                </m:sSupPr>
                <m:e>
                  <m:d>
                    <m:dPr>
                      <m:ctrlPr>
                        <w:rPr>
                          <w:rFonts w:ascii="Cambria Math" w:hAnsi="Cambria Math"/>
                          <w:i/>
                          <w:szCs w:val="20"/>
                        </w:rPr>
                      </m:ctrlPr>
                    </m:dPr>
                    <m:e>
                      <m:r>
                        <w:rPr>
                          <w:rFonts w:ascii="Cambria Math" w:hAnsi="Cambria Math"/>
                          <w:szCs w:val="20"/>
                        </w:rPr>
                        <m:t>Wave3</m:t>
                      </m:r>
                    </m:e>
                  </m:d>
                </m:e>
                <m:sup>
                  <m:r>
                    <w:rPr>
                      <w:rFonts w:ascii="Cambria Math" w:hAnsi="Cambria Math"/>
                      <w:szCs w:val="20"/>
                    </w:rPr>
                    <m:t>2</m:t>
                  </m:r>
                </m:sup>
              </m:sSup>
            </m:e>
          </m:rad>
        </m:oMath>
      </m:oMathPara>
    </w:p>
    <w:p w14:paraId="2EC500A2" w14:textId="77777777" w:rsidR="000D25C1" w:rsidRPr="00EE614F" w:rsidRDefault="000D25C1" w:rsidP="000D25C1">
      <w:pPr>
        <w:spacing w:after="240"/>
        <w:rPr>
          <w:szCs w:val="20"/>
        </w:rPr>
      </w:pPr>
    </w:p>
    <w:p w14:paraId="56B61AD8" w14:textId="77777777" w:rsidR="000D25C1" w:rsidRPr="00EE614F" w:rsidRDefault="000D25C1" w:rsidP="000D25C1">
      <w:pPr>
        <w:spacing w:after="240"/>
        <w:rPr>
          <w:szCs w:val="20"/>
        </w:rPr>
      </w:pPr>
      <w:r w:rsidRPr="00EE614F">
        <w:rPr>
          <w:szCs w:val="20"/>
        </w:rPr>
        <w:t>Guidehouse claims savings for all waves in the program if the program level standard error indicates that the program savings are statistically different from zero at the 90% confidence level.</w:t>
      </w:r>
    </w:p>
    <w:p w14:paraId="2330C210" w14:textId="77777777" w:rsidR="000D25C1" w:rsidRPr="00EE614F" w:rsidRDefault="000D25C1" w:rsidP="000D25C1">
      <w:pPr>
        <w:numPr>
          <w:ilvl w:val="6"/>
          <w:numId w:val="0"/>
        </w:numPr>
        <w:spacing w:before="240" w:after="240"/>
        <w:ind w:left="720" w:hanging="720"/>
        <w:outlineLvl w:val="6"/>
        <w:rPr>
          <w:b/>
          <w:iCs/>
          <w:sz w:val="24"/>
          <w:szCs w:val="26"/>
        </w:rPr>
      </w:pPr>
      <w:bookmarkStart w:id="68" w:name="_Ref33181676"/>
      <w:r w:rsidRPr="00EE614F">
        <w:rPr>
          <w:b/>
          <w:iCs/>
          <w:sz w:val="24"/>
          <w:szCs w:val="26"/>
        </w:rPr>
        <w:t>Accounting for Uplift in Other Energy Efficiency Programs</w:t>
      </w:r>
      <w:bookmarkEnd w:id="68"/>
    </w:p>
    <w:p w14:paraId="2091A161" w14:textId="560E66E9" w:rsidR="000D25C1" w:rsidRPr="00EE614F" w:rsidRDefault="000D25C1" w:rsidP="000D25C1">
      <w:pPr>
        <w:spacing w:after="240"/>
        <w:rPr>
          <w:b/>
          <w:noProof/>
          <w:szCs w:val="16"/>
        </w:rPr>
      </w:pPr>
      <w:bookmarkStart w:id="69" w:name="_Ref33189523"/>
      <w:r w:rsidRPr="00EE614F">
        <w:rPr>
          <w:b/>
          <w:noProof/>
          <w:szCs w:val="16"/>
        </w:rPr>
        <w:t xml:space="preserve">Accounting for Uplift in </w:t>
      </w:r>
      <w:bookmarkEnd w:id="69"/>
      <w:r w:rsidRPr="00EE614F">
        <w:rPr>
          <w:b/>
          <w:noProof/>
          <w:szCs w:val="16"/>
        </w:rPr>
        <w:t>202</w:t>
      </w:r>
      <w:r>
        <w:rPr>
          <w:b/>
          <w:noProof/>
          <w:szCs w:val="16"/>
        </w:rPr>
        <w:t>5</w:t>
      </w:r>
    </w:p>
    <w:p w14:paraId="0DE8B73F" w14:textId="77777777" w:rsidR="000D25C1" w:rsidRPr="00EE614F" w:rsidRDefault="000D25C1" w:rsidP="000D25C1">
      <w:pPr>
        <w:spacing w:after="0"/>
        <w:rPr>
          <w:sz w:val="20"/>
          <w:szCs w:val="20"/>
        </w:rPr>
      </w:pPr>
      <w:r w:rsidRPr="00EE614F">
        <w:rPr>
          <w:szCs w:val="20"/>
        </w:rPr>
        <w:t xml:space="preserve">The home energy reports sent to participating households included energy-saving tips, some of which encouraged participants to enroll in other Nicor Gas energy efficiency (EE) programs. If participation rates in other EE programs were the same for HER participant and control groups, the savings estimates from the regression analysis are already “net” of savings from the other programs, as this indicates the HER Program had no net effect on participation in the other EE programs. However, if the receipt of reports increased participation rates of recipients relative to controls in other EE programs, then the combined savings across all programs would be lower than indicated by the simple summation of savings in the HER and the other EE programs. For instance, if the HER Program increases participation in another EE program, the resulting increase (“uplift”) in savings may be allocated to either the HER Program or the EE program, but cannot be </w:t>
      </w:r>
      <w:r w:rsidRPr="00EE614F">
        <w:rPr>
          <w:szCs w:val="20"/>
        </w:rPr>
        <w:lastRenderedPageBreak/>
        <w:t>allocated to both programs simultaneously.</w:t>
      </w:r>
      <w:r w:rsidRPr="00EE614F">
        <w:rPr>
          <w:szCs w:val="20"/>
          <w:vertAlign w:val="superscript"/>
        </w:rPr>
        <w:footnoteReference w:id="8"/>
      </w:r>
      <w:r w:rsidRPr="00EE614F">
        <w:rPr>
          <w:szCs w:val="20"/>
        </w:rPr>
        <w:t xml:space="preserve"> When the HER Program decreases participation in other programs, there is no issue of double counting, and no adjustment to the savings total is made.</w:t>
      </w:r>
    </w:p>
    <w:p w14:paraId="33CA976C" w14:textId="77777777" w:rsidR="000D25C1" w:rsidRPr="00EE614F" w:rsidRDefault="000D25C1" w:rsidP="000D25C1">
      <w:pPr>
        <w:spacing w:after="0"/>
        <w:rPr>
          <w:szCs w:val="20"/>
          <w:highlight w:val="yellow"/>
        </w:rPr>
      </w:pPr>
    </w:p>
    <w:p w14:paraId="7E1FD229" w14:textId="4FA39D86" w:rsidR="000D25C1" w:rsidRPr="00EE614F" w:rsidRDefault="000D25C1" w:rsidP="000D25C1">
      <w:pPr>
        <w:tabs>
          <w:tab w:val="left" w:pos="9000"/>
        </w:tabs>
        <w:spacing w:after="0"/>
        <w:rPr>
          <w:rFonts w:cs="Arial"/>
          <w:szCs w:val="20"/>
        </w:rPr>
      </w:pPr>
      <w:r w:rsidRPr="00EE614F">
        <w:rPr>
          <w:rFonts w:cs="Arial"/>
          <w:szCs w:val="20"/>
        </w:rPr>
        <w:t xml:space="preserve">As data permitted, Guidehouse used a difference-in-difference (DID) statistic to estimate uplift in other EE programs. To calculate the DID statistic, Guidehouse calculated the difference </w:t>
      </w:r>
      <w:r w:rsidRPr="00EE614F">
        <w:rPr>
          <w:szCs w:val="20"/>
        </w:rPr>
        <w:t>between the HER treatment and control groups in average EE program savings per customer in the post period,</w:t>
      </w:r>
      <w:r w:rsidRPr="00EE614F">
        <w:rPr>
          <w:szCs w:val="20"/>
          <w:vertAlign w:val="superscript"/>
        </w:rPr>
        <w:footnoteReference w:id="9"/>
      </w:r>
      <w:r w:rsidRPr="00EE614F">
        <w:rPr>
          <w:szCs w:val="20"/>
        </w:rPr>
        <w:t xml:space="preserve"> and subtracted the same difference from the pre-period.</w:t>
      </w:r>
      <w:r w:rsidRPr="00EE614F">
        <w:rPr>
          <w:szCs w:val="20"/>
          <w:vertAlign w:val="superscript"/>
        </w:rPr>
        <w:footnoteReference w:id="10"/>
      </w:r>
      <w:r w:rsidRPr="00EE614F">
        <w:rPr>
          <w:rFonts w:cs="Arial"/>
          <w:szCs w:val="20"/>
        </w:rPr>
        <w:t xml:space="preserve"> For instance, if the EE program savings during 202</w:t>
      </w:r>
      <w:r>
        <w:rPr>
          <w:rFonts w:cs="Arial"/>
          <w:szCs w:val="20"/>
        </w:rPr>
        <w:t>5</w:t>
      </w:r>
      <w:r w:rsidRPr="00EE614F">
        <w:rPr>
          <w:rFonts w:cs="Arial"/>
          <w:szCs w:val="20"/>
        </w:rPr>
        <w:t xml:space="preserve"> is five therms for the treatment group and three therms for the control group, and the savings during the year before the start of the HER Program is two therms for the treatment group and one therm for the control group, then the DID statistic is one therm, as reflected in </w:t>
      </w:r>
      <w:r w:rsidRPr="00EE614F">
        <w:rPr>
          <w:rFonts w:cs="Arial"/>
          <w:szCs w:val="20"/>
        </w:rPr>
        <w:fldChar w:fldCharType="begin"/>
      </w:r>
      <w:r w:rsidRPr="00EE614F">
        <w:rPr>
          <w:rFonts w:cs="Arial"/>
          <w:szCs w:val="20"/>
        </w:rPr>
        <w:instrText xml:space="preserve"> REF _Ref132906255 \h </w:instrText>
      </w:r>
      <w:r>
        <w:rPr>
          <w:rFonts w:cs="Arial"/>
          <w:szCs w:val="20"/>
        </w:rPr>
        <w:instrText xml:space="preserve"> \* MERGEFORMAT </w:instrText>
      </w:r>
      <w:r w:rsidRPr="00EE614F">
        <w:rPr>
          <w:rFonts w:cs="Arial"/>
          <w:szCs w:val="20"/>
        </w:rPr>
      </w:r>
      <w:r w:rsidRPr="00EE614F">
        <w:rPr>
          <w:rFonts w:cs="Arial"/>
          <w:szCs w:val="20"/>
        </w:rPr>
        <w:fldChar w:fldCharType="separate"/>
      </w:r>
      <w:r w:rsidRPr="0050419E">
        <w:rPr>
          <w:rFonts w:cs="Arial"/>
          <w:szCs w:val="20"/>
        </w:rPr>
        <w:t>Equation 4</w:t>
      </w:r>
      <w:r w:rsidRPr="00EE614F">
        <w:rPr>
          <w:rFonts w:cs="Arial"/>
          <w:szCs w:val="20"/>
        </w:rPr>
        <w:fldChar w:fldCharType="end"/>
      </w:r>
    </w:p>
    <w:p w14:paraId="25CE7D7C" w14:textId="77777777" w:rsidR="000D25C1" w:rsidRPr="00EE614F" w:rsidRDefault="000D25C1" w:rsidP="000D25C1">
      <w:pPr>
        <w:spacing w:after="0"/>
        <w:rPr>
          <w:rFonts w:cs="Arial"/>
          <w:szCs w:val="20"/>
        </w:rPr>
      </w:pPr>
    </w:p>
    <w:p w14:paraId="7DB0CAFF" w14:textId="77777777" w:rsidR="000D25C1" w:rsidRPr="009271F3" w:rsidRDefault="000D25C1" w:rsidP="000D25C1">
      <w:pPr>
        <w:keepNext/>
        <w:jc w:val="center"/>
        <w:rPr>
          <w:rFonts w:asciiTheme="majorHAnsi" w:hAnsiTheme="majorHAnsi" w:cs="Arial"/>
          <w:b/>
          <w:bCs/>
          <w:szCs w:val="20"/>
        </w:rPr>
      </w:pPr>
      <w:bookmarkStart w:id="70" w:name="_Ref132906255"/>
      <w:bookmarkStart w:id="71" w:name="_Toc137824507"/>
      <w:bookmarkStart w:id="72" w:name="_Ref164087557"/>
      <w:bookmarkStart w:id="73" w:name="_Toc172553817"/>
      <w:bookmarkStart w:id="74" w:name="_Toc227314413"/>
      <w:r w:rsidRPr="009271F3">
        <w:rPr>
          <w:rFonts w:asciiTheme="majorHAnsi" w:hAnsiTheme="majorHAnsi" w:cs="Arial"/>
          <w:b/>
          <w:bCs/>
          <w:szCs w:val="20"/>
        </w:rPr>
        <w:t xml:space="preserve">Equation </w:t>
      </w:r>
      <w:r w:rsidRPr="009271F3">
        <w:rPr>
          <w:rFonts w:asciiTheme="majorHAnsi" w:hAnsiTheme="majorHAnsi" w:cs="Arial"/>
          <w:b/>
          <w:bCs/>
          <w:szCs w:val="20"/>
        </w:rPr>
        <w:fldChar w:fldCharType="begin"/>
      </w:r>
      <w:r w:rsidRPr="009271F3">
        <w:rPr>
          <w:rFonts w:asciiTheme="majorHAnsi" w:hAnsiTheme="majorHAnsi" w:cs="Arial"/>
          <w:b/>
          <w:bCs/>
          <w:szCs w:val="20"/>
        </w:rPr>
        <w:instrText xml:space="preserve"> SEQ Equation \* ARABIC \s 5 </w:instrText>
      </w:r>
      <w:r w:rsidRPr="009271F3">
        <w:rPr>
          <w:rFonts w:asciiTheme="majorHAnsi" w:hAnsiTheme="majorHAnsi" w:cs="Arial"/>
          <w:b/>
          <w:bCs/>
          <w:szCs w:val="20"/>
        </w:rPr>
        <w:fldChar w:fldCharType="separate"/>
      </w:r>
      <w:r w:rsidRPr="009271F3">
        <w:rPr>
          <w:rFonts w:asciiTheme="majorHAnsi" w:hAnsiTheme="majorHAnsi" w:cs="Arial"/>
          <w:b/>
          <w:bCs/>
          <w:noProof/>
          <w:szCs w:val="20"/>
        </w:rPr>
        <w:t>4</w:t>
      </w:r>
      <w:r w:rsidRPr="009271F3">
        <w:rPr>
          <w:rFonts w:asciiTheme="majorHAnsi" w:hAnsiTheme="majorHAnsi" w:cs="Arial"/>
          <w:b/>
          <w:bCs/>
          <w:noProof/>
          <w:szCs w:val="20"/>
        </w:rPr>
        <w:fldChar w:fldCharType="end"/>
      </w:r>
      <w:bookmarkEnd w:id="70"/>
      <w:r w:rsidRPr="009271F3">
        <w:rPr>
          <w:rFonts w:asciiTheme="majorHAnsi" w:hAnsiTheme="majorHAnsi" w:cs="Arial"/>
          <w:b/>
          <w:bCs/>
          <w:szCs w:val="20"/>
        </w:rPr>
        <w:t>. Current Year Uplift Calculation</w:t>
      </w:r>
      <w:bookmarkEnd w:id="71"/>
      <w:bookmarkEnd w:id="72"/>
      <w:bookmarkEnd w:id="73"/>
      <w:bookmarkEnd w:id="74"/>
    </w:p>
    <w:p w14:paraId="02688763" w14:textId="4E9AE3D2" w:rsidR="000D25C1" w:rsidRPr="00EE614F" w:rsidRDefault="000D25C1" w:rsidP="000D25C1">
      <w:pPr>
        <w:spacing w:after="0"/>
        <w:jc w:val="center"/>
        <w:rPr>
          <w:rFonts w:cs="Arial"/>
          <w:szCs w:val="20"/>
        </w:rPr>
      </w:pPr>
      <w:r w:rsidRPr="00EE614F">
        <w:rPr>
          <w:rFonts w:cs="Arial"/>
          <w:szCs w:val="20"/>
        </w:rPr>
        <w:t>(202</w:t>
      </w:r>
      <w:r>
        <w:rPr>
          <w:rFonts w:cs="Arial"/>
          <w:szCs w:val="20"/>
        </w:rPr>
        <w:t>5</w:t>
      </w:r>
      <w:r w:rsidRPr="00EE614F">
        <w:rPr>
          <w:rFonts w:cs="Arial"/>
          <w:szCs w:val="20"/>
        </w:rPr>
        <w:t xml:space="preserve"> treatment group savings – 202</w:t>
      </w:r>
      <w:r>
        <w:rPr>
          <w:rFonts w:cs="Arial"/>
          <w:szCs w:val="20"/>
        </w:rPr>
        <w:t>5</w:t>
      </w:r>
      <w:r w:rsidRPr="00EE614F">
        <w:rPr>
          <w:rFonts w:cs="Arial"/>
          <w:szCs w:val="20"/>
        </w:rPr>
        <w:t xml:space="preserve"> control group savings) – (pre-year treatment group savings - pre-year control group savings) = DID statistic</w:t>
      </w:r>
    </w:p>
    <w:p w14:paraId="7F1E800E" w14:textId="77777777" w:rsidR="000D25C1" w:rsidRPr="00EE614F" w:rsidRDefault="000D25C1" w:rsidP="000D25C1">
      <w:pPr>
        <w:spacing w:after="0"/>
        <w:jc w:val="center"/>
        <w:rPr>
          <w:szCs w:val="20"/>
        </w:rPr>
      </w:pPr>
      <w:r w:rsidRPr="00EE614F">
        <w:rPr>
          <w:szCs w:val="20"/>
        </w:rPr>
        <w:t xml:space="preserve">(5 </w:t>
      </w:r>
      <w:r w:rsidRPr="00EE614F">
        <w:rPr>
          <w:rFonts w:ascii="Symbol" w:eastAsia="Symbol" w:hAnsi="Symbol" w:cs="Symbol"/>
          <w:szCs w:val="20"/>
        </w:rPr>
        <w:t>-</w:t>
      </w:r>
      <w:r w:rsidRPr="00EE614F">
        <w:rPr>
          <w:szCs w:val="20"/>
        </w:rPr>
        <w:t xml:space="preserve"> 3) </w:t>
      </w:r>
      <w:r w:rsidRPr="00EE614F">
        <w:rPr>
          <w:rFonts w:ascii="Symbol" w:eastAsia="Symbol" w:hAnsi="Symbol" w:cs="Symbol"/>
          <w:szCs w:val="20"/>
        </w:rPr>
        <w:t>-</w:t>
      </w:r>
      <w:r w:rsidRPr="00EE614F">
        <w:rPr>
          <w:szCs w:val="20"/>
        </w:rPr>
        <w:t xml:space="preserve"> (2 </w:t>
      </w:r>
      <w:r w:rsidRPr="00EE614F">
        <w:rPr>
          <w:rFonts w:ascii="Symbol" w:eastAsia="Symbol" w:hAnsi="Symbol" w:cs="Symbol"/>
          <w:szCs w:val="20"/>
        </w:rPr>
        <w:t>-</w:t>
      </w:r>
      <w:r w:rsidRPr="00EE614F">
        <w:rPr>
          <w:szCs w:val="20"/>
        </w:rPr>
        <w:t xml:space="preserve"> 1) = 1</w:t>
      </w:r>
    </w:p>
    <w:p w14:paraId="5023A7E7" w14:textId="77777777" w:rsidR="000D25C1" w:rsidRPr="00EE614F" w:rsidRDefault="000D25C1" w:rsidP="000D25C1">
      <w:pPr>
        <w:spacing w:after="0"/>
        <w:rPr>
          <w:rFonts w:cs="Arial"/>
          <w:szCs w:val="20"/>
        </w:rPr>
      </w:pPr>
    </w:p>
    <w:p w14:paraId="02ED1B6B" w14:textId="77777777" w:rsidR="000D25C1" w:rsidRPr="00EE614F" w:rsidRDefault="000D25C1" w:rsidP="000D25C1">
      <w:pPr>
        <w:spacing w:after="0"/>
        <w:rPr>
          <w:rFonts w:cs="Arial"/>
          <w:szCs w:val="20"/>
        </w:rPr>
      </w:pPr>
      <w:r w:rsidRPr="00EE614F">
        <w:rPr>
          <w:rFonts w:cs="Arial"/>
          <w:szCs w:val="20"/>
        </w:rPr>
        <w:t>The DID statistic generates an unbiased estimate of uplift when the baseline average savings is the same for the treatment and control groups, or when these values are different due only to differences between the two groups in time-invariant factors, such as the square footage of the residence.</w:t>
      </w:r>
    </w:p>
    <w:p w14:paraId="5D418AD2" w14:textId="77777777" w:rsidR="000D25C1" w:rsidRPr="00EE614F" w:rsidRDefault="000D25C1" w:rsidP="000D25C1">
      <w:pPr>
        <w:spacing w:after="0"/>
        <w:ind w:left="1440" w:hanging="1440"/>
        <w:rPr>
          <w:rFonts w:cs="Arial"/>
          <w:szCs w:val="20"/>
        </w:rPr>
      </w:pPr>
    </w:p>
    <w:p w14:paraId="367787EA" w14:textId="44BDF695" w:rsidR="000D25C1" w:rsidRPr="00EE614F" w:rsidRDefault="000D25C1" w:rsidP="000D25C1">
      <w:pPr>
        <w:spacing w:after="0"/>
        <w:rPr>
          <w:rFonts w:cs="Arial"/>
          <w:szCs w:val="20"/>
        </w:rPr>
      </w:pPr>
      <w:r w:rsidRPr="00EE614F">
        <w:rPr>
          <w:rFonts w:cs="Arial"/>
          <w:szCs w:val="20"/>
        </w:rPr>
        <w:t>An alternative statistic that generates an unbiased estimate of uplift when the baseline average savings in the EE program is the same for the treatment and control groups, is a simple difference in savings during 202</w:t>
      </w:r>
      <w:r>
        <w:rPr>
          <w:rFonts w:cs="Arial"/>
          <w:szCs w:val="20"/>
        </w:rPr>
        <w:t>5</w:t>
      </w:r>
      <w:r w:rsidRPr="00EE614F">
        <w:rPr>
          <w:rFonts w:cs="Arial"/>
          <w:szCs w:val="20"/>
        </w:rPr>
        <w:t xml:space="preserve">. </w:t>
      </w:r>
      <w:r w:rsidRPr="00EE614F">
        <w:rPr>
          <w:szCs w:val="20"/>
        </w:rPr>
        <w:t xml:space="preserve">Guidehouse </w:t>
      </w:r>
      <w:r w:rsidRPr="00EE614F">
        <w:rPr>
          <w:rFonts w:cs="Arial"/>
          <w:szCs w:val="20"/>
        </w:rPr>
        <w:t>uses this alternative statistic –the “post-only difference” (POD) statistic – in cases where the EE program did not exist for the entire pre-program year.</w:t>
      </w:r>
    </w:p>
    <w:p w14:paraId="22A5DC86" w14:textId="77777777" w:rsidR="000D25C1" w:rsidRPr="00EE614F" w:rsidRDefault="000D25C1" w:rsidP="000D25C1">
      <w:pPr>
        <w:spacing w:after="0"/>
        <w:rPr>
          <w:szCs w:val="20"/>
        </w:rPr>
      </w:pPr>
    </w:p>
    <w:p w14:paraId="5009C337" w14:textId="6E5A2DA2" w:rsidR="000D25C1" w:rsidRPr="00EE614F" w:rsidRDefault="000D25C1" w:rsidP="000D25C1">
      <w:pPr>
        <w:spacing w:after="0"/>
        <w:rPr>
          <w:szCs w:val="20"/>
        </w:rPr>
      </w:pPr>
      <w:r w:rsidRPr="00EE614F">
        <w:rPr>
          <w:szCs w:val="20"/>
        </w:rPr>
        <w:t xml:space="preserve">Guidehouse examined the uplift associated with </w:t>
      </w:r>
      <w:r>
        <w:rPr>
          <w:szCs w:val="20"/>
        </w:rPr>
        <w:t>four</w:t>
      </w:r>
      <w:r w:rsidRPr="00EE614F">
        <w:rPr>
          <w:szCs w:val="20"/>
        </w:rPr>
        <w:t xml:space="preserve"> other Nicor Gas programs: Energy Savings Kits (ESK), Home Energy Efficiency Rebates (HEER), Home Energy Savings (HES), and Income Eligible (IE)</w:t>
      </w:r>
      <w:r w:rsidRPr="00EE614F">
        <w:rPr>
          <w:szCs w:val="20"/>
          <w:vertAlign w:val="superscript"/>
        </w:rPr>
        <w:footnoteReference w:id="11"/>
      </w:r>
      <w:r w:rsidRPr="00EE614F">
        <w:rPr>
          <w:szCs w:val="20"/>
        </w:rPr>
        <w:t xml:space="preserve">. </w:t>
      </w:r>
    </w:p>
    <w:p w14:paraId="2192FA36" w14:textId="77777777" w:rsidR="000D25C1" w:rsidRPr="00EE614F" w:rsidRDefault="000D25C1" w:rsidP="000D25C1">
      <w:pPr>
        <w:spacing w:after="0"/>
        <w:rPr>
          <w:szCs w:val="20"/>
        </w:rPr>
      </w:pPr>
    </w:p>
    <w:p w14:paraId="1E95AC4E" w14:textId="77777777" w:rsidR="000D25C1" w:rsidRPr="00EE614F" w:rsidRDefault="000D25C1" w:rsidP="000D25C1">
      <w:pPr>
        <w:spacing w:after="240"/>
        <w:rPr>
          <w:b/>
          <w:noProof/>
          <w:szCs w:val="16"/>
        </w:rPr>
      </w:pPr>
      <w:r w:rsidRPr="00EE614F">
        <w:rPr>
          <w:b/>
          <w:noProof/>
          <w:szCs w:val="16"/>
        </w:rPr>
        <w:t>Accounting for Legacy Uplift</w:t>
      </w:r>
    </w:p>
    <w:p w14:paraId="6EFFF923" w14:textId="77777777" w:rsidR="000D25C1" w:rsidRPr="00EE614F" w:rsidRDefault="000D25C1" w:rsidP="000D25C1">
      <w:pPr>
        <w:spacing w:after="240"/>
        <w:rPr>
          <w:szCs w:val="20"/>
        </w:rPr>
      </w:pPr>
      <w:r w:rsidRPr="00EE614F">
        <w:rPr>
          <w:szCs w:val="20"/>
        </w:rPr>
        <w:t>The uplift adjustment methodology above only accounts for uplift which occurs in the current program year because EE program tracking files in any given program year only capture the new measures installed in that year, regardless of the expected measure life.</w:t>
      </w:r>
      <w:r w:rsidRPr="00EE614F">
        <w:rPr>
          <w:szCs w:val="20"/>
          <w:vertAlign w:val="superscript"/>
        </w:rPr>
        <w:footnoteReference w:id="12"/>
      </w:r>
      <w:r w:rsidRPr="00EE614F">
        <w:rPr>
          <w:szCs w:val="20"/>
        </w:rPr>
        <w:t xml:space="preserve"> However, for other EE programs that include measures with </w:t>
      </w:r>
      <w:r w:rsidRPr="00EE614F">
        <w:rPr>
          <w:szCs w:val="20"/>
        </w:rPr>
        <w:lastRenderedPageBreak/>
        <w:t>multiyear measure lives, the HER Program savings capture the portion of savings due to uplift in each year of that program’s measure life. For instance, a measure with a 10-year measure life that was installed in 2019 would generate savings captured in the HER Program savings not just in 2019, but in 2020 through 2028 as well.</w:t>
      </w:r>
    </w:p>
    <w:p w14:paraId="6D059485" w14:textId="30F6157A" w:rsidR="000D25C1" w:rsidRPr="00EE614F" w:rsidRDefault="000D25C1" w:rsidP="000D25C1">
      <w:pPr>
        <w:spacing w:after="240"/>
        <w:rPr>
          <w:szCs w:val="20"/>
        </w:rPr>
      </w:pPr>
      <w:r w:rsidRPr="00EE614F">
        <w:rPr>
          <w:szCs w:val="20"/>
        </w:rPr>
        <w:t>Consider the following example. A household receiving home energy reports through the HER Program enrolls in the HES Program in CY2022. The uplift adjustment subtracts HES CY2022 Program savings to avoid double counting. In 202</w:t>
      </w:r>
      <w:r>
        <w:rPr>
          <w:szCs w:val="20"/>
        </w:rPr>
        <w:t>5</w:t>
      </w:r>
      <w:r w:rsidRPr="00EE614F">
        <w:rPr>
          <w:szCs w:val="20"/>
        </w:rPr>
        <w:t>, this household still receives savings from the HES Program because it has a 13-year measure life. However, the 202</w:t>
      </w:r>
      <w:r>
        <w:rPr>
          <w:szCs w:val="20"/>
        </w:rPr>
        <w:t>5</w:t>
      </w:r>
      <w:r w:rsidRPr="00EE614F">
        <w:rPr>
          <w:szCs w:val="20"/>
        </w:rPr>
        <w:t xml:space="preserve"> HER uplift adjustment does not remove these savings because the 202</w:t>
      </w:r>
      <w:r>
        <w:rPr>
          <w:szCs w:val="20"/>
        </w:rPr>
        <w:t>5</w:t>
      </w:r>
      <w:r w:rsidRPr="00EE614F">
        <w:rPr>
          <w:szCs w:val="20"/>
        </w:rPr>
        <w:t xml:space="preserve"> adjustment only accounts for measures installed in 202</w:t>
      </w:r>
      <w:r>
        <w:rPr>
          <w:szCs w:val="20"/>
        </w:rPr>
        <w:t>5</w:t>
      </w:r>
      <w:r w:rsidRPr="00EE614F">
        <w:rPr>
          <w:szCs w:val="20"/>
        </w:rPr>
        <w:t>, the initial year the household entered a program. When only relying on the uplift adjustment, HES second-year savings would be included in the 202</w:t>
      </w:r>
      <w:r>
        <w:rPr>
          <w:szCs w:val="20"/>
        </w:rPr>
        <w:t>5</w:t>
      </w:r>
      <w:r w:rsidRPr="00EE614F">
        <w:rPr>
          <w:szCs w:val="20"/>
        </w:rPr>
        <w:t xml:space="preserve"> HER Program’s savings, which is inconsistent with Illinois’ practices of only crediting utilities with first-year EE program savings. Legacy uplift removes double counted energy savings from programs that include measures with multiple-year </w:t>
      </w:r>
      <w:proofErr w:type="gramStart"/>
      <w:r w:rsidRPr="00EE614F">
        <w:rPr>
          <w:szCs w:val="20"/>
        </w:rPr>
        <w:t>measure</w:t>
      </w:r>
      <w:proofErr w:type="gramEnd"/>
      <w:r w:rsidRPr="00EE614F">
        <w:rPr>
          <w:szCs w:val="20"/>
        </w:rPr>
        <w:t xml:space="preserve"> life.</w:t>
      </w:r>
    </w:p>
    <w:p w14:paraId="0A1FA63C" w14:textId="02122276" w:rsidR="000D25C1" w:rsidRPr="00EE614F" w:rsidRDefault="000D25C1" w:rsidP="000D25C1">
      <w:pPr>
        <w:spacing w:after="240"/>
        <w:rPr>
          <w:szCs w:val="20"/>
        </w:rPr>
      </w:pPr>
      <w:r w:rsidRPr="00EE614F">
        <w:rPr>
          <w:szCs w:val="20"/>
        </w:rPr>
        <w:t>The evaluation team accounts for legacy uplift by subtracting the double counted savings from previous years, adjusted for the average annual move out rate,</w:t>
      </w:r>
      <w:r w:rsidRPr="00EE614F">
        <w:rPr>
          <w:szCs w:val="20"/>
          <w:vertAlign w:val="superscript"/>
        </w:rPr>
        <w:footnoteReference w:id="13"/>
      </w:r>
      <w:r w:rsidRPr="00EE614F">
        <w:rPr>
          <w:szCs w:val="20"/>
        </w:rPr>
        <w:t xml:space="preserve"> from 202</w:t>
      </w:r>
      <w:r>
        <w:rPr>
          <w:szCs w:val="20"/>
        </w:rPr>
        <w:t>5</w:t>
      </w:r>
      <w:r w:rsidRPr="00EE614F">
        <w:rPr>
          <w:szCs w:val="20"/>
        </w:rPr>
        <w:t xml:space="preserve"> HER savings through the measure lives of measures from other EE programs. The legacy uplift adjustment is shown in </w:t>
      </w:r>
      <w:r w:rsidRPr="00EE614F">
        <w:rPr>
          <w:szCs w:val="20"/>
          <w:highlight w:val="yellow"/>
        </w:rPr>
        <w:fldChar w:fldCharType="begin"/>
      </w:r>
      <w:r w:rsidRPr="00EE614F">
        <w:rPr>
          <w:szCs w:val="20"/>
        </w:rPr>
        <w:instrText xml:space="preserve"> REF _Ref132906298 \h </w:instrText>
      </w:r>
      <w:r>
        <w:rPr>
          <w:szCs w:val="20"/>
          <w:highlight w:val="yellow"/>
        </w:rPr>
        <w:instrText xml:space="preserve"> \* MERGEFORMAT </w:instrText>
      </w:r>
      <w:r w:rsidRPr="00EE614F">
        <w:rPr>
          <w:szCs w:val="20"/>
          <w:highlight w:val="yellow"/>
        </w:rPr>
      </w:r>
      <w:r w:rsidRPr="00EE614F">
        <w:rPr>
          <w:szCs w:val="20"/>
          <w:highlight w:val="yellow"/>
        </w:rPr>
        <w:fldChar w:fldCharType="separate"/>
      </w:r>
      <w:r w:rsidRPr="0050419E">
        <w:rPr>
          <w:szCs w:val="20"/>
        </w:rPr>
        <w:t>Equation 5</w:t>
      </w:r>
      <w:r w:rsidRPr="00EE614F">
        <w:rPr>
          <w:szCs w:val="20"/>
          <w:highlight w:val="yellow"/>
        </w:rPr>
        <w:fldChar w:fldCharType="end"/>
      </w:r>
      <w:r w:rsidRPr="00EE614F">
        <w:rPr>
          <w:szCs w:val="20"/>
        </w:rPr>
        <w:t>.</w:t>
      </w:r>
    </w:p>
    <w:p w14:paraId="7B38FF45" w14:textId="77777777" w:rsidR="000D25C1" w:rsidRPr="009271F3" w:rsidRDefault="000D25C1" w:rsidP="000D25C1">
      <w:pPr>
        <w:keepNext/>
        <w:jc w:val="center"/>
        <w:rPr>
          <w:rFonts w:asciiTheme="majorHAnsi" w:hAnsiTheme="majorHAnsi" w:cs="Arial"/>
          <w:b/>
          <w:bCs/>
          <w:szCs w:val="20"/>
        </w:rPr>
      </w:pPr>
      <w:bookmarkStart w:id="75" w:name="_Ref132906298"/>
      <w:bookmarkStart w:id="76" w:name="_Toc137824508"/>
      <w:bookmarkStart w:id="77" w:name="_Toc172553818"/>
      <w:bookmarkStart w:id="78" w:name="_Toc227314414"/>
      <w:r w:rsidRPr="009271F3">
        <w:rPr>
          <w:rFonts w:asciiTheme="majorHAnsi" w:hAnsiTheme="majorHAnsi" w:cs="Arial"/>
          <w:b/>
          <w:bCs/>
          <w:szCs w:val="20"/>
        </w:rPr>
        <w:t xml:space="preserve">Equation </w:t>
      </w:r>
      <w:r w:rsidRPr="009271F3">
        <w:rPr>
          <w:rFonts w:asciiTheme="majorHAnsi" w:hAnsiTheme="majorHAnsi" w:cs="Arial"/>
          <w:b/>
          <w:bCs/>
          <w:szCs w:val="20"/>
        </w:rPr>
        <w:fldChar w:fldCharType="begin"/>
      </w:r>
      <w:r w:rsidRPr="009271F3">
        <w:rPr>
          <w:rFonts w:asciiTheme="majorHAnsi" w:hAnsiTheme="majorHAnsi" w:cs="Arial"/>
          <w:b/>
          <w:bCs/>
          <w:szCs w:val="20"/>
        </w:rPr>
        <w:instrText xml:space="preserve"> SEQ Equation \* ARABIC \s 5 </w:instrText>
      </w:r>
      <w:r w:rsidRPr="009271F3">
        <w:rPr>
          <w:rFonts w:asciiTheme="majorHAnsi" w:hAnsiTheme="majorHAnsi" w:cs="Arial"/>
          <w:b/>
          <w:bCs/>
          <w:szCs w:val="20"/>
        </w:rPr>
        <w:fldChar w:fldCharType="separate"/>
      </w:r>
      <w:r w:rsidRPr="009271F3">
        <w:rPr>
          <w:rFonts w:asciiTheme="majorHAnsi" w:hAnsiTheme="majorHAnsi" w:cs="Arial"/>
          <w:b/>
          <w:bCs/>
          <w:noProof/>
          <w:szCs w:val="20"/>
        </w:rPr>
        <w:t>5</w:t>
      </w:r>
      <w:r w:rsidRPr="009271F3">
        <w:rPr>
          <w:rFonts w:asciiTheme="majorHAnsi" w:hAnsiTheme="majorHAnsi" w:cs="Arial"/>
          <w:b/>
          <w:bCs/>
          <w:noProof/>
          <w:szCs w:val="20"/>
        </w:rPr>
        <w:fldChar w:fldCharType="end"/>
      </w:r>
      <w:bookmarkEnd w:id="75"/>
      <w:r w:rsidRPr="009271F3">
        <w:rPr>
          <w:rFonts w:asciiTheme="majorHAnsi" w:hAnsiTheme="majorHAnsi" w:cs="Arial"/>
          <w:b/>
          <w:bCs/>
          <w:szCs w:val="20"/>
        </w:rPr>
        <w:t>. Legacy Uplift Calculation</w:t>
      </w:r>
      <w:bookmarkEnd w:id="76"/>
      <w:bookmarkEnd w:id="77"/>
      <w:bookmarkEnd w:id="78"/>
    </w:p>
    <w:p w14:paraId="54A5F21A" w14:textId="77777777" w:rsidR="000D25C1" w:rsidRPr="00EE614F" w:rsidRDefault="00C8791C" w:rsidP="000D25C1">
      <w:pPr>
        <w:spacing w:after="0"/>
        <w:rPr>
          <w:rFonts w:cs="Arial"/>
          <w:szCs w:val="20"/>
        </w:rPr>
      </w:pPr>
      <m:oMathPara>
        <m:oMath>
          <m:sSubSup>
            <m:sSubSupPr>
              <m:alnScr m:val="1"/>
              <m:ctrlPr>
                <w:rPr>
                  <w:rFonts w:ascii="Cambria Math" w:hAnsi="Cambria Math" w:cs="Arial"/>
                  <w:i/>
                  <w:szCs w:val="20"/>
                </w:rPr>
              </m:ctrlPr>
            </m:sSubSupPr>
            <m:e>
              <m:r>
                <m:rPr>
                  <m:sty m:val="p"/>
                </m:rPr>
                <w:rPr>
                  <w:rFonts w:ascii="Cambria Math" w:hAnsi="Cambria Math"/>
                  <w:szCs w:val="20"/>
                </w:rPr>
                <m:t xml:space="preserve">HER </m:t>
              </m:r>
              <m:r>
                <m:rPr>
                  <m:nor/>
                </m:rPr>
                <w:rPr>
                  <w:rFonts w:ascii="Cambria Math" w:hAnsi="Cambria Math" w:cs="Arial"/>
                  <w:szCs w:val="20"/>
                </w:rPr>
                <m:t>Savings</m:t>
              </m:r>
            </m:e>
            <m:sub>
              <m:r>
                <m:rPr>
                  <m:nor/>
                </m:rPr>
                <w:rPr>
                  <w:rFonts w:ascii="Cambria Math" w:hAnsi="Cambria Math" w:cs="Arial"/>
                  <w:szCs w:val="20"/>
                </w:rPr>
                <m:t>PY</m:t>
              </m:r>
            </m:sub>
            <m:sup>
              <m:r>
                <m:rPr>
                  <m:nor/>
                </m:rPr>
                <w:rPr>
                  <w:rFonts w:ascii="Cambria Math" w:hAnsi="Cambria Math" w:cs="Arial"/>
                  <w:szCs w:val="20"/>
                </w:rPr>
                <m:t>Adjusted</m:t>
              </m:r>
            </m:sup>
          </m:sSubSup>
          <m:r>
            <m:rPr>
              <m:nor/>
            </m:rPr>
            <w:rPr>
              <w:rFonts w:ascii="Cambria Math" w:hAnsi="Cambria Math" w:cs="Arial"/>
              <w:szCs w:val="20"/>
            </w:rPr>
            <m:t xml:space="preserve"> = </m:t>
          </m:r>
          <m:sSubSup>
            <m:sSubSupPr>
              <m:ctrlPr>
                <w:rPr>
                  <w:rFonts w:ascii="Cambria Math" w:hAnsi="Cambria Math" w:cs="Arial"/>
                  <w:i/>
                  <w:szCs w:val="20"/>
                </w:rPr>
              </m:ctrlPr>
            </m:sSubSupPr>
            <m:e>
              <m:r>
                <m:rPr>
                  <m:sty m:val="p"/>
                </m:rPr>
                <w:rPr>
                  <w:rFonts w:ascii="Cambria Math" w:hAnsi="Cambria Math"/>
                  <w:szCs w:val="20"/>
                </w:rPr>
                <m:t xml:space="preserve">HER </m:t>
              </m:r>
              <m:r>
                <m:rPr>
                  <m:nor/>
                </m:rPr>
                <w:rPr>
                  <w:rFonts w:ascii="Cambria Math" w:hAnsi="Cambria Math" w:cs="Arial"/>
                  <w:szCs w:val="20"/>
                </w:rPr>
                <m:t>Savings</m:t>
              </m:r>
            </m:e>
            <m:sub>
              <m:r>
                <m:rPr>
                  <m:nor/>
                </m:rPr>
                <w:rPr>
                  <w:rFonts w:ascii="Cambria Math" w:hAnsi="Cambria Math" w:cs="Arial"/>
                  <w:szCs w:val="20"/>
                </w:rPr>
                <m:t>PY</m:t>
              </m:r>
            </m:sub>
            <m:sup>
              <m:r>
                <m:rPr>
                  <m:nor/>
                </m:rPr>
                <w:rPr>
                  <w:rFonts w:ascii="Cambria Math" w:hAnsi="Cambria Math" w:cs="Arial"/>
                  <w:szCs w:val="20"/>
                </w:rPr>
                <m:t>Unadjusted</m:t>
              </m:r>
            </m:sup>
          </m:sSubSup>
          <m:r>
            <w:rPr>
              <w:rFonts w:ascii="Cambria Math" w:hAnsi="Cambria Math" w:cs="Arial"/>
              <w:szCs w:val="20"/>
            </w:rPr>
            <m:t xml:space="preserve"> </m:t>
          </m:r>
          <m:r>
            <m:rPr>
              <m:nor/>
            </m:rPr>
            <w:rPr>
              <w:rFonts w:ascii="Cambria Math" w:hAnsi="Cambria Math" w:cs="Arial"/>
              <w:szCs w:val="20"/>
            </w:rPr>
            <m:t xml:space="preserve">- </m:t>
          </m:r>
          <m:sSub>
            <m:sSubPr>
              <m:ctrlPr>
                <w:rPr>
                  <w:rFonts w:ascii="Cambria Math" w:hAnsi="Cambria Math" w:cs="Arial"/>
                  <w:i/>
                  <w:szCs w:val="20"/>
                </w:rPr>
              </m:ctrlPr>
            </m:sSubPr>
            <m:e>
              <m:r>
                <m:rPr>
                  <m:nor/>
                </m:rPr>
                <w:rPr>
                  <w:rFonts w:ascii="Cambria Math" w:hAnsi="Cambria Math" w:cs="Arial"/>
                  <w:szCs w:val="20"/>
                </w:rPr>
                <m:t>Uplift Savings</m:t>
              </m:r>
            </m:e>
            <m:sub>
              <m:r>
                <m:rPr>
                  <m:nor/>
                </m:rPr>
                <w:rPr>
                  <w:rFonts w:ascii="Cambria Math" w:hAnsi="Cambria Math" w:cs="Arial"/>
                  <w:szCs w:val="20"/>
                </w:rPr>
                <m:t>PY</m:t>
              </m:r>
            </m:sub>
          </m:sSub>
          <m:r>
            <w:rPr>
              <w:rFonts w:ascii="Cambria Math" w:hAnsi="Cambria Math" w:cs="Arial"/>
              <w:szCs w:val="20"/>
            </w:rPr>
            <m:t xml:space="preserve"> </m:t>
          </m:r>
          <m:r>
            <m:rPr>
              <m:nor/>
            </m:rPr>
            <w:rPr>
              <w:rFonts w:ascii="Cambria Math" w:hAnsi="Cambria Math" w:cs="Arial"/>
              <w:szCs w:val="20"/>
            </w:rPr>
            <m:t>-</m:t>
          </m:r>
          <m:nary>
            <m:naryPr>
              <m:chr m:val="∑"/>
              <m:limLoc m:val="undOvr"/>
              <m:ctrlPr>
                <w:rPr>
                  <w:rFonts w:ascii="Cambria Math" w:hAnsi="Cambria Math" w:cs="Arial"/>
                  <w:i/>
                  <w:szCs w:val="20"/>
                </w:rPr>
              </m:ctrlPr>
            </m:naryPr>
            <m:sub>
              <m:r>
                <m:rPr>
                  <m:nor/>
                </m:rPr>
                <w:rPr>
                  <w:rFonts w:ascii="Cambria Math" w:hAnsi="Cambria Math" w:cs="Arial"/>
                  <w:szCs w:val="20"/>
                </w:rPr>
                <m:t>i=1</m:t>
              </m:r>
            </m:sub>
            <m:sup>
              <m:r>
                <m:rPr>
                  <m:nor/>
                </m:rPr>
                <w:rPr>
                  <w:rFonts w:ascii="Cambria Math" w:hAnsi="Cambria Math" w:cs="Arial"/>
                  <w:szCs w:val="20"/>
                </w:rPr>
                <m:t>PY-1</m:t>
              </m:r>
            </m:sup>
            <m:e>
              <m:sSub>
                <m:sSubPr>
                  <m:ctrlPr>
                    <w:rPr>
                      <w:rFonts w:ascii="Cambria Math" w:hAnsi="Cambria Math" w:cs="Arial"/>
                      <w:i/>
                      <w:szCs w:val="20"/>
                    </w:rPr>
                  </m:ctrlPr>
                </m:sSubPr>
                <m:e>
                  <m:r>
                    <m:rPr>
                      <m:nor/>
                    </m:rPr>
                    <w:rPr>
                      <w:rFonts w:ascii="Cambria Math" w:hAnsi="Cambria Math" w:cs="Arial"/>
                      <w:szCs w:val="20"/>
                    </w:rPr>
                    <m:t>"Live" Legacy Uplift Savings</m:t>
                  </m:r>
                </m:e>
                <m:sub>
                  <m:r>
                    <m:rPr>
                      <m:nor/>
                    </m:rPr>
                    <w:rPr>
                      <w:rFonts w:ascii="Cambria Math" w:hAnsi="Cambria Math" w:cs="Arial"/>
                      <w:szCs w:val="20"/>
                    </w:rPr>
                    <m:t xml:space="preserve">i </m:t>
                  </m:r>
                </m:sub>
              </m:sSub>
              <m:r>
                <m:rPr>
                  <m:nor/>
                </m:rPr>
                <w:rPr>
                  <w:rFonts w:ascii="Cambria Math" w:hAnsi="Cambria Math" w:cs="Arial"/>
                  <w:szCs w:val="20"/>
                </w:rPr>
                <m:t xml:space="preserve">∙ </m:t>
              </m:r>
              <m:sSup>
                <m:sSupPr>
                  <m:ctrlPr>
                    <w:rPr>
                      <w:rFonts w:ascii="Cambria Math" w:hAnsi="Cambria Math" w:cs="Arial"/>
                      <w:i/>
                      <w:szCs w:val="20"/>
                    </w:rPr>
                  </m:ctrlPr>
                </m:sSupPr>
                <m:e>
                  <m:d>
                    <m:dPr>
                      <m:ctrlPr>
                        <w:rPr>
                          <w:rFonts w:ascii="Cambria Math" w:hAnsi="Cambria Math" w:cs="Arial"/>
                          <w:i/>
                          <w:szCs w:val="20"/>
                        </w:rPr>
                      </m:ctrlPr>
                    </m:dPr>
                    <m:e>
                      <m:r>
                        <m:rPr>
                          <m:nor/>
                        </m:rPr>
                        <w:rPr>
                          <w:rFonts w:ascii="Cambria Math" w:hAnsi="Cambria Math" w:cs="Arial"/>
                          <w:szCs w:val="20"/>
                        </w:rPr>
                        <m:t>1 - MOR</m:t>
                      </m:r>
                    </m:e>
                  </m:d>
                </m:e>
                <m:sup>
                  <m:r>
                    <m:rPr>
                      <m:nor/>
                    </m:rPr>
                    <w:rPr>
                      <w:rFonts w:ascii="Cambria Math" w:hAnsi="Cambria Math" w:cs="Arial"/>
                      <w:szCs w:val="20"/>
                    </w:rPr>
                    <m:t>PY - i</m:t>
                  </m:r>
                </m:sup>
              </m:sSup>
            </m:e>
          </m:nary>
        </m:oMath>
      </m:oMathPara>
    </w:p>
    <w:p w14:paraId="7D45A8FB" w14:textId="77777777" w:rsidR="000D25C1" w:rsidRPr="00EE614F" w:rsidRDefault="000D25C1" w:rsidP="000D25C1">
      <w:pPr>
        <w:spacing w:after="0"/>
        <w:rPr>
          <w:rFonts w:cs="Arial"/>
          <w:szCs w:val="20"/>
        </w:rPr>
      </w:pPr>
    </w:p>
    <w:p w14:paraId="7470A7B5" w14:textId="3F82C5CC" w:rsidR="000D25C1" w:rsidRPr="00EE614F" w:rsidRDefault="000D25C1" w:rsidP="000D25C1">
      <w:pPr>
        <w:spacing w:after="240"/>
        <w:rPr>
          <w:szCs w:val="20"/>
        </w:rPr>
      </w:pPr>
      <w:r w:rsidRPr="00EE614F">
        <w:rPr>
          <w:szCs w:val="20"/>
        </w:rPr>
        <w:t xml:space="preserve">Where, “Live” Legacy Uplift Savings refers to uplift savings where the other EE programs’ measure lives have not yet run out (i.e., where measure life exceeds the difference between </w:t>
      </w:r>
      <w:r w:rsidRPr="00EE614F">
        <w:rPr>
          <w:i/>
          <w:szCs w:val="20"/>
        </w:rPr>
        <w:t>PY</w:t>
      </w:r>
      <w:r w:rsidRPr="00EE614F">
        <w:rPr>
          <w:szCs w:val="20"/>
        </w:rPr>
        <w:t xml:space="preserve"> and </w:t>
      </w:r>
      <w:proofErr w:type="spellStart"/>
      <w:r w:rsidRPr="00EE614F">
        <w:rPr>
          <w:i/>
          <w:szCs w:val="20"/>
        </w:rPr>
        <w:t>i</w:t>
      </w:r>
      <w:proofErr w:type="spellEnd"/>
      <w:r w:rsidRPr="00EE614F">
        <w:rPr>
          <w:szCs w:val="20"/>
        </w:rPr>
        <w:t xml:space="preserve">) and MOR refers to the move out rate. To streamline the analysis, instead of using individual measure lives in developing legacy uplift </w:t>
      </w:r>
      <w:proofErr w:type="gramStart"/>
      <w:r w:rsidRPr="00EE614F">
        <w:rPr>
          <w:szCs w:val="20"/>
        </w:rPr>
        <w:t>savings, and</w:t>
      </w:r>
      <w:proofErr w:type="gramEnd"/>
      <w:r w:rsidRPr="00EE614F">
        <w:rPr>
          <w:szCs w:val="20"/>
        </w:rPr>
        <w:t xml:space="preserve"> subsequently removing measures one-by-one once these reach the end of their EULs, the evaluation team calculated EULs at the program level by weighting measure-specific EULs by savings. Once the program reaches its weighted average </w:t>
      </w:r>
      <w:proofErr w:type="gramStart"/>
      <w:r w:rsidRPr="00EE614F">
        <w:rPr>
          <w:szCs w:val="20"/>
        </w:rPr>
        <w:t>measure</w:t>
      </w:r>
      <w:proofErr w:type="gramEnd"/>
      <w:r w:rsidRPr="00EE614F">
        <w:rPr>
          <w:szCs w:val="20"/>
        </w:rPr>
        <w:t xml:space="preserve"> life (WAML), it is removed from the legacy uplift calculation.</w:t>
      </w:r>
    </w:p>
    <w:p w14:paraId="20DEB4C8" w14:textId="19161484" w:rsidR="000D25C1" w:rsidRPr="00EE614F" w:rsidRDefault="000D25C1" w:rsidP="000D25C1">
      <w:pPr>
        <w:spacing w:after="240"/>
        <w:rPr>
          <w:szCs w:val="20"/>
        </w:rPr>
      </w:pPr>
      <w:r w:rsidRPr="00EE614F">
        <w:rPr>
          <w:szCs w:val="20"/>
        </w:rPr>
        <w:t>The legacy uplift adjustment removes double counted savings from the CY2020 to CY202</w:t>
      </w:r>
      <w:r>
        <w:rPr>
          <w:szCs w:val="20"/>
        </w:rPr>
        <w:t>4</w:t>
      </w:r>
      <w:r w:rsidRPr="00EE614F">
        <w:rPr>
          <w:szCs w:val="20"/>
        </w:rPr>
        <w:t xml:space="preserve"> evaluations for the ESK, HEER, HES, MF, and IE programs.</w:t>
      </w:r>
    </w:p>
    <w:p w14:paraId="1ACA1109" w14:textId="77777777" w:rsidR="000D25C1" w:rsidRPr="00EE614F" w:rsidRDefault="000D25C1" w:rsidP="00B1430A">
      <w:pPr>
        <w:keepNext/>
        <w:numPr>
          <w:ilvl w:val="6"/>
          <w:numId w:val="0"/>
        </w:numPr>
        <w:spacing w:before="240" w:after="240"/>
        <w:ind w:left="720" w:hanging="720"/>
        <w:outlineLvl w:val="6"/>
        <w:rPr>
          <w:b/>
          <w:iCs/>
          <w:sz w:val="24"/>
          <w:szCs w:val="26"/>
        </w:rPr>
      </w:pPr>
      <w:bookmarkStart w:id="79" w:name="_Ref64938129"/>
      <w:r w:rsidRPr="00EE614F">
        <w:rPr>
          <w:b/>
          <w:iCs/>
          <w:sz w:val="24"/>
          <w:szCs w:val="26"/>
        </w:rPr>
        <w:lastRenderedPageBreak/>
        <w:t>Accounting for Savings Persistence and Participant Retention</w:t>
      </w:r>
      <w:bookmarkEnd w:id="79"/>
    </w:p>
    <w:p w14:paraId="54FC3878" w14:textId="0B440022" w:rsidR="000D25C1" w:rsidRPr="00EE614F" w:rsidRDefault="000D25C1" w:rsidP="000D25C1">
      <w:pPr>
        <w:spacing w:after="0"/>
        <w:rPr>
          <w:szCs w:val="20"/>
        </w:rPr>
      </w:pPr>
      <w:r w:rsidRPr="00EE614F">
        <w:rPr>
          <w:szCs w:val="20"/>
        </w:rPr>
        <w:t>Continued implementation of HER programs in Illinois and across the country has demonstrated persistence of savings beyond the first year, leading Illinois to adopt a measure persistence framework in Version 1</w:t>
      </w:r>
      <w:r w:rsidR="00521158">
        <w:rPr>
          <w:szCs w:val="20"/>
        </w:rPr>
        <w:t>3</w:t>
      </w:r>
      <w:r w:rsidRPr="00EE614F">
        <w:rPr>
          <w:szCs w:val="20"/>
        </w:rPr>
        <w:t xml:space="preserve">.0 of the IL-TRM. This framework assumes that savings persist over seven years, but </w:t>
      </w:r>
      <w:proofErr w:type="gramStart"/>
      <w:r w:rsidRPr="00EE614F">
        <w:rPr>
          <w:szCs w:val="20"/>
        </w:rPr>
        <w:t>the persistence</w:t>
      </w:r>
      <w:proofErr w:type="gramEnd"/>
      <w:r w:rsidRPr="00EE614F">
        <w:rPr>
          <w:szCs w:val="20"/>
        </w:rPr>
        <w:t xml:space="preserve"> decays in each year. The IL-TRM recommends using the persistence factors presente</w:t>
      </w:r>
      <w:r w:rsidRPr="00004A03">
        <w:rPr>
          <w:szCs w:val="20"/>
        </w:rPr>
        <w:t xml:space="preserve">d in </w:t>
      </w:r>
      <w:r w:rsidR="00C82B33">
        <w:rPr>
          <w:szCs w:val="20"/>
        </w:rPr>
        <w:fldChar w:fldCharType="begin"/>
      </w:r>
      <w:r w:rsidR="00C82B33">
        <w:rPr>
          <w:szCs w:val="20"/>
        </w:rPr>
        <w:instrText xml:space="preserve"> REF _Ref226720858 \h </w:instrText>
      </w:r>
      <w:r w:rsidR="00C82B33">
        <w:rPr>
          <w:szCs w:val="20"/>
        </w:rPr>
      </w:r>
      <w:r w:rsidR="00C82B33">
        <w:rPr>
          <w:szCs w:val="20"/>
        </w:rPr>
        <w:fldChar w:fldCharType="separate"/>
      </w:r>
      <w:r w:rsidR="00C82B33">
        <w:t xml:space="preserve">Table </w:t>
      </w:r>
      <w:r w:rsidR="00C82B33">
        <w:rPr>
          <w:noProof/>
        </w:rPr>
        <w:t>3</w:t>
      </w:r>
      <w:r w:rsidR="00C82B33">
        <w:rPr>
          <w:szCs w:val="20"/>
        </w:rPr>
        <w:fldChar w:fldCharType="end"/>
      </w:r>
      <w:r w:rsidR="00C82B33">
        <w:rPr>
          <w:szCs w:val="20"/>
        </w:rPr>
        <w:t xml:space="preserve"> </w:t>
      </w:r>
      <w:r w:rsidRPr="00004A03">
        <w:rPr>
          <w:szCs w:val="20"/>
        </w:rPr>
        <w:t>over</w:t>
      </w:r>
      <w:r w:rsidRPr="00EE614F">
        <w:rPr>
          <w:szCs w:val="20"/>
        </w:rPr>
        <w:t xml:space="preserve"> the seven-year life to estimate lifetime gas savings for the program. </w:t>
      </w:r>
    </w:p>
    <w:p w14:paraId="4453DEB3" w14:textId="2A344543" w:rsidR="000D25C1" w:rsidRPr="00577499" w:rsidRDefault="000D25C1" w:rsidP="00FF3171">
      <w:pPr>
        <w:pStyle w:val="Caption"/>
      </w:pPr>
    </w:p>
    <w:p w14:paraId="2D8E233F" w14:textId="7129B839" w:rsidR="00C82B33" w:rsidRDefault="00C82B33" w:rsidP="00FF3171">
      <w:pPr>
        <w:pStyle w:val="Caption"/>
      </w:pPr>
      <w:bookmarkStart w:id="80" w:name="_Ref226720858"/>
      <w:bookmarkStart w:id="81" w:name="_Toc227314404"/>
      <w:r>
        <w:t xml:space="preserve">Table </w:t>
      </w:r>
      <w:r>
        <w:fldChar w:fldCharType="begin"/>
      </w:r>
      <w:r>
        <w:instrText xml:space="preserve"> SEQ Table \* ARABIC </w:instrText>
      </w:r>
      <w:r>
        <w:fldChar w:fldCharType="separate"/>
      </w:r>
      <w:r w:rsidR="000B4769">
        <w:rPr>
          <w:noProof/>
        </w:rPr>
        <w:t>3</w:t>
      </w:r>
      <w:r>
        <w:fldChar w:fldCharType="end"/>
      </w:r>
      <w:bookmarkEnd w:id="80"/>
      <w:r>
        <w:t xml:space="preserve">. </w:t>
      </w:r>
      <w:r w:rsidRPr="00EC12DD">
        <w:t>Gas Savings Persistence Factors</w:t>
      </w:r>
      <w:bookmarkEnd w:id="81"/>
    </w:p>
    <w:tbl>
      <w:tblPr>
        <w:tblStyle w:val="EnergyTable11"/>
        <w:tblW w:w="0" w:type="auto"/>
        <w:tblLook w:val="04A0" w:firstRow="1" w:lastRow="0" w:firstColumn="1" w:lastColumn="0" w:noHBand="0" w:noVBand="1"/>
      </w:tblPr>
      <w:tblGrid>
        <w:gridCol w:w="2321"/>
        <w:gridCol w:w="2269"/>
      </w:tblGrid>
      <w:tr w:rsidR="000D25C1" w:rsidRPr="00F551AF" w14:paraId="354D3D6C" w14:textId="77777777" w:rsidTr="00C86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609340E2"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w:t>
            </w:r>
          </w:p>
        </w:tc>
        <w:tc>
          <w:tcPr>
            <w:tcW w:w="2269" w:type="dxa"/>
            <w:hideMark/>
          </w:tcPr>
          <w:p w14:paraId="0C2CFF5D" w14:textId="77777777" w:rsidR="000D25C1" w:rsidRPr="009271F3" w:rsidRDefault="000D25C1" w:rsidP="00C86D45">
            <w:pPr>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9271F3">
              <w:rPr>
                <w:rFonts w:asciiTheme="minorHAnsi" w:hAnsiTheme="minorHAnsi"/>
                <w:sz w:val="20"/>
              </w:rPr>
              <w:t>Gas Persistence Factor</w:t>
            </w:r>
          </w:p>
        </w:tc>
      </w:tr>
      <w:tr w:rsidR="000D25C1" w:rsidRPr="00F551AF" w14:paraId="479FFB0F" w14:textId="77777777" w:rsidTr="00C86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6F3A1945"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1</w:t>
            </w:r>
          </w:p>
        </w:tc>
        <w:tc>
          <w:tcPr>
            <w:tcW w:w="2269" w:type="dxa"/>
            <w:hideMark/>
          </w:tcPr>
          <w:p w14:paraId="22E85F62" w14:textId="77777777" w:rsidR="000D25C1" w:rsidRPr="009271F3" w:rsidRDefault="000D25C1" w:rsidP="00C86D45">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271F3">
              <w:rPr>
                <w:rFonts w:asciiTheme="minorHAnsi" w:hAnsiTheme="minorHAnsi"/>
                <w:sz w:val="20"/>
              </w:rPr>
              <w:t>100%</w:t>
            </w:r>
          </w:p>
        </w:tc>
      </w:tr>
      <w:tr w:rsidR="000D25C1" w:rsidRPr="00F551AF" w14:paraId="560012C4" w14:textId="77777777" w:rsidTr="00C86D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5F6F3ABA"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2</w:t>
            </w:r>
          </w:p>
        </w:tc>
        <w:tc>
          <w:tcPr>
            <w:tcW w:w="2269" w:type="dxa"/>
            <w:hideMark/>
          </w:tcPr>
          <w:p w14:paraId="492CC7F6" w14:textId="77777777" w:rsidR="000D25C1" w:rsidRPr="009271F3" w:rsidRDefault="000D25C1" w:rsidP="00C86D45">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271F3">
              <w:rPr>
                <w:rFonts w:asciiTheme="minorHAnsi" w:hAnsiTheme="minorHAnsi"/>
                <w:sz w:val="20"/>
              </w:rPr>
              <w:t>70%</w:t>
            </w:r>
          </w:p>
        </w:tc>
      </w:tr>
      <w:tr w:rsidR="000D25C1" w:rsidRPr="00F551AF" w14:paraId="2C76EB73" w14:textId="77777777" w:rsidTr="00C86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5BDCC058"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3</w:t>
            </w:r>
          </w:p>
        </w:tc>
        <w:tc>
          <w:tcPr>
            <w:tcW w:w="2269" w:type="dxa"/>
            <w:hideMark/>
          </w:tcPr>
          <w:p w14:paraId="3ECBD353" w14:textId="77777777" w:rsidR="000D25C1" w:rsidRPr="009271F3" w:rsidRDefault="000D25C1" w:rsidP="00C86D45">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271F3">
              <w:rPr>
                <w:rFonts w:asciiTheme="minorHAnsi" w:hAnsiTheme="minorHAnsi"/>
                <w:sz w:val="20"/>
              </w:rPr>
              <w:t>49%</w:t>
            </w:r>
          </w:p>
        </w:tc>
      </w:tr>
      <w:tr w:rsidR="000D25C1" w:rsidRPr="00F551AF" w14:paraId="3611318F" w14:textId="77777777" w:rsidTr="00C86D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69335B83"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4</w:t>
            </w:r>
          </w:p>
        </w:tc>
        <w:tc>
          <w:tcPr>
            <w:tcW w:w="2269" w:type="dxa"/>
            <w:hideMark/>
          </w:tcPr>
          <w:p w14:paraId="724AAE64" w14:textId="77777777" w:rsidR="000D25C1" w:rsidRPr="009271F3" w:rsidRDefault="000D25C1" w:rsidP="00C86D45">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271F3">
              <w:rPr>
                <w:rFonts w:asciiTheme="minorHAnsi" w:hAnsiTheme="minorHAnsi"/>
                <w:sz w:val="20"/>
              </w:rPr>
              <w:t>34%</w:t>
            </w:r>
          </w:p>
        </w:tc>
      </w:tr>
      <w:tr w:rsidR="000D25C1" w:rsidRPr="00F551AF" w14:paraId="0BC23968" w14:textId="77777777" w:rsidTr="00C86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hideMark/>
          </w:tcPr>
          <w:p w14:paraId="4CA6FEE9"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5</w:t>
            </w:r>
          </w:p>
        </w:tc>
        <w:tc>
          <w:tcPr>
            <w:tcW w:w="2269" w:type="dxa"/>
            <w:hideMark/>
          </w:tcPr>
          <w:p w14:paraId="3D8E00D1" w14:textId="77777777" w:rsidR="000D25C1" w:rsidRPr="009271F3" w:rsidRDefault="000D25C1" w:rsidP="00C86D45">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271F3">
              <w:rPr>
                <w:rFonts w:asciiTheme="minorHAnsi" w:hAnsiTheme="minorHAnsi"/>
                <w:sz w:val="20"/>
              </w:rPr>
              <w:t>24%</w:t>
            </w:r>
          </w:p>
        </w:tc>
      </w:tr>
      <w:tr w:rsidR="000D25C1" w:rsidRPr="00F551AF" w14:paraId="5DF63B55" w14:textId="77777777" w:rsidTr="00C86D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520F857"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6</w:t>
            </w:r>
          </w:p>
        </w:tc>
        <w:tc>
          <w:tcPr>
            <w:tcW w:w="2269" w:type="dxa"/>
          </w:tcPr>
          <w:p w14:paraId="4CE3E5DD" w14:textId="77777777" w:rsidR="000D25C1" w:rsidRPr="009271F3" w:rsidRDefault="000D25C1" w:rsidP="00C86D45">
            <w:pPr>
              <w:keepNext/>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9271F3">
              <w:rPr>
                <w:rFonts w:asciiTheme="minorHAnsi" w:hAnsiTheme="minorHAnsi"/>
                <w:sz w:val="20"/>
              </w:rPr>
              <w:t>17%</w:t>
            </w:r>
          </w:p>
        </w:tc>
      </w:tr>
      <w:tr w:rsidR="000D25C1" w:rsidRPr="00F551AF" w14:paraId="02ED2A80" w14:textId="77777777" w:rsidTr="00C86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4A4F02DF" w14:textId="77777777" w:rsidR="000D25C1" w:rsidRPr="009271F3" w:rsidRDefault="000D25C1" w:rsidP="00C86D45">
            <w:pPr>
              <w:keepNext/>
              <w:jc w:val="left"/>
              <w:rPr>
                <w:rFonts w:asciiTheme="minorHAnsi" w:hAnsiTheme="minorHAnsi"/>
                <w:sz w:val="20"/>
              </w:rPr>
            </w:pPr>
            <w:r w:rsidRPr="009271F3">
              <w:rPr>
                <w:rFonts w:asciiTheme="minorHAnsi" w:hAnsiTheme="minorHAnsi"/>
                <w:sz w:val="20"/>
              </w:rPr>
              <w:t>Year 7</w:t>
            </w:r>
          </w:p>
        </w:tc>
        <w:tc>
          <w:tcPr>
            <w:tcW w:w="2269" w:type="dxa"/>
          </w:tcPr>
          <w:p w14:paraId="542DFA6E" w14:textId="77777777" w:rsidR="000D25C1" w:rsidRPr="009271F3" w:rsidRDefault="000D25C1" w:rsidP="00C86D45">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9271F3">
              <w:rPr>
                <w:rFonts w:asciiTheme="minorHAnsi" w:hAnsiTheme="minorHAnsi"/>
                <w:sz w:val="20"/>
              </w:rPr>
              <w:t>12%</w:t>
            </w:r>
          </w:p>
        </w:tc>
      </w:tr>
    </w:tbl>
    <w:p w14:paraId="5F84307D" w14:textId="4AC5D0D9" w:rsidR="000D25C1" w:rsidRPr="00927365" w:rsidRDefault="000D25C1" w:rsidP="000D25C1">
      <w:pPr>
        <w:pStyle w:val="Source"/>
        <w:ind w:firstLine="2430"/>
        <w:rPr>
          <w:rFonts w:asciiTheme="minorHAnsi" w:hAnsiTheme="minorHAnsi"/>
          <w:sz w:val="18"/>
          <w:szCs w:val="18"/>
        </w:rPr>
      </w:pPr>
      <w:r w:rsidRPr="00927365">
        <w:rPr>
          <w:rFonts w:asciiTheme="minorHAnsi" w:hAnsiTheme="minorHAnsi"/>
          <w:sz w:val="18"/>
          <w:szCs w:val="18"/>
        </w:rPr>
        <w:t>Source: IL-TRM, Measure 6.1.1, Volume 4, Version 1</w:t>
      </w:r>
      <w:r w:rsidR="00521158" w:rsidRPr="00927365">
        <w:rPr>
          <w:rFonts w:asciiTheme="minorHAnsi" w:hAnsiTheme="minorHAnsi"/>
          <w:sz w:val="18"/>
          <w:szCs w:val="18"/>
        </w:rPr>
        <w:t>3</w:t>
      </w:r>
      <w:r w:rsidRPr="00927365">
        <w:rPr>
          <w:rFonts w:asciiTheme="minorHAnsi" w:hAnsiTheme="minorHAnsi"/>
          <w:sz w:val="18"/>
          <w:szCs w:val="18"/>
        </w:rPr>
        <w:t>.0.</w:t>
      </w:r>
    </w:p>
    <w:p w14:paraId="6D4509E5" w14:textId="77777777" w:rsidR="000D25C1" w:rsidRPr="00927365" w:rsidRDefault="000D25C1" w:rsidP="000D25C1">
      <w:pPr>
        <w:spacing w:after="0"/>
        <w:rPr>
          <w:sz w:val="18"/>
          <w:szCs w:val="18"/>
        </w:rPr>
      </w:pPr>
    </w:p>
    <w:p w14:paraId="0C9988E9" w14:textId="21E9ED06" w:rsidR="000D25C1" w:rsidRPr="00EE614F" w:rsidRDefault="000D25C1" w:rsidP="000D25C1">
      <w:pPr>
        <w:spacing w:after="0"/>
        <w:rPr>
          <w:szCs w:val="20"/>
        </w:rPr>
      </w:pPr>
      <w:r w:rsidRPr="00EE614F">
        <w:rPr>
          <w:szCs w:val="20"/>
        </w:rPr>
        <w:t>The persistence factors above apply for the forward-looking cost-effectiveness calculations. However, in removing persistence from prior years, Guidehouse used the persistence factors in effect from those years per IL-TRM v1</w:t>
      </w:r>
      <w:r w:rsidR="00521158">
        <w:rPr>
          <w:szCs w:val="20"/>
        </w:rPr>
        <w:t>3</w:t>
      </w:r>
      <w:r w:rsidRPr="00EE614F">
        <w:rPr>
          <w:szCs w:val="20"/>
        </w:rPr>
        <w:t>.0:</w:t>
      </w:r>
    </w:p>
    <w:p w14:paraId="792609B7" w14:textId="77777777" w:rsidR="000D25C1" w:rsidRPr="00EE614F" w:rsidRDefault="000D25C1" w:rsidP="000D25C1">
      <w:pPr>
        <w:spacing w:after="0"/>
        <w:rPr>
          <w:szCs w:val="20"/>
        </w:rPr>
      </w:pPr>
    </w:p>
    <w:p w14:paraId="434F9EBA" w14:textId="77777777" w:rsidR="000D25C1" w:rsidRPr="00EE614F" w:rsidRDefault="000D25C1" w:rsidP="000D25C1">
      <w:pPr>
        <w:spacing w:after="240"/>
        <w:ind w:left="720"/>
        <w:rPr>
          <w:szCs w:val="20"/>
        </w:rPr>
      </w:pPr>
      <w:r w:rsidRPr="00EE614F">
        <w:rPr>
          <w:szCs w:val="20"/>
        </w:rPr>
        <w:t xml:space="preserve">…when persistence factors are changed, the evaluation will utilize the persistence factors that were used to calculate claimed savings in previous years to subtract persistence savings from those years. For example, persistence factors changed between CY2021 and 2022; in CY2021 the earlier persistence factors (based on a 5-year measure life) were used to claim savings from CY2021-CY2025, therefore in 2022-CY2025 persisting savings from CY2021 should be subtracted based on those same persistence factors. </w:t>
      </w:r>
    </w:p>
    <w:p w14:paraId="6089191D" w14:textId="3C8E7D06" w:rsidR="000D25C1" w:rsidRPr="00EE614F" w:rsidRDefault="000D25C1" w:rsidP="000D25C1">
      <w:pPr>
        <w:spacing w:after="0"/>
        <w:rPr>
          <w:szCs w:val="20"/>
        </w:rPr>
      </w:pPr>
      <w:r w:rsidRPr="00EE614F">
        <w:rPr>
          <w:szCs w:val="20"/>
        </w:rPr>
        <w:t>In 202</w:t>
      </w:r>
      <w:r>
        <w:rPr>
          <w:szCs w:val="20"/>
        </w:rPr>
        <w:t>5</w:t>
      </w:r>
      <w:r w:rsidRPr="00EE614F">
        <w:rPr>
          <w:szCs w:val="20"/>
        </w:rPr>
        <w:t xml:space="preserve">, </w:t>
      </w:r>
      <w:r>
        <w:rPr>
          <w:szCs w:val="20"/>
        </w:rPr>
        <w:t>Wave 4 is in year 2</w:t>
      </w:r>
      <w:r w:rsidRPr="00EE614F">
        <w:rPr>
          <w:szCs w:val="20"/>
        </w:rPr>
        <w:t>. Using the applicable persistence, Guidehouse used persistence factors of 70% for savings from 202</w:t>
      </w:r>
      <w:r w:rsidR="00F65CB6">
        <w:rPr>
          <w:szCs w:val="20"/>
        </w:rPr>
        <w:t>4.</w:t>
      </w:r>
      <w:r w:rsidRPr="00EE614F">
        <w:rPr>
          <w:rFonts w:ascii="Times New Roman" w:hAnsi="Times New Roman"/>
          <w:sz w:val="24"/>
        </w:rPr>
        <w:t xml:space="preserve"> </w:t>
      </w:r>
      <w:r w:rsidRPr="00EE614F">
        <w:rPr>
          <w:szCs w:val="20"/>
        </w:rPr>
        <w:t xml:space="preserve">Per the </w:t>
      </w:r>
      <w:r>
        <w:rPr>
          <w:szCs w:val="20"/>
        </w:rPr>
        <w:t>IL-</w:t>
      </w:r>
      <w:r w:rsidRPr="00EE614F">
        <w:rPr>
          <w:szCs w:val="20"/>
        </w:rPr>
        <w:t>TRM, the adjustment for persistence also accounts for the program retention rate using a wave-specific prospective retention rate based on the age of the wave. In CY202</w:t>
      </w:r>
      <w:r w:rsidR="00F65CB6">
        <w:rPr>
          <w:szCs w:val="20"/>
        </w:rPr>
        <w:t>5</w:t>
      </w:r>
      <w:r w:rsidRPr="00EE614F">
        <w:rPr>
          <w:szCs w:val="20"/>
        </w:rPr>
        <w:t xml:space="preserve">, Guidehouse </w:t>
      </w:r>
      <w:proofErr w:type="gramStart"/>
      <w:r w:rsidRPr="00EE614F">
        <w:rPr>
          <w:szCs w:val="20"/>
        </w:rPr>
        <w:t>applied</w:t>
      </w:r>
      <w:proofErr w:type="gramEnd"/>
      <w:r w:rsidRPr="00EE614F">
        <w:rPr>
          <w:szCs w:val="20"/>
        </w:rPr>
        <w:t xml:space="preserve"> a 95% retention rate.</w:t>
      </w:r>
      <w:r w:rsidRPr="00EE614F">
        <w:rPr>
          <w:szCs w:val="20"/>
          <w:vertAlign w:val="superscript"/>
        </w:rPr>
        <w:footnoteReference w:id="14"/>
      </w:r>
      <w:r w:rsidRPr="00EE614F">
        <w:rPr>
          <w:szCs w:val="20"/>
        </w:rPr>
        <w:t xml:space="preserve"> </w:t>
      </w:r>
    </w:p>
    <w:p w14:paraId="06955BAF" w14:textId="77777777" w:rsidR="000D25C1" w:rsidRPr="00EE614F" w:rsidRDefault="000D25C1" w:rsidP="000D25C1">
      <w:pPr>
        <w:spacing w:after="0"/>
        <w:rPr>
          <w:szCs w:val="20"/>
        </w:rPr>
      </w:pPr>
    </w:p>
    <w:p w14:paraId="2AEAFC80" w14:textId="0929F42A" w:rsidR="000D25C1" w:rsidRPr="00EE614F" w:rsidRDefault="00C82B33" w:rsidP="000D25C1">
      <w:pPr>
        <w:spacing w:after="0"/>
        <w:rPr>
          <w:szCs w:val="20"/>
        </w:rPr>
      </w:pPr>
      <w:r>
        <w:rPr>
          <w:szCs w:val="20"/>
        </w:rPr>
        <w:fldChar w:fldCharType="begin"/>
      </w:r>
      <w:r>
        <w:rPr>
          <w:szCs w:val="20"/>
        </w:rPr>
        <w:instrText xml:space="preserve"> REF _Ref226720907 \h </w:instrText>
      </w:r>
      <w:r>
        <w:rPr>
          <w:szCs w:val="20"/>
        </w:rPr>
      </w:r>
      <w:r>
        <w:rPr>
          <w:szCs w:val="20"/>
        </w:rPr>
        <w:fldChar w:fldCharType="separate"/>
      </w:r>
      <w:r>
        <w:t xml:space="preserve">Table </w:t>
      </w:r>
      <w:r>
        <w:rPr>
          <w:noProof/>
        </w:rPr>
        <w:t>4</w:t>
      </w:r>
      <w:r>
        <w:rPr>
          <w:szCs w:val="20"/>
        </w:rPr>
        <w:fldChar w:fldCharType="end"/>
      </w:r>
      <w:r>
        <w:rPr>
          <w:szCs w:val="20"/>
        </w:rPr>
        <w:t xml:space="preserve"> </w:t>
      </w:r>
      <w:r w:rsidR="000D25C1" w:rsidRPr="00EE614F">
        <w:rPr>
          <w:szCs w:val="20"/>
        </w:rPr>
        <w:t xml:space="preserve">provides a breakdown of the persistence factors and savings attributed to prior years for </w:t>
      </w:r>
      <w:r w:rsidR="000D25C1">
        <w:rPr>
          <w:szCs w:val="20"/>
        </w:rPr>
        <w:t>W</w:t>
      </w:r>
      <w:r w:rsidR="000D25C1" w:rsidRPr="00EE614F">
        <w:rPr>
          <w:szCs w:val="20"/>
        </w:rPr>
        <w:t>ave</w:t>
      </w:r>
      <w:r w:rsidR="00F65CB6">
        <w:rPr>
          <w:szCs w:val="20"/>
        </w:rPr>
        <w:t xml:space="preserve"> 4</w:t>
      </w:r>
      <w:r w:rsidR="000D25C1" w:rsidRPr="00EE614F">
        <w:rPr>
          <w:szCs w:val="20"/>
        </w:rPr>
        <w:t xml:space="preserve">. The total persistence adjustment (Section E) is calculated as the sum of all savings attributed to prior years </w:t>
      </w:r>
      <w:r w:rsidR="000D25C1" w:rsidRPr="00EE614F">
        <w:rPr>
          <w:szCs w:val="20"/>
        </w:rPr>
        <w:lastRenderedPageBreak/>
        <w:t>(Section D). Each row of section D is calculated by multiplying the corresponding rows of Section A (actual savings), Section B (persistence adjustment factors) and Section C (retention rates) (e.g., A1*B1*C1=D1).</w:t>
      </w:r>
    </w:p>
    <w:p w14:paraId="68C3876C" w14:textId="0D8CDE70" w:rsidR="000D25C1" w:rsidRPr="00577499" w:rsidRDefault="000D25C1" w:rsidP="00FF3171">
      <w:pPr>
        <w:pStyle w:val="Caption"/>
      </w:pPr>
    </w:p>
    <w:p w14:paraId="68B6156C" w14:textId="33DB83BF" w:rsidR="00C82B33" w:rsidRDefault="00C82B33" w:rsidP="00FF3171">
      <w:pPr>
        <w:pStyle w:val="Caption"/>
      </w:pPr>
      <w:bookmarkStart w:id="82" w:name="_Ref226720907"/>
      <w:bookmarkStart w:id="83" w:name="_Toc227314405"/>
      <w:r>
        <w:t xml:space="preserve">Table </w:t>
      </w:r>
      <w:r>
        <w:fldChar w:fldCharType="begin"/>
      </w:r>
      <w:r>
        <w:instrText xml:space="preserve"> SEQ Table \* ARABIC </w:instrText>
      </w:r>
      <w:r>
        <w:fldChar w:fldCharType="separate"/>
      </w:r>
      <w:r w:rsidR="000B4769">
        <w:rPr>
          <w:noProof/>
        </w:rPr>
        <w:t>4</w:t>
      </w:r>
      <w:r>
        <w:fldChar w:fldCharType="end"/>
      </w:r>
      <w:bookmarkEnd w:id="82"/>
      <w:r>
        <w:t xml:space="preserve">. </w:t>
      </w:r>
      <w:r w:rsidRPr="0030397B">
        <w:t>2025 Program Persistence Summary</w:t>
      </w:r>
      <w:bookmarkEnd w:id="83"/>
    </w:p>
    <w:tbl>
      <w:tblPr>
        <w:tblW w:w="5000" w:type="pct"/>
        <w:tblLook w:val="04A0" w:firstRow="1" w:lastRow="0" w:firstColumn="1" w:lastColumn="0" w:noHBand="0" w:noVBand="1"/>
      </w:tblPr>
      <w:tblGrid>
        <w:gridCol w:w="1467"/>
        <w:gridCol w:w="1468"/>
        <w:gridCol w:w="4957"/>
        <w:gridCol w:w="1468"/>
      </w:tblGrid>
      <w:tr w:rsidR="009271F3" w:rsidRPr="00927365" w14:paraId="6AC3DB47" w14:textId="77777777" w:rsidTr="00B1430A">
        <w:trPr>
          <w:trHeight w:val="675"/>
        </w:trPr>
        <w:tc>
          <w:tcPr>
            <w:tcW w:w="784" w:type="pct"/>
            <w:tcBorders>
              <w:top w:val="nil"/>
              <w:left w:val="nil"/>
              <w:bottom w:val="single" w:sz="12" w:space="0" w:color="93D500"/>
              <w:right w:val="nil"/>
            </w:tcBorders>
            <w:shd w:val="clear" w:color="000000" w:fill="036479"/>
            <w:vAlign w:val="center"/>
            <w:hideMark/>
          </w:tcPr>
          <w:p w14:paraId="1FFF6D24" w14:textId="77777777" w:rsidR="009271F3" w:rsidRPr="00927365" w:rsidRDefault="009271F3" w:rsidP="009271F3">
            <w:pPr>
              <w:spacing w:after="0" w:line="240" w:lineRule="auto"/>
              <w:rPr>
                <w:rFonts w:eastAsia="Times New Roman" w:cs="Calibri"/>
                <w:b/>
                <w:bCs/>
                <w:color w:val="FFFFFF"/>
                <w:sz w:val="20"/>
                <w:szCs w:val="20"/>
                <w:lang w:eastAsia="en-US"/>
              </w:rPr>
            </w:pPr>
            <w:r w:rsidRPr="00927365">
              <w:rPr>
                <w:rFonts w:eastAsia="Times New Roman" w:cs="Calibri"/>
                <w:b/>
                <w:bCs/>
                <w:color w:val="FFFFFF"/>
                <w:sz w:val="20"/>
                <w:szCs w:val="20"/>
                <w:lang w:eastAsia="en-US"/>
              </w:rPr>
              <w:t>Section</w:t>
            </w:r>
          </w:p>
        </w:tc>
        <w:tc>
          <w:tcPr>
            <w:tcW w:w="784" w:type="pct"/>
            <w:tcBorders>
              <w:top w:val="nil"/>
              <w:left w:val="nil"/>
              <w:bottom w:val="single" w:sz="12" w:space="0" w:color="93D500"/>
              <w:right w:val="nil"/>
            </w:tcBorders>
            <w:shd w:val="clear" w:color="000000" w:fill="036479"/>
            <w:vAlign w:val="center"/>
            <w:hideMark/>
          </w:tcPr>
          <w:p w14:paraId="250AB47A" w14:textId="77777777" w:rsidR="009271F3" w:rsidRPr="00927365" w:rsidRDefault="009271F3" w:rsidP="009271F3">
            <w:pPr>
              <w:spacing w:after="0" w:line="240" w:lineRule="auto"/>
              <w:rPr>
                <w:rFonts w:eastAsia="Times New Roman" w:cs="Calibri"/>
                <w:b/>
                <w:bCs/>
                <w:color w:val="FFFFFF"/>
                <w:sz w:val="20"/>
                <w:szCs w:val="20"/>
                <w:lang w:eastAsia="en-US"/>
              </w:rPr>
            </w:pPr>
            <w:r w:rsidRPr="00927365">
              <w:rPr>
                <w:rFonts w:eastAsia="Times New Roman" w:cs="Calibri"/>
                <w:b/>
                <w:bCs/>
                <w:color w:val="FFFFFF"/>
                <w:sz w:val="20"/>
                <w:szCs w:val="20"/>
                <w:lang w:eastAsia="en-US"/>
              </w:rPr>
              <w:t>Row</w:t>
            </w:r>
          </w:p>
        </w:tc>
        <w:tc>
          <w:tcPr>
            <w:tcW w:w="2647" w:type="pct"/>
            <w:tcBorders>
              <w:top w:val="nil"/>
              <w:left w:val="nil"/>
              <w:bottom w:val="single" w:sz="12" w:space="0" w:color="93D500"/>
              <w:right w:val="nil"/>
            </w:tcBorders>
            <w:shd w:val="clear" w:color="000000" w:fill="036479"/>
            <w:vAlign w:val="center"/>
            <w:hideMark/>
          </w:tcPr>
          <w:p w14:paraId="26BA8137" w14:textId="77777777" w:rsidR="009271F3" w:rsidRPr="00927365" w:rsidRDefault="009271F3" w:rsidP="009271F3">
            <w:pPr>
              <w:spacing w:after="0" w:line="240" w:lineRule="auto"/>
              <w:rPr>
                <w:rFonts w:eastAsia="Times New Roman" w:cs="Calibri"/>
                <w:b/>
                <w:bCs/>
                <w:color w:val="FFFFFF"/>
                <w:sz w:val="20"/>
                <w:szCs w:val="20"/>
                <w:lang w:eastAsia="en-US"/>
              </w:rPr>
            </w:pPr>
            <w:r w:rsidRPr="00927365">
              <w:rPr>
                <w:rFonts w:eastAsia="Times New Roman" w:cs="Calibri"/>
                <w:b/>
                <w:bCs/>
                <w:color w:val="FFFFFF"/>
                <w:sz w:val="20"/>
                <w:szCs w:val="20"/>
                <w:lang w:eastAsia="en-US"/>
              </w:rPr>
              <w:t>Value</w:t>
            </w:r>
          </w:p>
        </w:tc>
        <w:tc>
          <w:tcPr>
            <w:tcW w:w="784" w:type="pct"/>
            <w:tcBorders>
              <w:top w:val="nil"/>
              <w:left w:val="nil"/>
              <w:bottom w:val="single" w:sz="12" w:space="0" w:color="93D500"/>
              <w:right w:val="nil"/>
            </w:tcBorders>
            <w:shd w:val="clear" w:color="000000" w:fill="036479"/>
            <w:vAlign w:val="center"/>
            <w:hideMark/>
          </w:tcPr>
          <w:p w14:paraId="5BFBED1A" w14:textId="77777777" w:rsidR="009271F3" w:rsidRPr="00927365" w:rsidRDefault="009271F3" w:rsidP="009271F3">
            <w:pPr>
              <w:spacing w:after="0" w:line="240" w:lineRule="auto"/>
              <w:jc w:val="right"/>
              <w:rPr>
                <w:rFonts w:eastAsia="Times New Roman" w:cs="Calibri"/>
                <w:b/>
                <w:bCs/>
                <w:color w:val="FFFFFF"/>
                <w:sz w:val="20"/>
                <w:szCs w:val="20"/>
                <w:lang w:eastAsia="en-US"/>
              </w:rPr>
            </w:pPr>
            <w:r w:rsidRPr="00927365">
              <w:rPr>
                <w:rFonts w:eastAsia="Times New Roman" w:cs="Calibri"/>
                <w:b/>
                <w:bCs/>
                <w:color w:val="FFFFFF"/>
                <w:sz w:val="20"/>
                <w:szCs w:val="20"/>
                <w:lang w:eastAsia="en-US"/>
              </w:rPr>
              <w:t>Wave 4 (202402)</w:t>
            </w:r>
          </w:p>
        </w:tc>
      </w:tr>
      <w:tr w:rsidR="009271F3" w:rsidRPr="00927365" w14:paraId="505FAABC" w14:textId="77777777" w:rsidTr="00B1430A">
        <w:trPr>
          <w:trHeight w:val="360"/>
        </w:trPr>
        <w:tc>
          <w:tcPr>
            <w:tcW w:w="784" w:type="pct"/>
            <w:tcBorders>
              <w:top w:val="single" w:sz="12" w:space="0" w:color="93D500"/>
              <w:left w:val="nil"/>
              <w:bottom w:val="single" w:sz="4" w:space="0" w:color="80DDEB" w:themeColor="accent6"/>
              <w:right w:val="nil"/>
            </w:tcBorders>
            <w:vAlign w:val="center"/>
            <w:hideMark/>
          </w:tcPr>
          <w:p w14:paraId="76C03504"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A</w:t>
            </w:r>
          </w:p>
        </w:tc>
        <w:tc>
          <w:tcPr>
            <w:tcW w:w="784" w:type="pct"/>
            <w:tcBorders>
              <w:top w:val="nil"/>
              <w:left w:val="nil"/>
              <w:bottom w:val="single" w:sz="8" w:space="0" w:color="B3EFFD"/>
              <w:right w:val="nil"/>
            </w:tcBorders>
            <w:vAlign w:val="center"/>
            <w:hideMark/>
          </w:tcPr>
          <w:p w14:paraId="46BECED1"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w:t>
            </w:r>
          </w:p>
        </w:tc>
        <w:tc>
          <w:tcPr>
            <w:tcW w:w="2647" w:type="pct"/>
            <w:tcBorders>
              <w:top w:val="nil"/>
              <w:left w:val="nil"/>
              <w:bottom w:val="single" w:sz="8" w:space="0" w:color="B3EFFD"/>
              <w:right w:val="nil"/>
            </w:tcBorders>
            <w:vAlign w:val="center"/>
            <w:hideMark/>
          </w:tcPr>
          <w:p w14:paraId="21110537"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Actual Savings CY2024</w:t>
            </w:r>
          </w:p>
        </w:tc>
        <w:tc>
          <w:tcPr>
            <w:tcW w:w="784" w:type="pct"/>
            <w:tcBorders>
              <w:top w:val="nil"/>
              <w:left w:val="nil"/>
              <w:bottom w:val="single" w:sz="8" w:space="0" w:color="B3EFFD"/>
              <w:right w:val="nil"/>
            </w:tcBorders>
            <w:vAlign w:val="center"/>
            <w:hideMark/>
          </w:tcPr>
          <w:p w14:paraId="2501C7EE" w14:textId="77777777" w:rsidR="009271F3" w:rsidRPr="00927365" w:rsidRDefault="009271F3" w:rsidP="009271F3">
            <w:pPr>
              <w:spacing w:after="0" w:line="240" w:lineRule="auto"/>
              <w:jc w:val="right"/>
              <w:rPr>
                <w:rFonts w:eastAsia="Times New Roman" w:cs="Calibri"/>
                <w:color w:val="000000"/>
                <w:sz w:val="20"/>
                <w:szCs w:val="20"/>
                <w:lang w:eastAsia="en-US"/>
              </w:rPr>
            </w:pPr>
            <w:r w:rsidRPr="00927365">
              <w:rPr>
                <w:rFonts w:eastAsia="Times New Roman" w:cs="Calibri"/>
                <w:color w:val="000000"/>
                <w:sz w:val="20"/>
                <w:szCs w:val="20"/>
                <w:lang w:eastAsia="en-US"/>
              </w:rPr>
              <w:t>166,715</w:t>
            </w:r>
          </w:p>
        </w:tc>
      </w:tr>
      <w:tr w:rsidR="009271F3" w:rsidRPr="00927365" w14:paraId="146B1D36" w14:textId="77777777" w:rsidTr="00B1430A">
        <w:trPr>
          <w:trHeight w:val="375"/>
        </w:trPr>
        <w:tc>
          <w:tcPr>
            <w:tcW w:w="784" w:type="pct"/>
            <w:tcBorders>
              <w:top w:val="single" w:sz="4" w:space="0" w:color="80DDEB" w:themeColor="accent6"/>
              <w:left w:val="nil"/>
              <w:bottom w:val="single" w:sz="8" w:space="0" w:color="B3EFFD"/>
              <w:right w:val="nil"/>
            </w:tcBorders>
            <w:vAlign w:val="center"/>
            <w:hideMark/>
          </w:tcPr>
          <w:p w14:paraId="0125CDC2"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B</w:t>
            </w:r>
          </w:p>
        </w:tc>
        <w:tc>
          <w:tcPr>
            <w:tcW w:w="784" w:type="pct"/>
            <w:tcBorders>
              <w:top w:val="nil"/>
              <w:left w:val="nil"/>
              <w:bottom w:val="single" w:sz="8" w:space="0" w:color="B3EFFD"/>
              <w:right w:val="nil"/>
            </w:tcBorders>
            <w:shd w:val="clear" w:color="000000" w:fill="FFFFFF"/>
            <w:vAlign w:val="center"/>
            <w:hideMark/>
          </w:tcPr>
          <w:p w14:paraId="22534EB0"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w:t>
            </w:r>
          </w:p>
        </w:tc>
        <w:tc>
          <w:tcPr>
            <w:tcW w:w="2647" w:type="pct"/>
            <w:tcBorders>
              <w:top w:val="nil"/>
              <w:left w:val="nil"/>
              <w:bottom w:val="single" w:sz="8" w:space="0" w:color="B3EFFD"/>
              <w:right w:val="nil"/>
            </w:tcBorders>
            <w:shd w:val="clear" w:color="000000" w:fill="FFFFFF"/>
            <w:vAlign w:val="center"/>
            <w:hideMark/>
          </w:tcPr>
          <w:p w14:paraId="70FE8D27"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1-Year Persistence Adjustment Factor</w:t>
            </w:r>
          </w:p>
        </w:tc>
        <w:tc>
          <w:tcPr>
            <w:tcW w:w="784" w:type="pct"/>
            <w:tcBorders>
              <w:top w:val="nil"/>
              <w:left w:val="nil"/>
              <w:bottom w:val="single" w:sz="8" w:space="0" w:color="B3EFFD"/>
              <w:right w:val="nil"/>
            </w:tcBorders>
            <w:shd w:val="clear" w:color="000000" w:fill="FFFFFF"/>
            <w:vAlign w:val="center"/>
            <w:hideMark/>
          </w:tcPr>
          <w:p w14:paraId="707A06FD" w14:textId="77777777" w:rsidR="009271F3" w:rsidRPr="00927365" w:rsidRDefault="009271F3" w:rsidP="009271F3">
            <w:pPr>
              <w:spacing w:after="0" w:line="240" w:lineRule="auto"/>
              <w:jc w:val="right"/>
              <w:rPr>
                <w:rFonts w:eastAsia="Times New Roman" w:cs="Calibri"/>
                <w:color w:val="000000"/>
                <w:sz w:val="20"/>
                <w:szCs w:val="20"/>
                <w:lang w:eastAsia="en-US"/>
              </w:rPr>
            </w:pPr>
            <w:r w:rsidRPr="00927365">
              <w:rPr>
                <w:rFonts w:eastAsia="Times New Roman" w:cs="Calibri"/>
                <w:color w:val="000000"/>
                <w:sz w:val="20"/>
                <w:szCs w:val="20"/>
                <w:lang w:eastAsia="en-US"/>
              </w:rPr>
              <w:t>0.7</w:t>
            </w:r>
          </w:p>
        </w:tc>
      </w:tr>
      <w:tr w:rsidR="009271F3" w:rsidRPr="00927365" w14:paraId="494404CA" w14:textId="77777777" w:rsidTr="009271F3">
        <w:trPr>
          <w:trHeight w:val="345"/>
        </w:trPr>
        <w:tc>
          <w:tcPr>
            <w:tcW w:w="784" w:type="pct"/>
            <w:tcBorders>
              <w:top w:val="nil"/>
              <w:left w:val="nil"/>
              <w:bottom w:val="single" w:sz="8" w:space="0" w:color="B3EFFD"/>
              <w:right w:val="nil"/>
            </w:tcBorders>
            <w:vAlign w:val="center"/>
            <w:hideMark/>
          </w:tcPr>
          <w:p w14:paraId="6C4C597C"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C</w:t>
            </w:r>
          </w:p>
        </w:tc>
        <w:tc>
          <w:tcPr>
            <w:tcW w:w="784" w:type="pct"/>
            <w:tcBorders>
              <w:top w:val="nil"/>
              <w:left w:val="nil"/>
              <w:bottom w:val="single" w:sz="8" w:space="0" w:color="B3EFFD"/>
              <w:right w:val="nil"/>
            </w:tcBorders>
            <w:shd w:val="clear" w:color="000000" w:fill="FFFFFF"/>
            <w:vAlign w:val="center"/>
            <w:hideMark/>
          </w:tcPr>
          <w:p w14:paraId="4811E514"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w:t>
            </w:r>
          </w:p>
        </w:tc>
        <w:tc>
          <w:tcPr>
            <w:tcW w:w="2647" w:type="pct"/>
            <w:tcBorders>
              <w:top w:val="nil"/>
              <w:left w:val="nil"/>
              <w:bottom w:val="single" w:sz="8" w:space="0" w:color="B3EFFD"/>
              <w:right w:val="nil"/>
            </w:tcBorders>
            <w:shd w:val="clear" w:color="000000" w:fill="FFFFFF"/>
            <w:vAlign w:val="center"/>
            <w:hideMark/>
          </w:tcPr>
          <w:p w14:paraId="718E13FE"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Retention Rate – 1 Year</w:t>
            </w:r>
          </w:p>
        </w:tc>
        <w:tc>
          <w:tcPr>
            <w:tcW w:w="784" w:type="pct"/>
            <w:tcBorders>
              <w:top w:val="nil"/>
              <w:left w:val="nil"/>
              <w:bottom w:val="single" w:sz="8" w:space="0" w:color="B3EFFD"/>
              <w:right w:val="nil"/>
            </w:tcBorders>
            <w:shd w:val="clear" w:color="000000" w:fill="FFFFFF"/>
            <w:vAlign w:val="center"/>
            <w:hideMark/>
          </w:tcPr>
          <w:p w14:paraId="72A1EE68" w14:textId="77777777" w:rsidR="009271F3" w:rsidRPr="00927365" w:rsidRDefault="009271F3" w:rsidP="009271F3">
            <w:pPr>
              <w:spacing w:after="0" w:line="240" w:lineRule="auto"/>
              <w:jc w:val="right"/>
              <w:rPr>
                <w:rFonts w:eastAsia="Times New Roman" w:cs="Calibri"/>
                <w:color w:val="000000"/>
                <w:sz w:val="20"/>
                <w:szCs w:val="20"/>
                <w:lang w:eastAsia="en-US"/>
              </w:rPr>
            </w:pPr>
            <w:r w:rsidRPr="00927365">
              <w:rPr>
                <w:rFonts w:eastAsia="Times New Roman" w:cs="Calibri"/>
                <w:color w:val="000000"/>
                <w:sz w:val="20"/>
                <w:szCs w:val="20"/>
                <w:lang w:eastAsia="en-US"/>
              </w:rPr>
              <w:t>0.95</w:t>
            </w:r>
          </w:p>
        </w:tc>
      </w:tr>
      <w:tr w:rsidR="009271F3" w:rsidRPr="00927365" w14:paraId="2BB7DDA7" w14:textId="77777777" w:rsidTr="009271F3">
        <w:trPr>
          <w:trHeight w:val="345"/>
        </w:trPr>
        <w:tc>
          <w:tcPr>
            <w:tcW w:w="784" w:type="pct"/>
            <w:tcBorders>
              <w:top w:val="nil"/>
              <w:left w:val="nil"/>
              <w:bottom w:val="single" w:sz="8" w:space="0" w:color="B3EFFD"/>
              <w:right w:val="nil"/>
            </w:tcBorders>
            <w:vAlign w:val="center"/>
            <w:hideMark/>
          </w:tcPr>
          <w:p w14:paraId="5178A0B5"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D</w:t>
            </w:r>
          </w:p>
        </w:tc>
        <w:tc>
          <w:tcPr>
            <w:tcW w:w="784" w:type="pct"/>
            <w:tcBorders>
              <w:top w:val="nil"/>
              <w:left w:val="nil"/>
              <w:bottom w:val="single" w:sz="8" w:space="0" w:color="B3EFFD"/>
              <w:right w:val="nil"/>
            </w:tcBorders>
            <w:shd w:val="clear" w:color="000000" w:fill="FFFFFF"/>
            <w:vAlign w:val="center"/>
            <w:hideMark/>
          </w:tcPr>
          <w:p w14:paraId="1BBA2C1A"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w:t>
            </w:r>
          </w:p>
        </w:tc>
        <w:tc>
          <w:tcPr>
            <w:tcW w:w="2647" w:type="pct"/>
            <w:tcBorders>
              <w:top w:val="nil"/>
              <w:left w:val="nil"/>
              <w:bottom w:val="single" w:sz="8" w:space="0" w:color="B3EFFD"/>
              <w:right w:val="nil"/>
            </w:tcBorders>
            <w:shd w:val="clear" w:color="000000" w:fill="FFFFFF"/>
            <w:vAlign w:val="center"/>
            <w:hideMark/>
          </w:tcPr>
          <w:p w14:paraId="503AADF2"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Savings Attributed to 2024</w:t>
            </w:r>
          </w:p>
        </w:tc>
        <w:tc>
          <w:tcPr>
            <w:tcW w:w="784" w:type="pct"/>
            <w:tcBorders>
              <w:top w:val="nil"/>
              <w:left w:val="nil"/>
              <w:bottom w:val="single" w:sz="8" w:space="0" w:color="B3EFFD"/>
              <w:right w:val="nil"/>
            </w:tcBorders>
            <w:shd w:val="clear" w:color="000000" w:fill="FFFFFF"/>
            <w:vAlign w:val="center"/>
            <w:hideMark/>
          </w:tcPr>
          <w:p w14:paraId="76300835" w14:textId="77777777" w:rsidR="009271F3" w:rsidRPr="00927365" w:rsidRDefault="009271F3" w:rsidP="009271F3">
            <w:pPr>
              <w:spacing w:after="0" w:line="240" w:lineRule="auto"/>
              <w:jc w:val="right"/>
              <w:rPr>
                <w:rFonts w:eastAsia="Times New Roman" w:cs="Calibri"/>
                <w:color w:val="000000"/>
                <w:sz w:val="20"/>
                <w:szCs w:val="20"/>
                <w:lang w:eastAsia="en-US"/>
              </w:rPr>
            </w:pPr>
            <w:r w:rsidRPr="00927365">
              <w:rPr>
                <w:rFonts w:eastAsia="Times New Roman" w:cs="Calibri"/>
                <w:color w:val="000000"/>
                <w:sz w:val="20"/>
                <w:szCs w:val="20"/>
                <w:lang w:eastAsia="en-US"/>
              </w:rPr>
              <w:t>110,865</w:t>
            </w:r>
          </w:p>
        </w:tc>
      </w:tr>
      <w:tr w:rsidR="009271F3" w:rsidRPr="00927365" w14:paraId="39C7AC74" w14:textId="77777777" w:rsidTr="00B1430A">
        <w:trPr>
          <w:trHeight w:val="346"/>
        </w:trPr>
        <w:tc>
          <w:tcPr>
            <w:tcW w:w="784" w:type="pct"/>
            <w:tcBorders>
              <w:top w:val="nil"/>
              <w:left w:val="nil"/>
              <w:bottom w:val="single" w:sz="8" w:space="0" w:color="036479"/>
              <w:right w:val="nil"/>
            </w:tcBorders>
            <w:vAlign w:val="center"/>
            <w:hideMark/>
          </w:tcPr>
          <w:p w14:paraId="47BF2802"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E</w:t>
            </w:r>
          </w:p>
        </w:tc>
        <w:tc>
          <w:tcPr>
            <w:tcW w:w="784" w:type="pct"/>
            <w:tcBorders>
              <w:top w:val="nil"/>
              <w:left w:val="nil"/>
              <w:bottom w:val="single" w:sz="8" w:space="0" w:color="036479"/>
              <w:right w:val="nil"/>
            </w:tcBorders>
            <w:vAlign w:val="center"/>
            <w:hideMark/>
          </w:tcPr>
          <w:p w14:paraId="0B6EB47D"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1</w:t>
            </w:r>
          </w:p>
        </w:tc>
        <w:tc>
          <w:tcPr>
            <w:tcW w:w="2647" w:type="pct"/>
            <w:tcBorders>
              <w:top w:val="nil"/>
              <w:left w:val="nil"/>
              <w:bottom w:val="single" w:sz="8" w:space="0" w:color="036479"/>
              <w:right w:val="nil"/>
            </w:tcBorders>
            <w:vAlign w:val="center"/>
            <w:hideMark/>
          </w:tcPr>
          <w:p w14:paraId="310ED822" w14:textId="77777777" w:rsidR="009271F3" w:rsidRPr="00927365" w:rsidRDefault="009271F3" w:rsidP="009271F3">
            <w:pPr>
              <w:spacing w:after="0" w:line="240" w:lineRule="auto"/>
              <w:rPr>
                <w:rFonts w:eastAsia="Times New Roman" w:cs="Calibri"/>
                <w:color w:val="000000"/>
                <w:sz w:val="20"/>
                <w:szCs w:val="20"/>
                <w:lang w:eastAsia="en-US"/>
              </w:rPr>
            </w:pPr>
            <w:r w:rsidRPr="00927365">
              <w:rPr>
                <w:rFonts w:eastAsia="Times New Roman" w:cs="Calibri"/>
                <w:color w:val="000000"/>
                <w:sz w:val="20"/>
                <w:szCs w:val="20"/>
                <w:lang w:eastAsia="en-US"/>
              </w:rPr>
              <w:t>Total Persistence Adjustment</w:t>
            </w:r>
          </w:p>
        </w:tc>
        <w:tc>
          <w:tcPr>
            <w:tcW w:w="784" w:type="pct"/>
            <w:tcBorders>
              <w:top w:val="nil"/>
              <w:left w:val="nil"/>
              <w:bottom w:val="single" w:sz="8" w:space="0" w:color="036479"/>
              <w:right w:val="nil"/>
            </w:tcBorders>
            <w:vAlign w:val="center"/>
            <w:hideMark/>
          </w:tcPr>
          <w:p w14:paraId="21865716" w14:textId="77777777" w:rsidR="009271F3" w:rsidRPr="00927365" w:rsidRDefault="009271F3" w:rsidP="009271F3">
            <w:pPr>
              <w:spacing w:after="0" w:line="240" w:lineRule="auto"/>
              <w:jc w:val="right"/>
              <w:rPr>
                <w:rFonts w:eastAsia="Times New Roman" w:cs="Calibri"/>
                <w:color w:val="000000"/>
                <w:sz w:val="20"/>
                <w:szCs w:val="20"/>
                <w:lang w:eastAsia="en-US"/>
              </w:rPr>
            </w:pPr>
            <w:r w:rsidRPr="00927365">
              <w:rPr>
                <w:rFonts w:eastAsia="Times New Roman" w:cs="Calibri"/>
                <w:color w:val="000000"/>
                <w:sz w:val="20"/>
                <w:szCs w:val="20"/>
                <w:lang w:eastAsia="en-US"/>
              </w:rPr>
              <w:t>110,865</w:t>
            </w:r>
          </w:p>
        </w:tc>
      </w:tr>
    </w:tbl>
    <w:p w14:paraId="3E3B4252" w14:textId="569E3354" w:rsidR="000D25C1" w:rsidRPr="009E2112" w:rsidRDefault="000D25C1" w:rsidP="00C82B33">
      <w:pPr>
        <w:pStyle w:val="Source"/>
        <w:rPr>
          <w:rFonts w:asciiTheme="minorHAnsi" w:hAnsiTheme="minorHAnsi"/>
          <w:i w:val="0"/>
          <w:sz w:val="18"/>
          <w:szCs w:val="18"/>
        </w:rPr>
      </w:pPr>
      <w:r w:rsidRPr="009E2112">
        <w:rPr>
          <w:rFonts w:asciiTheme="minorHAnsi" w:hAnsiTheme="minorHAnsi"/>
          <w:sz w:val="18"/>
          <w:szCs w:val="18"/>
        </w:rPr>
        <w:t>Source: Guidehouse analysis of Nicor Gas program tracking and customer billing data.</w:t>
      </w:r>
    </w:p>
    <w:p w14:paraId="27B4B126" w14:textId="578EA946" w:rsidR="00CD3CAA" w:rsidRPr="00CA038C" w:rsidRDefault="00CD3CAA" w:rsidP="00C86D45">
      <w:pPr>
        <w:rPr>
          <w:rFonts w:ascii="Arial" w:eastAsia="Times New Roman" w:hAnsi="Arial" w:cs="Times New Roman"/>
          <w:szCs w:val="20"/>
          <w:lang w:eastAsia="en-US"/>
        </w:rPr>
        <w:sectPr w:rsidR="00CD3CAA" w:rsidRPr="00CA038C" w:rsidSect="00C86D45">
          <w:headerReference w:type="default" r:id="rId23"/>
          <w:footerReference w:type="default" r:id="rId24"/>
          <w:pgSz w:w="12240" w:h="15840" w:code="1"/>
          <w:pgMar w:top="1440" w:right="1440" w:bottom="1440" w:left="1440" w:header="720" w:footer="720" w:gutter="0"/>
          <w:pgNumType w:chapStyle="5"/>
          <w:cols w:space="720"/>
          <w:docGrid w:linePitch="360"/>
        </w:sectPr>
      </w:pPr>
    </w:p>
    <w:p w14:paraId="251A725A" w14:textId="3917E1C1" w:rsidR="00CD3CAA" w:rsidRPr="00336787" w:rsidRDefault="00970BA5" w:rsidP="00336787">
      <w:pPr>
        <w:pStyle w:val="Heading1"/>
      </w:pPr>
      <w:bookmarkStart w:id="84" w:name="_Toc223474636"/>
      <w:bookmarkStart w:id="85" w:name="_Toc224286392"/>
      <w:bookmarkStart w:id="86" w:name="_Toc227314368"/>
      <w:bookmarkEnd w:id="53"/>
      <w:bookmarkEnd w:id="54"/>
      <w:r w:rsidRPr="00336787">
        <w:lastRenderedPageBreak/>
        <w:t xml:space="preserve">Appendix B. </w:t>
      </w:r>
      <w:bookmarkEnd w:id="84"/>
      <w:bookmarkEnd w:id="85"/>
      <w:r w:rsidR="000B4769" w:rsidRPr="00336787">
        <w:t>Detailed Impact Analysis Results</w:t>
      </w:r>
      <w:bookmarkEnd w:id="86"/>
    </w:p>
    <w:p w14:paraId="5A4F9CE6" w14:textId="77777777" w:rsidR="00F65CB6" w:rsidRPr="007E7B1A" w:rsidRDefault="00F65CB6" w:rsidP="00F65CB6">
      <w:pPr>
        <w:keepNext/>
        <w:keepLines/>
      </w:pPr>
      <w:bookmarkStart w:id="87" w:name="_Hlk132795188"/>
      <w:r>
        <w:t>This appendix presents detailed savings and aggregated uplift analysis results. Tables with the regression outputs and detailed uplift results are available upon request.</w:t>
      </w:r>
      <w:bookmarkEnd w:id="87"/>
    </w:p>
    <w:p w14:paraId="3B430F74" w14:textId="77777777" w:rsidR="00F65CB6" w:rsidRPr="00AC3905" w:rsidRDefault="00F65CB6" w:rsidP="00F65CB6">
      <w:pPr>
        <w:keepNext/>
        <w:keepLines/>
        <w:numPr>
          <w:ilvl w:val="5"/>
          <w:numId w:val="0"/>
        </w:numPr>
        <w:spacing w:before="240" w:after="240"/>
        <w:ind w:left="720" w:hanging="720"/>
        <w:outlineLvl w:val="5"/>
        <w:rPr>
          <w:rFonts w:cs="Arial"/>
          <w:b/>
          <w:iCs/>
          <w:kern w:val="28"/>
          <w:position w:val="6"/>
          <w:sz w:val="28"/>
          <w:szCs w:val="26"/>
        </w:rPr>
      </w:pPr>
      <w:bookmarkStart w:id="88" w:name="_Toc110421333"/>
      <w:bookmarkStart w:id="89" w:name="_Toc132900793"/>
      <w:bookmarkStart w:id="90" w:name="_Toc137824765"/>
      <w:bookmarkStart w:id="91" w:name="_Toc172553799"/>
      <w:r w:rsidRPr="00AC3905">
        <w:rPr>
          <w:rFonts w:cs="Arial"/>
          <w:b/>
          <w:iCs/>
          <w:kern w:val="28"/>
          <w:position w:val="6"/>
          <w:sz w:val="28"/>
          <w:szCs w:val="26"/>
        </w:rPr>
        <w:t>Savings</w:t>
      </w:r>
      <w:bookmarkEnd w:id="88"/>
      <w:bookmarkEnd w:id="89"/>
      <w:bookmarkEnd w:id="90"/>
      <w:bookmarkEnd w:id="91"/>
    </w:p>
    <w:p w14:paraId="16B49E33" w14:textId="77777777" w:rsidR="00F65CB6" w:rsidRPr="00AC3905" w:rsidRDefault="00F65CB6" w:rsidP="00F65CB6">
      <w:pPr>
        <w:keepNext/>
        <w:keepLines/>
        <w:spacing w:after="240"/>
        <w:rPr>
          <w:szCs w:val="20"/>
        </w:rPr>
      </w:pPr>
      <w:r w:rsidRPr="00AC3905">
        <w:rPr>
          <w:szCs w:val="20"/>
        </w:rPr>
        <w:t>This appendix presents detailed savings and aggregated uplift analysis results. Tables with the regression outputs and detailed uplift results are available upon request.</w:t>
      </w:r>
    </w:p>
    <w:p w14:paraId="2A25C1D3" w14:textId="2244CEF4" w:rsidR="00F65CB6" w:rsidRDefault="00C82B33" w:rsidP="00F65CB6">
      <w:pPr>
        <w:spacing w:after="0"/>
        <w:rPr>
          <w:szCs w:val="20"/>
        </w:rPr>
      </w:pPr>
      <w:r>
        <w:rPr>
          <w:szCs w:val="20"/>
        </w:rPr>
        <w:fldChar w:fldCharType="begin"/>
      </w:r>
      <w:r>
        <w:rPr>
          <w:szCs w:val="20"/>
        </w:rPr>
        <w:instrText xml:space="preserve"> REF _Ref226720953 \h </w:instrText>
      </w:r>
      <w:r>
        <w:rPr>
          <w:szCs w:val="20"/>
        </w:rPr>
      </w:r>
      <w:r>
        <w:rPr>
          <w:szCs w:val="20"/>
        </w:rPr>
        <w:fldChar w:fldCharType="separate"/>
      </w:r>
      <w:r>
        <w:t xml:space="preserve">Table </w:t>
      </w:r>
      <w:r>
        <w:rPr>
          <w:noProof/>
        </w:rPr>
        <w:t>5</w:t>
      </w:r>
      <w:r>
        <w:rPr>
          <w:szCs w:val="20"/>
        </w:rPr>
        <w:fldChar w:fldCharType="end"/>
      </w:r>
      <w:r>
        <w:rPr>
          <w:szCs w:val="20"/>
        </w:rPr>
        <w:t xml:space="preserve"> </w:t>
      </w:r>
      <w:r w:rsidR="00F65CB6" w:rsidRPr="00AC3905">
        <w:rPr>
          <w:szCs w:val="20"/>
        </w:rPr>
        <w:t xml:space="preserve">summarizes estimated program savings including uplift adjustments. </w:t>
      </w:r>
      <w:r w:rsidR="00F65CB6">
        <w:rPr>
          <w:szCs w:val="20"/>
        </w:rPr>
        <w:t>Table 5</w:t>
      </w:r>
      <w:r w:rsidR="00F65CB6" w:rsidRPr="00AC3905">
        <w:rPr>
          <w:szCs w:val="20"/>
        </w:rPr>
        <w:t xml:space="preserve"> also includes the number of participants, controls, and average savings rates. Both modeled savings and average savings rates include standard error figures.</w:t>
      </w:r>
    </w:p>
    <w:p w14:paraId="0A839116" w14:textId="43A9FD70" w:rsidR="00F65CB6" w:rsidRPr="00577499" w:rsidRDefault="00F65CB6" w:rsidP="00FF3171">
      <w:pPr>
        <w:pStyle w:val="Caption"/>
      </w:pPr>
    </w:p>
    <w:p w14:paraId="275864C4" w14:textId="73F79CC0" w:rsidR="00C82B33" w:rsidRDefault="00C82B33" w:rsidP="00FF3171">
      <w:pPr>
        <w:pStyle w:val="Caption"/>
      </w:pPr>
      <w:bookmarkStart w:id="92" w:name="_Ref226720953"/>
      <w:bookmarkStart w:id="93" w:name="_Toc227314406"/>
      <w:r>
        <w:t xml:space="preserve">Table </w:t>
      </w:r>
      <w:r>
        <w:fldChar w:fldCharType="begin"/>
      </w:r>
      <w:r>
        <w:instrText xml:space="preserve"> SEQ Table \* ARABIC </w:instrText>
      </w:r>
      <w:r>
        <w:fldChar w:fldCharType="separate"/>
      </w:r>
      <w:r w:rsidR="000B4769">
        <w:rPr>
          <w:noProof/>
        </w:rPr>
        <w:t>5</w:t>
      </w:r>
      <w:r>
        <w:fldChar w:fldCharType="end"/>
      </w:r>
      <w:bookmarkEnd w:id="92"/>
      <w:r>
        <w:t xml:space="preserve">. </w:t>
      </w:r>
      <w:r w:rsidRPr="00576118">
        <w:t>2025 Savings Results</w:t>
      </w:r>
      <w:bookmarkEnd w:id="93"/>
    </w:p>
    <w:tbl>
      <w:tblPr>
        <w:tblW w:w="5000" w:type="pct"/>
        <w:jc w:val="center"/>
        <w:tblLook w:val="04A0" w:firstRow="1" w:lastRow="0" w:firstColumn="1" w:lastColumn="0" w:noHBand="0" w:noVBand="1"/>
      </w:tblPr>
      <w:tblGrid>
        <w:gridCol w:w="5324"/>
        <w:gridCol w:w="4036"/>
      </w:tblGrid>
      <w:tr w:rsidR="00F65CB6" w:rsidRPr="00F65CB6" w14:paraId="7D2FC0DA" w14:textId="77777777" w:rsidTr="001209C5">
        <w:trPr>
          <w:trHeight w:val="525"/>
          <w:jc w:val="center"/>
        </w:trPr>
        <w:tc>
          <w:tcPr>
            <w:tcW w:w="2844" w:type="pct"/>
            <w:tcBorders>
              <w:top w:val="nil"/>
              <w:left w:val="nil"/>
              <w:bottom w:val="single" w:sz="12" w:space="0" w:color="93D500"/>
              <w:right w:val="nil"/>
            </w:tcBorders>
            <w:shd w:val="clear" w:color="000000" w:fill="036479"/>
            <w:noWrap/>
            <w:vAlign w:val="center"/>
            <w:hideMark/>
          </w:tcPr>
          <w:p w14:paraId="6BCBD87F" w14:textId="77777777" w:rsidR="00F65CB6" w:rsidRPr="00F65CB6" w:rsidRDefault="00F65CB6" w:rsidP="00F65CB6">
            <w:pPr>
              <w:spacing w:after="0" w:line="240" w:lineRule="auto"/>
              <w:rPr>
                <w:rFonts w:asciiTheme="majorHAnsi" w:eastAsia="Times New Roman" w:hAnsiTheme="majorHAnsi" w:cs="Calibri"/>
                <w:b/>
                <w:bCs/>
                <w:color w:val="FFFFFF"/>
                <w:sz w:val="20"/>
                <w:szCs w:val="20"/>
                <w:lang w:eastAsia="en-US"/>
              </w:rPr>
            </w:pPr>
            <w:r w:rsidRPr="00F65CB6">
              <w:rPr>
                <w:rFonts w:asciiTheme="majorHAnsi" w:eastAsia="Times New Roman" w:hAnsiTheme="majorHAnsi" w:cs="Calibri"/>
                <w:b/>
                <w:bCs/>
                <w:color w:val="FFFFFF"/>
                <w:sz w:val="20"/>
                <w:szCs w:val="20"/>
                <w:lang w:eastAsia="en-US"/>
              </w:rPr>
              <w:t>Savings Category</w:t>
            </w:r>
          </w:p>
        </w:tc>
        <w:tc>
          <w:tcPr>
            <w:tcW w:w="2156" w:type="pct"/>
            <w:tcBorders>
              <w:top w:val="nil"/>
              <w:left w:val="nil"/>
              <w:bottom w:val="single" w:sz="12" w:space="0" w:color="93D500"/>
              <w:right w:val="nil"/>
            </w:tcBorders>
            <w:shd w:val="clear" w:color="000000" w:fill="036479"/>
            <w:vAlign w:val="center"/>
            <w:hideMark/>
          </w:tcPr>
          <w:p w14:paraId="063D6A9D" w14:textId="77777777" w:rsidR="00F65CB6" w:rsidRPr="00F65CB6" w:rsidRDefault="00F65CB6" w:rsidP="00F65CB6">
            <w:pPr>
              <w:spacing w:after="0" w:line="240" w:lineRule="auto"/>
              <w:jc w:val="right"/>
              <w:rPr>
                <w:rFonts w:asciiTheme="majorHAnsi" w:eastAsia="Times New Roman" w:hAnsiTheme="majorHAnsi" w:cs="Calibri"/>
                <w:b/>
                <w:bCs/>
                <w:color w:val="FFFFFF"/>
                <w:sz w:val="20"/>
                <w:szCs w:val="20"/>
                <w:lang w:eastAsia="en-US"/>
              </w:rPr>
            </w:pPr>
            <w:r w:rsidRPr="00F65CB6">
              <w:rPr>
                <w:rFonts w:asciiTheme="majorHAnsi" w:eastAsia="Times New Roman" w:hAnsiTheme="majorHAnsi" w:cs="Calibri"/>
                <w:b/>
                <w:bCs/>
                <w:color w:val="FFFFFF"/>
                <w:sz w:val="20"/>
                <w:szCs w:val="20"/>
                <w:lang w:eastAsia="en-US"/>
              </w:rPr>
              <w:t>Wave 4 (202402)</w:t>
            </w:r>
          </w:p>
        </w:tc>
      </w:tr>
      <w:tr w:rsidR="00F65CB6" w:rsidRPr="00F65CB6" w14:paraId="56A56DEB" w14:textId="77777777" w:rsidTr="001209C5">
        <w:trPr>
          <w:trHeight w:val="360"/>
          <w:jc w:val="center"/>
        </w:trPr>
        <w:tc>
          <w:tcPr>
            <w:tcW w:w="2844" w:type="pct"/>
            <w:tcBorders>
              <w:top w:val="nil"/>
              <w:left w:val="nil"/>
              <w:bottom w:val="single" w:sz="8" w:space="0" w:color="B3EFFD"/>
              <w:right w:val="nil"/>
            </w:tcBorders>
            <w:noWrap/>
            <w:vAlign w:val="center"/>
            <w:hideMark/>
          </w:tcPr>
          <w:p w14:paraId="2C0677C3"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Treatment Customer Count*</w:t>
            </w:r>
          </w:p>
        </w:tc>
        <w:tc>
          <w:tcPr>
            <w:tcW w:w="2156" w:type="pct"/>
            <w:tcBorders>
              <w:top w:val="nil"/>
              <w:left w:val="nil"/>
              <w:bottom w:val="single" w:sz="8" w:space="0" w:color="B3EFFD"/>
              <w:right w:val="nil"/>
            </w:tcBorders>
            <w:vAlign w:val="center"/>
            <w:hideMark/>
          </w:tcPr>
          <w:p w14:paraId="0F2D4464" w14:textId="2904DB01"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7</w:t>
            </w:r>
            <w:r w:rsidR="007D3F48">
              <w:rPr>
                <w:rFonts w:eastAsia="Times New Roman" w:cs="Calibri"/>
                <w:color w:val="000000"/>
                <w:szCs w:val="22"/>
                <w:lang w:eastAsia="en-US"/>
              </w:rPr>
              <w:t>4,065</w:t>
            </w:r>
          </w:p>
        </w:tc>
      </w:tr>
      <w:tr w:rsidR="00F65CB6" w:rsidRPr="00F65CB6" w14:paraId="656969FF"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2376B60D"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Control Customer Count*</w:t>
            </w:r>
          </w:p>
        </w:tc>
        <w:tc>
          <w:tcPr>
            <w:tcW w:w="2156" w:type="pct"/>
            <w:tcBorders>
              <w:top w:val="nil"/>
              <w:left w:val="nil"/>
              <w:bottom w:val="single" w:sz="8" w:space="0" w:color="B3EFFD"/>
              <w:right w:val="nil"/>
            </w:tcBorders>
            <w:shd w:val="clear" w:color="000000" w:fill="FFFFFF"/>
            <w:vAlign w:val="center"/>
            <w:hideMark/>
          </w:tcPr>
          <w:p w14:paraId="1C32D6DC" w14:textId="092A93A6"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2</w:t>
            </w:r>
            <w:r w:rsidR="007D3F48">
              <w:rPr>
                <w:rFonts w:eastAsia="Times New Roman" w:cs="Calibri"/>
                <w:color w:val="000000"/>
                <w:szCs w:val="22"/>
                <w:lang w:eastAsia="en-US"/>
              </w:rPr>
              <w:t>3</w:t>
            </w:r>
            <w:r w:rsidRPr="00F65CB6">
              <w:rPr>
                <w:rFonts w:eastAsia="Times New Roman" w:cs="Calibri"/>
                <w:color w:val="000000"/>
                <w:szCs w:val="22"/>
                <w:lang w:eastAsia="en-US"/>
              </w:rPr>
              <w:t>,</w:t>
            </w:r>
            <w:r w:rsidR="007D3F48">
              <w:rPr>
                <w:rFonts w:eastAsia="Times New Roman" w:cs="Calibri"/>
                <w:color w:val="000000"/>
                <w:szCs w:val="22"/>
                <w:lang w:eastAsia="en-US"/>
              </w:rPr>
              <w:t>501</w:t>
            </w:r>
          </w:p>
        </w:tc>
      </w:tr>
      <w:tr w:rsidR="00F65CB6" w:rsidRPr="00F65CB6" w14:paraId="6D087C36" w14:textId="77777777" w:rsidTr="001209C5">
        <w:trPr>
          <w:trHeight w:val="345"/>
          <w:jc w:val="center"/>
        </w:trPr>
        <w:tc>
          <w:tcPr>
            <w:tcW w:w="2844" w:type="pct"/>
            <w:tcBorders>
              <w:top w:val="nil"/>
              <w:left w:val="nil"/>
              <w:bottom w:val="single" w:sz="8" w:space="0" w:color="B3EFFD"/>
              <w:right w:val="nil"/>
            </w:tcBorders>
            <w:noWrap/>
            <w:vAlign w:val="center"/>
            <w:hideMark/>
          </w:tcPr>
          <w:p w14:paraId="18143EB2"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Percent Savings</w:t>
            </w:r>
          </w:p>
        </w:tc>
        <w:tc>
          <w:tcPr>
            <w:tcW w:w="2156" w:type="pct"/>
            <w:tcBorders>
              <w:top w:val="nil"/>
              <w:left w:val="nil"/>
              <w:bottom w:val="single" w:sz="8" w:space="0" w:color="B3EFFD"/>
              <w:right w:val="nil"/>
            </w:tcBorders>
            <w:vAlign w:val="center"/>
            <w:hideMark/>
          </w:tcPr>
          <w:p w14:paraId="5BB5EB15"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0.31%</w:t>
            </w:r>
          </w:p>
        </w:tc>
      </w:tr>
      <w:tr w:rsidR="00F65CB6" w:rsidRPr="00F65CB6" w14:paraId="1B681464"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79921FEC" w14:textId="77777777" w:rsidR="00F65CB6" w:rsidRPr="00F65CB6" w:rsidRDefault="00F65CB6" w:rsidP="00F65CB6">
            <w:pPr>
              <w:spacing w:after="0" w:line="240" w:lineRule="auto"/>
              <w:rPr>
                <w:rFonts w:eastAsia="Times New Roman" w:cs="Calibri"/>
                <w:i/>
                <w:iCs/>
                <w:color w:val="000000"/>
                <w:sz w:val="20"/>
                <w:szCs w:val="20"/>
                <w:lang w:eastAsia="en-US"/>
              </w:rPr>
            </w:pPr>
            <w:r w:rsidRPr="00F65CB6">
              <w:rPr>
                <w:rFonts w:eastAsia="Times New Roman" w:cs="Calibri"/>
                <w:i/>
                <w:iCs/>
                <w:color w:val="000000"/>
                <w:sz w:val="20"/>
                <w:szCs w:val="20"/>
                <w:lang w:eastAsia="en-US"/>
              </w:rPr>
              <w:t>Percent Savings Std. Err.</w:t>
            </w:r>
          </w:p>
        </w:tc>
        <w:tc>
          <w:tcPr>
            <w:tcW w:w="2156" w:type="pct"/>
            <w:tcBorders>
              <w:top w:val="nil"/>
              <w:left w:val="nil"/>
              <w:bottom w:val="single" w:sz="8" w:space="0" w:color="B3EFFD"/>
              <w:right w:val="nil"/>
            </w:tcBorders>
            <w:shd w:val="clear" w:color="000000" w:fill="FFFFFF"/>
            <w:vAlign w:val="center"/>
            <w:hideMark/>
          </w:tcPr>
          <w:p w14:paraId="75DF87C2"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0.12%</w:t>
            </w:r>
          </w:p>
        </w:tc>
      </w:tr>
      <w:tr w:rsidR="00F65CB6" w:rsidRPr="00F65CB6" w14:paraId="2A1F50C0" w14:textId="77777777" w:rsidTr="001209C5">
        <w:trPr>
          <w:trHeight w:val="345"/>
          <w:jc w:val="center"/>
        </w:trPr>
        <w:tc>
          <w:tcPr>
            <w:tcW w:w="2844" w:type="pct"/>
            <w:tcBorders>
              <w:top w:val="nil"/>
              <w:left w:val="nil"/>
              <w:bottom w:val="single" w:sz="8" w:space="0" w:color="B3EFFD"/>
              <w:right w:val="nil"/>
            </w:tcBorders>
            <w:noWrap/>
            <w:vAlign w:val="center"/>
            <w:hideMark/>
          </w:tcPr>
          <w:p w14:paraId="02E2FE00"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Annualized Customer Savings, therms†</w:t>
            </w:r>
          </w:p>
        </w:tc>
        <w:tc>
          <w:tcPr>
            <w:tcW w:w="2156" w:type="pct"/>
            <w:tcBorders>
              <w:top w:val="nil"/>
              <w:left w:val="nil"/>
              <w:bottom w:val="single" w:sz="8" w:space="0" w:color="B3EFFD"/>
              <w:right w:val="nil"/>
            </w:tcBorders>
            <w:vAlign w:val="center"/>
            <w:hideMark/>
          </w:tcPr>
          <w:p w14:paraId="5936E5EB"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5.92</w:t>
            </w:r>
          </w:p>
        </w:tc>
      </w:tr>
      <w:tr w:rsidR="00F65CB6" w:rsidRPr="00F65CB6" w14:paraId="6D4B7A6C"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0E69A135" w14:textId="77777777" w:rsidR="00F65CB6" w:rsidRPr="00F65CB6" w:rsidRDefault="00F65CB6" w:rsidP="00F65CB6">
            <w:pPr>
              <w:spacing w:after="0" w:line="240" w:lineRule="auto"/>
              <w:rPr>
                <w:rFonts w:eastAsia="Times New Roman" w:cs="Calibri"/>
                <w:i/>
                <w:iCs/>
                <w:color w:val="000000"/>
                <w:sz w:val="20"/>
                <w:szCs w:val="20"/>
                <w:lang w:eastAsia="en-US"/>
              </w:rPr>
            </w:pPr>
            <w:r w:rsidRPr="00F65CB6">
              <w:rPr>
                <w:rFonts w:eastAsia="Times New Roman" w:cs="Calibri"/>
                <w:i/>
                <w:iCs/>
                <w:color w:val="000000"/>
                <w:sz w:val="20"/>
                <w:szCs w:val="20"/>
                <w:lang w:eastAsia="en-US"/>
              </w:rPr>
              <w:t>Annualized Customer Savings Std. Err.</w:t>
            </w:r>
          </w:p>
        </w:tc>
        <w:tc>
          <w:tcPr>
            <w:tcW w:w="2156" w:type="pct"/>
            <w:tcBorders>
              <w:top w:val="nil"/>
              <w:left w:val="nil"/>
              <w:bottom w:val="single" w:sz="8" w:space="0" w:color="B3EFFD"/>
              <w:right w:val="nil"/>
            </w:tcBorders>
            <w:shd w:val="clear" w:color="000000" w:fill="FFFFFF"/>
            <w:vAlign w:val="center"/>
            <w:hideMark/>
          </w:tcPr>
          <w:p w14:paraId="055A1E5D"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2.17</w:t>
            </w:r>
          </w:p>
        </w:tc>
      </w:tr>
      <w:tr w:rsidR="00F65CB6" w:rsidRPr="00F65CB6" w14:paraId="351639C3" w14:textId="77777777" w:rsidTr="001209C5">
        <w:trPr>
          <w:trHeight w:val="345"/>
          <w:jc w:val="center"/>
        </w:trPr>
        <w:tc>
          <w:tcPr>
            <w:tcW w:w="2844" w:type="pct"/>
            <w:tcBorders>
              <w:top w:val="nil"/>
              <w:left w:val="nil"/>
              <w:bottom w:val="single" w:sz="8" w:space="0" w:color="B3EFFD"/>
              <w:right w:val="nil"/>
            </w:tcBorders>
            <w:noWrap/>
            <w:vAlign w:val="center"/>
            <w:hideMark/>
          </w:tcPr>
          <w:p w14:paraId="03A47A9F"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Net Savings Prior to Uplift, therms</w:t>
            </w:r>
          </w:p>
        </w:tc>
        <w:tc>
          <w:tcPr>
            <w:tcW w:w="2156" w:type="pct"/>
            <w:tcBorders>
              <w:top w:val="nil"/>
              <w:left w:val="nil"/>
              <w:bottom w:val="single" w:sz="8" w:space="0" w:color="B3EFFD"/>
              <w:right w:val="nil"/>
            </w:tcBorders>
            <w:vAlign w:val="center"/>
            <w:hideMark/>
          </w:tcPr>
          <w:p w14:paraId="5800E320"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427,255</w:t>
            </w:r>
          </w:p>
        </w:tc>
      </w:tr>
      <w:tr w:rsidR="00F65CB6" w:rsidRPr="00F65CB6" w14:paraId="397C4135"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30B2C056" w14:textId="77777777" w:rsidR="00F65CB6" w:rsidRPr="00F65CB6" w:rsidRDefault="00F65CB6" w:rsidP="00F65CB6">
            <w:pPr>
              <w:spacing w:after="0" w:line="240" w:lineRule="auto"/>
              <w:rPr>
                <w:rFonts w:eastAsia="Times New Roman" w:cs="Calibri"/>
                <w:i/>
                <w:iCs/>
                <w:color w:val="000000"/>
                <w:sz w:val="20"/>
                <w:szCs w:val="20"/>
                <w:lang w:eastAsia="en-US"/>
              </w:rPr>
            </w:pPr>
            <w:r w:rsidRPr="00F65CB6">
              <w:rPr>
                <w:rFonts w:eastAsia="Times New Roman" w:cs="Calibri"/>
                <w:i/>
                <w:iCs/>
                <w:color w:val="000000"/>
                <w:sz w:val="20"/>
                <w:szCs w:val="20"/>
                <w:lang w:eastAsia="en-US"/>
              </w:rPr>
              <w:t>Net Savings Std. Err.</w:t>
            </w:r>
          </w:p>
        </w:tc>
        <w:tc>
          <w:tcPr>
            <w:tcW w:w="2156" w:type="pct"/>
            <w:tcBorders>
              <w:top w:val="nil"/>
              <w:left w:val="nil"/>
              <w:bottom w:val="single" w:sz="8" w:space="0" w:color="B3EFFD"/>
              <w:right w:val="nil"/>
            </w:tcBorders>
            <w:shd w:val="clear" w:color="000000" w:fill="FFFFFF"/>
            <w:vAlign w:val="center"/>
            <w:hideMark/>
          </w:tcPr>
          <w:p w14:paraId="54897C8E"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156,736</w:t>
            </w:r>
          </w:p>
        </w:tc>
      </w:tr>
      <w:tr w:rsidR="00F65CB6" w:rsidRPr="00F65CB6" w14:paraId="6CA0FC55" w14:textId="77777777" w:rsidTr="001209C5">
        <w:trPr>
          <w:trHeight w:val="345"/>
          <w:jc w:val="center"/>
        </w:trPr>
        <w:tc>
          <w:tcPr>
            <w:tcW w:w="2844" w:type="pct"/>
            <w:tcBorders>
              <w:top w:val="nil"/>
              <w:left w:val="nil"/>
              <w:bottom w:val="single" w:sz="8" w:space="0" w:color="B3EFFD"/>
              <w:right w:val="nil"/>
            </w:tcBorders>
            <w:noWrap/>
            <w:vAlign w:val="center"/>
            <w:hideMark/>
          </w:tcPr>
          <w:p w14:paraId="6EDE5E20"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2025 Uplift, therms‡</w:t>
            </w:r>
          </w:p>
        </w:tc>
        <w:tc>
          <w:tcPr>
            <w:tcW w:w="2156" w:type="pct"/>
            <w:tcBorders>
              <w:top w:val="nil"/>
              <w:left w:val="nil"/>
              <w:bottom w:val="single" w:sz="8" w:space="0" w:color="B3EFFD"/>
              <w:right w:val="nil"/>
            </w:tcBorders>
            <w:vAlign w:val="center"/>
            <w:hideMark/>
          </w:tcPr>
          <w:p w14:paraId="63CDE397"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5,784</w:t>
            </w:r>
          </w:p>
        </w:tc>
      </w:tr>
      <w:tr w:rsidR="00F65CB6" w:rsidRPr="00F65CB6" w14:paraId="142F80F3"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76FD38F8"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Legacy Uplift, therms‡</w:t>
            </w:r>
          </w:p>
        </w:tc>
        <w:tc>
          <w:tcPr>
            <w:tcW w:w="2156" w:type="pct"/>
            <w:tcBorders>
              <w:top w:val="nil"/>
              <w:left w:val="nil"/>
              <w:bottom w:val="single" w:sz="8" w:space="0" w:color="B3EFFD"/>
              <w:right w:val="nil"/>
            </w:tcBorders>
            <w:shd w:val="clear" w:color="000000" w:fill="FFFFFF"/>
            <w:vAlign w:val="center"/>
            <w:hideMark/>
          </w:tcPr>
          <w:p w14:paraId="6B7F781A"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 xml:space="preserve">         16,592 </w:t>
            </w:r>
          </w:p>
        </w:tc>
      </w:tr>
      <w:tr w:rsidR="00F65CB6" w:rsidRPr="00F65CB6" w14:paraId="2C7A92CE" w14:textId="77777777" w:rsidTr="001209C5">
        <w:trPr>
          <w:trHeight w:val="345"/>
          <w:jc w:val="center"/>
        </w:trPr>
        <w:tc>
          <w:tcPr>
            <w:tcW w:w="2844" w:type="pct"/>
            <w:tcBorders>
              <w:top w:val="nil"/>
              <w:left w:val="nil"/>
              <w:bottom w:val="single" w:sz="8" w:space="0" w:color="B3EFFD"/>
              <w:right w:val="nil"/>
            </w:tcBorders>
            <w:noWrap/>
            <w:vAlign w:val="center"/>
            <w:hideMark/>
          </w:tcPr>
          <w:p w14:paraId="7D72955C"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2025 Custom Savings Calculation</w:t>
            </w:r>
          </w:p>
        </w:tc>
        <w:tc>
          <w:tcPr>
            <w:tcW w:w="2156" w:type="pct"/>
            <w:tcBorders>
              <w:top w:val="nil"/>
              <w:left w:val="nil"/>
              <w:bottom w:val="single" w:sz="8" w:space="0" w:color="B3EFFD"/>
              <w:right w:val="nil"/>
            </w:tcBorders>
            <w:vAlign w:val="center"/>
            <w:hideMark/>
          </w:tcPr>
          <w:p w14:paraId="2FD8D545"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404,878</w:t>
            </w:r>
          </w:p>
        </w:tc>
      </w:tr>
      <w:tr w:rsidR="00F65CB6" w:rsidRPr="00F65CB6" w14:paraId="405B17A4" w14:textId="77777777" w:rsidTr="001209C5">
        <w:trPr>
          <w:trHeight w:val="345"/>
          <w:jc w:val="center"/>
        </w:trPr>
        <w:tc>
          <w:tcPr>
            <w:tcW w:w="2844" w:type="pct"/>
            <w:tcBorders>
              <w:top w:val="nil"/>
              <w:left w:val="nil"/>
              <w:bottom w:val="single" w:sz="8" w:space="0" w:color="B3EFFD"/>
              <w:right w:val="nil"/>
            </w:tcBorders>
            <w:shd w:val="clear" w:color="000000" w:fill="FFFFFF"/>
            <w:noWrap/>
            <w:vAlign w:val="center"/>
            <w:hideMark/>
          </w:tcPr>
          <w:p w14:paraId="755EC166"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Savings Attributed to Prior Years§</w:t>
            </w:r>
          </w:p>
        </w:tc>
        <w:tc>
          <w:tcPr>
            <w:tcW w:w="2156" w:type="pct"/>
            <w:tcBorders>
              <w:top w:val="nil"/>
              <w:left w:val="nil"/>
              <w:bottom w:val="single" w:sz="8" w:space="0" w:color="B3EFFD"/>
              <w:right w:val="nil"/>
            </w:tcBorders>
            <w:shd w:val="clear" w:color="000000" w:fill="FFFFFF"/>
            <w:vAlign w:val="center"/>
            <w:hideMark/>
          </w:tcPr>
          <w:p w14:paraId="4F2E5AB8"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 xml:space="preserve">       110,865 </w:t>
            </w:r>
          </w:p>
        </w:tc>
      </w:tr>
      <w:tr w:rsidR="00F65CB6" w:rsidRPr="00F65CB6" w14:paraId="102519F6" w14:textId="77777777" w:rsidTr="001209C5">
        <w:trPr>
          <w:trHeight w:val="345"/>
          <w:jc w:val="center"/>
        </w:trPr>
        <w:tc>
          <w:tcPr>
            <w:tcW w:w="2844" w:type="pct"/>
            <w:tcBorders>
              <w:top w:val="nil"/>
              <w:left w:val="nil"/>
              <w:bottom w:val="single" w:sz="8" w:space="0" w:color="036479"/>
              <w:right w:val="nil"/>
            </w:tcBorders>
            <w:noWrap/>
            <w:vAlign w:val="center"/>
            <w:hideMark/>
          </w:tcPr>
          <w:p w14:paraId="01A6BD68" w14:textId="77777777" w:rsidR="00F65CB6" w:rsidRPr="00F65CB6" w:rsidRDefault="00F65CB6" w:rsidP="00F65CB6">
            <w:pPr>
              <w:spacing w:after="0" w:line="240" w:lineRule="auto"/>
              <w:rPr>
                <w:rFonts w:eastAsia="Times New Roman" w:cs="Calibri"/>
                <w:color w:val="000000"/>
                <w:sz w:val="20"/>
                <w:szCs w:val="20"/>
                <w:lang w:eastAsia="en-US"/>
              </w:rPr>
            </w:pPr>
            <w:r w:rsidRPr="00F65CB6">
              <w:rPr>
                <w:rFonts w:eastAsia="Times New Roman" w:cs="Calibri"/>
                <w:color w:val="000000"/>
                <w:sz w:val="20"/>
                <w:szCs w:val="20"/>
                <w:lang w:eastAsia="en-US"/>
              </w:rPr>
              <w:t>Verified Adjusted Savings, therms||</w:t>
            </w:r>
          </w:p>
        </w:tc>
        <w:tc>
          <w:tcPr>
            <w:tcW w:w="2156" w:type="pct"/>
            <w:tcBorders>
              <w:top w:val="nil"/>
              <w:left w:val="nil"/>
              <w:bottom w:val="single" w:sz="8" w:space="0" w:color="036479"/>
              <w:right w:val="nil"/>
            </w:tcBorders>
            <w:vAlign w:val="center"/>
            <w:hideMark/>
          </w:tcPr>
          <w:p w14:paraId="74BCF58D" w14:textId="77777777" w:rsidR="00F65CB6" w:rsidRPr="00F65CB6" w:rsidRDefault="00F65CB6" w:rsidP="00F65CB6">
            <w:pPr>
              <w:spacing w:after="0" w:line="240" w:lineRule="auto"/>
              <w:jc w:val="right"/>
              <w:rPr>
                <w:rFonts w:eastAsia="Times New Roman" w:cs="Calibri"/>
                <w:color w:val="000000"/>
                <w:szCs w:val="22"/>
                <w:lang w:eastAsia="en-US"/>
              </w:rPr>
            </w:pPr>
            <w:r w:rsidRPr="00F65CB6">
              <w:rPr>
                <w:rFonts w:eastAsia="Times New Roman" w:cs="Calibri"/>
                <w:color w:val="000000"/>
                <w:szCs w:val="22"/>
                <w:lang w:eastAsia="en-US"/>
              </w:rPr>
              <w:t>294,013</w:t>
            </w:r>
          </w:p>
        </w:tc>
      </w:tr>
    </w:tbl>
    <w:p w14:paraId="4A2D9379" w14:textId="77777777" w:rsidR="00F65CB6" w:rsidRPr="00261159" w:rsidRDefault="00F65CB6" w:rsidP="00F65CB6">
      <w:pPr>
        <w:keepNext/>
        <w:spacing w:after="0"/>
        <w:rPr>
          <w:i/>
          <w:iCs/>
          <w:sz w:val="18"/>
          <w:szCs w:val="18"/>
        </w:rPr>
      </w:pPr>
      <w:r w:rsidRPr="00261159">
        <w:rPr>
          <w:i/>
          <w:iCs/>
          <w:sz w:val="18"/>
          <w:szCs w:val="18"/>
        </w:rPr>
        <w:t>* These counts are for active customers at the beginning of the evaluation period.</w:t>
      </w:r>
    </w:p>
    <w:p w14:paraId="517F6664" w14:textId="77777777" w:rsidR="00F65CB6" w:rsidRPr="00261159" w:rsidRDefault="00F65CB6" w:rsidP="00F65CB6">
      <w:pPr>
        <w:spacing w:after="0"/>
        <w:rPr>
          <w:i/>
          <w:iCs/>
          <w:sz w:val="18"/>
          <w:szCs w:val="18"/>
        </w:rPr>
      </w:pPr>
      <w:r w:rsidRPr="00261159">
        <w:rPr>
          <w:i/>
          <w:iCs/>
          <w:sz w:val="18"/>
          <w:szCs w:val="18"/>
        </w:rPr>
        <w:t>† Annualized savings are average daily savings multiplied by 365, however, total savings are pro-rated for participants that closed their accounts during the evaluation period.</w:t>
      </w:r>
    </w:p>
    <w:p w14:paraId="1F87F793" w14:textId="77777777" w:rsidR="00F65CB6" w:rsidRPr="00261159" w:rsidRDefault="00F65CB6" w:rsidP="00F65CB6">
      <w:pPr>
        <w:spacing w:after="0"/>
        <w:rPr>
          <w:i/>
          <w:iCs/>
          <w:sz w:val="18"/>
          <w:szCs w:val="18"/>
        </w:rPr>
      </w:pPr>
      <w:r w:rsidRPr="00261159">
        <w:rPr>
          <w:i/>
          <w:iCs/>
          <w:sz w:val="18"/>
          <w:szCs w:val="18"/>
        </w:rPr>
        <w:t xml:space="preserve">‡ No adjustment was made to total savings for negative </w:t>
      </w:r>
      <w:proofErr w:type="gramStart"/>
      <w:r w:rsidRPr="00261159">
        <w:rPr>
          <w:i/>
          <w:iCs/>
          <w:sz w:val="18"/>
          <w:szCs w:val="18"/>
        </w:rPr>
        <w:t>uplift</w:t>
      </w:r>
      <w:proofErr w:type="gramEnd"/>
      <w:r w:rsidRPr="00261159">
        <w:rPr>
          <w:i/>
          <w:iCs/>
          <w:sz w:val="18"/>
          <w:szCs w:val="18"/>
        </w:rPr>
        <w:t>, (i.e., cases where the HER Program decreased participation in other programs).</w:t>
      </w:r>
    </w:p>
    <w:p w14:paraId="3E3195CC" w14:textId="24B32812" w:rsidR="00F65CB6" w:rsidRPr="00261159" w:rsidRDefault="00F65CB6" w:rsidP="00F65CB6">
      <w:pPr>
        <w:spacing w:after="0"/>
        <w:rPr>
          <w:i/>
          <w:iCs/>
          <w:sz w:val="18"/>
          <w:szCs w:val="18"/>
        </w:rPr>
      </w:pPr>
      <w:r w:rsidRPr="00261159">
        <w:rPr>
          <w:i/>
          <w:iCs/>
          <w:sz w:val="18"/>
          <w:szCs w:val="18"/>
        </w:rPr>
        <w:t xml:space="preserve">§ Savings attributed to prior years are those deducted for persistence from 2024 within the IL-TRM framework. </w:t>
      </w:r>
    </w:p>
    <w:p w14:paraId="0F4C9352" w14:textId="4A658240" w:rsidR="00F65CB6" w:rsidRPr="00261159" w:rsidRDefault="00F65CB6" w:rsidP="00F65CB6">
      <w:pPr>
        <w:spacing w:after="0"/>
        <w:rPr>
          <w:i/>
          <w:iCs/>
          <w:sz w:val="18"/>
          <w:szCs w:val="18"/>
        </w:rPr>
      </w:pPr>
      <w:r w:rsidRPr="00261159">
        <w:rPr>
          <w:rFonts w:cs="Tahoma"/>
          <w:i/>
          <w:iCs/>
          <w:color w:val="4C4C4C"/>
          <w:sz w:val="18"/>
          <w:szCs w:val="18"/>
          <w:shd w:val="clear" w:color="auto" w:fill="FFFFFF"/>
        </w:rPr>
        <w:t>||</w:t>
      </w:r>
      <w:r w:rsidRPr="00261159">
        <w:rPr>
          <w:i/>
          <w:iCs/>
          <w:sz w:val="18"/>
          <w:szCs w:val="18"/>
        </w:rPr>
        <w:t xml:space="preserve"> Verified Net Savings are equal to Net Savings, Prior to Uplift less 2025 Uplift, Legacy Uplift, and Savings Attributed to Prior Years.</w:t>
      </w:r>
    </w:p>
    <w:p w14:paraId="19697596" w14:textId="269D72A4" w:rsidR="00F65CB6" w:rsidRPr="00261159" w:rsidRDefault="00F65CB6" w:rsidP="00F65CB6">
      <w:pPr>
        <w:spacing w:after="0"/>
        <w:rPr>
          <w:i/>
          <w:iCs/>
          <w:sz w:val="18"/>
          <w:szCs w:val="18"/>
        </w:rPr>
        <w:sectPr w:rsidR="00F65CB6" w:rsidRPr="00261159" w:rsidSect="004257D7">
          <w:pgSz w:w="12240" w:h="15840" w:code="1"/>
          <w:pgMar w:top="1440" w:right="1440" w:bottom="1440" w:left="1440" w:header="720" w:footer="720" w:gutter="0"/>
          <w:pgNumType w:chapStyle="5"/>
          <w:cols w:space="720"/>
          <w:docGrid w:linePitch="360"/>
        </w:sectPr>
      </w:pPr>
      <w:r w:rsidRPr="00261159">
        <w:rPr>
          <w:i/>
          <w:iCs/>
          <w:color w:val="000000" w:themeColor="text1"/>
          <w:sz w:val="18"/>
          <w:szCs w:val="18"/>
        </w:rPr>
        <w:t>Source: Guidehouse analysis of Nicor Gas program tracking and customer billing data.</w:t>
      </w:r>
    </w:p>
    <w:p w14:paraId="621DDBA9" w14:textId="77777777" w:rsidR="00F65CB6" w:rsidRPr="00AC3905" w:rsidRDefault="00F65CB6" w:rsidP="009271F3">
      <w:pPr>
        <w:keepNext/>
        <w:keepLines/>
        <w:numPr>
          <w:ilvl w:val="5"/>
          <w:numId w:val="0"/>
        </w:numPr>
        <w:spacing w:before="240" w:after="240"/>
        <w:outlineLvl w:val="5"/>
        <w:rPr>
          <w:rFonts w:cs="Arial"/>
          <w:b/>
          <w:iCs/>
          <w:kern w:val="28"/>
          <w:position w:val="6"/>
          <w:sz w:val="28"/>
          <w:szCs w:val="26"/>
        </w:rPr>
      </w:pPr>
      <w:bookmarkStart w:id="94" w:name="_Toc110421334"/>
      <w:bookmarkStart w:id="95" w:name="_Toc132900794"/>
      <w:bookmarkStart w:id="96" w:name="_Toc137824766"/>
      <w:bookmarkStart w:id="97" w:name="_Toc172553800"/>
      <w:r w:rsidRPr="00AC3905">
        <w:rPr>
          <w:rFonts w:cs="Arial"/>
          <w:b/>
          <w:iCs/>
          <w:kern w:val="28"/>
          <w:position w:val="6"/>
          <w:sz w:val="28"/>
          <w:szCs w:val="26"/>
        </w:rPr>
        <w:lastRenderedPageBreak/>
        <w:t>Uplift Analysis Results</w:t>
      </w:r>
      <w:bookmarkEnd w:id="94"/>
      <w:bookmarkEnd w:id="95"/>
      <w:bookmarkEnd w:id="96"/>
      <w:bookmarkEnd w:id="97"/>
    </w:p>
    <w:p w14:paraId="2E80C2D4" w14:textId="531A31F4" w:rsidR="00F65CB6" w:rsidRPr="00AC3905" w:rsidRDefault="00F65CB6" w:rsidP="00F65CB6">
      <w:pPr>
        <w:spacing w:after="240"/>
        <w:rPr>
          <w:szCs w:val="20"/>
        </w:rPr>
      </w:pPr>
      <w:r w:rsidRPr="00AC3905">
        <w:rPr>
          <w:szCs w:val="20"/>
        </w:rPr>
        <w:t>This section summarizes 202</w:t>
      </w:r>
      <w:r>
        <w:rPr>
          <w:szCs w:val="20"/>
        </w:rPr>
        <w:t>5</w:t>
      </w:r>
      <w:r w:rsidRPr="00AC3905">
        <w:rPr>
          <w:szCs w:val="20"/>
        </w:rPr>
        <w:t xml:space="preserve"> uplift results. The uplift of savings in other EE programs was </w:t>
      </w:r>
      <w:r w:rsidR="007F17D8">
        <w:rPr>
          <w:szCs w:val="20"/>
        </w:rPr>
        <w:t>22</w:t>
      </w:r>
      <w:r w:rsidRPr="00AC3905">
        <w:rPr>
          <w:szCs w:val="20"/>
        </w:rPr>
        <w:t>,</w:t>
      </w:r>
      <w:r w:rsidR="007F17D8">
        <w:rPr>
          <w:szCs w:val="20"/>
        </w:rPr>
        <w:t>377</w:t>
      </w:r>
      <w:r w:rsidRPr="00AC3905">
        <w:rPr>
          <w:szCs w:val="20"/>
        </w:rPr>
        <w:t xml:space="preserve"> </w:t>
      </w:r>
      <w:proofErr w:type="gramStart"/>
      <w:r w:rsidRPr="00AC3905">
        <w:rPr>
          <w:szCs w:val="20"/>
        </w:rPr>
        <w:t>therms</w:t>
      </w:r>
      <w:proofErr w:type="gramEnd"/>
      <w:r w:rsidRPr="00AC3905">
        <w:rPr>
          <w:szCs w:val="20"/>
        </w:rPr>
        <w:t xml:space="preserve">, or approximately </w:t>
      </w:r>
      <w:r w:rsidR="007F17D8">
        <w:rPr>
          <w:szCs w:val="20"/>
        </w:rPr>
        <w:t>5</w:t>
      </w:r>
      <w:r w:rsidRPr="00AC3905">
        <w:rPr>
          <w:szCs w:val="20"/>
        </w:rPr>
        <w:t>% of total savings. The uplift can be broken down into uplift in 202</w:t>
      </w:r>
      <w:r w:rsidR="007F17D8">
        <w:rPr>
          <w:szCs w:val="20"/>
        </w:rPr>
        <w:t>5</w:t>
      </w:r>
      <w:r w:rsidRPr="00AC3905">
        <w:rPr>
          <w:szCs w:val="20"/>
        </w:rPr>
        <w:t xml:space="preserve"> and legacy uplift from previous program years. The 202</w:t>
      </w:r>
      <w:r w:rsidR="007F17D8">
        <w:rPr>
          <w:szCs w:val="20"/>
        </w:rPr>
        <w:t>5</w:t>
      </w:r>
      <w:r w:rsidRPr="00AC3905">
        <w:rPr>
          <w:szCs w:val="20"/>
        </w:rPr>
        <w:t xml:space="preserve"> uplift was </w:t>
      </w:r>
      <w:r w:rsidR="007F17D8">
        <w:rPr>
          <w:szCs w:val="20"/>
        </w:rPr>
        <w:t>5</w:t>
      </w:r>
      <w:r w:rsidRPr="00AC3905">
        <w:rPr>
          <w:szCs w:val="20"/>
        </w:rPr>
        <w:t>,</w:t>
      </w:r>
      <w:r w:rsidR="007F17D8">
        <w:rPr>
          <w:szCs w:val="20"/>
        </w:rPr>
        <w:t>784</w:t>
      </w:r>
      <w:r w:rsidRPr="00AC3905">
        <w:rPr>
          <w:szCs w:val="20"/>
        </w:rPr>
        <w:t xml:space="preserve"> therms or </w:t>
      </w:r>
      <w:r>
        <w:rPr>
          <w:szCs w:val="20"/>
        </w:rPr>
        <w:t>1</w:t>
      </w:r>
      <w:r w:rsidRPr="00AC3905">
        <w:rPr>
          <w:szCs w:val="20"/>
        </w:rPr>
        <w:t xml:space="preserve">% of total program savings, and the legacy uplift was </w:t>
      </w:r>
      <w:r w:rsidR="007F17D8">
        <w:rPr>
          <w:szCs w:val="20"/>
        </w:rPr>
        <w:t>16</w:t>
      </w:r>
      <w:r w:rsidRPr="00AC3905">
        <w:rPr>
          <w:szCs w:val="20"/>
        </w:rPr>
        <w:t>,</w:t>
      </w:r>
      <w:r w:rsidR="007F17D8">
        <w:rPr>
          <w:szCs w:val="20"/>
        </w:rPr>
        <w:t>592</w:t>
      </w:r>
      <w:r w:rsidRPr="00AC3905">
        <w:rPr>
          <w:szCs w:val="20"/>
        </w:rPr>
        <w:t xml:space="preserve"> therms or </w:t>
      </w:r>
      <w:r w:rsidR="007F17D8">
        <w:rPr>
          <w:szCs w:val="20"/>
        </w:rPr>
        <w:t>4</w:t>
      </w:r>
      <w:r w:rsidRPr="00AC3905">
        <w:rPr>
          <w:szCs w:val="20"/>
        </w:rPr>
        <w:t xml:space="preserve">% of total program savings. The relatively </w:t>
      </w:r>
      <w:r w:rsidR="007F17D8">
        <w:rPr>
          <w:szCs w:val="20"/>
        </w:rPr>
        <w:t>small</w:t>
      </w:r>
      <w:r w:rsidRPr="00AC3905">
        <w:rPr>
          <w:szCs w:val="20"/>
        </w:rPr>
        <w:t xml:space="preserve"> portion of savings double counted with other Nicor Gas EE programs suggests that the home energy reports </w:t>
      </w:r>
      <w:r w:rsidR="007F17D8">
        <w:rPr>
          <w:szCs w:val="20"/>
        </w:rPr>
        <w:t>may still need more time to fully ramp up in effectiveness for the 2024 wave</w:t>
      </w:r>
      <w:r w:rsidRPr="00AC3905">
        <w:rPr>
          <w:szCs w:val="20"/>
        </w:rPr>
        <w:t>.</w:t>
      </w:r>
    </w:p>
    <w:p w14:paraId="1CBF1017" w14:textId="595B3F0B" w:rsidR="00F65CB6" w:rsidRPr="00AC3905" w:rsidRDefault="007F17D8" w:rsidP="00F65CB6">
      <w:pPr>
        <w:keepNext/>
        <w:keepLines/>
        <w:spacing w:after="0"/>
        <w:rPr>
          <w:szCs w:val="20"/>
        </w:rPr>
      </w:pPr>
      <w:r>
        <w:rPr>
          <w:szCs w:val="20"/>
        </w:rPr>
        <w:fldChar w:fldCharType="begin"/>
      </w:r>
      <w:r>
        <w:rPr>
          <w:szCs w:val="20"/>
        </w:rPr>
        <w:instrText xml:space="preserve"> REF _Ref226721332 \h </w:instrText>
      </w:r>
      <w:r>
        <w:rPr>
          <w:szCs w:val="20"/>
        </w:rPr>
      </w:r>
      <w:r>
        <w:rPr>
          <w:szCs w:val="20"/>
        </w:rPr>
        <w:fldChar w:fldCharType="separate"/>
      </w:r>
      <w:r>
        <w:t xml:space="preserve">Table </w:t>
      </w:r>
      <w:r>
        <w:rPr>
          <w:noProof/>
        </w:rPr>
        <w:t>6</w:t>
      </w:r>
      <w:r>
        <w:rPr>
          <w:szCs w:val="20"/>
        </w:rPr>
        <w:fldChar w:fldCharType="end"/>
      </w:r>
      <w:r>
        <w:rPr>
          <w:szCs w:val="20"/>
        </w:rPr>
        <w:t xml:space="preserve"> </w:t>
      </w:r>
      <w:r w:rsidR="00F65CB6" w:rsidRPr="00E34820">
        <w:rPr>
          <w:szCs w:val="20"/>
        </w:rPr>
        <w:t>pr</w:t>
      </w:r>
      <w:r w:rsidR="00F65CB6" w:rsidRPr="00AC3905">
        <w:rPr>
          <w:szCs w:val="20"/>
        </w:rPr>
        <w:t>esent</w:t>
      </w:r>
      <w:r w:rsidR="009271F3">
        <w:rPr>
          <w:szCs w:val="20"/>
        </w:rPr>
        <w:t>s</w:t>
      </w:r>
      <w:r w:rsidR="00F65CB6" w:rsidRPr="00AC3905">
        <w:rPr>
          <w:szCs w:val="20"/>
        </w:rPr>
        <w:t xml:space="preserve"> program savings due to participation in other EE programs in 202</w:t>
      </w:r>
      <w:r>
        <w:rPr>
          <w:szCs w:val="20"/>
        </w:rPr>
        <w:t>5</w:t>
      </w:r>
      <w:r w:rsidR="00F65CB6" w:rsidRPr="00AC3905">
        <w:rPr>
          <w:szCs w:val="20"/>
        </w:rPr>
        <w:t xml:space="preserve"> for each of the HER program waves. Each column provides information on one of </w:t>
      </w:r>
      <w:r>
        <w:rPr>
          <w:szCs w:val="20"/>
        </w:rPr>
        <w:t>four</w:t>
      </w:r>
      <w:r w:rsidR="00F65CB6" w:rsidRPr="00AC3905">
        <w:rPr>
          <w:szCs w:val="20"/>
        </w:rPr>
        <w:t xml:space="preserve"> EE Programs for which estimates for deemed savings are available</w:t>
      </w:r>
      <w:r w:rsidR="0031029B">
        <w:rPr>
          <w:szCs w:val="20"/>
        </w:rPr>
        <w:t>.</w:t>
      </w:r>
      <w:r w:rsidR="00F65CB6" w:rsidRPr="00AC3905">
        <w:rPr>
          <w:szCs w:val="20"/>
        </w:rPr>
        <w:t xml:space="preserve"> While these tables show estimates of both positive and negative uplift, only positive values were used to adjust program savings for double counting. For all cases where the EE program did not exist in the pre-program year, the estimate is based on a probability of detection (POD) statistic; otherwise, it is based on a DID statistic.</w:t>
      </w:r>
      <w:r w:rsidR="00F65CB6" w:rsidRPr="00AC3905">
        <w:rPr>
          <w:szCs w:val="20"/>
          <w:vertAlign w:val="superscript"/>
        </w:rPr>
        <w:footnoteReference w:id="15"/>
      </w:r>
      <w:r w:rsidR="00F65CB6" w:rsidRPr="00AC3905">
        <w:rPr>
          <w:szCs w:val="20"/>
        </w:rPr>
        <w:t xml:space="preserve"> </w:t>
      </w:r>
    </w:p>
    <w:p w14:paraId="7B3DAC4D" w14:textId="67FED0FD" w:rsidR="00F65CB6" w:rsidRPr="00577499" w:rsidRDefault="00F65CB6" w:rsidP="00FF3171">
      <w:pPr>
        <w:pStyle w:val="Caption"/>
      </w:pPr>
    </w:p>
    <w:p w14:paraId="62F383CA" w14:textId="2CBB78BE" w:rsidR="007F17D8" w:rsidRDefault="007F17D8" w:rsidP="00FF3171">
      <w:pPr>
        <w:pStyle w:val="Caption"/>
      </w:pPr>
      <w:bookmarkStart w:id="98" w:name="_Ref226721332"/>
      <w:bookmarkStart w:id="99" w:name="_Toc227314407"/>
      <w:r>
        <w:t xml:space="preserve">Table </w:t>
      </w:r>
      <w:r>
        <w:fldChar w:fldCharType="begin"/>
      </w:r>
      <w:r>
        <w:instrText xml:space="preserve"> SEQ Table \* ARABIC </w:instrText>
      </w:r>
      <w:r>
        <w:fldChar w:fldCharType="separate"/>
      </w:r>
      <w:r w:rsidR="000B4769">
        <w:rPr>
          <w:noProof/>
        </w:rPr>
        <w:t>6</w:t>
      </w:r>
      <w:r>
        <w:fldChar w:fldCharType="end"/>
      </w:r>
      <w:bookmarkEnd w:id="98"/>
      <w:r>
        <w:t xml:space="preserve">. </w:t>
      </w:r>
      <w:r w:rsidRPr="00240C6C">
        <w:t>2025 Uplift Adjustment Details, Wave 4 (202402)</w:t>
      </w:r>
      <w:bookmarkEnd w:id="99"/>
    </w:p>
    <w:tbl>
      <w:tblPr>
        <w:tblStyle w:val="EnergyTable12"/>
        <w:tblW w:w="5000" w:type="pct"/>
        <w:tblLook w:val="04A0" w:firstRow="1" w:lastRow="0" w:firstColumn="1" w:lastColumn="0" w:noHBand="0" w:noVBand="1"/>
      </w:tblPr>
      <w:tblGrid>
        <w:gridCol w:w="5086"/>
        <w:gridCol w:w="1108"/>
        <w:gridCol w:w="1002"/>
        <w:gridCol w:w="1054"/>
        <w:gridCol w:w="1110"/>
      </w:tblGrid>
      <w:tr w:rsidR="00ED2670" w:rsidRPr="00DE45F1" w14:paraId="4849FF18" w14:textId="77777777" w:rsidTr="005C0C9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08080967" w14:textId="77777777" w:rsidR="00ED2670" w:rsidRPr="00ED2670" w:rsidRDefault="00ED2670" w:rsidP="00C86D45">
            <w:pPr>
              <w:keepNext/>
              <w:keepLines/>
              <w:jc w:val="left"/>
              <w:rPr>
                <w:rFonts w:asciiTheme="minorHAnsi" w:hAnsiTheme="minorHAnsi" w:cs="Calibri"/>
                <w:sz w:val="20"/>
              </w:rPr>
            </w:pPr>
            <w:r w:rsidRPr="00ED2670">
              <w:rPr>
                <w:rFonts w:asciiTheme="minorHAnsi" w:hAnsiTheme="minorHAnsi" w:cs="Calibri"/>
                <w:sz w:val="20"/>
              </w:rPr>
              <w:t>Program Parameters</w:t>
            </w:r>
          </w:p>
        </w:tc>
        <w:tc>
          <w:tcPr>
            <w:tcW w:w="592" w:type="pct"/>
            <w:noWrap/>
            <w:hideMark/>
          </w:tcPr>
          <w:p w14:paraId="375D589C" w14:textId="77777777" w:rsidR="00ED2670" w:rsidRPr="00ED2670" w:rsidRDefault="00ED2670" w:rsidP="00C86D4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rPr>
            </w:pPr>
            <w:r w:rsidRPr="00ED2670">
              <w:rPr>
                <w:rFonts w:asciiTheme="minorHAnsi" w:hAnsiTheme="minorHAnsi" w:cs="Calibri"/>
                <w:sz w:val="20"/>
              </w:rPr>
              <w:t>ESK</w:t>
            </w:r>
          </w:p>
        </w:tc>
        <w:tc>
          <w:tcPr>
            <w:tcW w:w="535" w:type="pct"/>
            <w:noWrap/>
            <w:hideMark/>
          </w:tcPr>
          <w:p w14:paraId="131D2840" w14:textId="77777777" w:rsidR="00ED2670" w:rsidRPr="00ED2670" w:rsidRDefault="00ED2670" w:rsidP="00C86D4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rPr>
            </w:pPr>
            <w:r w:rsidRPr="00ED2670">
              <w:rPr>
                <w:rFonts w:asciiTheme="minorHAnsi" w:hAnsiTheme="minorHAnsi" w:cs="Calibri"/>
                <w:sz w:val="20"/>
              </w:rPr>
              <w:t>HEER</w:t>
            </w:r>
          </w:p>
        </w:tc>
        <w:tc>
          <w:tcPr>
            <w:tcW w:w="563" w:type="pct"/>
            <w:noWrap/>
            <w:hideMark/>
          </w:tcPr>
          <w:p w14:paraId="609DCEFA" w14:textId="77777777" w:rsidR="00ED2670" w:rsidRPr="00ED2670" w:rsidRDefault="00ED2670" w:rsidP="00C86D4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rPr>
            </w:pPr>
            <w:r w:rsidRPr="00ED2670">
              <w:rPr>
                <w:rFonts w:asciiTheme="minorHAnsi" w:hAnsiTheme="minorHAnsi" w:cs="Calibri"/>
                <w:sz w:val="20"/>
              </w:rPr>
              <w:t>HES</w:t>
            </w:r>
          </w:p>
        </w:tc>
        <w:tc>
          <w:tcPr>
            <w:tcW w:w="593" w:type="pct"/>
          </w:tcPr>
          <w:p w14:paraId="211A41B6" w14:textId="77777777" w:rsidR="00ED2670" w:rsidRPr="00ED2670" w:rsidRDefault="00ED2670" w:rsidP="00C86D4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20"/>
              </w:rPr>
            </w:pPr>
            <w:r w:rsidRPr="00ED2670">
              <w:rPr>
                <w:rFonts w:asciiTheme="minorHAnsi" w:hAnsiTheme="minorHAnsi" w:cs="Calibri"/>
                <w:sz w:val="20"/>
              </w:rPr>
              <w:t>IE</w:t>
            </w:r>
          </w:p>
        </w:tc>
      </w:tr>
      <w:tr w:rsidR="00ED2670" w:rsidRPr="00DE45F1" w14:paraId="155D9879"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59CC1E19"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 xml:space="preserve">Median program savings, annual </w:t>
            </w:r>
            <w:proofErr w:type="gramStart"/>
            <w:r w:rsidRPr="00ED2670">
              <w:rPr>
                <w:rFonts w:asciiTheme="minorHAnsi" w:hAnsiTheme="minorHAnsi" w:cs="Calibri"/>
                <w:color w:val="000000"/>
                <w:sz w:val="20"/>
              </w:rPr>
              <w:t>therms</w:t>
            </w:r>
            <w:proofErr w:type="gramEnd"/>
            <w:r w:rsidRPr="00ED2670">
              <w:rPr>
                <w:rFonts w:asciiTheme="minorHAnsi" w:hAnsiTheme="minorHAnsi" w:cs="Calibri"/>
                <w:color w:val="000000"/>
                <w:sz w:val="20"/>
              </w:rPr>
              <w:t xml:space="preserve"> per EE participant</w:t>
            </w:r>
          </w:p>
        </w:tc>
        <w:tc>
          <w:tcPr>
            <w:tcW w:w="592" w:type="pct"/>
            <w:noWrap/>
            <w:vAlign w:val="top"/>
            <w:hideMark/>
          </w:tcPr>
          <w:p w14:paraId="06AB91E2" w14:textId="4F330103"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63.75</w:t>
            </w:r>
          </w:p>
        </w:tc>
        <w:tc>
          <w:tcPr>
            <w:tcW w:w="535" w:type="pct"/>
            <w:noWrap/>
            <w:vAlign w:val="top"/>
            <w:hideMark/>
          </w:tcPr>
          <w:p w14:paraId="7F0834AF" w14:textId="7EEA978F"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212.95</w:t>
            </w:r>
          </w:p>
        </w:tc>
        <w:tc>
          <w:tcPr>
            <w:tcW w:w="563" w:type="pct"/>
            <w:noWrap/>
            <w:vAlign w:val="top"/>
            <w:hideMark/>
          </w:tcPr>
          <w:p w14:paraId="78DA1681" w14:textId="13CDAC55"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99.04</w:t>
            </w:r>
          </w:p>
        </w:tc>
        <w:tc>
          <w:tcPr>
            <w:tcW w:w="593" w:type="pct"/>
            <w:vAlign w:val="top"/>
          </w:tcPr>
          <w:p w14:paraId="619E59A8" w14:textId="728FCF4E"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58.24</w:t>
            </w:r>
          </w:p>
        </w:tc>
      </w:tr>
      <w:tr w:rsidR="001E220A" w:rsidRPr="00DE45F1" w14:paraId="6D252B9C"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42AF1EAB" w14:textId="77777777" w:rsidR="001E220A" w:rsidRPr="00ED2670" w:rsidRDefault="001E220A" w:rsidP="001E220A">
            <w:pPr>
              <w:keepNext/>
              <w:keepLines/>
              <w:jc w:val="left"/>
              <w:rPr>
                <w:rFonts w:asciiTheme="minorHAnsi" w:hAnsiTheme="minorHAnsi" w:cs="Calibri"/>
                <w:color w:val="000000"/>
                <w:sz w:val="20"/>
              </w:rPr>
            </w:pPr>
            <w:r w:rsidRPr="00ED2670">
              <w:rPr>
                <w:rFonts w:asciiTheme="minorHAnsi" w:hAnsiTheme="minorHAnsi" w:cs="Calibri"/>
                <w:color w:val="000000"/>
                <w:sz w:val="20"/>
              </w:rPr>
              <w:t>Number of treatment customers</w:t>
            </w:r>
          </w:p>
        </w:tc>
        <w:tc>
          <w:tcPr>
            <w:tcW w:w="592" w:type="pct"/>
            <w:noWrap/>
            <w:vAlign w:val="top"/>
            <w:hideMark/>
          </w:tcPr>
          <w:p w14:paraId="53384F40" w14:textId="1ED9CD40" w:rsidR="001E220A" w:rsidRPr="00ED2670" w:rsidRDefault="001E220A" w:rsidP="001E220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 xml:space="preserve"> 7</w:t>
            </w:r>
            <w:r>
              <w:rPr>
                <w:rFonts w:asciiTheme="minorHAnsi" w:hAnsiTheme="minorHAnsi"/>
              </w:rPr>
              <w:t>4</w:t>
            </w:r>
            <w:r w:rsidRPr="00ED2670">
              <w:rPr>
                <w:rFonts w:asciiTheme="minorHAnsi" w:hAnsiTheme="minorHAnsi"/>
              </w:rPr>
              <w:t>,</w:t>
            </w:r>
            <w:r>
              <w:rPr>
                <w:rFonts w:asciiTheme="minorHAnsi" w:hAnsiTheme="minorHAnsi"/>
              </w:rPr>
              <w:t>065</w:t>
            </w:r>
            <w:r w:rsidRPr="00ED2670">
              <w:rPr>
                <w:rFonts w:asciiTheme="minorHAnsi" w:hAnsiTheme="minorHAnsi"/>
              </w:rPr>
              <w:t xml:space="preserve"> </w:t>
            </w:r>
          </w:p>
        </w:tc>
        <w:tc>
          <w:tcPr>
            <w:tcW w:w="535" w:type="pct"/>
            <w:noWrap/>
            <w:vAlign w:val="top"/>
            <w:hideMark/>
          </w:tcPr>
          <w:p w14:paraId="32452EE1" w14:textId="24A3D93B" w:rsidR="001E220A" w:rsidRPr="00ED2670" w:rsidRDefault="001E220A" w:rsidP="001E220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487E73">
              <w:rPr>
                <w:rFonts w:asciiTheme="minorHAnsi" w:hAnsiTheme="minorHAnsi"/>
              </w:rPr>
              <w:t xml:space="preserve">74,065 </w:t>
            </w:r>
          </w:p>
        </w:tc>
        <w:tc>
          <w:tcPr>
            <w:tcW w:w="563" w:type="pct"/>
            <w:noWrap/>
            <w:vAlign w:val="top"/>
            <w:hideMark/>
          </w:tcPr>
          <w:p w14:paraId="23244568" w14:textId="3CD18320" w:rsidR="001E220A" w:rsidRPr="00ED2670" w:rsidRDefault="001E220A" w:rsidP="001E220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487E73">
              <w:rPr>
                <w:rFonts w:asciiTheme="minorHAnsi" w:hAnsiTheme="minorHAnsi"/>
              </w:rPr>
              <w:t xml:space="preserve">74,065 </w:t>
            </w:r>
          </w:p>
        </w:tc>
        <w:tc>
          <w:tcPr>
            <w:tcW w:w="593" w:type="pct"/>
            <w:vAlign w:val="top"/>
          </w:tcPr>
          <w:p w14:paraId="41876E30" w14:textId="4CA04288" w:rsidR="001E220A" w:rsidRPr="00ED2670" w:rsidRDefault="001E220A" w:rsidP="001E220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487E73">
              <w:rPr>
                <w:rFonts w:asciiTheme="minorHAnsi" w:hAnsiTheme="minorHAnsi"/>
              </w:rPr>
              <w:t xml:space="preserve">74,065 </w:t>
            </w:r>
          </w:p>
        </w:tc>
      </w:tr>
      <w:tr w:rsidR="001E220A" w:rsidRPr="00DE45F1" w14:paraId="2251932D"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4606E4D3" w14:textId="77777777" w:rsidR="001E220A" w:rsidRPr="00ED2670" w:rsidRDefault="001E220A" w:rsidP="001E220A">
            <w:pPr>
              <w:keepNext/>
              <w:keepLines/>
              <w:jc w:val="left"/>
              <w:rPr>
                <w:rFonts w:asciiTheme="minorHAnsi" w:hAnsiTheme="minorHAnsi" w:cs="Calibri"/>
                <w:color w:val="000000"/>
                <w:sz w:val="20"/>
              </w:rPr>
            </w:pPr>
            <w:r w:rsidRPr="00ED2670">
              <w:rPr>
                <w:rFonts w:asciiTheme="minorHAnsi" w:hAnsiTheme="minorHAnsi" w:cs="Calibri"/>
                <w:color w:val="000000"/>
                <w:sz w:val="20"/>
              </w:rPr>
              <w:t>Number of control customer</w:t>
            </w:r>
          </w:p>
        </w:tc>
        <w:tc>
          <w:tcPr>
            <w:tcW w:w="592" w:type="pct"/>
            <w:noWrap/>
            <w:vAlign w:val="top"/>
            <w:hideMark/>
          </w:tcPr>
          <w:p w14:paraId="118554E3" w14:textId="20586274" w:rsidR="001E220A" w:rsidRPr="00ED2670" w:rsidRDefault="001E220A" w:rsidP="001E220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 xml:space="preserve"> 2</w:t>
            </w:r>
            <w:r>
              <w:rPr>
                <w:rFonts w:asciiTheme="minorHAnsi" w:hAnsiTheme="minorHAnsi"/>
              </w:rPr>
              <w:t>3</w:t>
            </w:r>
            <w:r w:rsidRPr="00ED2670">
              <w:rPr>
                <w:rFonts w:asciiTheme="minorHAnsi" w:hAnsiTheme="minorHAnsi"/>
              </w:rPr>
              <w:t>,</w:t>
            </w:r>
            <w:r>
              <w:rPr>
                <w:rFonts w:asciiTheme="minorHAnsi" w:hAnsiTheme="minorHAnsi"/>
              </w:rPr>
              <w:t>501</w:t>
            </w:r>
            <w:r w:rsidRPr="00ED2670">
              <w:rPr>
                <w:rFonts w:asciiTheme="minorHAnsi" w:hAnsiTheme="minorHAnsi"/>
              </w:rPr>
              <w:t xml:space="preserve"> </w:t>
            </w:r>
          </w:p>
        </w:tc>
        <w:tc>
          <w:tcPr>
            <w:tcW w:w="535" w:type="pct"/>
            <w:noWrap/>
            <w:vAlign w:val="top"/>
            <w:hideMark/>
          </w:tcPr>
          <w:p w14:paraId="431640F6" w14:textId="79C5C258" w:rsidR="001E220A" w:rsidRPr="00ED2670" w:rsidRDefault="001E220A" w:rsidP="001E220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66EEF">
              <w:rPr>
                <w:rFonts w:asciiTheme="minorHAnsi" w:hAnsiTheme="minorHAnsi"/>
              </w:rPr>
              <w:t xml:space="preserve">23,501 </w:t>
            </w:r>
          </w:p>
        </w:tc>
        <w:tc>
          <w:tcPr>
            <w:tcW w:w="563" w:type="pct"/>
            <w:noWrap/>
            <w:vAlign w:val="top"/>
            <w:hideMark/>
          </w:tcPr>
          <w:p w14:paraId="47C6F58F" w14:textId="32BDB1BD" w:rsidR="001E220A" w:rsidRPr="00ED2670" w:rsidRDefault="001E220A" w:rsidP="001E220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66EEF">
              <w:rPr>
                <w:rFonts w:asciiTheme="minorHAnsi" w:hAnsiTheme="minorHAnsi"/>
              </w:rPr>
              <w:t xml:space="preserve">23,501 </w:t>
            </w:r>
          </w:p>
        </w:tc>
        <w:tc>
          <w:tcPr>
            <w:tcW w:w="593" w:type="pct"/>
            <w:vAlign w:val="top"/>
          </w:tcPr>
          <w:p w14:paraId="36C740C6" w14:textId="32587E98" w:rsidR="001E220A" w:rsidRPr="00ED2670" w:rsidRDefault="001E220A" w:rsidP="001E220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66EEF">
              <w:rPr>
                <w:rFonts w:asciiTheme="minorHAnsi" w:hAnsiTheme="minorHAnsi"/>
              </w:rPr>
              <w:t xml:space="preserve">23,501 </w:t>
            </w:r>
          </w:p>
        </w:tc>
      </w:tr>
      <w:tr w:rsidR="00ED2670" w:rsidRPr="00DE45F1" w14:paraId="52812C38"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2E87F1DA"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Avg. savings per HER treatment customer, 2024</w:t>
            </w:r>
          </w:p>
        </w:tc>
        <w:tc>
          <w:tcPr>
            <w:tcW w:w="592" w:type="pct"/>
            <w:noWrap/>
            <w:vAlign w:val="top"/>
            <w:hideMark/>
          </w:tcPr>
          <w:p w14:paraId="3055FD21" w14:textId="08B6BFCB"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0.10</w:t>
            </w:r>
          </w:p>
        </w:tc>
        <w:tc>
          <w:tcPr>
            <w:tcW w:w="535" w:type="pct"/>
            <w:noWrap/>
            <w:vAlign w:val="top"/>
            <w:hideMark/>
          </w:tcPr>
          <w:p w14:paraId="6DDCB905" w14:textId="2182B148"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0.74</w:t>
            </w:r>
          </w:p>
        </w:tc>
        <w:tc>
          <w:tcPr>
            <w:tcW w:w="563" w:type="pct"/>
            <w:noWrap/>
            <w:vAlign w:val="top"/>
            <w:hideMark/>
          </w:tcPr>
          <w:p w14:paraId="47B2F372" w14:textId="4C6E248A"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0.23</w:t>
            </w:r>
          </w:p>
        </w:tc>
        <w:tc>
          <w:tcPr>
            <w:tcW w:w="593" w:type="pct"/>
            <w:vAlign w:val="top"/>
          </w:tcPr>
          <w:p w14:paraId="3732355B" w14:textId="1DE6033D"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0.26</w:t>
            </w:r>
          </w:p>
        </w:tc>
      </w:tr>
      <w:tr w:rsidR="00ED2670" w:rsidRPr="00DE45F1" w14:paraId="4216D4B6"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408A5070"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Avg. savings per HER control customer, 2024</w:t>
            </w:r>
          </w:p>
        </w:tc>
        <w:tc>
          <w:tcPr>
            <w:tcW w:w="592" w:type="pct"/>
            <w:noWrap/>
            <w:vAlign w:val="top"/>
            <w:hideMark/>
          </w:tcPr>
          <w:p w14:paraId="153CA857" w14:textId="36F5F314"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0.10</w:t>
            </w:r>
          </w:p>
        </w:tc>
        <w:tc>
          <w:tcPr>
            <w:tcW w:w="535" w:type="pct"/>
            <w:noWrap/>
            <w:vAlign w:val="top"/>
            <w:hideMark/>
          </w:tcPr>
          <w:p w14:paraId="5312C84D" w14:textId="4F949F9F"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0.66</w:t>
            </w:r>
          </w:p>
        </w:tc>
        <w:tc>
          <w:tcPr>
            <w:tcW w:w="563" w:type="pct"/>
            <w:noWrap/>
            <w:vAlign w:val="top"/>
            <w:hideMark/>
          </w:tcPr>
          <w:p w14:paraId="129B22BE" w14:textId="41383E99"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0.23</w:t>
            </w:r>
          </w:p>
        </w:tc>
        <w:tc>
          <w:tcPr>
            <w:tcW w:w="593" w:type="pct"/>
            <w:vAlign w:val="top"/>
          </w:tcPr>
          <w:p w14:paraId="649094A9" w14:textId="42D182B3"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0.27</w:t>
            </w:r>
          </w:p>
        </w:tc>
      </w:tr>
      <w:tr w:rsidR="00ED2670" w:rsidRPr="00DE45F1" w14:paraId="20344FF2"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00EB126D"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2024 savings difference</w:t>
            </w:r>
          </w:p>
        </w:tc>
        <w:tc>
          <w:tcPr>
            <w:tcW w:w="592" w:type="pct"/>
            <w:noWrap/>
            <w:vAlign w:val="top"/>
            <w:hideMark/>
          </w:tcPr>
          <w:p w14:paraId="552E9DF0" w14:textId="7F47D0EB"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0.00</w:t>
            </w:r>
          </w:p>
        </w:tc>
        <w:tc>
          <w:tcPr>
            <w:tcW w:w="535" w:type="pct"/>
            <w:noWrap/>
            <w:vAlign w:val="top"/>
            <w:hideMark/>
          </w:tcPr>
          <w:p w14:paraId="786DDED2" w14:textId="470B2C6D"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0.08</w:t>
            </w:r>
          </w:p>
        </w:tc>
        <w:tc>
          <w:tcPr>
            <w:tcW w:w="563" w:type="pct"/>
            <w:noWrap/>
            <w:vAlign w:val="top"/>
            <w:hideMark/>
          </w:tcPr>
          <w:p w14:paraId="2A0A1367" w14:textId="253561DA"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0.00</w:t>
            </w:r>
          </w:p>
        </w:tc>
        <w:tc>
          <w:tcPr>
            <w:tcW w:w="593" w:type="pct"/>
            <w:vAlign w:val="top"/>
          </w:tcPr>
          <w:p w14:paraId="5F972CA9" w14:textId="36E212B9"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-0.01</w:t>
            </w:r>
          </w:p>
        </w:tc>
      </w:tr>
      <w:tr w:rsidR="00ED2670" w:rsidRPr="00DE45F1" w14:paraId="5CB7BE28"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11EBB329"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Avg. savings per HER treatment customer, pre</w:t>
            </w:r>
          </w:p>
        </w:tc>
        <w:tc>
          <w:tcPr>
            <w:tcW w:w="592" w:type="pct"/>
            <w:noWrap/>
            <w:vAlign w:val="top"/>
            <w:hideMark/>
          </w:tcPr>
          <w:p w14:paraId="1A44E0DF" w14:textId="6B7F25FF"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0.24</w:t>
            </w:r>
          </w:p>
        </w:tc>
        <w:tc>
          <w:tcPr>
            <w:tcW w:w="535" w:type="pct"/>
            <w:noWrap/>
            <w:vAlign w:val="top"/>
            <w:hideMark/>
          </w:tcPr>
          <w:p w14:paraId="5F738E98" w14:textId="71EEAE87"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1.26</w:t>
            </w:r>
          </w:p>
        </w:tc>
        <w:tc>
          <w:tcPr>
            <w:tcW w:w="563" w:type="pct"/>
            <w:noWrap/>
            <w:vAlign w:val="top"/>
            <w:hideMark/>
          </w:tcPr>
          <w:p w14:paraId="6F325746" w14:textId="623D2A41"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0.25</w:t>
            </w:r>
          </w:p>
        </w:tc>
        <w:tc>
          <w:tcPr>
            <w:tcW w:w="593" w:type="pct"/>
            <w:vAlign w:val="top"/>
          </w:tcPr>
          <w:p w14:paraId="794B1482" w14:textId="70236203"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0.40</w:t>
            </w:r>
          </w:p>
        </w:tc>
      </w:tr>
      <w:tr w:rsidR="00ED2670" w:rsidRPr="00DE45F1" w14:paraId="2FB65605"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1006EB7C"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Avg. savings per HER control customer, pre</w:t>
            </w:r>
          </w:p>
        </w:tc>
        <w:tc>
          <w:tcPr>
            <w:tcW w:w="592" w:type="pct"/>
            <w:noWrap/>
            <w:vAlign w:val="top"/>
            <w:hideMark/>
          </w:tcPr>
          <w:p w14:paraId="7484BD8C" w14:textId="35D017C6"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0.26</w:t>
            </w:r>
          </w:p>
        </w:tc>
        <w:tc>
          <w:tcPr>
            <w:tcW w:w="535" w:type="pct"/>
            <w:noWrap/>
            <w:vAlign w:val="top"/>
            <w:hideMark/>
          </w:tcPr>
          <w:p w14:paraId="2368AB55" w14:textId="4F8D4738"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1.19</w:t>
            </w:r>
          </w:p>
        </w:tc>
        <w:tc>
          <w:tcPr>
            <w:tcW w:w="563" w:type="pct"/>
            <w:noWrap/>
            <w:vAlign w:val="top"/>
            <w:hideMark/>
          </w:tcPr>
          <w:p w14:paraId="01819EF2" w14:textId="546E4C38"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0.29</w:t>
            </w:r>
          </w:p>
        </w:tc>
        <w:tc>
          <w:tcPr>
            <w:tcW w:w="593" w:type="pct"/>
            <w:vAlign w:val="top"/>
          </w:tcPr>
          <w:p w14:paraId="64BB4CD4" w14:textId="09AEA0F8"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0.26</w:t>
            </w:r>
          </w:p>
        </w:tc>
      </w:tr>
      <w:tr w:rsidR="00ED2670" w:rsidRPr="00DE45F1" w14:paraId="7A8C57EF"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010EBDF6"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Pre savings difference</w:t>
            </w:r>
          </w:p>
        </w:tc>
        <w:tc>
          <w:tcPr>
            <w:tcW w:w="592" w:type="pct"/>
            <w:noWrap/>
            <w:vAlign w:val="top"/>
            <w:hideMark/>
          </w:tcPr>
          <w:p w14:paraId="2D9A3191" w14:textId="49101E4C"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-0.03</w:t>
            </w:r>
          </w:p>
        </w:tc>
        <w:tc>
          <w:tcPr>
            <w:tcW w:w="535" w:type="pct"/>
            <w:noWrap/>
            <w:vAlign w:val="top"/>
            <w:hideMark/>
          </w:tcPr>
          <w:p w14:paraId="0F6C4370" w14:textId="3290FB66"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0.07</w:t>
            </w:r>
          </w:p>
        </w:tc>
        <w:tc>
          <w:tcPr>
            <w:tcW w:w="563" w:type="pct"/>
            <w:noWrap/>
            <w:vAlign w:val="top"/>
            <w:hideMark/>
          </w:tcPr>
          <w:p w14:paraId="4763C60D" w14:textId="2089B30B"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-0.04</w:t>
            </w:r>
          </w:p>
        </w:tc>
        <w:tc>
          <w:tcPr>
            <w:tcW w:w="593" w:type="pct"/>
            <w:vAlign w:val="top"/>
          </w:tcPr>
          <w:p w14:paraId="59B1BA8F" w14:textId="540645A9"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0.14</w:t>
            </w:r>
          </w:p>
        </w:tc>
      </w:tr>
      <w:tr w:rsidR="00ED2670" w:rsidRPr="00DE45F1" w14:paraId="0AC92B91"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75166069"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DID or POD statistic</w:t>
            </w:r>
          </w:p>
        </w:tc>
        <w:tc>
          <w:tcPr>
            <w:tcW w:w="592" w:type="pct"/>
            <w:noWrap/>
            <w:vAlign w:val="top"/>
            <w:hideMark/>
          </w:tcPr>
          <w:p w14:paraId="767D8E42" w14:textId="39B87BDD"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0.02</w:t>
            </w:r>
          </w:p>
        </w:tc>
        <w:tc>
          <w:tcPr>
            <w:tcW w:w="535" w:type="pct"/>
            <w:noWrap/>
            <w:vAlign w:val="top"/>
            <w:hideMark/>
          </w:tcPr>
          <w:p w14:paraId="49C76C64" w14:textId="159E5AEC"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0.01</w:t>
            </w:r>
          </w:p>
        </w:tc>
        <w:tc>
          <w:tcPr>
            <w:tcW w:w="563" w:type="pct"/>
            <w:noWrap/>
            <w:vAlign w:val="top"/>
            <w:hideMark/>
          </w:tcPr>
          <w:p w14:paraId="02962042" w14:textId="287E21C5"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0.04</w:t>
            </w:r>
          </w:p>
        </w:tc>
        <w:tc>
          <w:tcPr>
            <w:tcW w:w="593" w:type="pct"/>
            <w:vAlign w:val="top"/>
          </w:tcPr>
          <w:p w14:paraId="546034FB" w14:textId="49EEEB40"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-0.15</w:t>
            </w:r>
          </w:p>
        </w:tc>
      </w:tr>
      <w:tr w:rsidR="00ED2670" w:rsidRPr="00DE45F1" w14:paraId="33794C06" w14:textId="77777777" w:rsidTr="005C0C9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62991278"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Savings attributable to other programs, therms</w:t>
            </w:r>
          </w:p>
        </w:tc>
        <w:tc>
          <w:tcPr>
            <w:tcW w:w="592" w:type="pct"/>
            <w:noWrap/>
            <w:vAlign w:val="top"/>
            <w:hideMark/>
          </w:tcPr>
          <w:p w14:paraId="256679A9" w14:textId="0AA8A453"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 xml:space="preserve"> 1,884 </w:t>
            </w:r>
          </w:p>
        </w:tc>
        <w:tc>
          <w:tcPr>
            <w:tcW w:w="535" w:type="pct"/>
            <w:noWrap/>
            <w:vAlign w:val="top"/>
            <w:hideMark/>
          </w:tcPr>
          <w:p w14:paraId="675609BB" w14:textId="6CF7CA80"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 xml:space="preserve"> 411 </w:t>
            </w:r>
          </w:p>
        </w:tc>
        <w:tc>
          <w:tcPr>
            <w:tcW w:w="563" w:type="pct"/>
            <w:noWrap/>
            <w:vAlign w:val="top"/>
            <w:hideMark/>
          </w:tcPr>
          <w:p w14:paraId="6AC033C2" w14:textId="6CC1A716" w:rsidR="00ED2670" w:rsidRPr="00ED2670" w:rsidRDefault="00ED2670"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ED2670">
              <w:rPr>
                <w:rFonts w:asciiTheme="minorHAnsi" w:hAnsiTheme="minorHAnsi"/>
              </w:rPr>
              <w:t xml:space="preserve"> 3,490 </w:t>
            </w:r>
          </w:p>
        </w:tc>
        <w:tc>
          <w:tcPr>
            <w:tcW w:w="593" w:type="pct"/>
            <w:vAlign w:val="top"/>
          </w:tcPr>
          <w:p w14:paraId="6A8E77BC" w14:textId="203392F1" w:rsidR="00ED2670" w:rsidRPr="00ED2670" w:rsidRDefault="00A426BF" w:rsidP="00ED267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Pr>
                <w:rFonts w:asciiTheme="minorHAnsi" w:hAnsiTheme="minorHAnsi"/>
              </w:rPr>
              <w:t>-</w:t>
            </w:r>
            <w:r w:rsidR="00ED2670" w:rsidRPr="00ED2670">
              <w:rPr>
                <w:rFonts w:asciiTheme="minorHAnsi" w:hAnsiTheme="minorHAnsi"/>
              </w:rPr>
              <w:t>11,703</w:t>
            </w:r>
          </w:p>
        </w:tc>
      </w:tr>
      <w:tr w:rsidR="00ED2670" w:rsidRPr="00DE45F1" w14:paraId="0807DB6E" w14:textId="77777777" w:rsidTr="005C0C9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716" w:type="pct"/>
            <w:noWrap/>
            <w:hideMark/>
          </w:tcPr>
          <w:p w14:paraId="4F664025" w14:textId="77777777" w:rsidR="00ED2670" w:rsidRPr="00ED2670" w:rsidRDefault="00ED2670" w:rsidP="00ED2670">
            <w:pPr>
              <w:keepNext/>
              <w:keepLines/>
              <w:jc w:val="left"/>
              <w:rPr>
                <w:rFonts w:asciiTheme="minorHAnsi" w:hAnsiTheme="minorHAnsi" w:cs="Calibri"/>
                <w:color w:val="000000"/>
                <w:sz w:val="20"/>
              </w:rPr>
            </w:pPr>
            <w:r w:rsidRPr="00ED2670">
              <w:rPr>
                <w:rFonts w:asciiTheme="minorHAnsi" w:hAnsiTheme="minorHAnsi" w:cs="Calibri"/>
                <w:color w:val="000000"/>
                <w:sz w:val="20"/>
              </w:rPr>
              <w:t>Implied change in participation</w:t>
            </w:r>
          </w:p>
        </w:tc>
        <w:tc>
          <w:tcPr>
            <w:tcW w:w="592" w:type="pct"/>
            <w:noWrap/>
            <w:vAlign w:val="top"/>
            <w:hideMark/>
          </w:tcPr>
          <w:p w14:paraId="20B7AD9A" w14:textId="69CBF461"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29.6</w:t>
            </w:r>
          </w:p>
        </w:tc>
        <w:tc>
          <w:tcPr>
            <w:tcW w:w="535" w:type="pct"/>
            <w:noWrap/>
            <w:vAlign w:val="top"/>
            <w:hideMark/>
          </w:tcPr>
          <w:p w14:paraId="418B9E79" w14:textId="36122F65"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1.9</w:t>
            </w:r>
          </w:p>
        </w:tc>
        <w:tc>
          <w:tcPr>
            <w:tcW w:w="563" w:type="pct"/>
            <w:noWrap/>
            <w:vAlign w:val="top"/>
            <w:hideMark/>
          </w:tcPr>
          <w:p w14:paraId="244B6445" w14:textId="0B3262AA"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35.2</w:t>
            </w:r>
          </w:p>
        </w:tc>
        <w:tc>
          <w:tcPr>
            <w:tcW w:w="593" w:type="pct"/>
            <w:vAlign w:val="top"/>
          </w:tcPr>
          <w:p w14:paraId="7B527C83" w14:textId="3BFE6C51" w:rsidR="00ED2670" w:rsidRPr="00ED2670" w:rsidRDefault="00ED2670" w:rsidP="00ED267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ED2670">
              <w:rPr>
                <w:rFonts w:asciiTheme="minorHAnsi" w:hAnsiTheme="minorHAnsi"/>
              </w:rPr>
              <w:t>-201.0</w:t>
            </w:r>
          </w:p>
        </w:tc>
      </w:tr>
    </w:tbl>
    <w:p w14:paraId="7134118A" w14:textId="6463E6F7" w:rsidR="0039319A" w:rsidRPr="005C0C9C" w:rsidRDefault="00F65CB6" w:rsidP="0042291E">
      <w:pPr>
        <w:pStyle w:val="Source"/>
        <w:rPr>
          <w:rFonts w:asciiTheme="minorHAnsi" w:hAnsiTheme="minorHAnsi"/>
          <w:sz w:val="18"/>
          <w:szCs w:val="18"/>
        </w:rPr>
      </w:pPr>
      <w:r w:rsidRPr="005C0C9C">
        <w:rPr>
          <w:rFonts w:asciiTheme="minorHAnsi" w:hAnsiTheme="minorHAnsi"/>
          <w:sz w:val="18"/>
          <w:szCs w:val="18"/>
        </w:rPr>
        <w:t xml:space="preserve">Source: Guidehouse analysis of </w:t>
      </w:r>
      <w:r w:rsidRPr="00B1430A">
        <w:rPr>
          <w:rFonts w:asciiTheme="minorHAnsi" w:hAnsiTheme="minorHAnsi"/>
          <w:sz w:val="18"/>
          <w:szCs w:val="18"/>
        </w:rPr>
        <w:t>Nicor Gas program tracking and customer billing data.</w:t>
      </w:r>
    </w:p>
    <w:p w14:paraId="7591C99D" w14:textId="77777777" w:rsidR="0039319A" w:rsidRPr="005C0C9C" w:rsidRDefault="0039319A" w:rsidP="00FF3171">
      <w:pPr>
        <w:pStyle w:val="Caption"/>
        <w:rPr>
          <w:rFonts w:asciiTheme="minorHAnsi" w:hAnsiTheme="minorHAnsi"/>
          <w:sz w:val="18"/>
        </w:rPr>
        <w:sectPr w:rsidR="0039319A" w:rsidRPr="005C0C9C" w:rsidSect="004257D7">
          <w:headerReference w:type="default" r:id="rId25"/>
          <w:footerReference w:type="default" r:id="rId26"/>
          <w:pgSz w:w="12240" w:h="15840" w:code="1"/>
          <w:pgMar w:top="1440" w:right="1440" w:bottom="1440" w:left="1440" w:header="720" w:footer="720" w:gutter="0"/>
          <w:pgNumType w:chapStyle="5"/>
          <w:cols w:space="720"/>
          <w:docGrid w:linePitch="360"/>
        </w:sectPr>
      </w:pPr>
      <w:bookmarkStart w:id="100" w:name="Table_B_1"/>
      <w:bookmarkStart w:id="101" w:name="_Ref66787029"/>
      <w:bookmarkStart w:id="102" w:name="_Ref63952142"/>
      <w:bookmarkStart w:id="103" w:name="_Toc367307499"/>
      <w:bookmarkStart w:id="104" w:name="_Toc398541812"/>
      <w:bookmarkStart w:id="105" w:name="_Toc398541925"/>
      <w:bookmarkStart w:id="106" w:name="_Toc398546657"/>
      <w:bookmarkStart w:id="107" w:name="_Toc423009519"/>
      <w:bookmarkStart w:id="108" w:name="_Toc426278637"/>
      <w:bookmarkStart w:id="109" w:name="_Toc63321485"/>
      <w:bookmarkStart w:id="110" w:name="_Toc63961488"/>
      <w:bookmarkStart w:id="111" w:name="_Toc61360851"/>
      <w:bookmarkEnd w:id="100"/>
    </w:p>
    <w:bookmarkEnd w:id="101"/>
    <w:bookmarkEnd w:id="102"/>
    <w:bookmarkEnd w:id="103"/>
    <w:bookmarkEnd w:id="104"/>
    <w:bookmarkEnd w:id="105"/>
    <w:bookmarkEnd w:id="106"/>
    <w:bookmarkEnd w:id="107"/>
    <w:bookmarkEnd w:id="108"/>
    <w:bookmarkEnd w:id="109"/>
    <w:bookmarkEnd w:id="110"/>
    <w:bookmarkEnd w:id="111"/>
    <w:p w14:paraId="74F0729C" w14:textId="0060F305" w:rsidR="0039319A" w:rsidRPr="00470827" w:rsidRDefault="0039319A" w:rsidP="00FF3171">
      <w:pPr>
        <w:pStyle w:val="Caption"/>
      </w:pPr>
    </w:p>
    <w:p w14:paraId="5CD1B415" w14:textId="77777777" w:rsidR="0042291E" w:rsidRDefault="0042291E" w:rsidP="0042291E">
      <w:pPr>
        <w:pStyle w:val="Heading1"/>
      </w:pPr>
      <w:bookmarkStart w:id="112" w:name="_Toc227314369"/>
      <w:bookmarkStart w:id="113" w:name="_Ref226721513"/>
      <w:r w:rsidRPr="00AB1A05">
        <w:t xml:space="preserve">Appendix </w:t>
      </w:r>
      <w:r>
        <w:t>C</w:t>
      </w:r>
      <w:r w:rsidRPr="00AB1A05">
        <w:t>. Program Specific Inputs for the Illinois TRC</w:t>
      </w:r>
      <w:bookmarkEnd w:id="112"/>
    </w:p>
    <w:p w14:paraId="73F67513" w14:textId="77777777" w:rsidR="0042291E" w:rsidRPr="004F7EEA" w:rsidRDefault="0042291E" w:rsidP="0042291E">
      <w:pPr>
        <w:keepNext/>
        <w:keepLines/>
        <w:spacing w:after="0"/>
        <w:rPr>
          <w:szCs w:val="20"/>
        </w:rPr>
      </w:pPr>
      <w:r>
        <w:rPr>
          <w:szCs w:val="20"/>
        </w:rPr>
        <w:fldChar w:fldCharType="begin"/>
      </w:r>
      <w:r>
        <w:rPr>
          <w:szCs w:val="20"/>
        </w:rPr>
        <w:instrText xml:space="preserve"> REF _Ref226721513 \h </w:instrText>
      </w:r>
      <w:r>
        <w:rPr>
          <w:szCs w:val="20"/>
        </w:rPr>
      </w:r>
      <w:r>
        <w:rPr>
          <w:szCs w:val="20"/>
        </w:rPr>
        <w:fldChar w:fldCharType="separate"/>
      </w:r>
      <w:r>
        <w:t xml:space="preserve">Table </w:t>
      </w:r>
      <w:r>
        <w:rPr>
          <w:noProof/>
        </w:rPr>
        <w:t>7</w:t>
      </w:r>
      <w:r>
        <w:rPr>
          <w:szCs w:val="20"/>
        </w:rPr>
        <w:fldChar w:fldCharType="end"/>
      </w:r>
      <w:r>
        <w:rPr>
          <w:szCs w:val="20"/>
        </w:rPr>
        <w:t xml:space="preserve"> </w:t>
      </w:r>
      <w:r w:rsidRPr="004F7EEA">
        <w:rPr>
          <w:szCs w:val="20"/>
        </w:rPr>
        <w:t>shows the Total Resource Cost (TRC) cost-effectiveness analysis inputs available at the time of producing this impact evaluation report. Additional required cost data (e.g., measure costs, program level incentive and non-incentive costs) are not included in this table and will be provided to the evaluation team later. Guidehouse will include annual and lifetime water savings and greenhouse gas reductions in the end of year summary report.</w:t>
      </w:r>
    </w:p>
    <w:p w14:paraId="35D8966F" w14:textId="77777777" w:rsidR="0042291E" w:rsidRDefault="0042291E" w:rsidP="00FF3171">
      <w:pPr>
        <w:pStyle w:val="Caption"/>
      </w:pPr>
    </w:p>
    <w:p w14:paraId="0380B4AE" w14:textId="34D04AF6" w:rsidR="000B4769" w:rsidRDefault="000B4769" w:rsidP="00FF3171">
      <w:pPr>
        <w:pStyle w:val="Caption"/>
      </w:pPr>
      <w:bookmarkStart w:id="114" w:name="_Toc227314408"/>
      <w:r>
        <w:t xml:space="preserve">Table </w:t>
      </w:r>
      <w:r>
        <w:fldChar w:fldCharType="begin"/>
      </w:r>
      <w:r>
        <w:instrText xml:space="preserve"> SEQ Table \* ARABIC </w:instrText>
      </w:r>
      <w:r>
        <w:fldChar w:fldCharType="separate"/>
      </w:r>
      <w:r>
        <w:rPr>
          <w:noProof/>
        </w:rPr>
        <w:t>7</w:t>
      </w:r>
      <w:r>
        <w:fldChar w:fldCharType="end"/>
      </w:r>
      <w:bookmarkEnd w:id="113"/>
      <w:r>
        <w:t xml:space="preserve">. </w:t>
      </w:r>
      <w:r w:rsidRPr="00313FEB">
        <w:t>Verified Cost Effectiveness Inputs</w:t>
      </w:r>
      <w:bookmarkEnd w:id="114"/>
    </w:p>
    <w:tbl>
      <w:tblPr>
        <w:tblW w:w="5000" w:type="pct"/>
        <w:tblLook w:val="04A0" w:firstRow="1" w:lastRow="0" w:firstColumn="1" w:lastColumn="0" w:noHBand="0" w:noVBand="1"/>
      </w:tblPr>
      <w:tblGrid>
        <w:gridCol w:w="1122"/>
        <w:gridCol w:w="1119"/>
        <w:gridCol w:w="1330"/>
        <w:gridCol w:w="1328"/>
        <w:gridCol w:w="608"/>
        <w:gridCol w:w="989"/>
        <w:gridCol w:w="1052"/>
        <w:gridCol w:w="1213"/>
        <w:gridCol w:w="900"/>
        <w:gridCol w:w="882"/>
        <w:gridCol w:w="1247"/>
        <w:gridCol w:w="1170"/>
      </w:tblGrid>
      <w:tr w:rsidR="009271F3" w:rsidRPr="009271F3" w14:paraId="7A1ABBEB" w14:textId="77777777" w:rsidTr="009271F3">
        <w:trPr>
          <w:trHeight w:val="1110"/>
        </w:trPr>
        <w:tc>
          <w:tcPr>
            <w:tcW w:w="515" w:type="pct"/>
            <w:tcBorders>
              <w:top w:val="nil"/>
              <w:left w:val="nil"/>
              <w:bottom w:val="single" w:sz="12" w:space="0" w:color="95D600"/>
              <w:right w:val="nil"/>
            </w:tcBorders>
            <w:shd w:val="clear" w:color="000000" w:fill="036479"/>
            <w:vAlign w:val="center"/>
            <w:hideMark/>
          </w:tcPr>
          <w:p w14:paraId="589F71B4" w14:textId="77777777" w:rsidR="009271F3" w:rsidRPr="009271F3" w:rsidRDefault="009271F3" w:rsidP="009271F3">
            <w:pPr>
              <w:spacing w:after="0" w:line="240" w:lineRule="auto"/>
              <w:rPr>
                <w:rFonts w:eastAsia="Times New Roman" w:cs="Calibri"/>
                <w:b/>
                <w:bCs/>
                <w:color w:val="FFFFFF"/>
                <w:sz w:val="18"/>
                <w:szCs w:val="18"/>
                <w:lang w:eastAsia="en-US"/>
              </w:rPr>
            </w:pPr>
            <w:r w:rsidRPr="009271F3">
              <w:rPr>
                <w:rFonts w:eastAsia="Times New Roman" w:cs="Calibri"/>
                <w:b/>
                <w:bCs/>
                <w:color w:val="FFFFFF"/>
                <w:sz w:val="18"/>
                <w:szCs w:val="18"/>
                <w:lang w:eastAsia="en-US"/>
              </w:rPr>
              <w:t>Program Category</w:t>
            </w:r>
          </w:p>
        </w:tc>
        <w:tc>
          <w:tcPr>
            <w:tcW w:w="514" w:type="pct"/>
            <w:tcBorders>
              <w:top w:val="nil"/>
              <w:left w:val="nil"/>
              <w:bottom w:val="single" w:sz="12" w:space="0" w:color="95D600"/>
              <w:right w:val="nil"/>
            </w:tcBorders>
            <w:shd w:val="clear" w:color="000000" w:fill="036479"/>
            <w:vAlign w:val="center"/>
            <w:hideMark/>
          </w:tcPr>
          <w:p w14:paraId="77D9F0A3" w14:textId="77777777" w:rsidR="009271F3" w:rsidRPr="009271F3" w:rsidRDefault="009271F3" w:rsidP="009271F3">
            <w:pPr>
              <w:spacing w:after="0" w:line="240" w:lineRule="auto"/>
              <w:rPr>
                <w:rFonts w:eastAsia="Times New Roman" w:cs="Calibri"/>
                <w:b/>
                <w:bCs/>
                <w:color w:val="FFFFFF"/>
                <w:sz w:val="18"/>
                <w:szCs w:val="18"/>
                <w:lang w:eastAsia="en-US"/>
              </w:rPr>
            </w:pPr>
            <w:r w:rsidRPr="009271F3">
              <w:rPr>
                <w:rFonts w:eastAsia="Times New Roman" w:cs="Calibri"/>
                <w:b/>
                <w:bCs/>
                <w:color w:val="FFFFFF"/>
                <w:sz w:val="18"/>
                <w:szCs w:val="18"/>
                <w:lang w:eastAsia="en-US"/>
              </w:rPr>
              <w:t>Program Path</w:t>
            </w:r>
          </w:p>
        </w:tc>
        <w:tc>
          <w:tcPr>
            <w:tcW w:w="595" w:type="pct"/>
            <w:tcBorders>
              <w:top w:val="nil"/>
              <w:left w:val="nil"/>
              <w:bottom w:val="single" w:sz="12" w:space="0" w:color="95D600"/>
              <w:right w:val="nil"/>
            </w:tcBorders>
            <w:shd w:val="clear" w:color="000000" w:fill="036479"/>
            <w:vAlign w:val="center"/>
            <w:hideMark/>
          </w:tcPr>
          <w:p w14:paraId="7EF18CC8" w14:textId="77777777" w:rsidR="009271F3" w:rsidRPr="009271F3" w:rsidRDefault="009271F3" w:rsidP="009271F3">
            <w:pPr>
              <w:spacing w:after="0" w:line="240" w:lineRule="auto"/>
              <w:rPr>
                <w:rFonts w:eastAsia="Times New Roman" w:cs="Calibri"/>
                <w:b/>
                <w:bCs/>
                <w:color w:val="FFFFFF"/>
                <w:sz w:val="18"/>
                <w:szCs w:val="18"/>
                <w:lang w:eastAsia="en-US"/>
              </w:rPr>
            </w:pPr>
            <w:r w:rsidRPr="009271F3">
              <w:rPr>
                <w:rFonts w:eastAsia="Times New Roman" w:cs="Calibri"/>
                <w:b/>
                <w:bCs/>
                <w:color w:val="FFFFFF"/>
                <w:sz w:val="18"/>
                <w:szCs w:val="18"/>
                <w:lang w:eastAsia="en-US"/>
              </w:rPr>
              <w:t>Savings Category</w:t>
            </w:r>
          </w:p>
        </w:tc>
        <w:tc>
          <w:tcPr>
            <w:tcW w:w="594" w:type="pct"/>
            <w:tcBorders>
              <w:top w:val="nil"/>
              <w:left w:val="nil"/>
              <w:bottom w:val="single" w:sz="12" w:space="0" w:color="95D600"/>
              <w:right w:val="nil"/>
            </w:tcBorders>
            <w:shd w:val="clear" w:color="000000" w:fill="036479"/>
            <w:vAlign w:val="center"/>
            <w:hideMark/>
          </w:tcPr>
          <w:p w14:paraId="13B2C055" w14:textId="77777777" w:rsidR="009271F3" w:rsidRPr="009271F3" w:rsidRDefault="009271F3" w:rsidP="009271F3">
            <w:pPr>
              <w:spacing w:after="0" w:line="240" w:lineRule="auto"/>
              <w:jc w:val="center"/>
              <w:rPr>
                <w:rFonts w:eastAsia="Times New Roman" w:cs="Calibri"/>
                <w:b/>
                <w:bCs/>
                <w:color w:val="FFFFFF"/>
                <w:sz w:val="18"/>
                <w:szCs w:val="18"/>
                <w:lang w:eastAsia="en-US"/>
              </w:rPr>
            </w:pPr>
            <w:r w:rsidRPr="009271F3">
              <w:rPr>
                <w:rFonts w:eastAsia="Times New Roman" w:cs="Calibri"/>
                <w:b/>
                <w:bCs/>
                <w:color w:val="FFFFFF"/>
                <w:sz w:val="18"/>
                <w:szCs w:val="18"/>
                <w:lang w:eastAsia="en-US"/>
              </w:rPr>
              <w:t>DAC Project*</w:t>
            </w:r>
          </w:p>
        </w:tc>
        <w:tc>
          <w:tcPr>
            <w:tcW w:w="286" w:type="pct"/>
            <w:tcBorders>
              <w:top w:val="nil"/>
              <w:left w:val="nil"/>
              <w:bottom w:val="single" w:sz="12" w:space="0" w:color="95D600"/>
              <w:right w:val="nil"/>
            </w:tcBorders>
            <w:shd w:val="clear" w:color="000000" w:fill="036479"/>
            <w:vAlign w:val="center"/>
            <w:hideMark/>
          </w:tcPr>
          <w:p w14:paraId="4B89311B" w14:textId="77777777" w:rsidR="009271F3" w:rsidRPr="009271F3" w:rsidRDefault="009271F3" w:rsidP="009271F3">
            <w:pPr>
              <w:spacing w:after="0" w:line="240" w:lineRule="auto"/>
              <w:rPr>
                <w:rFonts w:eastAsia="Times New Roman" w:cs="Calibri"/>
                <w:b/>
                <w:bCs/>
                <w:color w:val="FFFFFF"/>
                <w:sz w:val="18"/>
                <w:szCs w:val="18"/>
                <w:lang w:eastAsia="en-US"/>
              </w:rPr>
            </w:pPr>
            <w:r w:rsidRPr="009271F3">
              <w:rPr>
                <w:rFonts w:eastAsia="Times New Roman" w:cs="Calibri"/>
                <w:b/>
                <w:bCs/>
                <w:color w:val="FFFFFF"/>
                <w:sz w:val="18"/>
                <w:szCs w:val="18"/>
                <w:lang w:eastAsia="en-US"/>
              </w:rPr>
              <w:t>Units</w:t>
            </w:r>
          </w:p>
        </w:tc>
        <w:tc>
          <w:tcPr>
            <w:tcW w:w="278" w:type="pct"/>
            <w:tcBorders>
              <w:top w:val="nil"/>
              <w:left w:val="nil"/>
              <w:bottom w:val="single" w:sz="12" w:space="0" w:color="95D600"/>
              <w:right w:val="nil"/>
            </w:tcBorders>
            <w:shd w:val="clear" w:color="000000" w:fill="036479"/>
            <w:vAlign w:val="center"/>
            <w:hideMark/>
          </w:tcPr>
          <w:p w14:paraId="692DA36F"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Quantity </w:t>
            </w:r>
          </w:p>
        </w:tc>
        <w:tc>
          <w:tcPr>
            <w:tcW w:w="289" w:type="pct"/>
            <w:tcBorders>
              <w:top w:val="nil"/>
              <w:left w:val="nil"/>
              <w:bottom w:val="single" w:sz="12" w:space="0" w:color="95D600"/>
              <w:right w:val="nil"/>
            </w:tcBorders>
            <w:shd w:val="clear" w:color="000000" w:fill="036479"/>
            <w:vAlign w:val="center"/>
            <w:hideMark/>
          </w:tcPr>
          <w:p w14:paraId="16E3D63C"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Effective Useful Life </w:t>
            </w:r>
          </w:p>
        </w:tc>
        <w:tc>
          <w:tcPr>
            <w:tcW w:w="426" w:type="pct"/>
            <w:tcBorders>
              <w:top w:val="nil"/>
              <w:left w:val="nil"/>
              <w:bottom w:val="single" w:sz="12" w:space="0" w:color="95D600"/>
              <w:right w:val="nil"/>
            </w:tcBorders>
            <w:shd w:val="clear" w:color="000000" w:fill="036479"/>
            <w:vAlign w:val="center"/>
            <w:hideMark/>
          </w:tcPr>
          <w:p w14:paraId="3D9E6768" w14:textId="77777777" w:rsidR="009271F3" w:rsidRPr="009271F3" w:rsidRDefault="009271F3" w:rsidP="009271F3">
            <w:pPr>
              <w:spacing w:after="0" w:line="240" w:lineRule="auto"/>
              <w:jc w:val="center"/>
              <w:rPr>
                <w:rFonts w:eastAsia="Times New Roman" w:cs="Calibri"/>
                <w:b/>
                <w:bCs/>
                <w:color w:val="FFFFFF"/>
                <w:sz w:val="18"/>
                <w:szCs w:val="18"/>
                <w:lang w:eastAsia="en-US"/>
              </w:rPr>
            </w:pPr>
            <w:r w:rsidRPr="009271F3">
              <w:rPr>
                <w:rFonts w:eastAsia="Times New Roman" w:cs="Calibri"/>
                <w:b/>
                <w:bCs/>
                <w:color w:val="FFFFFF"/>
                <w:sz w:val="18"/>
                <w:szCs w:val="18"/>
                <w:lang w:eastAsia="en-US"/>
              </w:rPr>
              <w:t>Early Replacement Flag</w:t>
            </w:r>
          </w:p>
        </w:tc>
        <w:tc>
          <w:tcPr>
            <w:tcW w:w="424" w:type="pct"/>
            <w:tcBorders>
              <w:top w:val="nil"/>
              <w:left w:val="nil"/>
              <w:bottom w:val="single" w:sz="12" w:space="0" w:color="95D600"/>
              <w:right w:val="nil"/>
            </w:tcBorders>
            <w:shd w:val="clear" w:color="000000" w:fill="036479"/>
            <w:vAlign w:val="center"/>
            <w:hideMark/>
          </w:tcPr>
          <w:p w14:paraId="00F1CFAF"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Verified Gross Annual Water Savings (Gallons) </w:t>
            </w:r>
          </w:p>
        </w:tc>
        <w:tc>
          <w:tcPr>
            <w:tcW w:w="388" w:type="pct"/>
            <w:tcBorders>
              <w:top w:val="nil"/>
              <w:left w:val="nil"/>
              <w:bottom w:val="single" w:sz="12" w:space="0" w:color="95D600"/>
              <w:right w:val="nil"/>
            </w:tcBorders>
            <w:shd w:val="clear" w:color="000000" w:fill="036479"/>
            <w:vAlign w:val="center"/>
            <w:hideMark/>
          </w:tcPr>
          <w:p w14:paraId="57B92A50"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Ex Ante Gross Savings (Therms) </w:t>
            </w:r>
          </w:p>
        </w:tc>
        <w:tc>
          <w:tcPr>
            <w:tcW w:w="354" w:type="pct"/>
            <w:tcBorders>
              <w:top w:val="nil"/>
              <w:left w:val="nil"/>
              <w:bottom w:val="single" w:sz="12" w:space="0" w:color="95D600"/>
              <w:right w:val="nil"/>
            </w:tcBorders>
            <w:shd w:val="clear" w:color="000000" w:fill="036479"/>
            <w:vAlign w:val="center"/>
            <w:hideMark/>
          </w:tcPr>
          <w:p w14:paraId="759932AD"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Verified Gross Savings (Therms) </w:t>
            </w:r>
          </w:p>
        </w:tc>
        <w:tc>
          <w:tcPr>
            <w:tcW w:w="337" w:type="pct"/>
            <w:tcBorders>
              <w:top w:val="nil"/>
              <w:left w:val="nil"/>
              <w:bottom w:val="single" w:sz="12" w:space="0" w:color="95D600"/>
              <w:right w:val="nil"/>
            </w:tcBorders>
            <w:shd w:val="clear" w:color="000000" w:fill="036479"/>
            <w:vAlign w:val="center"/>
            <w:hideMark/>
          </w:tcPr>
          <w:p w14:paraId="113A0692" w14:textId="77777777" w:rsidR="009271F3" w:rsidRPr="009271F3" w:rsidRDefault="009271F3" w:rsidP="009271F3">
            <w:pPr>
              <w:spacing w:after="0" w:line="240" w:lineRule="auto"/>
              <w:jc w:val="right"/>
              <w:rPr>
                <w:rFonts w:eastAsia="Times New Roman" w:cs="Calibri"/>
                <w:b/>
                <w:bCs/>
                <w:color w:val="FFFFFF"/>
                <w:sz w:val="18"/>
                <w:szCs w:val="18"/>
                <w:lang w:eastAsia="en-US"/>
              </w:rPr>
            </w:pPr>
            <w:r w:rsidRPr="009271F3">
              <w:rPr>
                <w:rFonts w:eastAsia="Times New Roman" w:cs="Calibri"/>
                <w:b/>
                <w:bCs/>
                <w:color w:val="FFFFFF"/>
                <w:sz w:val="18"/>
                <w:szCs w:val="18"/>
                <w:lang w:eastAsia="en-US"/>
              </w:rPr>
              <w:t xml:space="preserve"> Verified Net Savings (Therms) </w:t>
            </w:r>
          </w:p>
        </w:tc>
      </w:tr>
      <w:tr w:rsidR="009271F3" w:rsidRPr="009271F3" w14:paraId="26427A92" w14:textId="77777777" w:rsidTr="009271F3">
        <w:trPr>
          <w:trHeight w:val="330"/>
        </w:trPr>
        <w:tc>
          <w:tcPr>
            <w:tcW w:w="515" w:type="pct"/>
            <w:tcBorders>
              <w:top w:val="nil"/>
              <w:left w:val="nil"/>
              <w:bottom w:val="single" w:sz="8" w:space="0" w:color="B3EFFD"/>
              <w:right w:val="nil"/>
            </w:tcBorders>
            <w:shd w:val="clear" w:color="000000" w:fill="FFFFFF"/>
            <w:vAlign w:val="center"/>
            <w:hideMark/>
          </w:tcPr>
          <w:p w14:paraId="6EA81F01" w14:textId="77777777" w:rsidR="009271F3" w:rsidRPr="009271F3" w:rsidRDefault="009271F3" w:rsidP="009271F3">
            <w:pPr>
              <w:spacing w:after="0" w:line="240" w:lineRule="auto"/>
              <w:rPr>
                <w:rFonts w:eastAsia="Times New Roman" w:cs="Calibri"/>
                <w:color w:val="000000"/>
                <w:sz w:val="18"/>
                <w:szCs w:val="18"/>
                <w:lang w:eastAsia="en-US"/>
              </w:rPr>
            </w:pPr>
            <w:r w:rsidRPr="009271F3">
              <w:rPr>
                <w:rFonts w:eastAsia="Times New Roman" w:cs="Calibri"/>
                <w:color w:val="000000"/>
                <w:sz w:val="18"/>
                <w:szCs w:val="18"/>
                <w:lang w:eastAsia="en-US"/>
              </w:rPr>
              <w:t>Private</w:t>
            </w:r>
          </w:p>
        </w:tc>
        <w:tc>
          <w:tcPr>
            <w:tcW w:w="514" w:type="pct"/>
            <w:tcBorders>
              <w:top w:val="nil"/>
              <w:left w:val="nil"/>
              <w:bottom w:val="single" w:sz="8" w:space="0" w:color="B3EFFD"/>
              <w:right w:val="nil"/>
            </w:tcBorders>
            <w:shd w:val="clear" w:color="000000" w:fill="FFFFFF"/>
            <w:vAlign w:val="center"/>
            <w:hideMark/>
          </w:tcPr>
          <w:p w14:paraId="42BA5449" w14:textId="77777777" w:rsidR="009271F3" w:rsidRPr="009271F3" w:rsidRDefault="009271F3" w:rsidP="009271F3">
            <w:pPr>
              <w:spacing w:after="0" w:line="240" w:lineRule="auto"/>
              <w:rPr>
                <w:rFonts w:eastAsia="Times New Roman" w:cs="Calibri"/>
                <w:color w:val="000000"/>
                <w:sz w:val="18"/>
                <w:szCs w:val="18"/>
                <w:lang w:eastAsia="en-US"/>
              </w:rPr>
            </w:pPr>
            <w:r w:rsidRPr="009271F3">
              <w:rPr>
                <w:rFonts w:eastAsia="Times New Roman" w:cs="Calibri"/>
                <w:color w:val="000000"/>
                <w:sz w:val="18"/>
                <w:szCs w:val="18"/>
                <w:lang w:eastAsia="en-US"/>
              </w:rPr>
              <w:t>Direct Install</w:t>
            </w:r>
          </w:p>
        </w:tc>
        <w:tc>
          <w:tcPr>
            <w:tcW w:w="595" w:type="pct"/>
            <w:tcBorders>
              <w:top w:val="nil"/>
              <w:left w:val="nil"/>
              <w:bottom w:val="single" w:sz="8" w:space="0" w:color="B3EFFD"/>
              <w:right w:val="nil"/>
            </w:tcBorders>
            <w:vAlign w:val="center"/>
            <w:hideMark/>
          </w:tcPr>
          <w:p w14:paraId="01405628" w14:textId="77777777" w:rsidR="009271F3" w:rsidRPr="009271F3" w:rsidRDefault="009271F3" w:rsidP="009271F3">
            <w:pPr>
              <w:spacing w:after="0" w:line="240" w:lineRule="auto"/>
              <w:rPr>
                <w:rFonts w:eastAsia="Times New Roman" w:cs="Calibri"/>
                <w:color w:val="000000"/>
                <w:sz w:val="18"/>
                <w:szCs w:val="18"/>
                <w:lang w:eastAsia="en-US"/>
              </w:rPr>
            </w:pPr>
            <w:r w:rsidRPr="009271F3">
              <w:rPr>
                <w:rFonts w:eastAsia="Times New Roman" w:cs="Calibri"/>
                <w:color w:val="000000"/>
                <w:sz w:val="18"/>
                <w:szCs w:val="18"/>
                <w:lang w:eastAsia="en-US"/>
              </w:rPr>
              <w:t>Behavioral Savings</w:t>
            </w:r>
          </w:p>
        </w:tc>
        <w:tc>
          <w:tcPr>
            <w:tcW w:w="594" w:type="pct"/>
            <w:tcBorders>
              <w:top w:val="nil"/>
              <w:left w:val="nil"/>
              <w:bottom w:val="single" w:sz="8" w:space="0" w:color="B3EFFD"/>
              <w:right w:val="nil"/>
            </w:tcBorders>
            <w:vAlign w:val="center"/>
            <w:hideMark/>
          </w:tcPr>
          <w:p w14:paraId="1C35E3A5" w14:textId="77777777" w:rsidR="009271F3" w:rsidRPr="009271F3" w:rsidRDefault="009271F3" w:rsidP="009271F3">
            <w:pPr>
              <w:spacing w:after="0" w:line="240" w:lineRule="auto"/>
              <w:jc w:val="center"/>
              <w:rPr>
                <w:rFonts w:eastAsia="Times New Roman" w:cs="Calibri"/>
                <w:color w:val="000000"/>
                <w:sz w:val="18"/>
                <w:szCs w:val="18"/>
                <w:lang w:eastAsia="en-US"/>
              </w:rPr>
            </w:pPr>
            <w:r w:rsidRPr="009271F3">
              <w:rPr>
                <w:rFonts w:eastAsia="Times New Roman" w:cs="Calibri"/>
                <w:color w:val="000000"/>
                <w:sz w:val="18"/>
                <w:szCs w:val="18"/>
                <w:lang w:eastAsia="en-US"/>
              </w:rPr>
              <w:t>FALSE</w:t>
            </w:r>
          </w:p>
        </w:tc>
        <w:tc>
          <w:tcPr>
            <w:tcW w:w="286" w:type="pct"/>
            <w:tcBorders>
              <w:top w:val="nil"/>
              <w:left w:val="nil"/>
              <w:bottom w:val="single" w:sz="8" w:space="0" w:color="B3EFFD"/>
              <w:right w:val="nil"/>
            </w:tcBorders>
            <w:shd w:val="clear" w:color="000000" w:fill="FFFFFF"/>
            <w:noWrap/>
            <w:vAlign w:val="center"/>
            <w:hideMark/>
          </w:tcPr>
          <w:p w14:paraId="5A6B03BD" w14:textId="77777777" w:rsidR="009271F3" w:rsidRPr="009271F3" w:rsidRDefault="009271F3" w:rsidP="009271F3">
            <w:pPr>
              <w:spacing w:after="0" w:line="240" w:lineRule="auto"/>
              <w:rPr>
                <w:rFonts w:eastAsia="Times New Roman" w:cs="Calibri"/>
                <w:color w:val="000000"/>
                <w:sz w:val="18"/>
                <w:szCs w:val="18"/>
                <w:lang w:eastAsia="en-US"/>
              </w:rPr>
            </w:pPr>
            <w:r w:rsidRPr="009271F3">
              <w:rPr>
                <w:rFonts w:eastAsia="Times New Roman" w:cs="Calibri"/>
                <w:color w:val="000000"/>
                <w:sz w:val="18"/>
                <w:szCs w:val="18"/>
                <w:lang w:eastAsia="en-US"/>
              </w:rPr>
              <w:t>Unit</w:t>
            </w:r>
          </w:p>
        </w:tc>
        <w:tc>
          <w:tcPr>
            <w:tcW w:w="278" w:type="pct"/>
            <w:tcBorders>
              <w:top w:val="nil"/>
              <w:left w:val="nil"/>
              <w:bottom w:val="single" w:sz="8" w:space="0" w:color="B3EFFD"/>
              <w:right w:val="nil"/>
            </w:tcBorders>
            <w:shd w:val="clear" w:color="000000" w:fill="FFFFFF"/>
            <w:noWrap/>
            <w:vAlign w:val="center"/>
            <w:hideMark/>
          </w:tcPr>
          <w:p w14:paraId="567B43FC" w14:textId="062B354B"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        7</w:t>
            </w:r>
            <w:r w:rsidR="001E220A">
              <w:rPr>
                <w:rFonts w:eastAsia="Times New Roman" w:cs="Calibri"/>
                <w:color w:val="000000"/>
                <w:sz w:val="18"/>
                <w:szCs w:val="18"/>
                <w:lang w:eastAsia="en-US"/>
              </w:rPr>
              <w:t>4</w:t>
            </w:r>
            <w:r w:rsidRPr="009271F3">
              <w:rPr>
                <w:rFonts w:eastAsia="Times New Roman" w:cs="Calibri"/>
                <w:color w:val="000000"/>
                <w:sz w:val="18"/>
                <w:szCs w:val="18"/>
                <w:lang w:eastAsia="en-US"/>
              </w:rPr>
              <w:t>,</w:t>
            </w:r>
            <w:r w:rsidR="001E220A">
              <w:rPr>
                <w:rFonts w:eastAsia="Times New Roman" w:cs="Calibri"/>
                <w:color w:val="000000"/>
                <w:sz w:val="18"/>
                <w:szCs w:val="18"/>
                <w:lang w:eastAsia="en-US"/>
              </w:rPr>
              <w:t>065</w:t>
            </w:r>
            <w:r w:rsidRPr="009271F3">
              <w:rPr>
                <w:rFonts w:eastAsia="Times New Roman" w:cs="Calibri"/>
                <w:color w:val="000000"/>
                <w:sz w:val="18"/>
                <w:szCs w:val="18"/>
                <w:lang w:eastAsia="en-US"/>
              </w:rPr>
              <w:t xml:space="preserve"> </w:t>
            </w:r>
          </w:p>
        </w:tc>
        <w:tc>
          <w:tcPr>
            <w:tcW w:w="289" w:type="pct"/>
            <w:tcBorders>
              <w:top w:val="nil"/>
              <w:left w:val="nil"/>
              <w:bottom w:val="single" w:sz="8" w:space="0" w:color="B3EFFD"/>
              <w:right w:val="nil"/>
            </w:tcBorders>
            <w:shd w:val="clear" w:color="000000" w:fill="FFFFFF"/>
            <w:noWrap/>
            <w:vAlign w:val="center"/>
            <w:hideMark/>
          </w:tcPr>
          <w:p w14:paraId="51EC064B" w14:textId="77777777"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                  7.0 </w:t>
            </w:r>
          </w:p>
        </w:tc>
        <w:tc>
          <w:tcPr>
            <w:tcW w:w="426" w:type="pct"/>
            <w:tcBorders>
              <w:top w:val="nil"/>
              <w:left w:val="nil"/>
              <w:bottom w:val="single" w:sz="8" w:space="0" w:color="B3EFFD"/>
              <w:right w:val="nil"/>
            </w:tcBorders>
            <w:shd w:val="clear" w:color="000000" w:fill="FFFFFF"/>
            <w:noWrap/>
            <w:vAlign w:val="center"/>
            <w:hideMark/>
          </w:tcPr>
          <w:p w14:paraId="66BA4CBA" w14:textId="77777777" w:rsidR="009271F3" w:rsidRPr="009271F3" w:rsidRDefault="009271F3" w:rsidP="009271F3">
            <w:pPr>
              <w:spacing w:after="0" w:line="240" w:lineRule="auto"/>
              <w:jc w:val="center"/>
              <w:rPr>
                <w:rFonts w:eastAsia="Times New Roman" w:cs="Calibri"/>
                <w:color w:val="000000"/>
                <w:sz w:val="18"/>
                <w:szCs w:val="18"/>
                <w:lang w:eastAsia="en-US"/>
              </w:rPr>
            </w:pPr>
            <w:r w:rsidRPr="009271F3">
              <w:rPr>
                <w:rFonts w:eastAsia="Times New Roman" w:cs="Calibri"/>
                <w:color w:val="000000"/>
                <w:sz w:val="18"/>
                <w:szCs w:val="18"/>
                <w:lang w:eastAsia="en-US"/>
              </w:rPr>
              <w:t>NO</w:t>
            </w:r>
          </w:p>
        </w:tc>
        <w:tc>
          <w:tcPr>
            <w:tcW w:w="424" w:type="pct"/>
            <w:tcBorders>
              <w:top w:val="nil"/>
              <w:left w:val="nil"/>
              <w:bottom w:val="single" w:sz="8" w:space="0" w:color="B3EFFD"/>
              <w:right w:val="nil"/>
            </w:tcBorders>
            <w:shd w:val="clear" w:color="000000" w:fill="FFFFFF"/>
            <w:noWrap/>
            <w:vAlign w:val="center"/>
            <w:hideMark/>
          </w:tcPr>
          <w:p w14:paraId="141E617A" w14:textId="77777777"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 N/A </w:t>
            </w:r>
          </w:p>
        </w:tc>
        <w:tc>
          <w:tcPr>
            <w:tcW w:w="388" w:type="pct"/>
            <w:tcBorders>
              <w:top w:val="nil"/>
              <w:left w:val="nil"/>
              <w:bottom w:val="single" w:sz="8" w:space="0" w:color="B3EFFD"/>
              <w:right w:val="nil"/>
            </w:tcBorders>
            <w:shd w:val="clear" w:color="000000" w:fill="FFFFFF"/>
            <w:noWrap/>
            <w:vAlign w:val="center"/>
            <w:hideMark/>
          </w:tcPr>
          <w:p w14:paraId="6C8E39FE" w14:textId="77777777"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 N/A </w:t>
            </w:r>
          </w:p>
        </w:tc>
        <w:tc>
          <w:tcPr>
            <w:tcW w:w="354" w:type="pct"/>
            <w:tcBorders>
              <w:top w:val="nil"/>
              <w:left w:val="nil"/>
              <w:bottom w:val="single" w:sz="8" w:space="0" w:color="B3EFFD"/>
              <w:right w:val="nil"/>
            </w:tcBorders>
            <w:shd w:val="clear" w:color="000000" w:fill="FFFFFF"/>
            <w:vAlign w:val="center"/>
            <w:hideMark/>
          </w:tcPr>
          <w:p w14:paraId="2753B9B7" w14:textId="77777777"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 N/A </w:t>
            </w:r>
          </w:p>
        </w:tc>
        <w:tc>
          <w:tcPr>
            <w:tcW w:w="337" w:type="pct"/>
            <w:tcBorders>
              <w:top w:val="nil"/>
              <w:left w:val="nil"/>
              <w:bottom w:val="single" w:sz="8" w:space="0" w:color="B3EFFD"/>
              <w:right w:val="nil"/>
            </w:tcBorders>
            <w:vAlign w:val="center"/>
            <w:hideMark/>
          </w:tcPr>
          <w:p w14:paraId="52085F72" w14:textId="42A83638" w:rsidR="009271F3" w:rsidRPr="009271F3" w:rsidRDefault="009271F3" w:rsidP="009271F3">
            <w:pPr>
              <w:spacing w:after="0" w:line="240" w:lineRule="auto"/>
              <w:jc w:val="right"/>
              <w:rPr>
                <w:rFonts w:eastAsia="Times New Roman" w:cs="Calibri"/>
                <w:color w:val="000000"/>
                <w:sz w:val="18"/>
                <w:szCs w:val="18"/>
                <w:lang w:eastAsia="en-US"/>
              </w:rPr>
            </w:pPr>
            <w:r w:rsidRPr="009271F3">
              <w:rPr>
                <w:rFonts w:eastAsia="Times New Roman" w:cs="Calibri"/>
                <w:color w:val="000000"/>
                <w:sz w:val="18"/>
                <w:szCs w:val="18"/>
                <w:lang w:eastAsia="en-US"/>
              </w:rPr>
              <w:t xml:space="preserve">308,126 </w:t>
            </w:r>
          </w:p>
        </w:tc>
      </w:tr>
      <w:tr w:rsidR="009271F3" w:rsidRPr="009271F3" w14:paraId="1F4530B9" w14:textId="77777777" w:rsidTr="009271F3">
        <w:trPr>
          <w:trHeight w:val="300"/>
        </w:trPr>
        <w:tc>
          <w:tcPr>
            <w:tcW w:w="1029" w:type="pct"/>
            <w:gridSpan w:val="2"/>
            <w:tcBorders>
              <w:top w:val="single" w:sz="8" w:space="0" w:color="B3EFFD"/>
              <w:left w:val="nil"/>
              <w:bottom w:val="single" w:sz="8" w:space="0" w:color="036479"/>
              <w:right w:val="nil"/>
            </w:tcBorders>
            <w:noWrap/>
            <w:vAlign w:val="center"/>
            <w:hideMark/>
          </w:tcPr>
          <w:p w14:paraId="5F650AEE" w14:textId="77777777" w:rsidR="009271F3" w:rsidRPr="009271F3" w:rsidRDefault="009271F3" w:rsidP="009271F3">
            <w:pPr>
              <w:spacing w:after="0" w:line="240" w:lineRule="auto"/>
              <w:rPr>
                <w:rFonts w:eastAsia="Times New Roman" w:cs="Calibri"/>
                <w:b/>
                <w:bCs/>
                <w:color w:val="000000"/>
                <w:sz w:val="18"/>
                <w:szCs w:val="18"/>
                <w:lang w:eastAsia="en-US"/>
              </w:rPr>
            </w:pPr>
            <w:r w:rsidRPr="009271F3">
              <w:rPr>
                <w:rFonts w:eastAsia="Times New Roman" w:cs="Calibri"/>
                <w:b/>
                <w:bCs/>
                <w:color w:val="000000"/>
                <w:sz w:val="18"/>
                <w:szCs w:val="18"/>
                <w:lang w:eastAsia="en-US"/>
              </w:rPr>
              <w:t>Total or Weighted Average</w:t>
            </w:r>
          </w:p>
        </w:tc>
        <w:tc>
          <w:tcPr>
            <w:tcW w:w="595" w:type="pct"/>
            <w:tcBorders>
              <w:top w:val="nil"/>
              <w:left w:val="nil"/>
              <w:bottom w:val="single" w:sz="8" w:space="0" w:color="036479"/>
              <w:right w:val="nil"/>
            </w:tcBorders>
            <w:vAlign w:val="center"/>
            <w:hideMark/>
          </w:tcPr>
          <w:p w14:paraId="426128C6"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w:t>
            </w:r>
          </w:p>
        </w:tc>
        <w:tc>
          <w:tcPr>
            <w:tcW w:w="594" w:type="pct"/>
            <w:tcBorders>
              <w:top w:val="nil"/>
              <w:left w:val="nil"/>
              <w:bottom w:val="single" w:sz="8" w:space="0" w:color="036479"/>
              <w:right w:val="nil"/>
            </w:tcBorders>
            <w:vAlign w:val="center"/>
            <w:hideMark/>
          </w:tcPr>
          <w:p w14:paraId="24660561"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w:t>
            </w:r>
          </w:p>
        </w:tc>
        <w:tc>
          <w:tcPr>
            <w:tcW w:w="286" w:type="pct"/>
            <w:tcBorders>
              <w:top w:val="nil"/>
              <w:left w:val="nil"/>
              <w:bottom w:val="single" w:sz="8" w:space="0" w:color="036479"/>
              <w:right w:val="nil"/>
            </w:tcBorders>
            <w:vAlign w:val="center"/>
            <w:hideMark/>
          </w:tcPr>
          <w:p w14:paraId="78E91EB8"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w:t>
            </w:r>
          </w:p>
        </w:tc>
        <w:tc>
          <w:tcPr>
            <w:tcW w:w="278" w:type="pct"/>
            <w:tcBorders>
              <w:top w:val="nil"/>
              <w:left w:val="nil"/>
              <w:bottom w:val="single" w:sz="8" w:space="0" w:color="036479"/>
              <w:right w:val="nil"/>
            </w:tcBorders>
            <w:vAlign w:val="center"/>
            <w:hideMark/>
          </w:tcPr>
          <w:p w14:paraId="224C79CC"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w:t>
            </w:r>
          </w:p>
        </w:tc>
        <w:tc>
          <w:tcPr>
            <w:tcW w:w="289" w:type="pct"/>
            <w:tcBorders>
              <w:top w:val="nil"/>
              <w:left w:val="nil"/>
              <w:bottom w:val="single" w:sz="8" w:space="0" w:color="036479"/>
              <w:right w:val="nil"/>
            </w:tcBorders>
            <w:vAlign w:val="center"/>
            <w:hideMark/>
          </w:tcPr>
          <w:p w14:paraId="6AE951D0" w14:textId="77777777" w:rsidR="009271F3" w:rsidRPr="009271F3" w:rsidRDefault="009271F3" w:rsidP="009271F3">
            <w:pPr>
              <w:spacing w:after="0" w:line="240" w:lineRule="auto"/>
              <w:rPr>
                <w:rFonts w:eastAsia="Times New Roman" w:cs="Calibri"/>
                <w:b/>
                <w:bCs/>
                <w:color w:val="000000"/>
                <w:sz w:val="18"/>
                <w:szCs w:val="18"/>
                <w:lang w:eastAsia="en-US"/>
              </w:rPr>
            </w:pPr>
            <w:r w:rsidRPr="009271F3">
              <w:rPr>
                <w:rFonts w:eastAsia="Times New Roman" w:cs="Calibri"/>
                <w:b/>
                <w:bCs/>
                <w:color w:val="000000"/>
                <w:sz w:val="18"/>
                <w:szCs w:val="18"/>
                <w:lang w:eastAsia="en-US"/>
              </w:rPr>
              <w:t xml:space="preserve">                  7.0 </w:t>
            </w:r>
          </w:p>
        </w:tc>
        <w:tc>
          <w:tcPr>
            <w:tcW w:w="426" w:type="pct"/>
            <w:tcBorders>
              <w:top w:val="nil"/>
              <w:left w:val="nil"/>
              <w:bottom w:val="single" w:sz="8" w:space="0" w:color="036479"/>
              <w:right w:val="nil"/>
            </w:tcBorders>
            <w:vAlign w:val="center"/>
            <w:hideMark/>
          </w:tcPr>
          <w:p w14:paraId="13F47613"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w:t>
            </w:r>
          </w:p>
        </w:tc>
        <w:tc>
          <w:tcPr>
            <w:tcW w:w="424" w:type="pct"/>
            <w:tcBorders>
              <w:top w:val="nil"/>
              <w:left w:val="nil"/>
              <w:bottom w:val="single" w:sz="8" w:space="0" w:color="036479"/>
              <w:right w:val="nil"/>
            </w:tcBorders>
            <w:vAlign w:val="center"/>
            <w:hideMark/>
          </w:tcPr>
          <w:p w14:paraId="246284C1"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xml:space="preserve">                                       -   </w:t>
            </w:r>
          </w:p>
        </w:tc>
        <w:tc>
          <w:tcPr>
            <w:tcW w:w="388" w:type="pct"/>
            <w:tcBorders>
              <w:top w:val="nil"/>
              <w:left w:val="nil"/>
              <w:bottom w:val="single" w:sz="8" w:space="0" w:color="036479"/>
              <w:right w:val="nil"/>
            </w:tcBorders>
            <w:vAlign w:val="center"/>
            <w:hideMark/>
          </w:tcPr>
          <w:p w14:paraId="728BAF62"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xml:space="preserve">                                   -   </w:t>
            </w:r>
          </w:p>
        </w:tc>
        <w:tc>
          <w:tcPr>
            <w:tcW w:w="354" w:type="pct"/>
            <w:tcBorders>
              <w:top w:val="nil"/>
              <w:left w:val="nil"/>
              <w:bottom w:val="single" w:sz="8" w:space="0" w:color="036479"/>
              <w:right w:val="nil"/>
            </w:tcBorders>
            <w:noWrap/>
            <w:vAlign w:val="center"/>
            <w:hideMark/>
          </w:tcPr>
          <w:p w14:paraId="73D4498B"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xml:space="preserve">                              -   </w:t>
            </w:r>
          </w:p>
        </w:tc>
        <w:tc>
          <w:tcPr>
            <w:tcW w:w="337" w:type="pct"/>
            <w:tcBorders>
              <w:top w:val="nil"/>
              <w:left w:val="nil"/>
              <w:bottom w:val="single" w:sz="8" w:space="0" w:color="036479"/>
              <w:right w:val="nil"/>
            </w:tcBorders>
            <w:noWrap/>
            <w:vAlign w:val="center"/>
            <w:hideMark/>
          </w:tcPr>
          <w:p w14:paraId="32165EF2" w14:textId="77777777" w:rsidR="009271F3" w:rsidRPr="009271F3" w:rsidRDefault="009271F3" w:rsidP="009271F3">
            <w:pPr>
              <w:spacing w:after="0" w:line="240" w:lineRule="auto"/>
              <w:jc w:val="right"/>
              <w:rPr>
                <w:rFonts w:eastAsia="Times New Roman" w:cs="Calibri"/>
                <w:b/>
                <w:bCs/>
                <w:color w:val="000000"/>
                <w:sz w:val="18"/>
                <w:szCs w:val="18"/>
                <w:lang w:eastAsia="en-US"/>
              </w:rPr>
            </w:pPr>
            <w:r w:rsidRPr="009271F3">
              <w:rPr>
                <w:rFonts w:eastAsia="Times New Roman" w:cs="Calibri"/>
                <w:b/>
                <w:bCs/>
                <w:color w:val="000000"/>
                <w:sz w:val="18"/>
                <w:szCs w:val="18"/>
                <w:lang w:eastAsia="en-US"/>
              </w:rPr>
              <w:t xml:space="preserve">           308,126 </w:t>
            </w:r>
          </w:p>
        </w:tc>
      </w:tr>
    </w:tbl>
    <w:p w14:paraId="285DABD5" w14:textId="57F9162D" w:rsidR="0039319A" w:rsidRPr="009E2112" w:rsidRDefault="0039319A" w:rsidP="000B4769">
      <w:pPr>
        <w:pStyle w:val="Source"/>
        <w:rPr>
          <w:rFonts w:asciiTheme="minorHAnsi" w:hAnsiTheme="minorHAnsi"/>
          <w:i w:val="0"/>
          <w:sz w:val="18"/>
          <w:szCs w:val="18"/>
        </w:rPr>
      </w:pPr>
      <w:r w:rsidRPr="009E2112">
        <w:rPr>
          <w:rFonts w:asciiTheme="minorHAnsi" w:hAnsiTheme="minorHAnsi"/>
          <w:sz w:val="18"/>
          <w:szCs w:val="18"/>
        </w:rPr>
        <w:t>Source: Evaluation team analysis</w:t>
      </w:r>
    </w:p>
    <w:p w14:paraId="066A7307" w14:textId="77777777" w:rsidR="00CD3CAA" w:rsidRPr="00F25675" w:rsidRDefault="00CD3CAA" w:rsidP="00C86D45">
      <w:pPr>
        <w:rPr>
          <w:rFonts w:asciiTheme="majorHAnsi" w:hAnsiTheme="majorHAnsi"/>
        </w:rPr>
      </w:pPr>
    </w:p>
    <w:sectPr w:rsidR="00CD3CAA" w:rsidRPr="00F25675" w:rsidSect="00C86D45">
      <w:headerReference w:type="default" r:id="rId27"/>
      <w:footerReference w:type="default" r:id="rId2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2EBA" w14:textId="77777777" w:rsidR="002707BF" w:rsidRDefault="002707BF">
      <w:pPr>
        <w:spacing w:after="0" w:line="240" w:lineRule="auto"/>
      </w:pPr>
      <w:r>
        <w:separator/>
      </w:r>
    </w:p>
  </w:endnote>
  <w:endnote w:type="continuationSeparator" w:id="0">
    <w:p w14:paraId="6B80A39A" w14:textId="77777777" w:rsidR="002707BF" w:rsidRDefault="0027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285E" w14:textId="77777777" w:rsidR="004257D7" w:rsidRDefault="00425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C86D45" w:rsidRPr="00582062" w14:paraId="40B083D6" w14:textId="77777777" w:rsidTr="00C86D45">
      <w:trPr>
        <w:trHeight w:val="144"/>
        <w:jc w:val="center"/>
      </w:trPr>
      <w:tc>
        <w:tcPr>
          <w:tcW w:w="6681" w:type="dxa"/>
          <w:tcBorders>
            <w:top w:val="single" w:sz="8" w:space="0" w:color="8C8C8C"/>
            <w:left w:val="nil"/>
            <w:bottom w:val="nil"/>
          </w:tcBorders>
        </w:tcPr>
        <w:p w14:paraId="6EE6848C" w14:textId="77777777" w:rsidR="00CD3CAA" w:rsidRPr="00582062" w:rsidRDefault="00CD3CAA" w:rsidP="00C86D45">
          <w:pPr>
            <w:pStyle w:val="Footer"/>
            <w:spacing w:before="120"/>
            <w:rPr>
              <w:sz w:val="2"/>
              <w:szCs w:val="2"/>
            </w:rPr>
          </w:pPr>
        </w:p>
      </w:tc>
      <w:tc>
        <w:tcPr>
          <w:tcW w:w="2679" w:type="dxa"/>
          <w:tcBorders>
            <w:top w:val="single" w:sz="8" w:space="0" w:color="8C8C8C"/>
          </w:tcBorders>
        </w:tcPr>
        <w:p w14:paraId="1C77F2F6" w14:textId="77777777" w:rsidR="00CD3CAA" w:rsidRPr="00582062" w:rsidRDefault="00CD3CAA" w:rsidP="00C86D45">
          <w:pPr>
            <w:pStyle w:val="Footer"/>
            <w:spacing w:before="120"/>
            <w:jc w:val="right"/>
            <w:rPr>
              <w:sz w:val="2"/>
              <w:szCs w:val="2"/>
            </w:rPr>
          </w:pPr>
        </w:p>
      </w:tc>
    </w:tr>
    <w:tr w:rsidR="00C86D45" w:rsidRPr="00EA2FA5" w14:paraId="6565FA26" w14:textId="77777777" w:rsidTr="00C86D45">
      <w:trPr>
        <w:trHeight w:val="195"/>
        <w:jc w:val="center"/>
      </w:trPr>
      <w:tc>
        <w:tcPr>
          <w:tcW w:w="6681" w:type="dxa"/>
          <w:tcBorders>
            <w:top w:val="nil"/>
            <w:left w:val="nil"/>
            <w:bottom w:val="nil"/>
          </w:tcBorders>
          <w:vAlign w:val="center"/>
        </w:tcPr>
        <w:p w14:paraId="4EBE729F" w14:textId="39DBF33B" w:rsidR="00CD3CAA" w:rsidRPr="0075421C" w:rsidRDefault="00970BA5" w:rsidP="00C86D4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CD3CAA" w:rsidRPr="0075421C" w:rsidRDefault="00970BA5" w:rsidP="00C86D4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CD3CAA" w:rsidRPr="00274E02" w:rsidRDefault="00CD3CAA" w:rsidP="00C86D45">
    <w:pPr>
      <w:pStyle w:val="Footer"/>
      <w:rPr>
        <w:sz w:val="16"/>
        <w:szCs w:val="16"/>
      </w:rPr>
    </w:pPr>
  </w:p>
  <w:p w14:paraId="0D225050" w14:textId="08C2F07D" w:rsidR="00CD3CAA" w:rsidRPr="00E87E4D" w:rsidRDefault="00CD3CAA" w:rsidP="00C86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CD3CAA" w:rsidRPr="00FB30FD" w:rsidRDefault="00970BA5" w:rsidP="00C86D45">
    <w:pPr>
      <w:pStyle w:val="Footer"/>
    </w:pPr>
    <w:r>
      <w:t>guidehouse.com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C86D45" w:rsidRPr="00582062" w14:paraId="43C36F29" w14:textId="77777777" w:rsidTr="00C86D45">
      <w:trPr>
        <w:trHeight w:val="144"/>
        <w:jc w:val="center"/>
      </w:trPr>
      <w:tc>
        <w:tcPr>
          <w:tcW w:w="3569" w:type="pct"/>
          <w:tcBorders>
            <w:top w:val="single" w:sz="8" w:space="0" w:color="8C8C8C"/>
            <w:left w:val="nil"/>
            <w:bottom w:val="nil"/>
          </w:tcBorders>
        </w:tcPr>
        <w:p w14:paraId="4598748E" w14:textId="77777777" w:rsidR="00CD3CAA" w:rsidRPr="00582062" w:rsidRDefault="00CD3CAA" w:rsidP="00C86D45">
          <w:pPr>
            <w:pStyle w:val="Footer"/>
            <w:spacing w:before="120"/>
            <w:rPr>
              <w:sz w:val="2"/>
              <w:szCs w:val="2"/>
            </w:rPr>
          </w:pPr>
        </w:p>
      </w:tc>
      <w:tc>
        <w:tcPr>
          <w:tcW w:w="1431" w:type="pct"/>
          <w:tcBorders>
            <w:top w:val="single" w:sz="8" w:space="0" w:color="8C8C8C"/>
          </w:tcBorders>
        </w:tcPr>
        <w:p w14:paraId="04BC382B" w14:textId="77777777" w:rsidR="00CD3CAA" w:rsidRPr="00582062" w:rsidRDefault="00CD3CAA" w:rsidP="00C86D45">
          <w:pPr>
            <w:pStyle w:val="Footer"/>
            <w:spacing w:before="120"/>
            <w:jc w:val="right"/>
            <w:rPr>
              <w:sz w:val="2"/>
              <w:szCs w:val="2"/>
            </w:rPr>
          </w:pPr>
        </w:p>
      </w:tc>
    </w:tr>
    <w:tr w:rsidR="00C86D45" w:rsidRPr="00EA2FA5" w14:paraId="44E2EF60" w14:textId="77777777" w:rsidTr="00C86D45">
      <w:trPr>
        <w:trHeight w:val="195"/>
        <w:jc w:val="center"/>
      </w:trPr>
      <w:tc>
        <w:tcPr>
          <w:tcW w:w="3569" w:type="pct"/>
          <w:tcBorders>
            <w:top w:val="nil"/>
            <w:left w:val="nil"/>
            <w:bottom w:val="nil"/>
          </w:tcBorders>
          <w:vAlign w:val="center"/>
        </w:tcPr>
        <w:p w14:paraId="3B8C51CF" w14:textId="5AD78CCF" w:rsidR="00CD3CAA" w:rsidRPr="0075421C" w:rsidRDefault="00970BA5" w:rsidP="00C86D4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CD3CAA" w:rsidRPr="0075421C" w:rsidRDefault="00970BA5" w:rsidP="00C86D4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CD3CAA" w:rsidRPr="00274E02" w:rsidRDefault="00CD3CAA">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7469"/>
      <w:gridCol w:w="1891"/>
    </w:tblGrid>
    <w:tr w:rsidR="00F65CB6" w:rsidRPr="00582062" w14:paraId="6A788D8E" w14:textId="77777777" w:rsidTr="00C86D45">
      <w:trPr>
        <w:trHeight w:val="144"/>
        <w:jc w:val="center"/>
      </w:trPr>
      <w:tc>
        <w:tcPr>
          <w:tcW w:w="3990" w:type="pct"/>
          <w:tcBorders>
            <w:top w:val="single" w:sz="8" w:space="0" w:color="8C8C8C"/>
            <w:left w:val="nil"/>
            <w:bottom w:val="nil"/>
          </w:tcBorders>
        </w:tcPr>
        <w:p w14:paraId="6EFAECF9" w14:textId="77777777" w:rsidR="00F65CB6" w:rsidRPr="00582062" w:rsidRDefault="00F65CB6" w:rsidP="00C86D45">
          <w:pPr>
            <w:pStyle w:val="Footer"/>
            <w:spacing w:before="120"/>
            <w:rPr>
              <w:sz w:val="2"/>
              <w:szCs w:val="2"/>
            </w:rPr>
          </w:pPr>
        </w:p>
      </w:tc>
      <w:tc>
        <w:tcPr>
          <w:tcW w:w="1010" w:type="pct"/>
          <w:tcBorders>
            <w:top w:val="single" w:sz="8" w:space="0" w:color="8C8C8C"/>
          </w:tcBorders>
        </w:tcPr>
        <w:p w14:paraId="2B620578" w14:textId="77777777" w:rsidR="00F65CB6" w:rsidRPr="00582062" w:rsidRDefault="00F65CB6" w:rsidP="00C86D45">
          <w:pPr>
            <w:pStyle w:val="Footer"/>
            <w:spacing w:before="120"/>
            <w:jc w:val="right"/>
            <w:rPr>
              <w:sz w:val="2"/>
              <w:szCs w:val="2"/>
            </w:rPr>
          </w:pPr>
        </w:p>
      </w:tc>
    </w:tr>
    <w:tr w:rsidR="00F65CB6" w:rsidRPr="00EA2FA5" w14:paraId="47143073" w14:textId="77777777" w:rsidTr="00C86D45">
      <w:trPr>
        <w:trHeight w:val="195"/>
        <w:jc w:val="center"/>
      </w:trPr>
      <w:tc>
        <w:tcPr>
          <w:tcW w:w="3990" w:type="pct"/>
          <w:tcBorders>
            <w:top w:val="nil"/>
            <w:left w:val="nil"/>
          </w:tcBorders>
          <w:vAlign w:val="center"/>
        </w:tcPr>
        <w:p w14:paraId="2DDB6CEF" w14:textId="77777777" w:rsidR="00F65CB6" w:rsidRPr="0075421C" w:rsidRDefault="00F65CB6" w:rsidP="00C86D45">
          <w:pPr>
            <w:pStyle w:val="Footer"/>
            <w:rPr>
              <w:i/>
              <w:iCs/>
              <w:sz w:val="18"/>
            </w:rPr>
          </w:pPr>
          <w:r w:rsidRPr="007B1C67">
            <w:rPr>
              <w:rFonts w:cs="Arial"/>
              <w:sz w:val="18"/>
              <w:szCs w:val="18"/>
            </w:rPr>
            <w:t>Guidehouse Inc.</w:t>
          </w:r>
        </w:p>
      </w:tc>
      <w:tc>
        <w:tcPr>
          <w:tcW w:w="1010" w:type="pct"/>
          <w:vAlign w:val="center"/>
        </w:tcPr>
        <w:p w14:paraId="55EED953" w14:textId="77777777" w:rsidR="00F65CB6" w:rsidRPr="0075421C" w:rsidRDefault="00F65CB6" w:rsidP="00C86D45">
          <w:pPr>
            <w:pStyle w:val="Footer"/>
            <w:jc w:val="right"/>
            <w:rPr>
              <w:rStyle w:val="PageNumber"/>
              <w:sz w:val="18"/>
            </w:rPr>
          </w:pPr>
          <w:r w:rsidRPr="0075421C">
            <w:rPr>
              <w:rStyle w:val="PageNumber"/>
              <w:sz w:val="18"/>
            </w:rPr>
            <w:t xml:space="preserve">Page </w:t>
          </w:r>
          <w:r w:rsidRPr="0055667B">
            <w:rPr>
              <w:rStyle w:val="PageNumber"/>
              <w:sz w:val="18"/>
            </w:rPr>
            <w:fldChar w:fldCharType="begin"/>
          </w:r>
          <w:r w:rsidRPr="0055667B">
            <w:rPr>
              <w:rStyle w:val="PageNumber"/>
              <w:sz w:val="18"/>
            </w:rPr>
            <w:instrText xml:space="preserve"> PAGE   \* MERGEFORMAT </w:instrText>
          </w:r>
          <w:r w:rsidRPr="0055667B">
            <w:rPr>
              <w:rStyle w:val="PageNumber"/>
              <w:sz w:val="18"/>
            </w:rPr>
            <w:fldChar w:fldCharType="separate"/>
          </w:r>
          <w:r w:rsidRPr="0055667B">
            <w:rPr>
              <w:rStyle w:val="PageNumber"/>
              <w:noProof/>
              <w:sz w:val="18"/>
            </w:rPr>
            <w:t>1</w:t>
          </w:r>
          <w:r w:rsidRPr="0055667B">
            <w:rPr>
              <w:rStyle w:val="PageNumber"/>
              <w:noProof/>
              <w:sz w:val="18"/>
            </w:rPr>
            <w:fldChar w:fldCharType="end"/>
          </w:r>
        </w:p>
      </w:tc>
    </w:tr>
  </w:tbl>
  <w:p w14:paraId="6C9389CF" w14:textId="77777777" w:rsidR="00F65CB6" w:rsidRPr="000C64C5" w:rsidRDefault="00F65CB6" w:rsidP="00C86D45">
    <w:pPr>
      <w:pStyle w:val="Footer"/>
      <w:ind w:right="360"/>
      <w:rPr>
        <w:sz w:val="2"/>
        <w:szCs w:val="2"/>
      </w:rPr>
    </w:pPr>
  </w:p>
  <w:p w14:paraId="731AC8D3" w14:textId="77777777" w:rsidR="00F65CB6" w:rsidRPr="008B6585" w:rsidRDefault="00F65CB6">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C86D45" w:rsidRPr="00582062" w14:paraId="0B248BB6" w14:textId="77777777" w:rsidTr="00C86D45">
      <w:trPr>
        <w:trHeight w:val="144"/>
        <w:jc w:val="center"/>
      </w:trPr>
      <w:tc>
        <w:tcPr>
          <w:tcW w:w="3569" w:type="pct"/>
          <w:tcBorders>
            <w:top w:val="single" w:sz="8" w:space="0" w:color="8C8C8C"/>
            <w:left w:val="nil"/>
            <w:bottom w:val="nil"/>
          </w:tcBorders>
        </w:tcPr>
        <w:p w14:paraId="62796D12" w14:textId="77777777" w:rsidR="00CD3CAA" w:rsidRPr="00582062" w:rsidRDefault="00CD3CAA" w:rsidP="00C86D45">
          <w:pPr>
            <w:pStyle w:val="Footer"/>
            <w:spacing w:before="120"/>
            <w:rPr>
              <w:sz w:val="2"/>
              <w:szCs w:val="2"/>
            </w:rPr>
          </w:pPr>
        </w:p>
      </w:tc>
      <w:tc>
        <w:tcPr>
          <w:tcW w:w="1431" w:type="pct"/>
          <w:tcBorders>
            <w:top w:val="single" w:sz="8" w:space="0" w:color="8C8C8C"/>
          </w:tcBorders>
        </w:tcPr>
        <w:p w14:paraId="675A3808" w14:textId="77777777" w:rsidR="00CD3CAA" w:rsidRPr="00582062" w:rsidRDefault="00CD3CAA" w:rsidP="00C86D45">
          <w:pPr>
            <w:pStyle w:val="Footer"/>
            <w:spacing w:before="120"/>
            <w:jc w:val="right"/>
            <w:rPr>
              <w:sz w:val="2"/>
              <w:szCs w:val="2"/>
            </w:rPr>
          </w:pPr>
        </w:p>
      </w:tc>
    </w:tr>
    <w:tr w:rsidR="00C86D45" w:rsidRPr="00EA2FA5" w14:paraId="2D0854C5" w14:textId="77777777" w:rsidTr="00C86D45">
      <w:trPr>
        <w:trHeight w:val="195"/>
        <w:jc w:val="center"/>
      </w:trPr>
      <w:tc>
        <w:tcPr>
          <w:tcW w:w="3569" w:type="pct"/>
          <w:tcBorders>
            <w:top w:val="nil"/>
            <w:left w:val="nil"/>
            <w:bottom w:val="nil"/>
          </w:tcBorders>
          <w:vAlign w:val="center"/>
        </w:tcPr>
        <w:p w14:paraId="141081D0" w14:textId="77777777" w:rsidR="00CD3CAA" w:rsidRPr="0075421C" w:rsidRDefault="00970BA5" w:rsidP="00C86D4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5850C0FB" w14:textId="77777777" w:rsidR="00CD3CAA" w:rsidRPr="0075421C" w:rsidRDefault="00970BA5" w:rsidP="00C86D4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3A8DF83" w14:textId="77777777" w:rsidR="00CD3CAA" w:rsidRPr="00274E02" w:rsidRDefault="00CD3CA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4B40" w14:textId="77777777" w:rsidR="002707BF" w:rsidRDefault="002707BF">
      <w:pPr>
        <w:spacing w:after="0" w:line="240" w:lineRule="auto"/>
      </w:pPr>
      <w:r>
        <w:separator/>
      </w:r>
    </w:p>
  </w:footnote>
  <w:footnote w:type="continuationSeparator" w:id="0">
    <w:p w14:paraId="71FD9784" w14:textId="77777777" w:rsidR="002707BF" w:rsidRDefault="002707BF">
      <w:pPr>
        <w:spacing w:after="0" w:line="240" w:lineRule="auto"/>
      </w:pPr>
      <w:r>
        <w:continuationSeparator/>
      </w:r>
    </w:p>
  </w:footnote>
  <w:footnote w:id="1">
    <w:p w14:paraId="56CA02E2" w14:textId="35875E48" w:rsidR="00BB1D2F" w:rsidRDefault="00BB1D2F">
      <w:pPr>
        <w:pStyle w:val="FootnoteText"/>
      </w:pPr>
      <w:r>
        <w:rPr>
          <w:rStyle w:val="FootnoteReference"/>
        </w:rPr>
        <w:footnoteRef/>
      </w:r>
      <w:r>
        <w:t xml:space="preserve"> </w:t>
      </w:r>
      <w:r w:rsidR="00A97776">
        <w:t>Waves 1-3 were not active</w:t>
      </w:r>
      <w:r w:rsidR="00F30632">
        <w:t xml:space="preserve"> (i.e., did not receive HER</w:t>
      </w:r>
      <w:r w:rsidR="00D922FF">
        <w:t>s)</w:t>
      </w:r>
      <w:r w:rsidR="00A97776">
        <w:t xml:space="preserve"> in CY2025 and therefore</w:t>
      </w:r>
      <w:r w:rsidR="000351C6">
        <w:t xml:space="preserve"> do not contribute to CY2025 savings.</w:t>
      </w:r>
    </w:p>
  </w:footnote>
  <w:footnote w:id="2">
    <w:p w14:paraId="7C4FFFB8" w14:textId="77777777" w:rsidR="0066457F" w:rsidRPr="00AA612E" w:rsidRDefault="0066457F" w:rsidP="0066457F">
      <w:pPr>
        <w:pStyle w:val="FootnoteText"/>
        <w:rPr>
          <w:szCs w:val="18"/>
        </w:rPr>
      </w:pPr>
      <w:r w:rsidRPr="00AA612E">
        <w:rPr>
          <w:rStyle w:val="FootnoteReference"/>
          <w:szCs w:val="18"/>
        </w:rPr>
        <w:footnoteRef/>
      </w:r>
      <w:r w:rsidRPr="00AA612E">
        <w:rPr>
          <w:szCs w:val="18"/>
        </w:rPr>
        <w:t xml:space="preserve"> </w:t>
      </w:r>
      <w:r>
        <w:rPr>
          <w:rFonts w:cs="Arial"/>
          <w:szCs w:val="18"/>
        </w:rPr>
        <w:t>See Appendix Accounting for Uplift in Other Energy Efficiency Programs</w:t>
      </w:r>
      <w:r w:rsidRPr="00AA612E">
        <w:rPr>
          <w:rFonts w:cs="Arial"/>
          <w:szCs w:val="18"/>
        </w:rPr>
        <w:t>.</w:t>
      </w:r>
    </w:p>
  </w:footnote>
  <w:footnote w:id="3">
    <w:p w14:paraId="24123C0B" w14:textId="4A34D01E" w:rsidR="0066457F" w:rsidRPr="00AA612E" w:rsidRDefault="0066457F" w:rsidP="0066457F">
      <w:pPr>
        <w:pStyle w:val="FootnoteText"/>
        <w:rPr>
          <w:szCs w:val="18"/>
        </w:rPr>
      </w:pPr>
      <w:r w:rsidRPr="00AA612E">
        <w:rPr>
          <w:rStyle w:val="FootnoteReference"/>
          <w:szCs w:val="18"/>
        </w:rPr>
        <w:footnoteRef/>
      </w:r>
      <w:r w:rsidRPr="00AA612E">
        <w:rPr>
          <w:szCs w:val="18"/>
        </w:rPr>
        <w:t xml:space="preserve"> See </w:t>
      </w:r>
      <w:r>
        <w:rPr>
          <w:szCs w:val="18"/>
        </w:rPr>
        <w:t>IL-</w:t>
      </w:r>
      <w:r w:rsidRPr="00AA612E">
        <w:rPr>
          <w:szCs w:val="18"/>
        </w:rPr>
        <w:t xml:space="preserve">TRM, Measure 6.1.1, Volume 4, Version </w:t>
      </w:r>
      <w:r>
        <w:rPr>
          <w:szCs w:val="18"/>
        </w:rPr>
        <w:t>1</w:t>
      </w:r>
      <w:r w:rsidR="00521158">
        <w:rPr>
          <w:szCs w:val="18"/>
        </w:rPr>
        <w:t>3</w:t>
      </w:r>
      <w:r w:rsidRPr="00AA612E">
        <w:rPr>
          <w:szCs w:val="18"/>
        </w:rPr>
        <w:t>.0</w:t>
      </w:r>
      <w:r>
        <w:rPr>
          <w:szCs w:val="18"/>
        </w:rPr>
        <w:t xml:space="preserve"> </w:t>
      </w:r>
      <w:r>
        <w:t xml:space="preserve">and </w:t>
      </w:r>
      <w:r w:rsidRPr="008D785F">
        <w:t xml:space="preserve">Appendix </w:t>
      </w:r>
      <w:r>
        <w:t>Accounting for Savings Persistence and Participant Retention</w:t>
      </w:r>
      <w:r w:rsidRPr="008D785F">
        <w:t>.</w:t>
      </w:r>
    </w:p>
  </w:footnote>
  <w:footnote w:id="4">
    <w:p w14:paraId="026C165D" w14:textId="77777777" w:rsidR="000D25C1" w:rsidRPr="00AA612E" w:rsidRDefault="000D25C1" w:rsidP="000D25C1">
      <w:pPr>
        <w:pStyle w:val="FootnoteText"/>
        <w:rPr>
          <w:szCs w:val="18"/>
        </w:rPr>
      </w:pPr>
      <w:r w:rsidRPr="00AA612E">
        <w:rPr>
          <w:rStyle w:val="FootnoteReference"/>
          <w:szCs w:val="18"/>
        </w:rPr>
        <w:footnoteRef/>
      </w:r>
      <w:r w:rsidRPr="00AA612E">
        <w:rPr>
          <w:szCs w:val="18"/>
        </w:rPr>
        <w:t xml:space="preserve"> Across the two models, the parameter estima</w:t>
      </w:r>
      <w:r w:rsidRPr="003010AA">
        <w:rPr>
          <w:szCs w:val="18"/>
        </w:rPr>
        <w:t>tes were not statistically different</w:t>
      </w:r>
      <w:r>
        <w:rPr>
          <w:szCs w:val="18"/>
        </w:rPr>
        <w:t xml:space="preserve"> for either wave</w:t>
      </w:r>
      <w:r w:rsidRPr="003010AA">
        <w:rPr>
          <w:szCs w:val="18"/>
        </w:rPr>
        <w:t>; that is, t</w:t>
      </w:r>
      <w:r w:rsidRPr="00AA612E">
        <w:rPr>
          <w:szCs w:val="18"/>
        </w:rPr>
        <w:t xml:space="preserve">he estimates for each model are within the 90% confidence bounds for the other model. This </w:t>
      </w:r>
      <w:r>
        <w:rPr>
          <w:szCs w:val="18"/>
        </w:rPr>
        <w:t xml:space="preserve">result </w:t>
      </w:r>
      <w:r w:rsidRPr="00AA612E">
        <w:rPr>
          <w:szCs w:val="18"/>
        </w:rPr>
        <w:t>supports the methodological approach, and indicates the results are robust.</w:t>
      </w:r>
    </w:p>
  </w:footnote>
  <w:footnote w:id="5">
    <w:p w14:paraId="07A2A7B5" w14:textId="77777777" w:rsidR="000D25C1" w:rsidRDefault="000D25C1" w:rsidP="000D25C1">
      <w:pPr>
        <w:pStyle w:val="FootnoteText"/>
      </w:pPr>
      <w:r>
        <w:rPr>
          <w:rStyle w:val="FootnoteReference"/>
        </w:rPr>
        <w:footnoteRef/>
      </w:r>
      <w:r>
        <w:t xml:space="preserve"> One likely reason for this situation is that the LDV model embodies more flexibility than the LFER model, in that the former allows the individual customer control variable to vary seasonally while the latter does not – a particularly attractive feature given the highly seasonal nature of natural gas usage. The LFER model treats all unobserved inter-household heterogeneity affecting households’ energy usage as time-invariant, while the LDV model uses lagged individual controls that can vary over time.</w:t>
      </w:r>
    </w:p>
  </w:footnote>
  <w:footnote w:id="6">
    <w:p w14:paraId="06088DE5" w14:textId="77777777" w:rsidR="000D25C1" w:rsidRDefault="000D25C1" w:rsidP="000D25C1">
      <w:pPr>
        <w:pStyle w:val="FootnoteText"/>
      </w:pPr>
      <w:r>
        <w:rPr>
          <w:rStyle w:val="FootnoteReference"/>
        </w:rPr>
        <w:footnoteRef/>
      </w:r>
      <w:r>
        <w:t xml:space="preserve"> Allcott, Hunt and Todd Rogers, 2014. “The Short-Run and Long-Run Effects of Behavioral Intervention: Experimental Evidence from Energy Conservation.” </w:t>
      </w:r>
      <w:r>
        <w:rPr>
          <w:i/>
        </w:rPr>
        <w:t>American Economic Review</w:t>
      </w:r>
      <w:r>
        <w:t>, 104(10): 3003-37.</w:t>
      </w:r>
    </w:p>
  </w:footnote>
  <w:footnote w:id="7">
    <w:p w14:paraId="37A4C7A9" w14:textId="06511348" w:rsidR="000D25C1" w:rsidRPr="00AA612E" w:rsidRDefault="000D25C1" w:rsidP="000D25C1">
      <w:pPr>
        <w:pStyle w:val="FootnoteText"/>
        <w:rPr>
          <w:szCs w:val="18"/>
        </w:rPr>
      </w:pPr>
      <w:r w:rsidRPr="00AA612E">
        <w:rPr>
          <w:rStyle w:val="FootnoteReference"/>
          <w:szCs w:val="18"/>
        </w:rPr>
        <w:footnoteRef/>
      </w:r>
      <w:r w:rsidRPr="00AA612E">
        <w:rPr>
          <w:szCs w:val="18"/>
        </w:rPr>
        <w:t xml:space="preserve"> In other words, if there are </w:t>
      </w:r>
      <w:r w:rsidRPr="00AA612E">
        <w:rPr>
          <w:i/>
          <w:szCs w:val="18"/>
        </w:rPr>
        <w:t>T</w:t>
      </w:r>
      <w:r w:rsidRPr="00AA612E">
        <w:rPr>
          <w:szCs w:val="18"/>
        </w:rPr>
        <w:t xml:space="preserve"> post-program months, there are </w:t>
      </w:r>
      <w:r w:rsidRPr="00AA612E">
        <w:rPr>
          <w:i/>
          <w:szCs w:val="18"/>
        </w:rPr>
        <w:t>T</w:t>
      </w:r>
      <w:r w:rsidRPr="00AA612E">
        <w:rPr>
          <w:szCs w:val="18"/>
        </w:rPr>
        <w:t xml:space="preserve"> monthly </w:t>
      </w:r>
      <w:r>
        <w:rPr>
          <w:szCs w:val="18"/>
        </w:rPr>
        <w:t>binary</w:t>
      </w:r>
      <w:r w:rsidRPr="00AA612E">
        <w:rPr>
          <w:szCs w:val="18"/>
        </w:rPr>
        <w:t xml:space="preserve"> variables in the model, with the </w:t>
      </w:r>
      <w:r>
        <w:rPr>
          <w:szCs w:val="18"/>
        </w:rPr>
        <w:t>binary</w:t>
      </w:r>
      <w:r w:rsidRPr="00AA612E">
        <w:rPr>
          <w:szCs w:val="18"/>
        </w:rPr>
        <w:t xml:space="preserve"> variable </w:t>
      </w:r>
      <w:proofErr w:type="spellStart"/>
      <w:r w:rsidRPr="00AA612E">
        <w:rPr>
          <w:i/>
          <w:szCs w:val="18"/>
        </w:rPr>
        <w:t>Month</w:t>
      </w:r>
      <w:r w:rsidRPr="00AA612E">
        <w:rPr>
          <w:i/>
          <w:szCs w:val="18"/>
          <w:vertAlign w:val="subscript"/>
        </w:rPr>
        <w:t>tt</w:t>
      </w:r>
      <w:proofErr w:type="spellEnd"/>
      <w:r w:rsidRPr="00AA612E">
        <w:rPr>
          <w:i/>
          <w:szCs w:val="18"/>
          <w:vertAlign w:val="subscript"/>
        </w:rPr>
        <w:t xml:space="preserve"> </w:t>
      </w:r>
      <w:r w:rsidRPr="00AA612E">
        <w:rPr>
          <w:szCs w:val="18"/>
        </w:rPr>
        <w:t>the only one to take a value of 1 at time t. These are, in other words, monthly fixed effects.</w:t>
      </w:r>
    </w:p>
  </w:footnote>
  <w:footnote w:id="8">
    <w:p w14:paraId="478C7456" w14:textId="77777777" w:rsidR="000D25C1" w:rsidRDefault="000D25C1" w:rsidP="000D25C1">
      <w:pPr>
        <w:pStyle w:val="FootnoteText"/>
      </w:pPr>
      <w:r>
        <w:rPr>
          <w:rStyle w:val="FootnoteReference"/>
        </w:rPr>
        <w:footnoteRef/>
      </w:r>
      <w:r>
        <w:t xml:space="preserve"> It is not possible to avoid double-counting of the savings generated by programs for which tracking data are not available, such as upstream programs.</w:t>
      </w:r>
    </w:p>
  </w:footnote>
  <w:footnote w:id="9">
    <w:p w14:paraId="7257EE31" w14:textId="77777777" w:rsidR="000D25C1" w:rsidRDefault="000D25C1" w:rsidP="000D25C1">
      <w:pPr>
        <w:pStyle w:val="FootnoteText"/>
      </w:pPr>
      <w:r>
        <w:rPr>
          <w:rStyle w:val="FootnoteReference"/>
        </w:rPr>
        <w:footnoteRef/>
      </w:r>
      <w:r>
        <w:t xml:space="preserve"> Where the averages are calculated over all treatment and control group customers, not just those who participated in other EE programs.</w:t>
      </w:r>
    </w:p>
  </w:footnote>
  <w:footnote w:id="10">
    <w:p w14:paraId="3259BDAB" w14:textId="77777777" w:rsidR="000D25C1" w:rsidRDefault="000D25C1" w:rsidP="000D25C1">
      <w:pPr>
        <w:pStyle w:val="FootnoteText"/>
      </w:pPr>
      <w:r>
        <w:rPr>
          <w:rStyle w:val="FootnoteReference"/>
        </w:rPr>
        <w:footnoteRef/>
      </w:r>
      <w:r>
        <w:t xml:space="preserve"> Other EE program savings were pro-rated to the program participation date assuming a flat load shape. </w:t>
      </w:r>
    </w:p>
  </w:footnote>
  <w:footnote w:id="11">
    <w:p w14:paraId="37CE2A4E" w14:textId="77777777" w:rsidR="000D25C1" w:rsidRDefault="000D25C1" w:rsidP="000D25C1">
      <w:pPr>
        <w:pStyle w:val="FootnoteText"/>
      </w:pPr>
      <w:r>
        <w:rPr>
          <w:rStyle w:val="FootnoteReference"/>
        </w:rPr>
        <w:footnoteRef/>
      </w:r>
      <w:r>
        <w:t xml:space="preserve"> Including single family, multifamily, and public housing authority.</w:t>
      </w:r>
    </w:p>
  </w:footnote>
  <w:footnote w:id="12">
    <w:p w14:paraId="7B39BC5D" w14:textId="77777777" w:rsidR="000D25C1" w:rsidRDefault="000D25C1" w:rsidP="000D25C1">
      <w:pPr>
        <w:pStyle w:val="FootnoteText"/>
      </w:pPr>
      <w:r>
        <w:rPr>
          <w:rStyle w:val="FootnoteReference"/>
        </w:rPr>
        <w:footnoteRef/>
      </w:r>
      <w:r>
        <w:t xml:space="preserve"> Tracking data files are set up this way because, in conformity with the IL-TRM, Section 3.2, savings are first-year savings, not lifetime savings.</w:t>
      </w:r>
    </w:p>
  </w:footnote>
  <w:footnote w:id="13">
    <w:p w14:paraId="70FC274E" w14:textId="77777777" w:rsidR="000D25C1" w:rsidRDefault="000D25C1" w:rsidP="000D25C1">
      <w:pPr>
        <w:pStyle w:val="FootnoteText"/>
      </w:pPr>
      <w:r>
        <w:rPr>
          <w:rStyle w:val="FootnoteReference"/>
        </w:rPr>
        <w:footnoteRef/>
      </w:r>
      <w:r>
        <w:t xml:space="preserve"> Because HER Program participants are dropped from that program when they move, other EE programs’ savings are no longer captured in the HER Program savings from that point forward.</w:t>
      </w:r>
    </w:p>
  </w:footnote>
  <w:footnote w:id="14">
    <w:p w14:paraId="130525A5" w14:textId="77777777" w:rsidR="000D25C1" w:rsidRPr="00F33709" w:rsidRDefault="000D25C1" w:rsidP="000D25C1">
      <w:pPr>
        <w:pStyle w:val="FootnoteText"/>
      </w:pPr>
      <w:r>
        <w:rPr>
          <w:rStyle w:val="FootnoteReference"/>
        </w:rPr>
        <w:footnoteRef/>
      </w:r>
      <w:r>
        <w:t xml:space="preserve"> Documentation on this retention rate was shared with Nicor Gas, the program implementer, and Illinois Commerce Commission staff in June 20</w:t>
      </w:r>
      <w:r w:rsidRPr="00470827">
        <w:t xml:space="preserve">23 in </w:t>
      </w:r>
      <w:r w:rsidRPr="00470827">
        <w:rPr>
          <w:i/>
          <w:iCs/>
        </w:rPr>
        <w:t>Retention Rates- Behavior Savings_2023-06-16.pptx</w:t>
      </w:r>
      <w:r w:rsidRPr="00470827">
        <w:t>.</w:t>
      </w:r>
    </w:p>
  </w:footnote>
  <w:footnote w:id="15">
    <w:p w14:paraId="566DCDAB" w14:textId="77AC8860" w:rsidR="00F65CB6" w:rsidRPr="00AA612E" w:rsidRDefault="00F65CB6" w:rsidP="00F65CB6">
      <w:pPr>
        <w:pStyle w:val="FootnoteText"/>
        <w:rPr>
          <w:szCs w:val="18"/>
        </w:rPr>
      </w:pPr>
      <w:r w:rsidRPr="00AA612E">
        <w:rPr>
          <w:rStyle w:val="FootnoteReference"/>
          <w:szCs w:val="18"/>
        </w:rPr>
        <w:footnoteRef/>
      </w:r>
      <w:r w:rsidRPr="00AA612E">
        <w:rPr>
          <w:szCs w:val="18"/>
        </w:rPr>
        <w:t xml:space="preserve"> See </w:t>
      </w:r>
      <w:r w:rsidR="0031029B">
        <w:rPr>
          <w:szCs w:val="18"/>
        </w:rPr>
        <w:fldChar w:fldCharType="begin"/>
      </w:r>
      <w:r w:rsidR="0031029B">
        <w:rPr>
          <w:szCs w:val="18"/>
        </w:rPr>
        <w:instrText xml:space="preserve"> REF _Ref227052667 \h </w:instrText>
      </w:r>
      <w:r w:rsidR="0031029B">
        <w:rPr>
          <w:szCs w:val="18"/>
        </w:rPr>
      </w:r>
      <w:r w:rsidR="0031029B">
        <w:rPr>
          <w:szCs w:val="18"/>
        </w:rPr>
        <w:fldChar w:fldCharType="separate"/>
      </w:r>
      <w:r w:rsidR="0031029B">
        <w:t xml:space="preserve">Appendix A. </w:t>
      </w:r>
      <w:r w:rsidR="0031029B" w:rsidRPr="002E0934">
        <w:t>Impact Analysis Methodology</w:t>
      </w:r>
      <w:r w:rsidR="0031029B">
        <w:rPr>
          <w:szCs w:val="18"/>
        </w:rPr>
        <w:fldChar w:fldCharType="end"/>
      </w:r>
      <w:r w:rsidRPr="00AA612E">
        <w:rPr>
          <w:szCs w:val="18"/>
        </w:rPr>
        <w:t xml:space="preserve"> for more information on POD and DID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D842" w14:textId="77777777" w:rsidR="004257D7" w:rsidRDefault="00425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86D45" w:rsidRPr="00F77D23" w14:paraId="17E1979B" w14:textId="77777777" w:rsidTr="00C86D45">
      <w:trPr>
        <w:jc w:val="center"/>
      </w:trPr>
      <w:tc>
        <w:tcPr>
          <w:tcW w:w="2880" w:type="dxa"/>
          <w:vAlign w:val="center"/>
        </w:tcPr>
        <w:p w14:paraId="11F0A13F" w14:textId="77777777" w:rsidR="00CD3CAA" w:rsidRPr="006A71F6" w:rsidRDefault="00970BA5" w:rsidP="00C86D45">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6A1B831B" w:rsidR="00CD3CAA" w:rsidRPr="00F77D23" w:rsidRDefault="00970BA5" w:rsidP="00C86D45">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8791C">
            <w:rPr>
              <w:bCs/>
              <w:noProof/>
            </w:rPr>
            <w:t>Home Energy Reports Program Impact Evaluation Report</w:t>
          </w:r>
          <w:r>
            <w:rPr>
              <w:bCs/>
              <w:noProof/>
            </w:rPr>
            <w:fldChar w:fldCharType="end"/>
          </w:r>
          <w:r w:rsidR="00997BE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CD3CAA" w:rsidRDefault="00970BA5" w:rsidP="00C86D45">
    <w:pPr>
      <w:pStyle w:val="Header"/>
    </w:pPr>
    <w:r w:rsidRPr="00BA291E">
      <w:br/>
    </w:r>
  </w:p>
  <w:p w14:paraId="756D4516" w14:textId="523337CD" w:rsidR="00CD3CAA" w:rsidRPr="00ED327C" w:rsidRDefault="00CD3CAA" w:rsidP="00C86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CD3CAA" w:rsidRDefault="00970BA5" w:rsidP="00C86D45">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CD3CAA" w:rsidRPr="00ED327C" w:rsidRDefault="00CD3CAA" w:rsidP="00C86D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C86D45" w:rsidRPr="00F77D23" w14:paraId="0F7D708C" w14:textId="77777777" w:rsidTr="00C86D45">
      <w:trPr>
        <w:jc w:val="center"/>
      </w:trPr>
      <w:tc>
        <w:tcPr>
          <w:tcW w:w="2880" w:type="dxa"/>
          <w:vAlign w:val="center"/>
        </w:tcPr>
        <w:p w14:paraId="1ACAE345" w14:textId="77777777" w:rsidR="00CD3CAA" w:rsidRPr="006A71F6" w:rsidRDefault="00970BA5" w:rsidP="00C86D45">
          <w:pPr>
            <w:pStyle w:val="Header"/>
          </w:pPr>
          <w:r>
            <w:rPr>
              <w:noProof/>
            </w:rPr>
            <w:drawing>
              <wp:inline distT="0" distB="0" distL="0" distR="0" wp14:anchorId="4FCFF718" wp14:editId="7847399E">
                <wp:extent cx="1081454" cy="274320"/>
                <wp:effectExtent l="0" t="0" r="4445" b="0"/>
                <wp:docPr id="20998631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052916C7" w:rsidR="00CD3CAA" w:rsidRPr="00F77D23" w:rsidRDefault="00970BA5" w:rsidP="00C86D45">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8791C">
            <w:rPr>
              <w:bCs/>
              <w:noProof/>
            </w:rPr>
            <w:t>Home Energy Reports Program Impact Evaluation Report</w:t>
          </w:r>
          <w:r>
            <w:rPr>
              <w:bCs/>
              <w:noProof/>
            </w:rPr>
            <w:fldChar w:fldCharType="end"/>
          </w:r>
          <w:r w:rsidR="00997BE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CD3CAA" w:rsidRDefault="00970BA5" w:rsidP="00C86D45">
    <w:pPr>
      <w:pStyle w:val="Header"/>
    </w:pPr>
    <w:r w:rsidRPr="00BA291E">
      <w:br/>
    </w:r>
  </w:p>
  <w:p w14:paraId="2A502F61" w14:textId="77777777" w:rsidR="00CD3CAA" w:rsidRDefault="00CD3CAA" w:rsidP="00C86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C86D45" w:rsidRPr="00F77D23" w14:paraId="69112D06" w14:textId="77777777" w:rsidTr="00C86D45">
      <w:trPr>
        <w:jc w:val="center"/>
      </w:trPr>
      <w:tc>
        <w:tcPr>
          <w:tcW w:w="1429" w:type="pct"/>
          <w:vAlign w:val="center"/>
        </w:tcPr>
        <w:p w14:paraId="45C22874" w14:textId="77777777" w:rsidR="00CD3CAA" w:rsidRPr="006A71F6" w:rsidRDefault="00970BA5" w:rsidP="00C86D45">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2C6F9881" w:rsidR="00CD3CAA" w:rsidRPr="00F77D23" w:rsidRDefault="00970BA5" w:rsidP="00C86D45">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8791C">
            <w:rPr>
              <w:bCs/>
              <w:noProof/>
            </w:rPr>
            <w:t>Home Energy Reports Program Impact Evaluation Report</w:t>
          </w:r>
          <w:r>
            <w:rPr>
              <w:bCs/>
              <w:noProof/>
            </w:rPr>
            <w:fldChar w:fldCharType="end"/>
          </w:r>
          <w:r w:rsidR="00D645D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CD3CAA" w:rsidRDefault="00970BA5" w:rsidP="00C86D45">
    <w:pPr>
      <w:pStyle w:val="Header"/>
    </w:pPr>
    <w:r w:rsidRPr="00BA291E">
      <w:br/>
    </w:r>
  </w:p>
  <w:p w14:paraId="3B584E6F" w14:textId="77777777" w:rsidR="00CD3CAA" w:rsidRDefault="00CD3CAA" w:rsidP="00C86D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3600"/>
      <w:gridCol w:w="5760"/>
    </w:tblGrid>
    <w:tr w:rsidR="00C82B33" w14:paraId="56554668" w14:textId="77777777" w:rsidTr="000A39C5">
      <w:trPr>
        <w:jc w:val="center"/>
      </w:trPr>
      <w:tc>
        <w:tcPr>
          <w:tcW w:w="1923" w:type="pct"/>
          <w:vAlign w:val="center"/>
        </w:tcPr>
        <w:p w14:paraId="4D780325" w14:textId="31F3D775" w:rsidR="00C82B33" w:rsidRPr="006A71F6" w:rsidRDefault="00C82B33" w:rsidP="00C82B33">
          <w:pPr>
            <w:pStyle w:val="Header"/>
          </w:pPr>
          <w:r>
            <w:rPr>
              <w:noProof/>
            </w:rPr>
            <w:drawing>
              <wp:inline distT="0" distB="0" distL="0" distR="0" wp14:anchorId="729D68A9" wp14:editId="1BC50E56">
                <wp:extent cx="1081454" cy="274320"/>
                <wp:effectExtent l="0" t="0" r="4445" b="0"/>
                <wp:docPr id="1769123482"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077" w:type="pct"/>
          <w:vAlign w:val="center"/>
        </w:tcPr>
        <w:p w14:paraId="101D7D1C" w14:textId="26AD9645" w:rsidR="00C82B33" w:rsidRPr="00DB621C" w:rsidRDefault="00C82B33" w:rsidP="00C82B33">
          <w:pPr>
            <w:pStyle w:val="Header"/>
            <w:rPr>
              <w:bCs/>
            </w:rPr>
          </w:pPr>
          <w:r>
            <w:rPr>
              <w:bCs/>
              <w:noProof/>
            </w:rPr>
            <w:fldChar w:fldCharType="begin"/>
          </w:r>
          <w:r>
            <w:rPr>
              <w:bCs/>
              <w:noProof/>
            </w:rPr>
            <w:instrText xml:space="preserve"> STYLEREF  Title  \* MERGEFORMAT </w:instrText>
          </w:r>
          <w:r>
            <w:rPr>
              <w:bCs/>
              <w:noProof/>
            </w:rPr>
            <w:fldChar w:fldCharType="separate"/>
          </w:r>
          <w:r w:rsidR="00C8791C">
            <w:rPr>
              <w:bCs/>
              <w:noProof/>
            </w:rPr>
            <w:t>Home Energy Reports Program Impact Evaluation Report</w:t>
          </w:r>
          <w:r>
            <w:rPr>
              <w:bCs/>
              <w:noProof/>
            </w:rPr>
            <w:fldChar w:fldCharType="end"/>
          </w:r>
          <w:r w:rsidR="000A39C5">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07AD634" w14:textId="77777777" w:rsidR="00F65CB6" w:rsidRDefault="00F65C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C86D45" w:rsidRPr="00F77D23" w14:paraId="489A0454" w14:textId="77777777" w:rsidTr="00C86D45">
      <w:trPr>
        <w:jc w:val="center"/>
      </w:trPr>
      <w:tc>
        <w:tcPr>
          <w:tcW w:w="1429" w:type="pct"/>
          <w:vAlign w:val="center"/>
        </w:tcPr>
        <w:p w14:paraId="5A039C1F" w14:textId="77777777" w:rsidR="00CD3CAA" w:rsidRPr="006A71F6" w:rsidRDefault="00970BA5" w:rsidP="00C86D45">
          <w:pPr>
            <w:pStyle w:val="Header"/>
          </w:pPr>
          <w:r>
            <w:rPr>
              <w:noProof/>
            </w:rPr>
            <w:drawing>
              <wp:inline distT="0" distB="0" distL="0" distR="0" wp14:anchorId="1FCBD9FD" wp14:editId="6A76930D">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8947F2" w14:textId="7F7B821C" w:rsidR="00CD3CAA" w:rsidRPr="00F77D23" w:rsidRDefault="00970BA5" w:rsidP="00C86D45">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8791C">
            <w:rPr>
              <w:bCs/>
              <w:noProof/>
            </w:rPr>
            <w:t>Home Energy Reports Program Impact Evaluation Report</w:t>
          </w:r>
          <w:r>
            <w:rPr>
              <w:bCs/>
              <w:noProof/>
            </w:rPr>
            <w:fldChar w:fldCharType="end"/>
          </w:r>
          <w:r w:rsidR="005C4D31">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7A4D631" w14:textId="77777777" w:rsidR="00CD3CAA" w:rsidRDefault="00970BA5" w:rsidP="00C86D45">
    <w:pPr>
      <w:pStyle w:val="Header"/>
    </w:pPr>
    <w:r w:rsidRPr="00BA291E">
      <w:br/>
    </w:r>
  </w:p>
  <w:p w14:paraId="69BA012C" w14:textId="77777777" w:rsidR="00CD3CAA" w:rsidRDefault="00CD3CAA" w:rsidP="00C86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634DA3"/>
    <w:multiLevelType w:val="hybridMultilevel"/>
    <w:tmpl w:val="4E46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9172C"/>
    <w:multiLevelType w:val="hybridMultilevel"/>
    <w:tmpl w:val="9B267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3"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9"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50A3E"/>
    <w:multiLevelType w:val="hybridMultilevel"/>
    <w:tmpl w:val="42FE921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19"/>
  </w:num>
  <w:num w:numId="3" w16cid:durableId="1150948261">
    <w:abstractNumId w:val="3"/>
  </w:num>
  <w:num w:numId="4" w16cid:durableId="424502759">
    <w:abstractNumId w:val="4"/>
  </w:num>
  <w:num w:numId="5" w16cid:durableId="1530214667">
    <w:abstractNumId w:val="27"/>
  </w:num>
  <w:num w:numId="6" w16cid:durableId="820192695">
    <w:abstractNumId w:val="5"/>
  </w:num>
  <w:num w:numId="7" w16cid:durableId="321852425">
    <w:abstractNumId w:val="20"/>
  </w:num>
  <w:num w:numId="8" w16cid:durableId="1755586189">
    <w:abstractNumId w:val="16"/>
  </w:num>
  <w:num w:numId="9" w16cid:durableId="1790969178">
    <w:abstractNumId w:val="26"/>
  </w:num>
  <w:num w:numId="10" w16cid:durableId="1320888804">
    <w:abstractNumId w:val="6"/>
  </w:num>
  <w:num w:numId="11" w16cid:durableId="990789570">
    <w:abstractNumId w:val="13"/>
  </w:num>
  <w:num w:numId="12" w16cid:durableId="499661504">
    <w:abstractNumId w:val="9"/>
  </w:num>
  <w:num w:numId="13" w16cid:durableId="1680110921">
    <w:abstractNumId w:val="25"/>
  </w:num>
  <w:num w:numId="14" w16cid:durableId="869102195">
    <w:abstractNumId w:val="0"/>
  </w:num>
  <w:num w:numId="15" w16cid:durableId="1990472580">
    <w:abstractNumId w:val="22"/>
  </w:num>
  <w:num w:numId="16" w16cid:durableId="812452916">
    <w:abstractNumId w:val="12"/>
  </w:num>
  <w:num w:numId="17" w16cid:durableId="2117434390">
    <w:abstractNumId w:val="10"/>
  </w:num>
  <w:num w:numId="18" w16cid:durableId="913703041">
    <w:abstractNumId w:val="23"/>
  </w:num>
  <w:num w:numId="19" w16cid:durableId="1687176602">
    <w:abstractNumId w:val="18"/>
  </w:num>
  <w:num w:numId="20" w16cid:durableId="1849367968">
    <w:abstractNumId w:val="15"/>
  </w:num>
  <w:num w:numId="21" w16cid:durableId="1668821187">
    <w:abstractNumId w:val="17"/>
  </w:num>
  <w:num w:numId="22" w16cid:durableId="1729065919">
    <w:abstractNumId w:val="14"/>
  </w:num>
  <w:num w:numId="23" w16cid:durableId="380595784">
    <w:abstractNumId w:val="7"/>
  </w:num>
  <w:num w:numId="24" w16cid:durableId="1031690303">
    <w:abstractNumId w:val="1"/>
  </w:num>
  <w:num w:numId="25" w16cid:durableId="118230274">
    <w:abstractNumId w:val="8"/>
  </w:num>
  <w:num w:numId="26" w16cid:durableId="1412317551">
    <w:abstractNumId w:val="2"/>
  </w:num>
  <w:num w:numId="27" w16cid:durableId="303239438">
    <w:abstractNumId w:val="21"/>
  </w:num>
  <w:num w:numId="28" w16cid:durableId="204848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FC"/>
    <w:rsid w:val="00002BFB"/>
    <w:rsid w:val="0001361B"/>
    <w:rsid w:val="00017D0F"/>
    <w:rsid w:val="00030F24"/>
    <w:rsid w:val="000351C6"/>
    <w:rsid w:val="00041B47"/>
    <w:rsid w:val="00043F9B"/>
    <w:rsid w:val="00045BF1"/>
    <w:rsid w:val="00054DBF"/>
    <w:rsid w:val="0007129A"/>
    <w:rsid w:val="000A39C5"/>
    <w:rsid w:val="000B3A93"/>
    <w:rsid w:val="000B4769"/>
    <w:rsid w:val="000C4984"/>
    <w:rsid w:val="000C5A60"/>
    <w:rsid w:val="000D1901"/>
    <w:rsid w:val="000D25C1"/>
    <w:rsid w:val="000D4E58"/>
    <w:rsid w:val="000F5D7C"/>
    <w:rsid w:val="00111B5E"/>
    <w:rsid w:val="001209C5"/>
    <w:rsid w:val="0012115E"/>
    <w:rsid w:val="001247C2"/>
    <w:rsid w:val="00167E69"/>
    <w:rsid w:val="0017724D"/>
    <w:rsid w:val="001915FA"/>
    <w:rsid w:val="001A3195"/>
    <w:rsid w:val="001C4F81"/>
    <w:rsid w:val="001D7993"/>
    <w:rsid w:val="001E0AEF"/>
    <w:rsid w:val="001E220A"/>
    <w:rsid w:val="001F241B"/>
    <w:rsid w:val="00211187"/>
    <w:rsid w:val="002232A8"/>
    <w:rsid w:val="0023449A"/>
    <w:rsid w:val="00245CCE"/>
    <w:rsid w:val="00261159"/>
    <w:rsid w:val="002707BF"/>
    <w:rsid w:val="00273564"/>
    <w:rsid w:val="0027695A"/>
    <w:rsid w:val="00293A47"/>
    <w:rsid w:val="002A099F"/>
    <w:rsid w:val="002C4CFE"/>
    <w:rsid w:val="002C5BE0"/>
    <w:rsid w:val="00300441"/>
    <w:rsid w:val="003035EB"/>
    <w:rsid w:val="0031029B"/>
    <w:rsid w:val="00320271"/>
    <w:rsid w:val="00323184"/>
    <w:rsid w:val="00325170"/>
    <w:rsid w:val="00336787"/>
    <w:rsid w:val="003725E4"/>
    <w:rsid w:val="0037630A"/>
    <w:rsid w:val="00376A56"/>
    <w:rsid w:val="0039319A"/>
    <w:rsid w:val="003A00FD"/>
    <w:rsid w:val="003A79F9"/>
    <w:rsid w:val="003E22DC"/>
    <w:rsid w:val="00415B00"/>
    <w:rsid w:val="0042291E"/>
    <w:rsid w:val="0042464D"/>
    <w:rsid w:val="00424F30"/>
    <w:rsid w:val="004257D7"/>
    <w:rsid w:val="00432115"/>
    <w:rsid w:val="00441D8F"/>
    <w:rsid w:val="00442CF3"/>
    <w:rsid w:val="0044611A"/>
    <w:rsid w:val="00472429"/>
    <w:rsid w:val="004736CB"/>
    <w:rsid w:val="00486E9E"/>
    <w:rsid w:val="004929C4"/>
    <w:rsid w:val="00496261"/>
    <w:rsid w:val="004B1C6C"/>
    <w:rsid w:val="004C3CC1"/>
    <w:rsid w:val="004D0D4E"/>
    <w:rsid w:val="004E3122"/>
    <w:rsid w:val="004F4975"/>
    <w:rsid w:val="00501783"/>
    <w:rsid w:val="00515A4C"/>
    <w:rsid w:val="005164FF"/>
    <w:rsid w:val="00521158"/>
    <w:rsid w:val="00534127"/>
    <w:rsid w:val="0053709D"/>
    <w:rsid w:val="00552999"/>
    <w:rsid w:val="00553BC7"/>
    <w:rsid w:val="00557AED"/>
    <w:rsid w:val="005651A0"/>
    <w:rsid w:val="00584F67"/>
    <w:rsid w:val="005C0C9C"/>
    <w:rsid w:val="005C4D31"/>
    <w:rsid w:val="005C7AFC"/>
    <w:rsid w:val="005E613A"/>
    <w:rsid w:val="00601F16"/>
    <w:rsid w:val="006357C6"/>
    <w:rsid w:val="006425E0"/>
    <w:rsid w:val="006459CC"/>
    <w:rsid w:val="0066457F"/>
    <w:rsid w:val="006876AD"/>
    <w:rsid w:val="006A3527"/>
    <w:rsid w:val="006B491D"/>
    <w:rsid w:val="006C60A9"/>
    <w:rsid w:val="006D5651"/>
    <w:rsid w:val="006F1D07"/>
    <w:rsid w:val="0071153D"/>
    <w:rsid w:val="00711634"/>
    <w:rsid w:val="00725114"/>
    <w:rsid w:val="00744A17"/>
    <w:rsid w:val="00752983"/>
    <w:rsid w:val="0076774B"/>
    <w:rsid w:val="00767E62"/>
    <w:rsid w:val="0077490C"/>
    <w:rsid w:val="00785363"/>
    <w:rsid w:val="00794871"/>
    <w:rsid w:val="007D2F6D"/>
    <w:rsid w:val="007D3AD2"/>
    <w:rsid w:val="007D3F48"/>
    <w:rsid w:val="007F17D8"/>
    <w:rsid w:val="00814748"/>
    <w:rsid w:val="0081608C"/>
    <w:rsid w:val="00817B60"/>
    <w:rsid w:val="00875A97"/>
    <w:rsid w:val="0088084E"/>
    <w:rsid w:val="00887101"/>
    <w:rsid w:val="008909C9"/>
    <w:rsid w:val="008D0C6C"/>
    <w:rsid w:val="008D1AA6"/>
    <w:rsid w:val="00905E02"/>
    <w:rsid w:val="009271F3"/>
    <w:rsid w:val="00927365"/>
    <w:rsid w:val="009316AB"/>
    <w:rsid w:val="00954324"/>
    <w:rsid w:val="00956C36"/>
    <w:rsid w:val="00970BA5"/>
    <w:rsid w:val="00975DC3"/>
    <w:rsid w:val="009829A9"/>
    <w:rsid w:val="0098647E"/>
    <w:rsid w:val="00987D83"/>
    <w:rsid w:val="00997A71"/>
    <w:rsid w:val="00997BE2"/>
    <w:rsid w:val="009B04A8"/>
    <w:rsid w:val="009B39B5"/>
    <w:rsid w:val="009C147C"/>
    <w:rsid w:val="009D0215"/>
    <w:rsid w:val="009D232E"/>
    <w:rsid w:val="009D723E"/>
    <w:rsid w:val="009E0A2F"/>
    <w:rsid w:val="009E2112"/>
    <w:rsid w:val="009F46B9"/>
    <w:rsid w:val="00A03CB8"/>
    <w:rsid w:val="00A31D8D"/>
    <w:rsid w:val="00A3565B"/>
    <w:rsid w:val="00A42424"/>
    <w:rsid w:val="00A426BF"/>
    <w:rsid w:val="00A64999"/>
    <w:rsid w:val="00A948BD"/>
    <w:rsid w:val="00A97776"/>
    <w:rsid w:val="00AB1DDA"/>
    <w:rsid w:val="00AD723A"/>
    <w:rsid w:val="00AE5ADF"/>
    <w:rsid w:val="00AF1323"/>
    <w:rsid w:val="00B1430A"/>
    <w:rsid w:val="00B15E9A"/>
    <w:rsid w:val="00B259E5"/>
    <w:rsid w:val="00B33B84"/>
    <w:rsid w:val="00B37076"/>
    <w:rsid w:val="00B5188F"/>
    <w:rsid w:val="00B76B54"/>
    <w:rsid w:val="00B77FA9"/>
    <w:rsid w:val="00BB1D2F"/>
    <w:rsid w:val="00BB7477"/>
    <w:rsid w:val="00BC7961"/>
    <w:rsid w:val="00BE0927"/>
    <w:rsid w:val="00BE164E"/>
    <w:rsid w:val="00BE59A1"/>
    <w:rsid w:val="00C030FC"/>
    <w:rsid w:val="00C103FE"/>
    <w:rsid w:val="00C342CB"/>
    <w:rsid w:val="00C431C8"/>
    <w:rsid w:val="00C43859"/>
    <w:rsid w:val="00C82B33"/>
    <w:rsid w:val="00C86D45"/>
    <w:rsid w:val="00C8791C"/>
    <w:rsid w:val="00C87DD6"/>
    <w:rsid w:val="00CA652C"/>
    <w:rsid w:val="00CA792D"/>
    <w:rsid w:val="00CB498B"/>
    <w:rsid w:val="00CB4D4E"/>
    <w:rsid w:val="00CD3CAA"/>
    <w:rsid w:val="00CE6A8A"/>
    <w:rsid w:val="00CF4DF1"/>
    <w:rsid w:val="00D33465"/>
    <w:rsid w:val="00D463B7"/>
    <w:rsid w:val="00D56296"/>
    <w:rsid w:val="00D645D2"/>
    <w:rsid w:val="00D71A66"/>
    <w:rsid w:val="00D768DC"/>
    <w:rsid w:val="00D85AB1"/>
    <w:rsid w:val="00D922FF"/>
    <w:rsid w:val="00DC4676"/>
    <w:rsid w:val="00DE43A5"/>
    <w:rsid w:val="00DF0587"/>
    <w:rsid w:val="00E34485"/>
    <w:rsid w:val="00E41D13"/>
    <w:rsid w:val="00E60AF9"/>
    <w:rsid w:val="00E65D03"/>
    <w:rsid w:val="00E7795C"/>
    <w:rsid w:val="00E80229"/>
    <w:rsid w:val="00EA7FDC"/>
    <w:rsid w:val="00EB0FAF"/>
    <w:rsid w:val="00EB6E25"/>
    <w:rsid w:val="00EC3B0F"/>
    <w:rsid w:val="00ED2670"/>
    <w:rsid w:val="00EE14C7"/>
    <w:rsid w:val="00F023E3"/>
    <w:rsid w:val="00F03B67"/>
    <w:rsid w:val="00F17F1F"/>
    <w:rsid w:val="00F207C2"/>
    <w:rsid w:val="00F26609"/>
    <w:rsid w:val="00F30632"/>
    <w:rsid w:val="00F36617"/>
    <w:rsid w:val="00F55536"/>
    <w:rsid w:val="00F602FF"/>
    <w:rsid w:val="00F65CB6"/>
    <w:rsid w:val="00F91410"/>
    <w:rsid w:val="00FA515C"/>
    <w:rsid w:val="00FB088C"/>
    <w:rsid w:val="00FB7FC2"/>
    <w:rsid w:val="00FC3C4C"/>
    <w:rsid w:val="00FD1B36"/>
    <w:rsid w:val="00FE281F"/>
    <w:rsid w:val="00FE397C"/>
    <w:rsid w:val="00FF3171"/>
    <w:rsid w:val="04038365"/>
    <w:rsid w:val="3D3D82FD"/>
    <w:rsid w:val="4B19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C80C"/>
  <w15:docId w15:val="{63071BC5-8D0A-4D92-8DCD-2EBA8218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336787"/>
    <w:pPr>
      <w:keepNext/>
      <w:keepLines/>
      <w:spacing w:before="360" w:after="80"/>
      <w:ind w:left="432" w:hanging="432"/>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87"/>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Paragraph,Resume Bullett,Bullet Points,Bullet Styles para,Dot pt,Indicator Text,List Paragraph - RFP,List Paragraph Char Char Char,List Paragraph1,MAIN CONTENT,No Spacing1,Numbered Para 1,TOC etc.,lp1"/>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aliases w:val="Table Caption,Caption Char1 Char"/>
    <w:basedOn w:val="Normal"/>
    <w:next w:val="Normal"/>
    <w:link w:val="CaptionChar"/>
    <w:autoRedefine/>
    <w:unhideWhenUsed/>
    <w:qFormat/>
    <w:rsid w:val="00FF3171"/>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aliases w:val="Footnote Text1 Char,Footnote Text Char Ch,Footnote Text Char Ch Char Char Char,Footnote Text Char Ch Char Char,Footnote Text1 Char Char Char,Footnote Text Char Ch Char,ft Char,ft,TBG Style,ALTS FOOTNOTE,Footnote Text 2,fn,Footnote text,FN"/>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qFormat/>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Paragraph Char,Resume Bullett Char,Bullet Points Char,Bullet Styles para Char,Dot pt Char,Indicator Text Char,List Paragraph - RFP Char,List Paragraph Char Char Char Char,List Paragraph1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aliases w:val="Table Caption Char,Caption Char1 Char Char"/>
    <w:link w:val="Caption"/>
    <w:rsid w:val="00FF3171"/>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qFormat/>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icrosoft YaHei UI Light" w:hAnsi="Microsoft YaHei UI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character" w:customStyle="1" w:styleId="ui-provider">
    <w:name w:val="ui-provider"/>
    <w:basedOn w:val="DefaultParagraphFont"/>
    <w:rsid w:val="0066457F"/>
  </w:style>
  <w:style w:type="table" w:customStyle="1" w:styleId="EnergyTable11">
    <w:name w:val="Energy Table11"/>
    <w:basedOn w:val="TableNormal"/>
    <w:uiPriority w:val="99"/>
    <w:qFormat/>
    <w:rsid w:val="000D25C1"/>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Arial Narrow" w:hAnsi="Arial Narrow"/>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paragraph" w:customStyle="1" w:styleId="GHBodytext">
    <w:name w:val="GH_Bodytext"/>
    <w:basedOn w:val="Normal"/>
    <w:rsid w:val="00F65CB6"/>
    <w:pPr>
      <w:suppressAutoHyphens/>
      <w:autoSpaceDN w:val="0"/>
      <w:spacing w:after="80" w:line="240" w:lineRule="auto"/>
    </w:pPr>
    <w:rPr>
      <w:rFonts w:ascii="Arial" w:eastAsia="Times New Roman" w:hAnsi="Arial" w:cs="Times New Roman"/>
      <w:lang w:eastAsia="en-US"/>
    </w:rPr>
  </w:style>
  <w:style w:type="table" w:customStyle="1" w:styleId="EnergyTable12">
    <w:name w:val="Energy Table12"/>
    <w:basedOn w:val="TableNormal"/>
    <w:uiPriority w:val="99"/>
    <w:qFormat/>
    <w:rsid w:val="00F65CB6"/>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Arial Narrow" w:hAnsi="Arial Narrow"/>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15</Pages>
  <Words>4562</Words>
  <Characters>23362</Characters>
  <Application>Microsoft Office Word</Application>
  <DocSecurity>0</DocSecurity>
  <Lines>2595</Lines>
  <Paragraphs>2147</Paragraphs>
  <ScaleCrop>false</ScaleCrop>
  <Company/>
  <LinksUpToDate>false</LinksUpToDate>
  <CharactersWithSpaces>25777</CharactersWithSpaces>
  <SharedDoc>false</SharedDoc>
  <HLinks>
    <vt:vector size="168" baseType="variant">
      <vt:variant>
        <vt:i4>1245232</vt:i4>
      </vt:variant>
      <vt:variant>
        <vt:i4>140</vt:i4>
      </vt:variant>
      <vt:variant>
        <vt:i4>0</vt:i4>
      </vt:variant>
      <vt:variant>
        <vt:i4>5</vt:i4>
      </vt:variant>
      <vt:variant>
        <vt:lpwstr/>
      </vt:variant>
      <vt:variant>
        <vt:lpwstr>_Toc227314414</vt:lpwstr>
      </vt:variant>
      <vt:variant>
        <vt:i4>1245232</vt:i4>
      </vt:variant>
      <vt:variant>
        <vt:i4>134</vt:i4>
      </vt:variant>
      <vt:variant>
        <vt:i4>0</vt:i4>
      </vt:variant>
      <vt:variant>
        <vt:i4>5</vt:i4>
      </vt:variant>
      <vt:variant>
        <vt:lpwstr/>
      </vt:variant>
      <vt:variant>
        <vt:lpwstr>_Toc227314413</vt:lpwstr>
      </vt:variant>
      <vt:variant>
        <vt:i4>1245232</vt:i4>
      </vt:variant>
      <vt:variant>
        <vt:i4>128</vt:i4>
      </vt:variant>
      <vt:variant>
        <vt:i4>0</vt:i4>
      </vt:variant>
      <vt:variant>
        <vt:i4>5</vt:i4>
      </vt:variant>
      <vt:variant>
        <vt:lpwstr/>
      </vt:variant>
      <vt:variant>
        <vt:lpwstr>_Toc227314412</vt:lpwstr>
      </vt:variant>
      <vt:variant>
        <vt:i4>1245232</vt:i4>
      </vt:variant>
      <vt:variant>
        <vt:i4>122</vt:i4>
      </vt:variant>
      <vt:variant>
        <vt:i4>0</vt:i4>
      </vt:variant>
      <vt:variant>
        <vt:i4>5</vt:i4>
      </vt:variant>
      <vt:variant>
        <vt:lpwstr/>
      </vt:variant>
      <vt:variant>
        <vt:lpwstr>_Toc227314411</vt:lpwstr>
      </vt:variant>
      <vt:variant>
        <vt:i4>1245232</vt:i4>
      </vt:variant>
      <vt:variant>
        <vt:i4>116</vt:i4>
      </vt:variant>
      <vt:variant>
        <vt:i4>0</vt:i4>
      </vt:variant>
      <vt:variant>
        <vt:i4>5</vt:i4>
      </vt:variant>
      <vt:variant>
        <vt:lpwstr/>
      </vt:variant>
      <vt:variant>
        <vt:lpwstr>_Toc227314410</vt:lpwstr>
      </vt:variant>
      <vt:variant>
        <vt:i4>1179696</vt:i4>
      </vt:variant>
      <vt:variant>
        <vt:i4>107</vt:i4>
      </vt:variant>
      <vt:variant>
        <vt:i4>0</vt:i4>
      </vt:variant>
      <vt:variant>
        <vt:i4>5</vt:i4>
      </vt:variant>
      <vt:variant>
        <vt:lpwstr/>
      </vt:variant>
      <vt:variant>
        <vt:lpwstr>_Toc227314408</vt:lpwstr>
      </vt:variant>
      <vt:variant>
        <vt:i4>1179696</vt:i4>
      </vt:variant>
      <vt:variant>
        <vt:i4>101</vt:i4>
      </vt:variant>
      <vt:variant>
        <vt:i4>0</vt:i4>
      </vt:variant>
      <vt:variant>
        <vt:i4>5</vt:i4>
      </vt:variant>
      <vt:variant>
        <vt:lpwstr/>
      </vt:variant>
      <vt:variant>
        <vt:lpwstr>_Toc227314407</vt:lpwstr>
      </vt:variant>
      <vt:variant>
        <vt:i4>1179696</vt:i4>
      </vt:variant>
      <vt:variant>
        <vt:i4>95</vt:i4>
      </vt:variant>
      <vt:variant>
        <vt:i4>0</vt:i4>
      </vt:variant>
      <vt:variant>
        <vt:i4>5</vt:i4>
      </vt:variant>
      <vt:variant>
        <vt:lpwstr/>
      </vt:variant>
      <vt:variant>
        <vt:lpwstr>_Toc227314406</vt:lpwstr>
      </vt:variant>
      <vt:variant>
        <vt:i4>1179696</vt:i4>
      </vt:variant>
      <vt:variant>
        <vt:i4>89</vt:i4>
      </vt:variant>
      <vt:variant>
        <vt:i4>0</vt:i4>
      </vt:variant>
      <vt:variant>
        <vt:i4>5</vt:i4>
      </vt:variant>
      <vt:variant>
        <vt:lpwstr/>
      </vt:variant>
      <vt:variant>
        <vt:lpwstr>_Toc227314405</vt:lpwstr>
      </vt:variant>
      <vt:variant>
        <vt:i4>1179696</vt:i4>
      </vt:variant>
      <vt:variant>
        <vt:i4>83</vt:i4>
      </vt:variant>
      <vt:variant>
        <vt:i4>0</vt:i4>
      </vt:variant>
      <vt:variant>
        <vt:i4>5</vt:i4>
      </vt:variant>
      <vt:variant>
        <vt:lpwstr/>
      </vt:variant>
      <vt:variant>
        <vt:lpwstr>_Toc227314404</vt:lpwstr>
      </vt:variant>
      <vt:variant>
        <vt:i4>1179696</vt:i4>
      </vt:variant>
      <vt:variant>
        <vt:i4>77</vt:i4>
      </vt:variant>
      <vt:variant>
        <vt:i4>0</vt:i4>
      </vt:variant>
      <vt:variant>
        <vt:i4>5</vt:i4>
      </vt:variant>
      <vt:variant>
        <vt:lpwstr/>
      </vt:variant>
      <vt:variant>
        <vt:lpwstr>_Toc227314403</vt:lpwstr>
      </vt:variant>
      <vt:variant>
        <vt:i4>1179696</vt:i4>
      </vt:variant>
      <vt:variant>
        <vt:i4>71</vt:i4>
      </vt:variant>
      <vt:variant>
        <vt:i4>0</vt:i4>
      </vt:variant>
      <vt:variant>
        <vt:i4>5</vt:i4>
      </vt:variant>
      <vt:variant>
        <vt:lpwstr/>
      </vt:variant>
      <vt:variant>
        <vt:lpwstr>_Toc227314402</vt:lpwstr>
      </vt:variant>
      <vt:variant>
        <vt:i4>1310775</vt:i4>
      </vt:variant>
      <vt:variant>
        <vt:i4>62</vt:i4>
      </vt:variant>
      <vt:variant>
        <vt:i4>0</vt:i4>
      </vt:variant>
      <vt:variant>
        <vt:i4>5</vt:i4>
      </vt:variant>
      <vt:variant>
        <vt:lpwstr/>
      </vt:variant>
      <vt:variant>
        <vt:lpwstr>_Toc227314369</vt:lpwstr>
      </vt:variant>
      <vt:variant>
        <vt:i4>1310775</vt:i4>
      </vt:variant>
      <vt:variant>
        <vt:i4>56</vt:i4>
      </vt:variant>
      <vt:variant>
        <vt:i4>0</vt:i4>
      </vt:variant>
      <vt:variant>
        <vt:i4>5</vt:i4>
      </vt:variant>
      <vt:variant>
        <vt:lpwstr/>
      </vt:variant>
      <vt:variant>
        <vt:lpwstr>_Toc227314368</vt:lpwstr>
      </vt:variant>
      <vt:variant>
        <vt:i4>1310775</vt:i4>
      </vt:variant>
      <vt:variant>
        <vt:i4>50</vt:i4>
      </vt:variant>
      <vt:variant>
        <vt:i4>0</vt:i4>
      </vt:variant>
      <vt:variant>
        <vt:i4>5</vt:i4>
      </vt:variant>
      <vt:variant>
        <vt:lpwstr/>
      </vt:variant>
      <vt:variant>
        <vt:lpwstr>_Toc227314367</vt:lpwstr>
      </vt:variant>
      <vt:variant>
        <vt:i4>1310775</vt:i4>
      </vt:variant>
      <vt:variant>
        <vt:i4>44</vt:i4>
      </vt:variant>
      <vt:variant>
        <vt:i4>0</vt:i4>
      </vt:variant>
      <vt:variant>
        <vt:i4>5</vt:i4>
      </vt:variant>
      <vt:variant>
        <vt:lpwstr/>
      </vt:variant>
      <vt:variant>
        <vt:lpwstr>_Toc227314366</vt:lpwstr>
      </vt:variant>
      <vt:variant>
        <vt:i4>1310775</vt:i4>
      </vt:variant>
      <vt:variant>
        <vt:i4>38</vt:i4>
      </vt:variant>
      <vt:variant>
        <vt:i4>0</vt:i4>
      </vt:variant>
      <vt:variant>
        <vt:i4>5</vt:i4>
      </vt:variant>
      <vt:variant>
        <vt:lpwstr/>
      </vt:variant>
      <vt:variant>
        <vt:lpwstr>_Toc227314365</vt:lpwstr>
      </vt:variant>
      <vt:variant>
        <vt:i4>1310775</vt:i4>
      </vt:variant>
      <vt:variant>
        <vt:i4>32</vt:i4>
      </vt:variant>
      <vt:variant>
        <vt:i4>0</vt:i4>
      </vt:variant>
      <vt:variant>
        <vt:i4>5</vt:i4>
      </vt:variant>
      <vt:variant>
        <vt:lpwstr/>
      </vt:variant>
      <vt:variant>
        <vt:lpwstr>_Toc227314364</vt:lpwstr>
      </vt:variant>
      <vt:variant>
        <vt:i4>1310775</vt:i4>
      </vt:variant>
      <vt:variant>
        <vt:i4>26</vt:i4>
      </vt:variant>
      <vt:variant>
        <vt:i4>0</vt:i4>
      </vt:variant>
      <vt:variant>
        <vt:i4>5</vt:i4>
      </vt:variant>
      <vt:variant>
        <vt:lpwstr/>
      </vt:variant>
      <vt:variant>
        <vt:lpwstr>_Toc227314363</vt:lpwstr>
      </vt:variant>
      <vt:variant>
        <vt:i4>1310775</vt:i4>
      </vt:variant>
      <vt:variant>
        <vt:i4>20</vt:i4>
      </vt:variant>
      <vt:variant>
        <vt:i4>0</vt:i4>
      </vt:variant>
      <vt:variant>
        <vt:i4>5</vt:i4>
      </vt:variant>
      <vt:variant>
        <vt:lpwstr/>
      </vt:variant>
      <vt:variant>
        <vt:lpwstr>_Toc227314362</vt:lpwstr>
      </vt:variant>
      <vt:variant>
        <vt:i4>1310775</vt:i4>
      </vt:variant>
      <vt:variant>
        <vt:i4>14</vt:i4>
      </vt:variant>
      <vt:variant>
        <vt:i4>0</vt:i4>
      </vt:variant>
      <vt:variant>
        <vt:i4>5</vt:i4>
      </vt:variant>
      <vt:variant>
        <vt:lpwstr/>
      </vt:variant>
      <vt:variant>
        <vt:lpwstr>_Toc227314361</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7733263</vt:i4>
      </vt:variant>
      <vt:variant>
        <vt:i4>6</vt:i4>
      </vt:variant>
      <vt:variant>
        <vt:i4>0</vt:i4>
      </vt:variant>
      <vt:variant>
        <vt:i4>5</vt:i4>
      </vt:variant>
      <vt:variant>
        <vt:lpwstr>mailto:dustin.kunkel@guidehouse.com</vt:lpwstr>
      </vt:variant>
      <vt:variant>
        <vt:lpwstr/>
      </vt:variant>
      <vt:variant>
        <vt:i4>2818132</vt:i4>
      </vt:variant>
      <vt:variant>
        <vt:i4>3</vt:i4>
      </vt:variant>
      <vt:variant>
        <vt:i4>0</vt:i4>
      </vt:variant>
      <vt:variant>
        <vt:i4>5</vt:i4>
      </vt:variant>
      <vt:variant>
        <vt:lpwstr>mailto:carly.olig@guidehouse.com</vt:lpwstr>
      </vt:variant>
      <vt:variant>
        <vt:lpwstr/>
      </vt:variant>
      <vt:variant>
        <vt:i4>2818132</vt:i4>
      </vt:variant>
      <vt:variant>
        <vt:i4>0</vt:i4>
      </vt:variant>
      <vt:variant>
        <vt:i4>0</vt:i4>
      </vt:variant>
      <vt:variant>
        <vt:i4>5</vt:i4>
      </vt:variant>
      <vt:variant>
        <vt:lpwstr>mailto:carly.olig@guidehouse.com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129</cp:revision>
  <dcterms:created xsi:type="dcterms:W3CDTF">2026-03-13T18:27:00Z</dcterms:created>
  <dcterms:modified xsi:type="dcterms:W3CDTF">2026-04-17T18:59:00Z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